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10782D"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10782D"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10782D"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Aplicació</w:t>
        </w:r>
        <w:r w:rsidR="00654BCD" w:rsidRPr="001B7117">
          <w:rPr>
            <w:rStyle w:val="Hipervnculo"/>
          </w:rPr>
          <w:t>n</w:t>
        </w:r>
        <w:r w:rsidR="00654BCD" w:rsidRPr="001B7117">
          <w:rPr>
            <w:rStyle w:val="Hipervnculo"/>
          </w:rPr>
          <w:t xml:space="preserve">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Pr="00A84CEA"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6 de Junio de 2014, que será tomada en la migración como la fecha en la que se realiza la misma, para evitar anomalías como consultas futuras concretadas, entre otras cosas.</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lastRenderedPageBreak/>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EC044B" w:rsidRPr="00A84CEA" w:rsidRDefault="00EC044B" w:rsidP="00823A8B">
      <w:pPr>
        <w:rPr>
          <w:rFonts w:asciiTheme="minorHAnsi" w:hAnsiTheme="minorHAnsi"/>
        </w:rPr>
      </w:pPr>
      <w:r w:rsidRPr="00A84CEA">
        <w:rPr>
          <w:rFonts w:asciiTheme="minorHAnsi" w:hAnsiTheme="minorHAnsi"/>
        </w:rPr>
        <w:t xml:space="preserve">Se infirieron los datos de las compras que ya ocurrieron, previas a la migración. Cada bono cuenta con un campo </w:t>
      </w:r>
      <w:proofErr w:type="spellStart"/>
      <w:r w:rsidRPr="00A84CEA">
        <w:rPr>
          <w:rFonts w:asciiTheme="minorHAnsi" w:hAnsiTheme="minorHAnsi"/>
        </w:rPr>
        <w:t>Compra_Bono_Fecha</w:t>
      </w:r>
      <w:proofErr w:type="spellEnd"/>
      <w:r w:rsidRPr="00A84CEA">
        <w:rPr>
          <w:rFonts w:asciiTheme="minorHAnsi" w:hAnsiTheme="minorHAnsi"/>
        </w:rPr>
        <w:t xml:space="preserve">. Asumimos que, cuando en dos bonos coinciden </w:t>
      </w:r>
      <w:proofErr w:type="spellStart"/>
      <w:r w:rsidRPr="00A84CEA">
        <w:rPr>
          <w:rFonts w:asciiTheme="minorHAnsi" w:hAnsiTheme="minorHAnsi"/>
        </w:rPr>
        <w:t>Compra_Bono_Fecha</w:t>
      </w:r>
      <w:proofErr w:type="spellEnd"/>
      <w:r w:rsidRPr="00A84CEA">
        <w:rPr>
          <w:rFonts w:asciiTheme="minorHAnsi" w:hAnsiTheme="minorHAnsi"/>
        </w:rPr>
        <w:t xml:space="preserve"> y </w:t>
      </w:r>
      <w:proofErr w:type="spellStart"/>
      <w:r w:rsidRPr="00A84CEA">
        <w:rPr>
          <w:rFonts w:asciiTheme="minorHAnsi" w:hAnsiTheme="minorHAnsi"/>
        </w:rPr>
        <w:t>Paciente_Dni</w:t>
      </w:r>
      <w:proofErr w:type="spellEnd"/>
      <w:r w:rsidRPr="00A84CEA">
        <w:rPr>
          <w:rFonts w:asciiTheme="minorHAnsi" w:hAnsiTheme="minorHAnsi"/>
        </w:rPr>
        <w:t xml:space="preserve"> (que al momento de la migración es único), entonces esos bonos se adquirieron en una misma operación, ya que no es posible que una misma persona realice dos operaciones de compra a la misma fecha y hora exactamente. Se obtuvieron la cantidad de bonos farmacia y bonos consulta utilizando </w:t>
      </w:r>
      <w:proofErr w:type="spellStart"/>
      <w:r w:rsidRPr="00A84CEA">
        <w:rPr>
          <w:rFonts w:asciiTheme="minorHAnsi" w:hAnsiTheme="minorHAnsi"/>
        </w:rPr>
        <w:t>subconsultas</w:t>
      </w:r>
      <w:proofErr w:type="spellEnd"/>
      <w:r w:rsidRPr="00A84CEA">
        <w:rPr>
          <w:rFonts w:asciiTheme="minorHAnsi" w:hAnsiTheme="minorHAnsi"/>
        </w:rPr>
        <w:t xml:space="preserve">, y agrupando por los dos campos mencionados. </w:t>
      </w:r>
      <w:r w:rsidR="00911460" w:rsidRPr="00A84CEA">
        <w:rPr>
          <w:rFonts w:asciiTheme="minorHAnsi" w:hAnsiTheme="minorHAnsi"/>
        </w:rPr>
        <w:t xml:space="preserve">Utilizando el número de plan del socio se obtienen los importes unitarios de los bonos, lo que permite calcular el monto de la </w:t>
      </w:r>
      <w:proofErr w:type="spellStart"/>
      <w:r w:rsidR="00911460" w:rsidRPr="00A84CEA">
        <w:rPr>
          <w:rFonts w:asciiTheme="minorHAnsi" w:hAnsiTheme="minorHAnsi"/>
        </w:rPr>
        <w:t>compra.</w:t>
      </w:r>
      <w:r w:rsidRPr="00A84CEA">
        <w:rPr>
          <w:rFonts w:asciiTheme="minorHAnsi" w:hAnsiTheme="minorHAnsi"/>
        </w:rPr>
        <w:t>Se</w:t>
      </w:r>
      <w:proofErr w:type="spellEnd"/>
      <w:r w:rsidRPr="00A84CEA">
        <w:rPr>
          <w:rFonts w:asciiTheme="minorHAnsi" w:hAnsiTheme="minorHAnsi"/>
        </w:rPr>
        <w:t xml:space="preserve"> generó un </w:t>
      </w:r>
      <w:proofErr w:type="spellStart"/>
      <w:r w:rsidRPr="00A84CEA">
        <w:rPr>
          <w:rFonts w:asciiTheme="minorHAnsi" w:hAnsiTheme="minorHAnsi"/>
        </w:rPr>
        <w:t>ID_Compra</w:t>
      </w:r>
      <w:proofErr w:type="spellEnd"/>
      <w:r w:rsidRPr="00A84CEA">
        <w:rPr>
          <w:rFonts w:asciiTheme="minorHAnsi" w:hAnsiTheme="minorHAnsi"/>
        </w:rPr>
        <w:t xml:space="preserve"> </w:t>
      </w:r>
      <w:proofErr w:type="spellStart"/>
      <w:r w:rsidRPr="00A84CEA">
        <w:rPr>
          <w:rFonts w:asciiTheme="minorHAnsi" w:hAnsiTheme="minorHAnsi"/>
        </w:rPr>
        <w:t>autonumérico</w:t>
      </w:r>
      <w:proofErr w:type="spellEnd"/>
      <w:r w:rsidRPr="00A84CEA">
        <w:rPr>
          <w:rFonts w:asciiTheme="minorHAnsi" w:hAnsiTheme="minorHAnsi"/>
        </w:rPr>
        <w:t>.</w:t>
      </w:r>
    </w:p>
    <w:p w:rsidR="00EC044B" w:rsidRPr="00A84CEA" w:rsidRDefault="00EC044B" w:rsidP="00823A8B">
      <w:pPr>
        <w:rPr>
          <w:rFonts w:asciiTheme="minorHAnsi" w:hAnsiTheme="minorHAnsi"/>
        </w:rPr>
      </w:pPr>
      <w:r w:rsidRPr="00A84CEA">
        <w:rPr>
          <w:rFonts w:asciiTheme="minorHAnsi" w:hAnsiTheme="minorHAnsi"/>
        </w:rPr>
        <w:t xml:space="preserve">Una vez generadas las distintas compras, se regresa sobre la tabla de bonos y, utilizando los mismos campos que permitieron identificar compras distintas, se busca en la tabla de compra el ID </w:t>
      </w:r>
      <w:r w:rsidRPr="00A84CEA">
        <w:rPr>
          <w:rFonts w:asciiTheme="minorHAnsi" w:hAnsiTheme="minorHAnsi"/>
        </w:rPr>
        <w:lastRenderedPageBreak/>
        <w:t>compra que corresponde a cada bono. Entonces, podemos saber en qué compra se adquirió cada uno de los bonos.</w:t>
      </w:r>
    </w:p>
    <w:p w:rsidR="00396C7B" w:rsidRPr="00A84CEA" w:rsidRDefault="00396C7B" w:rsidP="00823A8B">
      <w:pPr>
        <w:rPr>
          <w:rFonts w:asciiTheme="minorHAnsi" w:hAnsiTheme="minorHAnsi"/>
          <w:u w:val="single"/>
        </w:rPr>
      </w:pPr>
    </w:p>
    <w:p w:rsidR="00EC044B" w:rsidRPr="00A84CEA" w:rsidRDefault="00751C96" w:rsidP="00823A8B">
      <w:pPr>
        <w:rPr>
          <w:rFonts w:asciiTheme="minorHAnsi" w:hAnsiTheme="minorHAnsi"/>
          <w:u w:val="single"/>
        </w:rPr>
      </w:pPr>
      <w:r w:rsidRPr="00A84CEA">
        <w:rPr>
          <w:rFonts w:asciiTheme="minorHAnsi" w:hAnsiTheme="minorHAnsi"/>
          <w:u w:val="single"/>
        </w:rPr>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lastRenderedPageBreak/>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lastRenderedPageBreak/>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funcionalidades, esta tabla va a tener </w:t>
      </w:r>
      <w:proofErr w:type="spellStart"/>
      <w:r w:rsidRPr="00A84CEA">
        <w:rPr>
          <w:rFonts w:asciiTheme="minorHAnsi" w:hAnsiTheme="minorHAnsi"/>
        </w:rPr>
        <w:t>foreing</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255888">
      <w:r>
        <w:t>-</w:t>
      </w:r>
      <w:proofErr w:type="spellStart"/>
      <w:r>
        <w:t>limitarJornadaLaboral</w:t>
      </w:r>
      <w:proofErr w:type="spellEnd"/>
      <w:r>
        <w:t xml:space="preserve"> sobre </w:t>
      </w:r>
      <w:proofErr w:type="spellStart"/>
      <w:r>
        <w:t>Dias_Atencion</w:t>
      </w:r>
      <w:proofErr w:type="spellEnd"/>
      <w:r>
        <w:t xml:space="preserve">, no permite a un médico trabajar más de 48 </w:t>
      </w:r>
      <w:proofErr w:type="spellStart"/>
      <w:r>
        <w:t>hs</w:t>
      </w:r>
      <w:proofErr w:type="spellEnd"/>
      <w:r>
        <w:t xml:space="preserve"> semanales.</w:t>
      </w:r>
    </w:p>
    <w:p w:rsidR="00255888" w:rsidRDefault="00255888" w:rsidP="00823A8B">
      <w:r>
        <w:t>-</w:t>
      </w:r>
      <w:proofErr w:type="spellStart"/>
      <w:r>
        <w:t>obedecerHorariosClinica</w:t>
      </w:r>
      <w:proofErr w:type="spellEnd"/>
      <w:r>
        <w:t xml:space="preserve"> sobre </w:t>
      </w:r>
      <w:proofErr w:type="spellStart"/>
      <w:r>
        <w:t>Dias_Atencion</w:t>
      </w:r>
      <w:proofErr w:type="spellEnd"/>
      <w:r>
        <w:t>, no permite a un médico atender fuera de los horarios de la clínica.</w:t>
      </w:r>
      <w:bookmarkStart w:id="3" w:name="_GoBack"/>
      <w:bookmarkEnd w:id="3"/>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823A8B" w:rsidP="00823A8B">
      <w:pPr>
        <w:pStyle w:val="Ttulo1"/>
      </w:pPr>
      <w:bookmarkStart w:id="4" w:name="_Aplicación_Desktop"/>
      <w:bookmarkEnd w:id="4"/>
      <w:r>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p>
    <w:p w:rsidR="00C87BFE" w:rsidRPr="006211F7" w:rsidRDefault="00C87BFE" w:rsidP="00823A8B">
      <w:pPr>
        <w:rPr>
          <w:rFonts w:asciiTheme="minorHAnsi" w:hAnsiTheme="minorHAnsi"/>
        </w:rPr>
      </w:pPr>
    </w:p>
    <w:p w:rsidR="00C87BFE" w:rsidRPr="006211F7" w:rsidRDefault="00C87BFE" w:rsidP="00823A8B">
      <w:pPr>
        <w:rPr>
          <w:rFonts w:asciiTheme="minorHAnsi" w:hAnsiTheme="minorHAnsi"/>
        </w:rPr>
      </w:pP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w:t>
      </w:r>
      <w:r w:rsidRPr="006211F7">
        <w:rPr>
          <w:rFonts w:asciiTheme="minorHAnsi" w:hAnsiTheme="minorHAnsi"/>
        </w:rPr>
        <w:lastRenderedPageBreak/>
        <w:t>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w:t>
      </w:r>
      <w:r w:rsidRPr="006211F7">
        <w:rPr>
          <w:rFonts w:asciiTheme="minorHAnsi" w:hAnsiTheme="minorHAnsi"/>
        </w:rPr>
        <w:lastRenderedPageBreak/>
        <w:t xml:space="preserve">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w:t>
      </w:r>
      <w:r w:rsidR="00CE2835" w:rsidRPr="006211F7">
        <w:rPr>
          <w:rFonts w:asciiTheme="minorHAnsi" w:hAnsiTheme="minorHAnsi"/>
        </w:rPr>
        <w:lastRenderedPageBreak/>
        <w:t xml:space="preserve">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Pr="006211F7"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rsidRPr="006211F7">
        <w:rPr>
          <w:rFonts w:asciiTheme="minorHAnsi" w:hAnsiTheme="minorHAnsi"/>
        </w:rPr>
        <w:br/>
      </w:r>
    </w:p>
    <w:p w:rsidR="00A700BC" w:rsidRPr="006211F7"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r w:rsidRPr="006211F7">
        <w:rPr>
          <w:rFonts w:asciiTheme="minorHAnsi" w:hAnsiTheme="minorHAnsi"/>
        </w:rPr>
        <w:br/>
      </w:r>
      <w:r w:rsidRPr="006211F7">
        <w:rPr>
          <w:rFonts w:asciiTheme="minorHAnsi" w:hAnsiTheme="minorHAnsi"/>
        </w:rPr>
        <w:br/>
        <w:t xml:space="preserve">Una vez completado estos campos, se habilita el botón Aceptar, el cual generará el turno, mostrando una </w:t>
      </w:r>
      <w:proofErr w:type="spellStart"/>
      <w:r w:rsidRPr="006211F7">
        <w:rPr>
          <w:rFonts w:asciiTheme="minorHAnsi" w:hAnsiTheme="minorHAnsi"/>
        </w:rPr>
        <w:t>MessageBox</w:t>
      </w:r>
      <w:proofErr w:type="spellEnd"/>
      <w:r w:rsidRPr="006211F7">
        <w:rPr>
          <w:rFonts w:asciiTheme="minorHAnsi" w:hAnsiTheme="minorHAnsi"/>
        </w:rPr>
        <w:t xml:space="preserve"> si la operación fue realizada correctamente, con los datos proporcionados.</w:t>
      </w:r>
    </w:p>
    <w:p w:rsidR="00A700BC"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 xml:space="preserve">Luego, una vez completos los campos aparece una nueva columna con un botón al final de la fila </w:t>
      </w:r>
      <w:r w:rsidR="00F107E7" w:rsidRPr="006211F7">
        <w:rPr>
          <w:rFonts w:asciiTheme="minorHAnsi" w:hAnsiTheme="minorHAnsi"/>
        </w:rPr>
        <w:lastRenderedPageBreak/>
        <w:t>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 xml:space="preserve">Una vez completado los requisitos necesarios, se habilita el botón Aceptar para generar la receta y </w:t>
      </w:r>
      <w:r w:rsidR="004102A3" w:rsidRPr="006211F7">
        <w:rPr>
          <w:rFonts w:asciiTheme="minorHAnsi" w:hAnsiTheme="minorHAnsi" w:cs="Courier New"/>
          <w:noProof/>
          <w:lang w:val="es-MX" w:eastAsia="ja-JP"/>
        </w:rPr>
        <w:lastRenderedPageBreak/>
        <w:t>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opción de elegir el tipo de listado y el semestre de un par de “combobox” y el año, pudiendo elegir luego entre dos botones: Uno</w:t>
      </w:r>
      <w:r w:rsidRPr="006211F7">
        <w:rPr>
          <w:rFonts w:asciiTheme="minorHAnsi" w:hAnsiTheme="minorHAnsi" w:cs="Courier New"/>
          <w:noProof/>
          <w:lang w:val="es-MX" w:eastAsia="ja-JP"/>
        </w:rPr>
        <w:t xml:space="preserve"> (“semestre”) </w:t>
      </w:r>
      <w:r w:rsidR="00442722" w:rsidRPr="006211F7">
        <w:rPr>
          <w:rFonts w:asciiTheme="minorHAnsi" w:hAnsiTheme="minorHAnsi" w:cs="Courier New"/>
          <w:noProof/>
          <w:lang w:val="es-MX" w:eastAsia="ja-JP"/>
        </w:rPr>
        <w:t xml:space="preserve"> que </w:t>
      </w:r>
      <w:r w:rsidRPr="006211F7">
        <w:rPr>
          <w:rFonts w:asciiTheme="minorHAnsi" w:hAnsiTheme="minorHAnsi" w:cs="Courier New"/>
          <w:noProof/>
          <w:lang w:val="es-MX" w:eastAsia="ja-JP"/>
        </w:rPr>
        <w:t>mostrará el ranking del listado correspondiente a nivel semestral, esto significa los totales del semestre;  Y se cuenta con otro botón (“mensual”) que mostrará el ranking del semestre, pero desagregado en sus meses.</w:t>
      </w:r>
    </w:p>
    <w:p w:rsidR="00A24EAB"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correcto según el input del usuario se tiene un stored procedure que llamará al listado correcto, y en el caso de querer ver el listado desagregado por meses se llamará el mismo listado por més, joineando por ranking hasta obtener la lista mostrada. Dicho procedure trata de manera polimórfica todos los li</w:t>
      </w:r>
      <w:r w:rsidR="00A24EAB" w:rsidRPr="006211F7">
        <w:rPr>
          <w:rFonts w:asciiTheme="minorHAnsi" w:hAnsiTheme="minorHAnsi" w:cs="Courier New"/>
          <w:noProof/>
          <w:lang w:val="es-MX" w:eastAsia="ja-JP"/>
        </w:rPr>
        <w:t xml:space="preserve">stados, de manera de separar cómo se muestran los </w:t>
      </w:r>
      <w:r w:rsidRPr="006211F7">
        <w:rPr>
          <w:rFonts w:asciiTheme="minorHAnsi" w:hAnsiTheme="minorHAnsi" w:cs="Courier New"/>
          <w:noProof/>
          <w:lang w:val="es-MX" w:eastAsia="ja-JP"/>
        </w:rPr>
        <w:t xml:space="preserve">listado </w:t>
      </w:r>
      <w:r w:rsidR="00A24EAB" w:rsidRPr="006211F7">
        <w:rPr>
          <w:rFonts w:asciiTheme="minorHAnsi" w:hAnsiTheme="minorHAnsi" w:cs="Courier New"/>
          <w:noProof/>
          <w:lang w:val="es-MX" w:eastAsia="ja-JP"/>
        </w:rPr>
        <w:t>independientemente de cuál sea.</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w:t>
      </w:r>
      <w:r w:rsidRPr="006211F7">
        <w:rPr>
          <w:rFonts w:asciiTheme="minorHAnsi" w:hAnsiTheme="minorHAnsi" w:cs="Courier New"/>
          <w:noProof/>
          <w:lang w:val="es-MX" w:eastAsia="ja-JP"/>
        </w:rPr>
        <w:lastRenderedPageBreak/>
        <w:t xml:space="preserve">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82D" w:rsidRDefault="0010782D" w:rsidP="007751A1">
      <w:pPr>
        <w:spacing w:after="0" w:line="240" w:lineRule="auto"/>
      </w:pPr>
      <w:r>
        <w:separator/>
      </w:r>
    </w:p>
  </w:endnote>
  <w:endnote w:type="continuationSeparator" w:id="0">
    <w:p w:rsidR="0010782D" w:rsidRDefault="0010782D"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A07CA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A07CA7" w:rsidRPr="002E2F9D">
      <w:rPr>
        <w:rFonts w:ascii="Arial" w:hAnsi="Arial" w:cs="Arial"/>
        <w:sz w:val="20"/>
        <w:szCs w:val="20"/>
      </w:rPr>
      <w:fldChar w:fldCharType="separate"/>
    </w:r>
    <w:r w:rsidR="00C40F5A">
      <w:rPr>
        <w:rFonts w:ascii="Arial" w:hAnsi="Arial" w:cs="Arial"/>
        <w:noProof/>
        <w:sz w:val="20"/>
        <w:szCs w:val="20"/>
      </w:rPr>
      <w:t>7</w:t>
    </w:r>
    <w:r w:rsidR="00A07CA7" w:rsidRPr="002E2F9D">
      <w:rPr>
        <w:rFonts w:ascii="Arial" w:hAnsi="Arial" w:cs="Arial"/>
        <w:sz w:val="20"/>
        <w:szCs w:val="20"/>
      </w:rPr>
      <w:fldChar w:fldCharType="end"/>
    </w:r>
    <w:r w:rsidR="007751A1" w:rsidRPr="002E2F9D">
      <w:rPr>
        <w:rFonts w:ascii="Arial" w:hAnsi="Arial" w:cs="Arial"/>
        <w:sz w:val="20"/>
        <w:szCs w:val="20"/>
      </w:rPr>
      <w:t xml:space="preserve"> de </w:t>
    </w:r>
    <w:r w:rsidR="0010782D">
      <w:fldChar w:fldCharType="begin"/>
    </w:r>
    <w:r w:rsidR="0010782D">
      <w:instrText xml:space="preserve"> SECTIONPAGES  \* Arabic  \* MERGEFORMAT </w:instrText>
    </w:r>
    <w:r w:rsidR="0010782D">
      <w:fldChar w:fldCharType="separate"/>
    </w:r>
    <w:r w:rsidR="00C40F5A" w:rsidRPr="00C40F5A">
      <w:rPr>
        <w:rFonts w:ascii="Arial" w:hAnsi="Arial" w:cs="Arial"/>
        <w:noProof/>
        <w:sz w:val="20"/>
        <w:szCs w:val="20"/>
      </w:rPr>
      <w:t>16</w:t>
    </w:r>
    <w:r w:rsidR="0010782D">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82D" w:rsidRDefault="0010782D" w:rsidP="007751A1">
      <w:pPr>
        <w:spacing w:after="0" w:line="240" w:lineRule="auto"/>
      </w:pPr>
      <w:r>
        <w:separator/>
      </w:r>
    </w:p>
  </w:footnote>
  <w:footnote w:type="continuationSeparator" w:id="0">
    <w:p w:rsidR="0010782D" w:rsidRDefault="0010782D"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7485"/>
    <w:rsid w:val="00326F99"/>
    <w:rsid w:val="0033228E"/>
    <w:rsid w:val="00334518"/>
    <w:rsid w:val="00342322"/>
    <w:rsid w:val="0035110F"/>
    <w:rsid w:val="003531E9"/>
    <w:rsid w:val="00365A46"/>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43F8E"/>
    <w:rsid w:val="0074655C"/>
    <w:rsid w:val="00751C96"/>
    <w:rsid w:val="0076333F"/>
    <w:rsid w:val="00765F21"/>
    <w:rsid w:val="007751A1"/>
    <w:rsid w:val="00783EF0"/>
    <w:rsid w:val="00797434"/>
    <w:rsid w:val="007A22E5"/>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260FF"/>
    <w:rsid w:val="00944706"/>
    <w:rsid w:val="00962F41"/>
    <w:rsid w:val="00984DEB"/>
    <w:rsid w:val="00993142"/>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D534A"/>
    <w:rsid w:val="00AE4D7F"/>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40F5A"/>
    <w:rsid w:val="00C550A2"/>
    <w:rsid w:val="00C6322B"/>
    <w:rsid w:val="00C76448"/>
    <w:rsid w:val="00C87BFE"/>
    <w:rsid w:val="00C9054B"/>
    <w:rsid w:val="00C95CC1"/>
    <w:rsid w:val="00CA174A"/>
    <w:rsid w:val="00CB1251"/>
    <w:rsid w:val="00CB1F66"/>
    <w:rsid w:val="00CC72D4"/>
    <w:rsid w:val="00CD2127"/>
    <w:rsid w:val="00CD4DF1"/>
    <w:rsid w:val="00CE2835"/>
    <w:rsid w:val="00CF6EB2"/>
    <w:rsid w:val="00D07EA7"/>
    <w:rsid w:val="00D15F49"/>
    <w:rsid w:val="00D23D88"/>
    <w:rsid w:val="00D661F5"/>
    <w:rsid w:val="00D76641"/>
    <w:rsid w:val="00DA65C5"/>
    <w:rsid w:val="00DB4F1F"/>
    <w:rsid w:val="00DC00E1"/>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C044B"/>
    <w:rsid w:val="00ED58DE"/>
    <w:rsid w:val="00ED5CB3"/>
    <w:rsid w:val="00ED60A6"/>
    <w:rsid w:val="00EE16AD"/>
    <w:rsid w:val="00F059E4"/>
    <w:rsid w:val="00F107E7"/>
    <w:rsid w:val="00F121D0"/>
    <w:rsid w:val="00F1513E"/>
    <w:rsid w:val="00F2005A"/>
    <w:rsid w:val="00F43681"/>
    <w:rsid w:val="00F772EC"/>
    <w:rsid w:val="00FA3500"/>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61F1-7954-4F05-BAC7-752E5066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5245</Words>
  <Characters>28848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34025</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45</cp:revision>
  <cp:lastPrinted>2013-11-24T17:35:00Z</cp:lastPrinted>
  <dcterms:created xsi:type="dcterms:W3CDTF">2013-11-26T23:45:00Z</dcterms:created>
  <dcterms:modified xsi:type="dcterms:W3CDTF">2013-11-28T22:31:00Z</dcterms:modified>
</cp:coreProperties>
</file>