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="Times New Roman" w:asciiTheme="majorEastAsia" w:hAnsiTheme="majorEastAsia" w:eastAsiaTheme="majorEastAsia"/>
          <w:b/>
          <w:bCs/>
          <w:sz w:val="30"/>
          <w:szCs w:val="30"/>
        </w:rPr>
      </w:pPr>
      <w:r>
        <w:rPr>
          <w:rFonts w:ascii="Times New Roman" w:hAnsi="Times New Roman" w:cs="Times New Roman" w:eastAsiaTheme="majorEastAsia"/>
          <w:b/>
          <w:bCs/>
          <w:sz w:val="30"/>
          <w:szCs w:val="30"/>
        </w:rPr>
        <w:t>O</w:t>
      </w:r>
      <w:r>
        <w:rPr>
          <w:rFonts w:ascii="Times New Roman" w:hAnsi="Times New Roman" w:cs="Times New Roman" w:eastAsiaTheme="majorEastAsia"/>
          <w:b/>
          <w:bCs/>
          <w:sz w:val="30"/>
          <w:szCs w:val="30"/>
          <w:vertAlign w:val="subscript"/>
        </w:rPr>
        <w:t>3</w:t>
      </w:r>
      <w:r>
        <w:rPr>
          <w:rFonts w:ascii="Times New Roman" w:hAnsi="Times New Roman" w:cs="Times New Roman" w:eastAsiaTheme="majorEastAsia"/>
          <w:b/>
          <w:bCs/>
          <w:sz w:val="30"/>
          <w:szCs w:val="30"/>
        </w:rPr>
        <w:t>污</w:t>
      </w:r>
      <w:r>
        <w:rPr>
          <w:rFonts w:cs="Times New Roman" w:asciiTheme="majorEastAsia" w:hAnsiTheme="majorEastAsia" w:eastAsiaTheme="majorEastAsia"/>
          <w:b/>
          <w:bCs/>
          <w:sz w:val="30"/>
          <w:szCs w:val="30"/>
        </w:rPr>
        <w:t>染立体监测分析系统软件平台</w:t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cs="Times New Roman" w:asciiTheme="majorEastAsia" w:hAnsiTheme="majorEastAsia" w:eastAsiaTheme="majorEastAsia"/>
          <w:sz w:val="30"/>
          <w:szCs w:val="30"/>
        </w:rPr>
      </w:pPr>
      <w:r>
        <w:rPr>
          <w:rFonts w:hint="eastAsia" w:cs="Times New Roman" w:asciiTheme="majorEastAsia" w:hAnsiTheme="majorEastAsia" w:eastAsiaTheme="majorEastAsia"/>
          <w:sz w:val="30"/>
          <w:szCs w:val="30"/>
        </w:rPr>
        <w:t>建设目标</w:t>
      </w:r>
    </w:p>
    <w:p>
      <w:pPr>
        <w:pStyle w:val="10"/>
        <w:spacing w:line="360" w:lineRule="auto"/>
        <w:ind w:left="851" w:firstLine="482" w:firstLineChars="201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污染立体监测分析系统软件平台实现了对大气环境O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立体监测数据的收集、存储、加工及应用，如O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激光雷达数据、地面站O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分析仪数据集、气象数据、常规空气站</w:t>
      </w:r>
      <w:r>
        <w:rPr>
          <w:rFonts w:ascii="Times New Roman" w:hAnsi="Times New Roman" w:cs="Times New Roman"/>
          <w:color w:val="FF0000"/>
          <w:sz w:val="24"/>
          <w:szCs w:val="24"/>
        </w:rPr>
        <w:t>监测数据</w:t>
      </w:r>
      <w:r>
        <w:rPr>
          <w:rFonts w:ascii="Times New Roman" w:hAnsi="Times New Roman" w:cs="Times New Roman"/>
          <w:sz w:val="24"/>
          <w:szCs w:val="24"/>
        </w:rPr>
        <w:t>等，实时准确的感知区域大气内O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污染状况，对相关监测因子进行</w:t>
      </w:r>
      <w:r>
        <w:rPr>
          <w:rFonts w:ascii="Times New Roman" w:hAnsi="Times New Roman" w:cs="Times New Roman"/>
          <w:color w:val="FF0000"/>
          <w:sz w:val="24"/>
          <w:szCs w:val="24"/>
        </w:rPr>
        <w:t>比对分析，查找污染成因</w:t>
      </w:r>
      <w:r>
        <w:rPr>
          <w:rFonts w:ascii="Times New Roman" w:hAnsi="Times New Roman" w:cs="Times New Roman"/>
          <w:sz w:val="24"/>
          <w:szCs w:val="24"/>
        </w:rPr>
        <w:t>，实现对区域内O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污染天气的</w:t>
      </w:r>
      <w:r>
        <w:rPr>
          <w:rFonts w:ascii="Times New Roman" w:hAnsi="Times New Roman" w:cs="Times New Roman"/>
          <w:color w:val="FF0000"/>
          <w:sz w:val="24"/>
          <w:szCs w:val="24"/>
        </w:rPr>
        <w:t>自动判断、预警、监测报告</w:t>
      </w:r>
      <w:r>
        <w:rPr>
          <w:rFonts w:ascii="Times New Roman" w:hAnsi="Times New Roman" w:cs="Times New Roman"/>
          <w:sz w:val="24"/>
          <w:szCs w:val="24"/>
        </w:rPr>
        <w:t>的发布，并服务于区域环境质量评价、环境质量报告发布、污染源分析评价、预测预报分析评价等业务，为O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污染的成因及变化趋势提供科学数据支撑。</w:t>
      </w:r>
    </w:p>
    <w:p>
      <w:pPr>
        <w:pStyle w:val="10"/>
        <w:spacing w:line="360" w:lineRule="auto"/>
        <w:ind w:left="851" w:firstLine="482" w:firstLineChars="201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pStyle w:val="10"/>
        <w:numPr>
          <w:ilvl w:val="0"/>
          <w:numId w:val="1"/>
        </w:numPr>
        <w:ind w:firstLineChars="0"/>
        <w:jc w:val="left"/>
        <w:rPr>
          <w:rFonts w:cs="Times New Roman" w:asciiTheme="majorEastAsia" w:hAnsiTheme="majorEastAsia" w:eastAsiaTheme="majorEastAsia"/>
          <w:sz w:val="30"/>
          <w:szCs w:val="30"/>
        </w:rPr>
      </w:pPr>
      <w:r>
        <w:rPr>
          <w:rFonts w:cs="Times New Roman" w:asciiTheme="majorEastAsia" w:hAnsiTheme="majorEastAsia" w:eastAsiaTheme="majorEastAsia"/>
          <w:sz w:val="30"/>
          <w:szCs w:val="30"/>
        </w:rPr>
        <w:t>系统架构</w:t>
      </w:r>
    </w:p>
    <w:p>
      <w:pPr>
        <w:pStyle w:val="10"/>
        <w:ind w:left="851" w:firstLine="0" w:firstLineChars="0"/>
        <w:jc w:val="center"/>
        <w:rPr>
          <w:rFonts w:cs="Times New Roman" w:asciiTheme="majorEastAsia" w:hAnsiTheme="majorEastAsia" w:eastAsiaTheme="majorEastAsia"/>
          <w:sz w:val="30"/>
          <w:szCs w:val="30"/>
        </w:rPr>
      </w:pPr>
      <w:r>
        <w:rPr>
          <w:rFonts w:cs="Times New Roman" w:asciiTheme="majorEastAsia" w:hAnsiTheme="majorEastAsia" w:eastAsiaTheme="majorEastAsia"/>
          <w:sz w:val="30"/>
          <w:szCs w:val="30"/>
        </w:rPr>
        <w:drawing>
          <wp:inline distT="0" distB="0" distL="0" distR="0">
            <wp:extent cx="5274310" cy="3855720"/>
            <wp:effectExtent l="0" t="0" r="2540" b="0"/>
            <wp:docPr id="6" name="图片 6" descr="E:\待解决\亿图工程文件\臭氧雷达分析平台系统架构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待解决\亿图工程文件\臭氧雷达分析平台系统架构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851" w:firstLine="0" w:firstLineChars="0"/>
        <w:jc w:val="center"/>
        <w:rPr>
          <w:rFonts w:cs="Times New Roman" w:asciiTheme="majorEastAsia" w:hAnsiTheme="majorEastAsia" w:eastAsiaTheme="majorEastAsia"/>
          <w:sz w:val="30"/>
          <w:szCs w:val="30"/>
        </w:rPr>
      </w:pPr>
    </w:p>
    <w:p>
      <w:pPr>
        <w:pStyle w:val="10"/>
        <w:numPr>
          <w:ilvl w:val="0"/>
          <w:numId w:val="1"/>
        </w:numPr>
        <w:ind w:firstLineChars="0"/>
        <w:jc w:val="left"/>
        <w:rPr>
          <w:rFonts w:cs="Times New Roman" w:asciiTheme="majorEastAsia" w:hAnsiTheme="majorEastAsia" w:eastAsiaTheme="majorEastAsia"/>
          <w:sz w:val="30"/>
          <w:szCs w:val="30"/>
        </w:rPr>
      </w:pPr>
      <w:r>
        <w:rPr>
          <w:rFonts w:hint="eastAsia" w:cs="Times New Roman" w:asciiTheme="majorEastAsia" w:hAnsiTheme="majorEastAsia" w:eastAsiaTheme="majorEastAsia"/>
          <w:sz w:val="30"/>
          <w:szCs w:val="30"/>
        </w:rPr>
        <w:t>设计原则</w:t>
      </w:r>
    </w:p>
    <w:p>
      <w:pPr>
        <w:pStyle w:val="11"/>
        <w:ind w:left="424" w:leftChars="202" w:firstLine="2" w:firstLineChars="0"/>
        <w:rPr>
          <w:rFonts w:asciiTheme="minorEastAsia" w:hAnsiTheme="minorEastAsia" w:eastAsiaTheme="minorEastAsia"/>
          <w:sz w:val="24"/>
          <w:szCs w:val="24"/>
          <w:lang w:val="hr-HR"/>
        </w:rPr>
      </w:pP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系统平台建设必须遵循以下设计原则开发：</w:t>
      </w:r>
    </w:p>
    <w:p>
      <w:pPr>
        <w:pStyle w:val="11"/>
        <w:ind w:left="424" w:leftChars="202" w:firstLine="0" w:firstLineChars="0"/>
        <w:rPr>
          <w:rFonts w:asciiTheme="minorEastAsia" w:hAnsiTheme="minorEastAsia" w:eastAsiaTheme="minorEastAsia"/>
          <w:sz w:val="24"/>
          <w:szCs w:val="24"/>
          <w:lang w:val="hr-HR"/>
        </w:rPr>
      </w:pPr>
      <w:bookmarkStart w:id="0" w:name="_Toc45703155"/>
      <w:bookmarkStart w:id="1" w:name="_Toc34564140"/>
      <w:bookmarkStart w:id="2" w:name="_Toc34509368"/>
      <w:bookmarkStart w:id="3" w:name="_Toc33529321"/>
      <w:bookmarkStart w:id="4" w:name="_Toc26522820"/>
      <w:bookmarkStart w:id="5" w:name="_Toc25731377"/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1）先进性原则</w:t>
      </w:r>
      <w:bookmarkEnd w:id="0"/>
      <w:bookmarkEnd w:id="1"/>
      <w:bookmarkEnd w:id="2"/>
      <w:bookmarkEnd w:id="3"/>
      <w:bookmarkEnd w:id="4"/>
      <w:bookmarkEnd w:id="5"/>
    </w:p>
    <w:p>
      <w:pPr>
        <w:pStyle w:val="11"/>
        <w:ind w:left="424" w:leftChars="202" w:firstLine="424" w:firstLineChars="177"/>
        <w:rPr>
          <w:rFonts w:asciiTheme="minorEastAsia" w:hAnsiTheme="minorEastAsia" w:eastAsiaTheme="minorEastAsia"/>
          <w:sz w:val="24"/>
          <w:szCs w:val="24"/>
          <w:lang w:val="hr-HR"/>
        </w:rPr>
      </w:pP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运用当今国内、国际上先进成熟的计算机软硬件技术，使本次建设的系统达到当今国内</w:t>
      </w:r>
      <w:r>
        <w:rPr>
          <w:rFonts w:hint="eastAsia" w:asciiTheme="minorEastAsia" w:hAnsiTheme="minorEastAsia" w:eastAsiaTheme="minorEastAsia"/>
          <w:sz w:val="24"/>
          <w:szCs w:val="24"/>
        </w:rPr>
        <w:t>领先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水平，采用当前流行的B/S架构</w:t>
      </w:r>
      <w:r>
        <w:rPr>
          <w:rFonts w:hint="eastAsia" w:asciiTheme="minorEastAsia" w:hAnsiTheme="minorEastAsia" w:eastAsiaTheme="minorEastAsia"/>
          <w:sz w:val="24"/>
          <w:szCs w:val="24"/>
        </w:rPr>
        <w:t>多层应用体系，方便跨地域访问。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采用当前主流配置操作系统、数据库、客户端软硬件。特别是利用快速兴起的高速无线</w:t>
      </w:r>
      <w:r>
        <w:rPr>
          <w:rFonts w:hint="eastAsia" w:asciiTheme="minorEastAsia" w:hAnsiTheme="minorEastAsia" w:eastAsiaTheme="minorEastAsia"/>
          <w:sz w:val="24"/>
          <w:szCs w:val="24"/>
        </w:rPr>
        <w:t>通讯技术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，构建技术领先、应用便捷、随需应变涵盖运维管理</w:t>
      </w:r>
      <w:r>
        <w:rPr>
          <w:rFonts w:hint="eastAsia" w:asciiTheme="minorEastAsia" w:hAnsiTheme="minorEastAsia" w:eastAsiaTheme="minorEastAsia"/>
          <w:sz w:val="24"/>
          <w:szCs w:val="24"/>
        </w:rPr>
        <w:t>的一体化业务平台系统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。</w:t>
      </w:r>
    </w:p>
    <w:p>
      <w:pPr>
        <w:pStyle w:val="11"/>
        <w:ind w:left="424" w:leftChars="202" w:firstLine="0" w:firstLineChars="0"/>
        <w:rPr>
          <w:rFonts w:asciiTheme="minorEastAsia" w:hAnsiTheme="minorEastAsia" w:eastAsiaTheme="minorEastAsia"/>
          <w:sz w:val="24"/>
          <w:szCs w:val="24"/>
          <w:lang w:val="hr-HR"/>
        </w:rPr>
      </w:pPr>
      <w:bookmarkStart w:id="6" w:name="_Toc34509370"/>
      <w:bookmarkStart w:id="7" w:name="_Toc33529323"/>
      <w:bookmarkStart w:id="8" w:name="_Toc25731379"/>
      <w:bookmarkStart w:id="9" w:name="_Toc45703157"/>
      <w:bookmarkStart w:id="10" w:name="_Toc34564142"/>
      <w:bookmarkStart w:id="11" w:name="_Toc26522822"/>
      <w:r>
        <w:rPr>
          <w:rFonts w:asciiTheme="minorEastAsia" w:hAnsiTheme="minorEastAsia" w:eastAsiaTheme="minorEastAsia"/>
          <w:sz w:val="24"/>
          <w:szCs w:val="24"/>
          <w:lang w:val="hr-HR"/>
        </w:rPr>
        <w:t>2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）安全性原则</w:t>
      </w:r>
      <w:bookmarkEnd w:id="6"/>
      <w:bookmarkEnd w:id="7"/>
      <w:bookmarkEnd w:id="8"/>
      <w:bookmarkEnd w:id="9"/>
      <w:bookmarkEnd w:id="10"/>
      <w:bookmarkEnd w:id="11"/>
    </w:p>
    <w:p>
      <w:pPr>
        <w:pStyle w:val="11"/>
        <w:ind w:left="424" w:leftChars="202" w:firstLine="424" w:firstLineChars="177"/>
        <w:rPr>
          <w:rFonts w:asciiTheme="minorEastAsia" w:hAnsiTheme="minorEastAsia" w:eastAsiaTheme="minorEastAsia"/>
          <w:sz w:val="24"/>
          <w:szCs w:val="24"/>
          <w:lang w:val="hr-HR"/>
        </w:rPr>
      </w:pP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系统的设计和开发除了遵从国家有关法律法规和技术标准外，</w:t>
      </w:r>
      <w:r>
        <w:rPr>
          <w:rFonts w:hint="eastAsia" w:cs="Calibri" w:asciiTheme="minorEastAsia" w:hAnsiTheme="minorEastAsia" w:eastAsiaTheme="minorEastAsia"/>
          <w:sz w:val="24"/>
          <w:szCs w:val="24"/>
        </w:rPr>
        <w:t>应</w:t>
      </w:r>
      <w:r>
        <w:rPr>
          <w:rFonts w:hint="eastAsia" w:cs="Calibri" w:asciiTheme="minorEastAsia" w:hAnsiTheme="minorEastAsia" w:eastAsiaTheme="minorEastAsia"/>
          <w:color w:val="FF0000"/>
          <w:sz w:val="24"/>
          <w:szCs w:val="24"/>
        </w:rPr>
        <w:t>采用身份验证、访问控制、多层次的安全技术手段加以保证，对相关的主机系统、应用数据库提供严密保护</w:t>
      </w:r>
      <w:r>
        <w:rPr>
          <w:rFonts w:hint="eastAsia" w:cs="Calibri" w:asciiTheme="minorEastAsia" w:hAnsiTheme="minorEastAsia" w:eastAsiaTheme="minorEastAsia"/>
          <w:sz w:val="24"/>
          <w:szCs w:val="24"/>
        </w:rPr>
        <w:t>。系统的结构采取分区和层次化，使用软硬件防火墙技术加以隔离，所有访问均在各层应用系统和程序的严格控制下进行，防止系统的一些重要数据被不合法用户所获取、篡改或破坏。</w:t>
      </w:r>
    </w:p>
    <w:p>
      <w:pPr>
        <w:pStyle w:val="11"/>
        <w:ind w:left="424" w:leftChars="202" w:firstLine="0" w:firstLineChars="0"/>
        <w:rPr>
          <w:rFonts w:asciiTheme="minorEastAsia" w:hAnsiTheme="minorEastAsia" w:eastAsiaTheme="minorEastAsia"/>
          <w:sz w:val="24"/>
          <w:szCs w:val="24"/>
          <w:lang w:val="hr-HR"/>
        </w:rPr>
      </w:pPr>
      <w:bookmarkStart w:id="12" w:name="_Toc34564143"/>
      <w:bookmarkStart w:id="13" w:name="_Toc34509371"/>
      <w:bookmarkStart w:id="14" w:name="_Toc45703158"/>
      <w:bookmarkStart w:id="15" w:name="_Toc26522823"/>
      <w:bookmarkStart w:id="16" w:name="_Toc25731380"/>
      <w:bookmarkStart w:id="17" w:name="_Toc33529324"/>
      <w:r>
        <w:rPr>
          <w:rFonts w:asciiTheme="minorEastAsia" w:hAnsiTheme="minorEastAsia" w:eastAsiaTheme="minorEastAsia"/>
          <w:sz w:val="24"/>
          <w:szCs w:val="24"/>
          <w:lang w:val="hr-HR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）</w:t>
      </w:r>
      <w:bookmarkEnd w:id="12"/>
      <w:bookmarkEnd w:id="13"/>
      <w:bookmarkEnd w:id="14"/>
      <w:bookmarkEnd w:id="15"/>
      <w:bookmarkEnd w:id="16"/>
      <w:bookmarkEnd w:id="17"/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灵活性原则</w:t>
      </w:r>
    </w:p>
    <w:p>
      <w:pPr>
        <w:pStyle w:val="11"/>
        <w:ind w:left="424" w:leftChars="202" w:firstLine="424" w:firstLineChars="177"/>
        <w:rPr>
          <w:rFonts w:asciiTheme="minorEastAsia" w:hAnsiTheme="minorEastAsia" w:eastAsiaTheme="minorEastAsia"/>
          <w:sz w:val="24"/>
          <w:szCs w:val="24"/>
          <w:lang w:val="hr-HR"/>
        </w:rPr>
      </w:pP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系统必须具有灵活性，当数据来源或应用需求变更时，能方便地加入新的设备数据及相关功能，保证系统的完整性不受影响。</w:t>
      </w:r>
    </w:p>
    <w:p>
      <w:pPr>
        <w:pStyle w:val="11"/>
        <w:ind w:left="424" w:leftChars="202" w:firstLine="0" w:firstLineChars="0"/>
        <w:rPr>
          <w:rFonts w:asciiTheme="minorEastAsia" w:hAnsiTheme="minorEastAsia" w:eastAsiaTheme="minorEastAsia"/>
          <w:sz w:val="24"/>
          <w:szCs w:val="24"/>
          <w:lang w:val="hr-HR"/>
        </w:rPr>
      </w:pPr>
      <w:bookmarkStart w:id="18" w:name="_Toc25731381"/>
      <w:bookmarkStart w:id="19" w:name="_Toc26522824"/>
      <w:bookmarkStart w:id="20" w:name="_Toc34509372"/>
      <w:bookmarkStart w:id="21" w:name="_Toc34564144"/>
      <w:bookmarkStart w:id="22" w:name="_Toc45703159"/>
      <w:bookmarkStart w:id="23" w:name="_Toc33529325"/>
      <w:r>
        <w:rPr>
          <w:rFonts w:asciiTheme="minorEastAsia" w:hAnsiTheme="minorEastAsia" w:eastAsiaTheme="minorEastAsia"/>
          <w:sz w:val="24"/>
          <w:szCs w:val="24"/>
        </w:rPr>
        <w:t>4</w:t>
      </w:r>
      <w:r>
        <w:rPr>
          <w:rFonts w:hint="eastAsia" w:asciiTheme="minorEastAsia" w:hAnsiTheme="minorEastAsia" w:eastAsiaTheme="minorEastAsia"/>
          <w:sz w:val="24"/>
          <w:szCs w:val="24"/>
        </w:rPr>
        <w:t>）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界面友好性原则</w:t>
      </w:r>
      <w:bookmarkEnd w:id="18"/>
      <w:bookmarkEnd w:id="19"/>
      <w:bookmarkEnd w:id="20"/>
      <w:bookmarkEnd w:id="21"/>
      <w:bookmarkEnd w:id="22"/>
      <w:bookmarkEnd w:id="23"/>
    </w:p>
    <w:p>
      <w:pPr>
        <w:pStyle w:val="11"/>
        <w:ind w:left="424" w:leftChars="202" w:firstLine="424" w:firstLineChars="177"/>
        <w:rPr>
          <w:rFonts w:asciiTheme="minorEastAsia" w:hAnsiTheme="minorEastAsia" w:eastAsiaTheme="minorEastAsia"/>
          <w:sz w:val="24"/>
          <w:szCs w:val="24"/>
          <w:lang w:val="hr-HR"/>
        </w:rPr>
      </w:pP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根据软件工程质量标准，系统界面应是整齐简洁、层次清晰、一目了然，必须要达到易用、好用的目的。</w:t>
      </w:r>
    </w:p>
    <w:p>
      <w:pPr>
        <w:pStyle w:val="11"/>
        <w:ind w:left="424" w:leftChars="202" w:firstLine="0" w:firstLineChars="0"/>
        <w:rPr>
          <w:rFonts w:asciiTheme="minorEastAsia" w:hAnsiTheme="minorEastAsia" w:eastAsiaTheme="minorEastAsia"/>
          <w:sz w:val="24"/>
          <w:szCs w:val="24"/>
          <w:lang w:val="hr-HR"/>
        </w:rPr>
      </w:pPr>
      <w:r>
        <w:rPr>
          <w:rFonts w:asciiTheme="minorEastAsia" w:hAnsiTheme="minorEastAsia" w:eastAsiaTheme="minorEastAsia"/>
          <w:sz w:val="24"/>
          <w:szCs w:val="24"/>
        </w:rPr>
        <w:t>5</w:t>
      </w:r>
      <w:r>
        <w:rPr>
          <w:rFonts w:hint="eastAsia" w:asciiTheme="minorEastAsia" w:hAnsiTheme="minorEastAsia" w:eastAsiaTheme="minorEastAsia"/>
          <w:sz w:val="24"/>
          <w:szCs w:val="24"/>
        </w:rPr>
        <w:t>）标准化原则</w:t>
      </w:r>
    </w:p>
    <w:p>
      <w:pPr>
        <w:pStyle w:val="11"/>
        <w:ind w:left="424" w:leftChars="202" w:firstLine="424" w:firstLineChars="177"/>
        <w:rPr>
          <w:rFonts w:cs="宋体" w:asciiTheme="minorEastAsia" w:hAnsiTheme="minorEastAsia" w:eastAsiaTheme="minorEastAsia"/>
          <w:sz w:val="24"/>
          <w:szCs w:val="24"/>
          <w:lang w:val="hr-HR"/>
        </w:rPr>
      </w:pP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系统的设计以及实现过程，都充分考虑到国家或者地区环保局发布的相关标准与规范，包括通讯协议、数据库设计等。</w:t>
      </w: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国家、省已经颁布或在项目建设过程中颁布的相关标准、规范</w:t>
      </w:r>
      <w:r>
        <w:rPr>
          <w:rFonts w:cs="宋体" w:asciiTheme="minorEastAsia" w:hAnsiTheme="minorEastAsia" w:eastAsiaTheme="minorEastAsia"/>
          <w:sz w:val="24"/>
          <w:szCs w:val="24"/>
          <w:lang w:val="hr-HR"/>
        </w:rPr>
        <w:t>，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其中，数据库设计是按照数字环保的标准来建立，并且与监控中心数据库进行必要的关联，保证数据的完整、统一和标准化。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《国家环境信息化2008-2015年总体发展规划》；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《国家环境信息与统计能力建设项目建设方案》；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《污染物在线自动监控（监测）系统数据传输标准》（HJ/T 212-20</w:t>
      </w:r>
      <w:r>
        <w:rPr>
          <w:rFonts w:cs="宋体" w:asciiTheme="minorEastAsia" w:hAnsiTheme="minorEastAsia" w:eastAsiaTheme="minorEastAsia"/>
          <w:color w:val="000000"/>
          <w:sz w:val="24"/>
          <w:szCs w:val="24"/>
        </w:rPr>
        <w:t>17</w:t>
      </w: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）；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《环境信息系统集成技术规范》；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《环境信息术语》；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《环境信息分类与代码》；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《环境空气质量指数AQI技术规定》（HJ633-2013）；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 xml:space="preserve">《污染源监控中心建设规范（暂行）》（环函[2007]241 号） 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《中华人民共和国环境保护法》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GB3095-1996《环境空气质量标准》</w:t>
      </w:r>
    </w:p>
    <w:p>
      <w:pPr>
        <w:pStyle w:val="3"/>
        <w:numPr>
          <w:ilvl w:val="0"/>
          <w:numId w:val="2"/>
        </w:numPr>
        <w:tabs>
          <w:tab w:val="left" w:pos="851"/>
          <w:tab w:val="clear" w:pos="420"/>
        </w:tabs>
        <w:spacing w:line="360" w:lineRule="auto"/>
        <w:ind w:left="850" w:leftChars="405" w:firstLine="1"/>
        <w:rPr>
          <w:rFonts w:cs="宋体" w:asciiTheme="minorEastAsia" w:hAnsiTheme="minorEastAsia" w:eastAsiaTheme="minorEastAsia"/>
          <w:color w:val="000000"/>
          <w:sz w:val="24"/>
          <w:szCs w:val="24"/>
        </w:rPr>
      </w:pPr>
      <w:r>
        <w:rPr>
          <w:rFonts w:hint="eastAsia" w:cs="宋体" w:asciiTheme="minorEastAsia" w:hAnsiTheme="minorEastAsia" w:eastAsiaTheme="minorEastAsia"/>
          <w:color w:val="000000"/>
          <w:sz w:val="24"/>
          <w:szCs w:val="24"/>
        </w:rPr>
        <w:t>GB16297-1996《大气污染物综合排放标准》</w:t>
      </w:r>
    </w:p>
    <w:p>
      <w:pPr>
        <w:pStyle w:val="11"/>
        <w:ind w:firstLineChars="0"/>
        <w:rPr>
          <w:rFonts w:asciiTheme="minorEastAsia" w:hAnsiTheme="minorEastAsia" w:eastAsiaTheme="minorEastAsia"/>
          <w:sz w:val="24"/>
          <w:szCs w:val="24"/>
          <w:lang w:val="hr-HR"/>
        </w:rPr>
      </w:pPr>
      <w:bookmarkStart w:id="24" w:name="_Toc25731382"/>
      <w:bookmarkStart w:id="25" w:name="_Toc26522825"/>
      <w:bookmarkStart w:id="26" w:name="_Toc33529326"/>
      <w:bookmarkStart w:id="27" w:name="_Toc34509373"/>
      <w:bookmarkStart w:id="28" w:name="_Toc34564145"/>
      <w:bookmarkStart w:id="29" w:name="_Toc45703160"/>
      <w:r>
        <w:rPr>
          <w:rFonts w:asciiTheme="minorEastAsia" w:hAnsiTheme="minorEastAsia" w:eastAsiaTheme="minorEastAsia"/>
          <w:sz w:val="24"/>
          <w:szCs w:val="24"/>
          <w:lang w:val="hr-HR"/>
        </w:rPr>
        <w:t>6</w:t>
      </w:r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）</w:t>
      </w:r>
      <w:bookmarkEnd w:id="24"/>
      <w:bookmarkEnd w:id="25"/>
      <w:bookmarkEnd w:id="26"/>
      <w:bookmarkEnd w:id="27"/>
      <w:bookmarkEnd w:id="28"/>
      <w:bookmarkEnd w:id="29"/>
      <w:r>
        <w:rPr>
          <w:rFonts w:hint="eastAsia" w:asciiTheme="minorEastAsia" w:hAnsiTheme="minorEastAsia" w:eastAsiaTheme="minorEastAsia"/>
          <w:sz w:val="24"/>
          <w:szCs w:val="24"/>
          <w:lang w:val="hr-HR"/>
        </w:rPr>
        <w:t>开放性原则</w:t>
      </w:r>
    </w:p>
    <w:p>
      <w:pPr>
        <w:ind w:left="424" w:leftChars="202" w:firstLine="424" w:firstLineChars="177"/>
        <w:jc w:val="left"/>
        <w:rPr>
          <w:rFonts w:asciiTheme="minorEastAsia" w:hAnsiTheme="minorEastAsia"/>
          <w:sz w:val="24"/>
          <w:szCs w:val="24"/>
          <w:lang w:val="hr-HR"/>
        </w:rPr>
      </w:pPr>
      <w:r>
        <w:rPr>
          <w:rFonts w:hint="eastAsia" w:asciiTheme="minorEastAsia" w:hAnsiTheme="minorEastAsia"/>
          <w:sz w:val="24"/>
          <w:szCs w:val="24"/>
          <w:lang w:val="hr-HR"/>
        </w:rPr>
        <w:t>系统具有开放性，应充分考虑环境监测技术、仪器装备及网络硬件的扩展，提供系统数据库接口，方便与各类</w:t>
      </w:r>
      <w:r>
        <w:rPr>
          <w:rFonts w:hint="eastAsia" w:asciiTheme="minorEastAsia" w:hAnsiTheme="minorEastAsia"/>
          <w:sz w:val="24"/>
          <w:szCs w:val="24"/>
        </w:rPr>
        <w:t>业务系统和其他物联网平台</w:t>
      </w:r>
      <w:r>
        <w:rPr>
          <w:rFonts w:hint="eastAsia" w:asciiTheme="minorEastAsia" w:hAnsiTheme="minorEastAsia"/>
          <w:sz w:val="24"/>
          <w:szCs w:val="24"/>
          <w:lang w:val="hr-HR"/>
        </w:rPr>
        <w:t>进行数据交换。</w:t>
      </w:r>
    </w:p>
    <w:p>
      <w:pPr>
        <w:ind w:firstLine="480" w:firstLineChars="200"/>
        <w:jc w:val="left"/>
        <w:rPr>
          <w:rFonts w:asciiTheme="minorEastAsia" w:hAnsiTheme="minorEastAsia"/>
          <w:sz w:val="24"/>
          <w:szCs w:val="24"/>
          <w:lang w:val="hr-HR"/>
        </w:rPr>
      </w:pPr>
    </w:p>
    <w:p>
      <w:pPr>
        <w:pStyle w:val="10"/>
        <w:numPr>
          <w:ilvl w:val="0"/>
          <w:numId w:val="1"/>
        </w:numPr>
        <w:ind w:firstLineChars="0"/>
        <w:jc w:val="left"/>
        <w:rPr>
          <w:rFonts w:cs="Times New Roman" w:asciiTheme="majorEastAsia" w:hAnsiTheme="majorEastAsia" w:eastAsiaTheme="majorEastAsia"/>
          <w:sz w:val="30"/>
          <w:szCs w:val="30"/>
        </w:rPr>
      </w:pPr>
      <w:r>
        <w:rPr>
          <w:rFonts w:hint="eastAsia" w:cs="Times New Roman" w:asciiTheme="majorEastAsia" w:hAnsiTheme="majorEastAsia" w:eastAsiaTheme="majorEastAsia"/>
          <w:sz w:val="30"/>
          <w:szCs w:val="30"/>
        </w:rPr>
        <w:t>功能介绍</w:t>
      </w:r>
    </w:p>
    <w:p>
      <w:pPr>
        <w:spacing w:line="360" w:lineRule="auto"/>
        <w:ind w:firstLine="426"/>
        <w:jc w:val="left"/>
        <w:rPr>
          <w:rFonts w:cs="Times New Roman" w:asciiTheme="majorEastAsia" w:hAnsiTheme="majorEastAsia" w:eastAsiaTheme="majorEastAsia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4.1 </w:t>
      </w:r>
      <w:r>
        <w:rPr>
          <w:rFonts w:cs="Times New Roman" w:asciiTheme="majorEastAsia" w:hAnsiTheme="majorEastAsia" w:eastAsiaTheme="majorEastAsia"/>
          <w:sz w:val="24"/>
          <w:szCs w:val="24"/>
        </w:rPr>
        <w:t>首页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Theme="minorEastAsia" w:hAnsiTheme="minorEastAsia"/>
          <w:sz w:val="24"/>
          <w:szCs w:val="24"/>
          <w:lang w:val="hr-HR"/>
        </w:rPr>
        <w:t>以信息集成，综合展现的理念对城市空气质量及</w:t>
      </w:r>
      <w:r>
        <w:rPr>
          <w:rFonts w:ascii="Times New Roman" w:hAnsi="Times New Roman" w:cs="Times New Roman"/>
          <w:sz w:val="24"/>
          <w:szCs w:val="24"/>
          <w:lang w:val="hr-HR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  <w:lang w:val="hr-HR"/>
        </w:rPr>
        <w:t>3</w:t>
      </w:r>
      <w:r>
        <w:rPr>
          <w:rFonts w:ascii="Times New Roman" w:hAnsi="Times New Roman" w:cs="Times New Roman"/>
          <w:sz w:val="24"/>
          <w:szCs w:val="24"/>
          <w:lang w:val="hr-HR"/>
        </w:rPr>
        <w:t>重点监测信息进行全方位展示，方便用户快速了解区域空气质量状况及O</w:t>
      </w:r>
      <w:r>
        <w:rPr>
          <w:rFonts w:ascii="Times New Roman" w:hAnsi="Times New Roman" w:cs="Times New Roman"/>
          <w:sz w:val="24"/>
          <w:szCs w:val="24"/>
          <w:vertAlign w:val="subscript"/>
          <w:lang w:val="hr-HR"/>
        </w:rPr>
        <w:t>3</w:t>
      </w:r>
      <w:r>
        <w:rPr>
          <w:rFonts w:ascii="Times New Roman" w:hAnsi="Times New Roman" w:cs="Times New Roman"/>
          <w:sz w:val="24"/>
          <w:szCs w:val="24"/>
          <w:lang w:val="hr-HR"/>
        </w:rPr>
        <w:t>污染变化趋势。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通过GIS地图对监测点位及周边常规空气站的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数据信息</w:t>
      </w:r>
      <w:r>
        <w:rPr>
          <w:rFonts w:ascii="Times New Roman" w:hAnsi="Times New Roman" w:cs="Times New Roman"/>
          <w:sz w:val="24"/>
          <w:szCs w:val="24"/>
          <w:lang w:val="hr-HR"/>
        </w:rPr>
        <w:t>进行标记，实时展示O</w:t>
      </w:r>
      <w:r>
        <w:rPr>
          <w:rFonts w:ascii="Times New Roman" w:hAnsi="Times New Roman" w:cs="Times New Roman"/>
          <w:sz w:val="24"/>
          <w:szCs w:val="24"/>
          <w:vertAlign w:val="subscript"/>
          <w:lang w:val="hr-HR"/>
        </w:rPr>
        <w:t>3</w:t>
      </w:r>
      <w:r>
        <w:rPr>
          <w:rFonts w:ascii="Times New Roman" w:hAnsi="Times New Roman" w:cs="Times New Roman"/>
          <w:sz w:val="24"/>
          <w:szCs w:val="24"/>
          <w:lang w:val="hr-HR"/>
        </w:rPr>
        <w:t>激光雷达的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监测数据彩图</w:t>
      </w:r>
      <w:r>
        <w:rPr>
          <w:rFonts w:ascii="Times New Roman" w:hAnsi="Times New Roman" w:cs="Times New Roman"/>
          <w:sz w:val="24"/>
          <w:szCs w:val="24"/>
          <w:lang w:val="hr-HR"/>
        </w:rPr>
        <w:t>，并在地图上叠加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动态风效果</w:t>
      </w:r>
      <w:r>
        <w:rPr>
          <w:rFonts w:ascii="Times New Roman" w:hAnsi="Times New Roman" w:cs="Times New Roman"/>
          <w:sz w:val="24"/>
          <w:szCs w:val="24"/>
          <w:lang w:val="hr-HR"/>
        </w:rPr>
        <w:t>，使用户对污染气团的扩散趋势及各站点区域的O</w:t>
      </w:r>
      <w:r>
        <w:rPr>
          <w:rFonts w:ascii="Times New Roman" w:hAnsi="Times New Roman" w:cs="Times New Roman"/>
          <w:sz w:val="24"/>
          <w:szCs w:val="24"/>
          <w:vertAlign w:val="subscript"/>
          <w:lang w:val="hr-HR"/>
        </w:rPr>
        <w:t>3</w:t>
      </w:r>
      <w:r>
        <w:rPr>
          <w:rFonts w:ascii="Times New Roman" w:hAnsi="Times New Roman" w:cs="Times New Roman"/>
          <w:sz w:val="24"/>
          <w:szCs w:val="24"/>
          <w:lang w:val="hr-HR"/>
        </w:rPr>
        <w:t>污染状况有了更直观的了解。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  <w:lang w:val="hr-HR"/>
        </w:rPr>
      </w:pPr>
    </w:p>
    <w:p>
      <w:pPr>
        <w:spacing w:line="360" w:lineRule="auto"/>
        <w:ind w:firstLine="426"/>
        <w:jc w:val="left"/>
        <w:rPr>
          <w:rFonts w:ascii="Times New Roman" w:hAnsi="Times New Roman" w:cs="Times New Roman" w:eastAsiaTheme="majorEastAsia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>4.2 实时数据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可对O</w:t>
      </w:r>
      <w:r>
        <w:rPr>
          <w:rFonts w:ascii="Times New Roman" w:hAnsi="Times New Roman" w:cs="Times New Roman"/>
          <w:sz w:val="24"/>
          <w:szCs w:val="24"/>
          <w:vertAlign w:val="subscript"/>
          <w:lang w:val="hr-HR"/>
        </w:rPr>
        <w:t>3</w:t>
      </w:r>
      <w:r>
        <w:rPr>
          <w:rFonts w:ascii="Times New Roman" w:hAnsi="Times New Roman" w:cs="Times New Roman"/>
          <w:sz w:val="24"/>
          <w:szCs w:val="24"/>
          <w:lang w:val="hr-HR"/>
        </w:rPr>
        <w:t>立体监测站的各项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监测数据及各仪器的运行状态数据</w:t>
      </w:r>
      <w:r>
        <w:rPr>
          <w:rFonts w:ascii="Times New Roman" w:hAnsi="Times New Roman" w:cs="Times New Roman"/>
          <w:sz w:val="24"/>
          <w:szCs w:val="24"/>
          <w:lang w:val="hr-HR"/>
        </w:rPr>
        <w:t>进行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实时</w:t>
      </w:r>
      <w:r>
        <w:rPr>
          <w:rFonts w:ascii="Times New Roman" w:hAnsi="Times New Roman" w:cs="Times New Roman"/>
          <w:sz w:val="24"/>
          <w:szCs w:val="24"/>
          <w:lang w:val="hr-HR"/>
        </w:rPr>
        <w:t>的展示，并采用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点线图的方式</w:t>
      </w:r>
      <w:r>
        <w:rPr>
          <w:rFonts w:ascii="Times New Roman" w:hAnsi="Times New Roman" w:cs="Times New Roman"/>
          <w:sz w:val="24"/>
          <w:szCs w:val="24"/>
          <w:lang w:val="hr-HR"/>
        </w:rPr>
        <w:t>，绘制各监测因子的近期数据变化趋势。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通过仪器的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实时运行状态</w:t>
      </w:r>
      <w:r>
        <w:rPr>
          <w:rFonts w:ascii="Times New Roman" w:hAnsi="Times New Roman" w:cs="Times New Roman"/>
          <w:sz w:val="24"/>
          <w:szCs w:val="24"/>
          <w:lang w:val="hr-HR"/>
        </w:rPr>
        <w:t>，可以快速了解设备的运行状况，在状态异常时，可</w:t>
      </w:r>
      <w:r>
        <w:rPr>
          <w:rFonts w:ascii="Times New Roman" w:hAnsi="Times New Roman" w:cs="Times New Roman"/>
          <w:color w:val="FF0000"/>
          <w:sz w:val="24"/>
          <w:szCs w:val="24"/>
          <w:lang w:val="hr-HR"/>
        </w:rPr>
        <w:t>及时预警</w:t>
      </w:r>
      <w:r>
        <w:rPr>
          <w:rFonts w:ascii="Times New Roman" w:hAnsi="Times New Roman" w:cs="Times New Roman"/>
          <w:sz w:val="24"/>
          <w:szCs w:val="24"/>
          <w:lang w:val="hr-HR"/>
        </w:rPr>
        <w:t>进行维护，保证监测数据的稳定准确。</w:t>
      </w:r>
    </w:p>
    <w:p>
      <w:pPr>
        <w:spacing w:line="360" w:lineRule="auto"/>
        <w:ind w:left="424" w:leftChars="202" w:firstLine="424" w:firstLineChars="177"/>
        <w:jc w:val="left"/>
        <w:rPr>
          <w:rFonts w:asciiTheme="minorEastAsia" w:hAnsiTheme="minorEastAsia"/>
          <w:sz w:val="24"/>
          <w:szCs w:val="24"/>
          <w:lang w:val="hr-HR"/>
        </w:rPr>
      </w:pPr>
    </w:p>
    <w:p>
      <w:pPr>
        <w:spacing w:line="360" w:lineRule="auto"/>
        <w:ind w:firstLine="426"/>
        <w:jc w:val="left"/>
        <w:rPr>
          <w:rFonts w:cs="Times New Roman" w:asciiTheme="majorEastAsia" w:hAnsiTheme="majorEastAsia" w:eastAsiaTheme="majorEastAsia"/>
          <w:sz w:val="24"/>
          <w:szCs w:val="24"/>
        </w:rPr>
      </w:pPr>
      <w:r>
        <w:rPr>
          <w:rFonts w:hint="eastAsia" w:cs="Times New Roman" w:asciiTheme="majorEastAsia" w:hAnsiTheme="majorEastAsia" w:eastAsiaTheme="majorEastAsia"/>
          <w:sz w:val="24"/>
          <w:szCs w:val="24"/>
        </w:rPr>
        <w:t>4.</w:t>
      </w:r>
      <w:r>
        <w:rPr>
          <w:rFonts w:cs="Times New Roman" w:asciiTheme="majorEastAsia" w:hAnsiTheme="majorEastAsia" w:eastAsiaTheme="majorEastAsia"/>
          <w:sz w:val="24"/>
          <w:szCs w:val="24"/>
        </w:rPr>
        <w:t>3数据查询</w:t>
      </w:r>
    </w:p>
    <w:p>
      <w:pPr>
        <w:pStyle w:val="14"/>
        <w:ind w:left="424" w:leftChars="202" w:firstLine="424" w:firstLineChars="177"/>
      </w:pPr>
      <w:r>
        <w:rPr>
          <w:rFonts w:hint="eastAsia" w:asciiTheme="minorEastAsia" w:hAnsiTheme="minorEastAsia"/>
          <w:szCs w:val="24"/>
        </w:rPr>
        <w:t>对系统监测数据进行</w:t>
      </w:r>
      <w:r>
        <w:rPr>
          <w:rFonts w:hint="eastAsia" w:asciiTheme="minorEastAsia" w:hAnsiTheme="minorEastAsia"/>
          <w:color w:val="FF0000"/>
          <w:szCs w:val="24"/>
        </w:rPr>
        <w:t>自定义类别</w:t>
      </w:r>
      <w:r>
        <w:rPr>
          <w:rFonts w:hint="eastAsia" w:asciiTheme="minorEastAsia" w:hAnsiTheme="minorEastAsia"/>
          <w:szCs w:val="24"/>
        </w:rPr>
        <w:t>及因子进行查询，查询结果可通过列表及各种图示进行展示并</w:t>
      </w:r>
      <w:r>
        <w:rPr>
          <w:rFonts w:hint="eastAsia" w:asciiTheme="minorEastAsia" w:hAnsiTheme="minorEastAsia"/>
          <w:color w:val="FF0000"/>
          <w:szCs w:val="24"/>
        </w:rPr>
        <w:t>可在线打印和导出</w:t>
      </w:r>
      <w:r>
        <w:rPr>
          <w:rFonts w:hint="eastAsia" w:asciiTheme="minorEastAsia" w:hAnsiTheme="minorEastAsia"/>
          <w:szCs w:val="24"/>
        </w:rPr>
        <w:t>，并可以实现数据的同比、环比功能，</w:t>
      </w:r>
      <w:r>
        <w:rPr>
          <w:rFonts w:hint="eastAsia"/>
        </w:rPr>
        <w:t>统计出</w:t>
      </w:r>
      <w:r>
        <w:rPr>
          <w:rFonts w:hint="eastAsia"/>
          <w:color w:val="FF0000"/>
        </w:rPr>
        <w:t>同点位不同时期，及同时期不同点位O</w:t>
      </w:r>
      <w:r>
        <w:rPr>
          <w:rFonts w:hint="eastAsia"/>
          <w:color w:val="FF0000"/>
          <w:vertAlign w:val="subscript"/>
        </w:rPr>
        <w:t>3</w:t>
      </w:r>
      <w:r>
        <w:rPr>
          <w:rFonts w:hint="eastAsia"/>
          <w:color w:val="FF0000"/>
        </w:rPr>
        <w:t>数据的变化率</w:t>
      </w:r>
      <w:r>
        <w:rPr>
          <w:rFonts w:hint="eastAsia"/>
        </w:rPr>
        <w:t>，明确数据的变化趋势。</w:t>
      </w:r>
    </w:p>
    <w:p>
      <w:pPr>
        <w:ind w:left="424" w:leftChars="202" w:firstLine="371" w:firstLineChars="177"/>
        <w:jc w:val="left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104130" cy="202819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4" w:leftChars="202" w:firstLine="424" w:firstLineChars="177"/>
        <w:jc w:val="center"/>
        <w:rPr>
          <w:rFonts w:asciiTheme="minorEastAsia" w:hAnsiTheme="minor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hint="eastAsia" w:asciiTheme="minorEastAsia" w:hAnsiTheme="minorEastAsia"/>
          <w:sz w:val="24"/>
          <w:szCs w:val="24"/>
        </w:rPr>
        <w:t>数据对比曲线图</w:t>
      </w:r>
    </w:p>
    <w:p>
      <w:pPr>
        <w:spacing w:line="360" w:lineRule="auto"/>
        <w:ind w:firstLine="426"/>
        <w:jc w:val="left"/>
        <w:rPr>
          <w:rFonts w:cs="Times New Roman" w:asciiTheme="majorEastAsia" w:hAnsiTheme="majorEastAsia" w:eastAsiaTheme="majorEastAsia"/>
          <w:sz w:val="24"/>
          <w:szCs w:val="24"/>
        </w:rPr>
      </w:pPr>
      <w:r>
        <w:rPr>
          <w:rFonts w:hint="eastAsia" w:cs="Times New Roman" w:asciiTheme="majorEastAsia" w:hAnsiTheme="majorEastAsia" w:eastAsiaTheme="majorEastAsia"/>
          <w:sz w:val="24"/>
          <w:szCs w:val="24"/>
        </w:rPr>
        <w:t>4.</w:t>
      </w:r>
      <w:r>
        <w:rPr>
          <w:rFonts w:cs="Times New Roman" w:asciiTheme="majorEastAsia" w:hAnsiTheme="majorEastAsia" w:eastAsiaTheme="majorEastAsia"/>
          <w:sz w:val="24"/>
          <w:szCs w:val="24"/>
        </w:rPr>
        <w:t>4统计分析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因子相关性分析：可查询并导出</w:t>
      </w:r>
      <w:r>
        <w:rPr>
          <w:rFonts w:hint="eastAsia" w:ascii="Times New Roman" w:hAnsi="Times New Roman" w:cs="Times New Roman"/>
          <w:sz w:val="24"/>
          <w:szCs w:val="24"/>
        </w:rPr>
        <w:t>不同时间段近地面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浓度和高空</w:t>
      </w:r>
      <w:r>
        <w:rPr>
          <w:rFonts w:hint="eastAsia" w:ascii="Times New Roman" w:hAnsi="Times New Roman" w:cs="Times New Roman"/>
          <w:sz w:val="24"/>
          <w:szCs w:val="24"/>
        </w:rPr>
        <w:t>O3浓度</w:t>
      </w:r>
      <w:r>
        <w:rPr>
          <w:rFonts w:ascii="Times New Roman" w:hAnsi="Times New Roman" w:cs="Times New Roman"/>
          <w:color w:val="FF0000"/>
          <w:sz w:val="24"/>
          <w:szCs w:val="24"/>
        </w:rPr>
        <w:t>变化曲线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color w:val="FF0000"/>
          <w:sz w:val="24"/>
          <w:szCs w:val="24"/>
        </w:rPr>
        <w:t>气象因素分析图</w:t>
      </w:r>
      <w:r>
        <w:rPr>
          <w:rFonts w:ascii="Times New Roman" w:hAnsi="Times New Roman" w:cs="Times New Roman"/>
          <w:sz w:val="24"/>
          <w:szCs w:val="24"/>
        </w:rPr>
        <w:t>，并</w:t>
      </w:r>
      <w:r>
        <w:rPr>
          <w:rFonts w:ascii="Times New Roman" w:hAnsi="Times New Roman" w:cs="Times New Roman"/>
          <w:color w:val="FF0000"/>
          <w:sz w:val="24"/>
          <w:szCs w:val="24"/>
        </w:rPr>
        <w:t>绘制风速风向O</w:t>
      </w:r>
      <w:r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color w:val="FF0000"/>
          <w:sz w:val="24"/>
          <w:szCs w:val="24"/>
        </w:rPr>
        <w:t>玫瑰图</w:t>
      </w:r>
      <w:r>
        <w:rPr>
          <w:rFonts w:ascii="Times New Roman" w:hAnsi="Times New Roman" w:cs="Times New Roman"/>
          <w:sz w:val="24"/>
          <w:szCs w:val="24"/>
        </w:rPr>
        <w:t>；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报表统计：可按时间类型统计近地面和高空的平均O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浓度、O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3—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hint="eastAsia"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滑动平均浓度，及最大值、最小值、超标率等各种报表，并可切换图形显示；</w:t>
      </w:r>
    </w:p>
    <w:p>
      <w:pPr>
        <w:spacing w:line="360" w:lineRule="auto"/>
        <w:ind w:left="424" w:leftChars="202" w:firstLine="424" w:firstLineChars="17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污染时序分布图：可统计近地面和高空O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_8H的</w:t>
      </w:r>
      <w:r>
        <w:rPr>
          <w:rFonts w:hint="eastAsia"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AQI或浓度月/周</w:t>
      </w:r>
      <w:r>
        <w:rPr>
          <w:rFonts w:ascii="Times New Roman" w:hAnsi="Times New Roman" w:cs="Times New Roman"/>
          <w:color w:val="FF0000"/>
          <w:sz w:val="24"/>
          <w:szCs w:val="24"/>
        </w:rPr>
        <w:t>时序分布图</w:t>
      </w:r>
      <w:r>
        <w:rPr>
          <w:rFonts w:ascii="Times New Roman" w:hAnsi="Times New Roman" w:cs="Times New Roman"/>
          <w:sz w:val="24"/>
          <w:szCs w:val="24"/>
        </w:rPr>
        <w:t>；</w:t>
      </w:r>
    </w:p>
    <w:p>
      <w:pPr>
        <w:spacing w:line="360" w:lineRule="auto"/>
        <w:ind w:left="424" w:leftChars="202" w:firstLine="424" w:firstLineChars="177"/>
        <w:jc w:val="left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数据同期对比分析（环比）：通过选择两个不同月份或年份，对比其均值的变化，通过列表罗列</w:t>
      </w:r>
      <w:r>
        <w:rPr>
          <w:rFonts w:hint="eastAsia"/>
          <w:color w:val="FF0000"/>
          <w:sz w:val="24"/>
          <w:szCs w:val="24"/>
        </w:rPr>
        <w:t>出两个月份的均值数据与环比情况</w:t>
      </w:r>
      <w:r>
        <w:rPr>
          <w:rFonts w:hint="eastAsia"/>
          <w:sz w:val="24"/>
          <w:szCs w:val="24"/>
        </w:rPr>
        <w:t>；</w:t>
      </w:r>
    </w:p>
    <w:p>
      <w:pPr>
        <w:spacing w:line="360" w:lineRule="auto"/>
        <w:ind w:left="424" w:leftChars="202" w:firstLine="476" w:firstLineChars="227"/>
        <w:jc w:val="left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228465" cy="1868805"/>
            <wp:effectExtent l="0" t="0" r="635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4" w:leftChars="202" w:firstLine="424" w:firstLineChars="17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热力图分布表</w:t>
      </w:r>
    </w:p>
    <w:p>
      <w:pPr>
        <w:spacing w:line="360" w:lineRule="auto"/>
        <w:jc w:val="center"/>
      </w:pPr>
      <w:r>
        <w:rPr>
          <w:rFonts w:hint="eastAsia"/>
        </w:rPr>
        <w:drawing>
          <wp:inline distT="0" distB="0" distL="114300" distR="114300">
            <wp:extent cx="4342765" cy="1946910"/>
            <wp:effectExtent l="0" t="0" r="635" b="15240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7"/>
                    <a:srcRect r="6006" b="2051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臭氧浓度日变化图</w:t>
      </w:r>
    </w:p>
    <w:p>
      <w:pPr>
        <w:spacing w:line="360" w:lineRule="auto"/>
        <w:jc w:val="center"/>
      </w:pPr>
      <w:r>
        <w:rPr>
          <w:rFonts w:hint="eastAsia"/>
        </w:rPr>
        <w:drawing>
          <wp:inline distT="0" distB="0" distL="114300" distR="114300">
            <wp:extent cx="3524885" cy="3048635"/>
            <wp:effectExtent l="0" t="0" r="18415" b="18415"/>
            <wp:docPr id="7" name="图片 7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臭氧风速风向玫瑰图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</w:p>
    <w:p>
      <w:pPr>
        <w:spacing w:line="360" w:lineRule="auto"/>
        <w:ind w:firstLine="426"/>
        <w:jc w:val="left"/>
        <w:rPr>
          <w:rFonts w:cs="Times New Roman" w:asciiTheme="majorEastAsia" w:hAnsiTheme="majorEastAsia" w:eastAsiaTheme="majorEastAsia"/>
          <w:sz w:val="24"/>
          <w:szCs w:val="24"/>
        </w:rPr>
      </w:pPr>
      <w:r>
        <w:rPr>
          <w:rFonts w:cs="Times New Roman" w:asciiTheme="majorEastAsia" w:hAnsiTheme="majorEastAsia" w:eastAsiaTheme="majorEastAsia"/>
          <w:sz w:val="24"/>
          <w:szCs w:val="24"/>
        </w:rPr>
        <w:t>4.5 成因分析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Theme="majorEastAsia" w:hAnsiTheme="majorEastAsia" w:eastAsiaTheme="majorEastAsia"/>
          <w:sz w:val="24"/>
          <w:szCs w:val="24"/>
        </w:rPr>
        <w:t>近地扩散分析：</w:t>
      </w:r>
      <w:r>
        <w:rPr>
          <w:rFonts w:ascii="Times New Roman" w:hAnsi="Times New Roman" w:cs="Times New Roman"/>
          <w:sz w:val="24"/>
          <w:szCs w:val="24"/>
        </w:rPr>
        <w:t>实现在GIS地图上显示查询时间段内的地基</w:t>
      </w:r>
      <w:r>
        <w:rPr>
          <w:rFonts w:hint="eastAsia" w:ascii="Times New Roman" w:hAnsi="Times New Roman" w:cs="Times New Roman"/>
          <w:sz w:val="24"/>
          <w:szCs w:val="24"/>
        </w:rPr>
        <w:t>O</w:t>
      </w:r>
      <w:r>
        <w:rPr>
          <w:rFonts w:hint="eastAsia"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监测</w:t>
      </w:r>
      <w:r>
        <w:rPr>
          <w:rFonts w:ascii="Times New Roman" w:hAnsi="Times New Roman" w:cs="Times New Roman"/>
          <w:sz w:val="24"/>
          <w:szCs w:val="24"/>
        </w:rPr>
        <w:t>数据、常规空气监测站数据的</w:t>
      </w:r>
      <w:r>
        <w:rPr>
          <w:rFonts w:ascii="Times New Roman" w:hAnsi="Times New Roman" w:cs="Times New Roman"/>
          <w:color w:val="FF0000"/>
          <w:sz w:val="24"/>
          <w:szCs w:val="24"/>
        </w:rPr>
        <w:t>O3浓度时序变化热力图</w:t>
      </w:r>
      <w:r>
        <w:rPr>
          <w:rFonts w:ascii="Times New Roman" w:hAnsi="Times New Roman" w:cs="Times New Roman"/>
          <w:sz w:val="24"/>
          <w:szCs w:val="24"/>
        </w:rPr>
        <w:t>，并绘制</w:t>
      </w:r>
      <w:r>
        <w:rPr>
          <w:rFonts w:ascii="Times New Roman" w:hAnsi="Times New Roman" w:cs="Times New Roman"/>
          <w:color w:val="FF0000"/>
          <w:sz w:val="24"/>
          <w:szCs w:val="24"/>
        </w:rPr>
        <w:t>O</w:t>
      </w:r>
      <w:r>
        <w:rPr>
          <w:rFonts w:ascii="Times New Roman" w:hAnsi="Times New Roman" w:cs="Times New Roman"/>
          <w:color w:val="FF0000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color w:val="FF0000"/>
          <w:sz w:val="24"/>
          <w:szCs w:val="24"/>
        </w:rPr>
        <w:t>污染扩散玫瑰图</w:t>
      </w:r>
      <w:r>
        <w:rPr>
          <w:rFonts w:ascii="Times New Roman" w:hAnsi="Times New Roman" w:cs="Times New Roman"/>
          <w:sz w:val="24"/>
          <w:szCs w:val="24"/>
        </w:rPr>
        <w:t>，用于分析污近地面臭氧的扩散情况；</w:t>
      </w:r>
    </w:p>
    <w:p>
      <w:pPr>
        <w:pStyle w:val="10"/>
        <w:spacing w:line="360" w:lineRule="auto"/>
        <w:ind w:left="846" w:firstLine="0" w:firstLineChars="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771390" cy="39998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ind w:left="846" w:firstLine="0" w:firstLineChars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污染扩散图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cs="Times New Roman" w:asciiTheme="majorEastAsia" w:hAnsiTheme="majorEastAsia" w:eastAsiaTheme="majorEastAsia"/>
          <w:sz w:val="24"/>
          <w:szCs w:val="24"/>
        </w:rPr>
        <w:t>雷达分析：</w:t>
      </w:r>
      <w:r>
        <w:rPr>
          <w:rFonts w:ascii="Times New Roman" w:hAnsi="Times New Roman" w:cs="Times New Roman"/>
          <w:sz w:val="24"/>
          <w:szCs w:val="24"/>
        </w:rPr>
        <w:t>显示查询时间段内的雷达监测O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浓度、颗粒物消光图谱，O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浓度空间分布廓线图</w:t>
      </w:r>
      <w:r>
        <w:rPr>
          <w:rFonts w:hint="eastAsia" w:ascii="Times New Roman" w:hAnsi="Times New Roman" w:cs="Times New Roman"/>
          <w:sz w:val="24"/>
          <w:szCs w:val="24"/>
        </w:rPr>
        <w:t>，用于O</w:t>
      </w:r>
      <w:r>
        <w:rPr>
          <w:rFonts w:hint="eastAsia"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时空演变</w:t>
      </w:r>
      <w:r>
        <w:rPr>
          <w:rFonts w:ascii="Times New Roman" w:hAnsi="Times New Roman" w:cs="Times New Roman"/>
          <w:sz w:val="24"/>
          <w:szCs w:val="24"/>
        </w:rPr>
        <w:t>分析及</w:t>
      </w:r>
      <w:r>
        <w:rPr>
          <w:rFonts w:hint="eastAsia" w:ascii="Times New Roman" w:hAnsi="Times New Roman" w:cs="Times New Roman"/>
          <w:sz w:val="24"/>
          <w:szCs w:val="24"/>
        </w:rPr>
        <w:t>外来传输及扩散</w:t>
      </w:r>
      <w:r>
        <w:rPr>
          <w:rFonts w:ascii="Times New Roman" w:hAnsi="Times New Roman" w:cs="Times New Roman"/>
          <w:sz w:val="24"/>
          <w:szCs w:val="24"/>
        </w:rPr>
        <w:t>分析，现实O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图谱和地面站观测的O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数据对比分析；</w:t>
      </w:r>
    </w:p>
    <w:p>
      <w:pPr>
        <w:pStyle w:val="10"/>
        <w:spacing w:line="360" w:lineRule="auto"/>
        <w:ind w:left="846" w:firstLine="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142230" cy="1828165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ind w:left="846" w:firstLine="0" w:firstLineChars="0"/>
        <w:jc w:val="center"/>
      </w:pPr>
      <w:bookmarkStart w:id="30" w:name="_GoBack"/>
      <w:bookmarkEnd w:id="30"/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1396365</wp:posOffset>
                </wp:positionV>
                <wp:extent cx="417830" cy="272415"/>
                <wp:effectExtent l="5080" t="8255" r="15240" b="508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67175" y="5772150"/>
                          <a:ext cx="417830" cy="272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6.4pt;margin-top:109.95pt;height:21.45pt;width:32.9pt;z-index:251660288;mso-width-relative:page;mso-height-relative:page;" filled="f" stroked="t" coordsize="21600,21600" o:gfxdata="UEsDBAoAAAAAAIdO4kAAAAAAAAAAAAAAAAAEAAAAZHJzL1BLAwQUAAAACACHTuJAQr90i9kAAAAL&#10;AQAADwAAAGRycy9kb3ducmV2LnhtbE2PwU7DMBBE70j8g7VI3KidAGmaxqkqJE6cmoLE0Ym3SSC2&#10;o9ip279nOcFxdkYzb8vdxYzsjLMfnJWQrAQwtK3Tg+0kvB9fH3JgPiir1egsSriih111e1OqQrto&#10;D3iuQ8eoxPpCSehDmArOfdujUX7lJrTkndxsVCA5d1zPKlK5GXkqRMaNGiwt9GrClx7b73oxEmI4&#10;fnyJZV83b3nnP2PYH66nKOX9XSK2wAJewl8YfvEJHSpiatxitWejhKd1SuhBQppsNsAo8fyYZ8Aa&#10;umRk8ark/3+ofgBQSwMEFAAAAAgAh07iQH42SOUEAgAAtQMAAA4AAABkcnMvZTJvRG9jLnhtbK1T&#10;S44TMRDdI3EHy3vS6TCZhFY6s0gYNghGAg5Qcbu7Lfmnskknl+ACSKyAFcNq9pwGhmNQdkKGzw6R&#10;hVO2q57fe1W9uNgZzbYSg3K25uVozJm0wjXKdjV/9fLywZyzEME2oJ2VNd/LwC+W9+8tBl/Jieud&#10;biQyArGhGnzN+xh9VRRB9NJAGDkvLV22Dg1E2mJXNAgDoRtdTMbj82Jw2Hh0QoZAp+vDJV9m/LaV&#10;Ij5v2yAj0zUnbjGvmNdNWovlAqoOwfdKHGnAP7AwoCw9eoJaQwT2GtVfUEYJdMG1cSScKVzbKiGz&#10;BlJTjv9Q86IHL7MWMif4k03h/8GKZ9srZKqh3pE9Fgz16Pbtzbc3H24/X399f/P9y7sUf/rI6J7M&#10;GnyoqGZlr/C4C/4Kk/Jdiyb9kya2q/nZ+HxWzqac7Ws+nc0m5fRottxFJlJCOZs/pDcFJUxmk7Ny&#10;mvCLOyCPIT6RzrAU1DxEBNX1ceWspbY6LLPhsH0a4qHwZ0FiYd2l0prOodKWDSTv0ZgYMAE0ZK2G&#10;SKHxJDvYjjPQHU2viJghg9OqSeWpOmC3WWlkW0gTlH9Hnr+lpbfXEPpDXr5KaVAZFWnAtTI1n5+q&#10;oYqg9GPbsLj35DgguoEnmkY2nGlJbFJ00KUt+ZKMP1idoo1r9rkD+ZxmIzt3nOM0fL/uc/Xd17b8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K/dIvZAAAACwEAAA8AAAAAAAAAAQAgAAAAIgAAAGRy&#10;cy9kb3ducmV2LnhtbFBLAQIUABQAAAAIAIdO4kB+NkjlBAIAALUDAAAOAAAAAAAAAAEAIAAAACgB&#10;AABkcnMvZTJvRG9jLnhtbFBLBQYAAAAABgAGAFkBAACe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1377315</wp:posOffset>
                </wp:positionV>
                <wp:extent cx="242570" cy="311150"/>
                <wp:effectExtent l="7620" t="0" r="16510" b="127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66945" y="5850255"/>
                          <a:ext cx="242570" cy="311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83.8pt;margin-top:108.45pt;height:24.5pt;width:19.1pt;z-index:251661312;mso-width-relative:page;mso-height-relative:page;" filled="f" stroked="t" coordsize="21600,21600" o:gfxdata="UEsDBAoAAAAAAIdO4kAAAAAAAAAAAAAAAAAEAAAAZHJzL1BLAwQUAAAACACHTuJAl8LHqNoAAAAL&#10;AQAADwAAAGRycy9kb3ducmV2LnhtbE2PTW+DMAyG75P2HyJX2m1NqEQ6GKFS9yH1ssO6XnZLwQVU&#10;4iCStvDv5522o+1Hr5+32EyuF1ccQ+fJQLJUIJAqX3fUGDh8vT8+gQjRUm17T2hgxgCb8v6usHnt&#10;b/SJ131sBIdQyK2BNsYhlzJULTobln5A4tvJj85GHsdG1qO9cbjr5UopLZ3tiD+0dsCXFqvz/uIM&#10;yGn3sT59b7Ptq9rhLN/mKj3MxjwsEvUMIuIU/2D41Wd1KNnp6C9UB9EbSPVaM2pglegMBBNapVzm&#10;yBudZiDLQv7vUP4AUEsDBBQAAAAIAIdO4kDoGBdVDQIAAL8DAAAOAAAAZHJzL2Uyb0RvYy54bWyt&#10;U8uu0zAQ3SPxD5b3NElpenujpnfRctkgqMRjP3WcxJJfsk3T/gQ/gMQKWAGru+dr4PIZjJ1SXjtE&#10;FtbYM3NmzpzJ8uqgJNlz54XRNS0mOSVcM9MI3dX0+bPrewtKfADdgDSa1/TIPb1a3b2zHGzFp6Y3&#10;suGOIIj21WBr2odgqyzzrOcK/MRYrtHZGqcg4NV1WeNgQHQls2mez7PBuMY6w7j3+LoZnXSV8NuW&#10;s/CkbT0PRNYUewvpdOncxTNbLaHqHNhesFMb8A9dKBAai56hNhCAvHTiLyglmDPetGHCjMpM2wrG&#10;EwdkU+R/sHnag+WJCw7H2/OY/P+DZY/3W0dEg9oVlGhQqNHt65uvr97dfvr45e3Nt89vov3hPUE/&#10;DmuwvsKctd66083brYvMD61TpJXCvkCsNAtkRw41nV3M55ezkpJjTctFmU/Lchw7PwTCMGA6m5YX&#10;KA7DgPtFUZRJlmyEjNDW+fCQG0WiUVMfHIiuD2ujNQps3FgO9o98wKYw8UdCTNbmWkiZdJaaDNjc&#10;ZY4VCANct1ZCQFNZHIDXHSUgO9xjFlxi4I0UTUyPQN51u7V0ZA9xl9IXeWC538Ji7Q34foxLrpGu&#10;EgFXXQpV08U5G6oAQj7QDQlHi7MH58xAY5uKN5RIjt1EaywkNdaLEoxDj9bONMekRXrHLUkdnTY6&#10;ruGv95T9879bf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Xwseo2gAAAAsBAAAPAAAAAAAAAAEA&#10;IAAAACIAAABkcnMvZG93bnJldi54bWxQSwECFAAUAAAACACHTuJA6BgXVQ0CAAC/AwAADgAAAAAA&#10;AAABACAAAAApAQAAZHJzL2Uyb0RvYy54bWxQSwUGAAAAAAYABgBZAQAAqA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39995" cy="1875790"/>
            <wp:effectExtent l="0" t="0" r="8255" b="10160"/>
            <wp:docPr id="21508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图片 10"/>
                    <pic:cNvPicPr/>
                  </pic:nvPicPr>
                  <pic:blipFill>
                    <a:blip r:embed="rId11"/>
                    <a:srcRect t="6531" r="70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3642995</wp:posOffset>
                </wp:positionH>
                <wp:positionV relativeFrom="paragraph">
                  <wp:posOffset>548005</wp:posOffset>
                </wp:positionV>
                <wp:extent cx="320675" cy="398145"/>
                <wp:effectExtent l="7620" t="0" r="14605" b="2095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038725" y="6500495"/>
                          <a:ext cx="320675" cy="3981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86.85pt;margin-top:43.15pt;height:31.35pt;width:25.25pt;z-index:251663360;mso-width-relative:page;mso-height-relative:page;" filled="f" stroked="t" coordsize="21600,21600" o:gfxdata="UEsDBAoAAAAAAIdO4kAAAAAAAAAAAAAAAAAEAAAAZHJzL1BLAwQUAAAACACHTuJAI7+089oAAAAK&#10;AQAADwAAAGRycy9kb3ducmV2LnhtbE2Py27CMBBF95X6D9YgdVdsAiSQxkGiD4kNi1I23ZlkSCLi&#10;cRQbSP6+01W7HN2je89km8G24oa9bxxpmE0VCKTClQ1VGo5fH88rED4YKk3rCDWM6GGTPz5kJi3d&#10;nT7xdgiV4BLyqdFQh9ClUvqiRmv81HVInJ1db03gs69k2Zs7l9tWRkrF0pqGeKE2Hb7WWFwOV6tB&#10;Drt9cv7errdvaoejfB+L5XHU+mkyUy8gAg7hD4ZffVaHnJ1O7kqlF62GZTJPGNWwiucgGIijRQTi&#10;xORirUDmmfz/Qv4DUEsDBBQAAAAIAIdO4kAJEacMDAIAAL8DAAAOAAAAZHJzL2Uyb0RvYy54bWyt&#10;U82O0zAQviPxDpbvNOnvtlHTPbQsFwSVYLlPHSex5D/ZpmlfghdA4gScFk5752nY5TEYO6X83RA5&#10;WGPPzDfzzXxZXh6UJHvuvDC6pMNBTgnXzFRCNyW9fnn1aE6JD6ArkEbzkh65p5erhw+WnS34yLRG&#10;VtwRBNG+6GxJ2xBskWWetVyBHxjLNTpr4xQEvLomqxx0iK5kNsrzWdYZV1lnGPceXze9k64Sfl1z&#10;Fp7XteeByJJibyGdLp27eGarJRSNA9sKdmoD/qELBUJj0TPUBgKQ1078BaUEc8abOgyYUZmpa8F4&#10;4oBshvkfbF60YHnigsPx9jwm//9g2bP91hFR4e4mlGhQuKP7t7d3bz7cf/709f3tty/von3zkaAf&#10;h9VZX2DOWm/d6ebt1kXmh9opUkthXyFWmgWyI4eSTvPx/GI0peRY0tk0zyeLaT92fgiEYcB4lM8u&#10;0M8wYLyYDyfJn/WQEdo6H55wo0g0SuqDA9G0YW20xgUb15eD/VMfsClM/JEQk7W5ElKmPUtNOmxu&#10;kU9RCgxQbrWEgKayOACvG0pANqhjFlxi4I0UVUyPQN41u7V0ZA9RS+mLPLDcb2Gx9gZ828clV09X&#10;iYBSl0KVdH7OhiKAkI91RcLR4uzBOdPR2KbiFSWSYzfR6gtJjfXiCvqhR2tnqmPaRXpHlaSOToqO&#10;Mvz1nrJ//ner7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O/tPPaAAAACgEAAA8AAAAAAAAAAQAg&#10;AAAAIgAAAGRycy9kb3ducmV2LnhtbFBLAQIUABQAAAAIAIdO4kAJEacMDAIAAL8DAAAOAAAAAAAA&#10;AAEAIAAAACkBAABkcnMvZTJvRG9jLnhtbFBLBQYAAAAABgAGAFkBAACn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732155</wp:posOffset>
                </wp:positionV>
                <wp:extent cx="349885" cy="350520"/>
                <wp:effectExtent l="6985" t="6985" r="5080" b="444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74845" y="6743065"/>
                          <a:ext cx="349885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3.95pt;margin-top:57.65pt;height:27.6pt;width:27.55pt;z-index:251662336;mso-width-relative:page;mso-height-relative:page;" filled="f" stroked="t" coordsize="21600,21600" o:gfxdata="UEsDBAoAAAAAAIdO4kAAAAAAAAAAAAAAAAAEAAAAZHJzL1BLAwQUAAAACACHTuJAVRHtRdkAAAAL&#10;AQAADwAAAGRycy9kb3ducmV2LnhtbE2PwU7DMBBE70j8g7VI3Kgd2tA0jVNVSJw4NQWJoxO7SSBe&#10;R7FTt3/PcqLHnXmanSl2Fzuws5l871BCshDADDZO99hK+Di+PWXAfFCo1eDQSLgaD7vy/q5QuXYR&#10;D+ZchZZRCPpcSehCGHPOfdMZq/zCjQbJO7nJqkDn1HI9qUjhduDPQrxwq3qkD50azWtnmp9qthJi&#10;OH5+i3lf1e9Z679i2B+upyjl40MitsCCuYR/GP7qU3UoqVPtZtSeDRJW2XpDKBlJugRGRLpa0rqa&#10;lLVIgZcFv91Q/gJQSwMEFAAAAAgAh07iQGjet70HAgAAtQMAAA4AAABkcnMvZTJvRG9jLnhtbK1T&#10;zY7TMBC+I/EOlu80aZt2u1HTPbQsFwSVgAdwHSex5D+NTdO+BC+AxAk4sZz2ztPA8hiMndLl54bI&#10;wRlnZr6Zb+bL8uqgFdkL8NKaio5HOSXCcFtL01b01cvrRwtKfGCmZsoaUdGj8PRq9fDBsnelmNjO&#10;qloAQRDjy95VtAvBlVnmeSc08yPrhEFnY0GzgFdosxpYj+haZZM8n2e9hdqB5cJ7/LoZnHSV8JtG&#10;8PC8abwIRFUUewvphHTu4pmtlqxsgblO8lMb7B+60EwaLHqG2rDAyGuQf0FpycF624QRtzqzTSO5&#10;SByQzTj/g82LjjmRuOBwvDuPyf8/WP5svwUia9zdlBLDNO7o7u3ttzcf7j7ffH1/+/3Lu2h/+kjQ&#10;j8PqnS8xZ222cLp5t4XI/NCAjm/kRA4VLYqLYlHMKDlWdH5RTPP5bBi2OATCMWBaXC4W6OcYMJ3l&#10;s0laRnYP5MCHJ8JqEo2K+gBMtl1YW2NwrRbGaeBs/9QHbAUTfybELoy9lkql7SpDeqR3mc9QAJyh&#10;yBrFApraIW1vWkqYalG9PECC9FbJOqZHIA/tbq2A7FlUUHoiDyz3W1isvWG+G+KSa6CrZUCBK6kr&#10;ujhnszIwqR6bmoSjw4kzANvT2KYWNSVKYDfRGgopg/Xi4IdRR2tn62PaQPqO2kgdnXQcxffrPWXf&#10;/22r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UR7UXZAAAACwEAAA8AAAAAAAAAAQAgAAAAIgAA&#10;AGRycy9kb3ducmV2LnhtbFBLAQIUABQAAAAIAIdO4kBo3re9BwIAALUDAAAOAAAAAAAAAAEAIAAA&#10;ACgBAABkcnMvZTJvRG9jLnhtbFBLBQYAAAAABgAGAFkBAACh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4775200" cy="2182495"/>
            <wp:effectExtent l="0" t="0" r="6350" b="8255"/>
            <wp:docPr id="12" name="图片 1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2"/>
                    <pic:cNvPicPr>
                      <a:picLocks noChangeAspect="1"/>
                    </pic:cNvPicPr>
                  </pic:nvPicPr>
                  <pic:blipFill>
                    <a:blip r:embed="rId12"/>
                    <a:srcRect l="5232" t="6498" r="11923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ind w:firstLine="480"/>
        <w:jc w:val="center"/>
      </w:pPr>
      <w:r>
        <w:rPr>
          <w:rFonts w:hint="eastAsia"/>
          <w:sz w:val="24"/>
          <w:szCs w:val="24"/>
        </w:rPr>
        <w:t>激光雷达图谱和地面站数据对比分析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来源追踪：</w:t>
      </w:r>
      <w:r>
        <w:rPr>
          <w:rFonts w:asciiTheme="minorEastAsia" w:hAnsiTheme="minorEastAsia"/>
          <w:sz w:val="24"/>
          <w:szCs w:val="24"/>
        </w:rPr>
        <w:t>综合环境气象信息及区域空气质量模型，在地图上通过</w:t>
      </w:r>
      <w:r>
        <w:rPr>
          <w:rFonts w:asciiTheme="minorEastAsia" w:hAnsiTheme="minorEastAsia"/>
          <w:color w:val="FF0000"/>
          <w:sz w:val="24"/>
          <w:szCs w:val="24"/>
        </w:rPr>
        <w:t>后向轨迹模型的计算</w:t>
      </w:r>
      <w:r>
        <w:rPr>
          <w:rFonts w:asciiTheme="minorEastAsia" w:hAnsiTheme="minorEastAsia"/>
          <w:sz w:val="24"/>
          <w:szCs w:val="24"/>
        </w:rPr>
        <w:t>，对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污染的形成轨迹进行绘制，可以直接得到O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污染事件的发展及变化过程，用于综合分析污染跨界传输、时空演变，并且在图表上可实现相互交互，</w:t>
      </w:r>
      <w:r>
        <w:rPr>
          <w:rFonts w:ascii="Times New Roman" w:hAnsi="Times New Roman" w:cs="Times New Roman"/>
          <w:color w:val="FF0000"/>
          <w:sz w:val="24"/>
          <w:szCs w:val="24"/>
        </w:rPr>
        <w:t>分析污染气团来源，对超标事件所波及的范围进行及时描述、渲染等功能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10"/>
        <w:spacing w:line="360" w:lineRule="auto"/>
        <w:ind w:left="426" w:firstLine="0" w:firstLineChars="0"/>
        <w:jc w:val="left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2058670</wp:posOffset>
                </wp:positionH>
                <wp:positionV relativeFrom="paragraph">
                  <wp:posOffset>929005</wp:posOffset>
                </wp:positionV>
                <wp:extent cx="1468120" cy="25273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01670" y="6796405"/>
                          <a:ext cx="146812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外来输入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.1pt;margin-top:73.15pt;height:19.9pt;width:115.6pt;z-index:251659264;mso-width-relative:page;mso-height-relative:page;" filled="f" stroked="f" coordsize="21600,21600" o:gfxdata="UEsDBAoAAAAAAIdO4kAAAAAAAAAAAAAAAAAEAAAAZHJzL1BLAwQUAAAACACHTuJAoFgkPdsAAAAL&#10;AQAADwAAAGRycy9kb3ducmV2LnhtbE2PTU+DQBCG7yb9D5tp4s0uUCAEWRpD0pgYPbT24m1hp0Dc&#10;D2S3H/rrHU/2OPM+eeeZanM1mp1x9qOzAuJVBAxt59RoewGH9+1DAcwHaZXUzqKAb/SwqRd3lSyV&#10;u9gdnvehZ1RifSkFDCFMJee+G9BIv3ITWsqObjYy0Dj3XM3yQuVG8ySKcm7kaOnCICdsBuw+9ycj&#10;4KXZvsldm5jiRzfPr8en6evwkQlxv4yjR2ABr+Efhj99UoeanFp3ssozLWCdpAmhFKT5GhgRWZal&#10;wFraFHkMvK747Q/1L1BLAwQUAAAACACHTuJAweYElSoCAAAkBAAADgAAAGRycy9lMm9Eb2MueG1s&#10;rVNLjhMxEN0jcQfLe9Kd/yRKZxRmFIQ0YkYKiLXjtpOWbJexnXSHA8ANWLFhz7lyDsruJBMBK8TG&#10;Xe16rs+rV7PbRiuyF85XYAra7eSUCMOhrMymoB/eL1/dUOIDMyVTYERBD8LT2/nLF7PaTkUPtqBK&#10;4QgGMX5a24JuQ7DTLPN8KzTzHbDCoFOC0yzgr9tkpWM1Rtcq6+X5KKvBldYBF97j7X3rpPMUX0rB&#10;w6OUXgSiCoq1hXS6dK7jmc1nbLpxzG4rfiqD/UMVmlUGk15C3bPAyM5Vf4TSFXfgQYYOB52BlBUX&#10;qQfsppv/1s1qy6xIvSA53l5o8v8vLH+3f3KkKgs6ocQwjSM6fvt6/P7z+OMLmUR6auuniFpZxIXm&#10;NTQ45vO9x8vYdSOdjl/sh6C/j72Mxkj3oaCj8WQ0yIct0aIJhMcAg9FNt4cAjojesDfup0lkz5Gs&#10;8+GNAE2iUVCHg0z8sv2DD1gVQs+QmNjAslIqDVMZUmPa/jBPDy4efKEMPoz9tHVHKzTr5tTkGsoD&#10;9uigFYm3fFlh8gfmwxNzqAqsF5UeHvGQCjAJnCxKtuA+/+0+4nFY6KWkRpUV1H/aMScoUW8NjnHS&#10;HQyiLNPPYDiOnLhrz/raY3b6DlDIXdwpy5MZ8UGdTelAf8SFWMSs6GKGY+6ChrN5F1rt40JxsVgk&#10;EArRsvBgVpbH0C2di10AWSWmI00tNyf2UIppAKe1iVq//k+o5+We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gWCQ92wAAAAsBAAAPAAAAAAAAAAEAIAAAACIAAABkcnMvZG93bnJldi54bWxQSwEC&#10;FAAUAAAACACHTuJAweYElSoCAAAk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外来输入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2049145</wp:posOffset>
                </wp:positionH>
                <wp:positionV relativeFrom="paragraph">
                  <wp:posOffset>1230630</wp:posOffset>
                </wp:positionV>
                <wp:extent cx="1379855" cy="300990"/>
                <wp:effectExtent l="0" t="33020" r="10795" b="4699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0000">
                          <a:off x="3192145" y="7136765"/>
                          <a:ext cx="1379855" cy="30099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1.35pt;margin-top:96.9pt;height:23.7pt;width:108.65pt;rotation:524288f;z-index:251658240;v-text-anchor:middle;mso-width-relative:page;mso-height-relative:page;" filled="f" stroked="t" coordsize="21600,21600" o:gfxdata="UEsDBAoAAAAAAIdO4kAAAAAAAAAAAAAAAAAEAAAAZHJzL1BLAwQUAAAACACHTuJAVb5joNkAAAAL&#10;AQAADwAAAGRycy9kb3ducmV2LnhtbE2PyU7DMBCG70i8gzVIXFDrpWULcSoRCS6oimg5cHRjk0TY&#10;4yh2F3h6hhMcR/8y31+uTsGzg5vSEFGDnAtgDttoB+w0vG2fZnfAUjZojY/oNHy5BKvq/Kw0hY1H&#10;fHWHTe4YlWAqjIY+57HgPLW9CybN4+iQtI84BZPpnDpuJ3Ok8uC5EuKGBzMgfejN6OretZ+bfSCM&#10;x/fnTn6vvZBNffVi66aJgWt9eSHFA7DsTvnPDL/4lIGKmHZxjzYxr2Gh1C1ZSbhf0AZyXC8Frdtp&#10;UEupgFcl/7+h+gFQSwMEFAAAAAgAh07iQFLBpdV0AgAAugQAAA4AAABkcnMvZTJvRG9jLnhtbK1U&#10;yW7bMBC9F+g/ELw3krzECyIHhoMUBYLGQFr0PKZIiwC3krTl9AP6FT322s9qv6NDSlm6nIr6QMxw&#10;nh5n3sz44vKkFTlyH6Q1Na3OSkq4YbaRZl/T9++uX80pCRFMA8oaXtN7Hujl6uWLi84t+ci2VjXc&#10;EyQxYdm5mrYxumVRBNZyDeHMOm4wKKzXENH1+6Lx0CG7VsWoLM+LzvrGect4CHh71QfpKvMLwVm8&#10;FSLwSFRNMbeYT5/PXTqL1QUs9x5cK9mQBvxDFhqkwUcfqa4gAjl4+QeVlszbYEU8Y1YXVgjJeK4B&#10;q6nK36q5a8HxXAuKE9yjTOH/0bK3x60nsqkpNsqAxhb9+Prt+5fPZJ606VxYIuTObf3gBTRToSfh&#10;NfEWBZ3MS/zl6rEecqrpuFqMqsmUkvuazqrx+ex82gvNT5EwBFTj2WI+RQBDxLgsF4vciaKnTfTO&#10;h/iaW02SUVOulHQhaQFLON6EiNkg+gGVro29lkrlfipDOnxkNMO0CAMcK6EgoqkdFhrMnhJQe5xX&#10;Fn2mDFbJJn2eiILf7zbKkyPgzEyqWbXY9KAWGt7fTnPFfQ4DPOfzC09K7gpC23+SQ70KWkaceSU1&#10;ip6IHmpXBkmS4r3GydrZ5h77k3XGWoJj1xJpbyDELXicVLzE7Yu3eAhlsWo7WJS01n/6233C4wBh&#10;lJIOJx8V+XgAzylRbwyO1qKaTNKqZGcynY3Q8c8ju+cRc9Abi0JVObtsJnxUD6bwVn/AJV2nVzEE&#10;huHbvfaDs4n9RuKaM75eZxiuh4N4Y+4cS+R9h9eHaIXMzX9SZxANFyT3YFjmtIHP/Yx6+stZ/Q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VvmOg2QAAAAsBAAAPAAAAAAAAAAEAIAAAACIAAABkcnMv&#10;ZG93bnJldi54bWxQSwECFAAUAAAACACHTuJAUsGl1XQCAAC6BAAADgAAAAAAAAABACAAAAAoAQAA&#10;ZHJzL2Uyb0RvYy54bWxQSwUGAAAAAAYABgBZAQAADgYAAAAA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39995" cy="2077720"/>
            <wp:effectExtent l="0" t="0" r="8255" b="17780"/>
            <wp:docPr id="23557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" name="图片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ind w:left="426" w:firstLine="0" w:firstLineChars="0"/>
        <w:jc w:val="left"/>
      </w:pPr>
      <w:r>
        <w:drawing>
          <wp:inline distT="0" distB="0" distL="114300" distR="114300">
            <wp:extent cx="5039995" cy="1560195"/>
            <wp:effectExtent l="0" t="0" r="8255" b="1905"/>
            <wp:docPr id="24583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4" w:leftChars="202" w:firstLine="2"/>
        <w:jc w:val="center"/>
        <w:rPr>
          <w:rFonts w:cs="Times New Roman" w:asciiTheme="majorEastAsia" w:hAnsiTheme="majorEastAsia" w:eastAsiaTheme="majorEastAsia"/>
          <w:sz w:val="24"/>
          <w:szCs w:val="24"/>
        </w:rPr>
      </w:pPr>
    </w:p>
    <w:p>
      <w:pPr>
        <w:spacing w:line="360" w:lineRule="auto"/>
        <w:ind w:left="424" w:leftChars="202" w:firstLine="2"/>
        <w:jc w:val="left"/>
        <w:rPr>
          <w:rFonts w:cs="Times New Roman" w:asciiTheme="majorEastAsia" w:hAnsiTheme="majorEastAsia" w:eastAsiaTheme="majorEastAsia"/>
          <w:sz w:val="24"/>
          <w:szCs w:val="24"/>
        </w:rPr>
      </w:pPr>
      <w:r>
        <w:rPr>
          <w:rFonts w:hint="eastAsia" w:cs="Times New Roman" w:asciiTheme="majorEastAsia" w:hAnsiTheme="majorEastAsia" w:eastAsiaTheme="majorEastAsia"/>
          <w:sz w:val="24"/>
          <w:szCs w:val="24"/>
        </w:rPr>
        <w:t>4.</w:t>
      </w:r>
      <w:r>
        <w:rPr>
          <w:rFonts w:cs="Times New Roman" w:asciiTheme="majorEastAsia" w:hAnsiTheme="majorEastAsia" w:eastAsiaTheme="majorEastAsia"/>
          <w:sz w:val="24"/>
          <w:szCs w:val="24"/>
        </w:rPr>
        <w:t>6 报告管理</w:t>
      </w:r>
    </w:p>
    <w:p>
      <w:pPr>
        <w:spacing w:line="360" w:lineRule="auto"/>
        <w:ind w:left="424" w:leftChars="202" w:firstLine="427"/>
        <w:jc w:val="left"/>
        <w:rPr>
          <w:rFonts w:ascii="Times New Roman" w:hAnsi="Times New Roman" w:eastAsia="宋体" w:cs="Times New Roman"/>
          <w:color w:val="000000"/>
          <w:sz w:val="24"/>
          <w:szCs w:val="24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shd w:val="clear" w:color="auto" w:fill="FFFFFF"/>
        </w:rPr>
        <w:t>通过日报、月报、年报的常规分析包括模块，重污染过程的成因诊断、扩散条件、外来传输分析等模块的组合方式，可实现一键生成报告，经由专家系统审核通过，最后输出文档。</w:t>
      </w:r>
    </w:p>
    <w:p>
      <w:pPr>
        <w:spacing w:line="360" w:lineRule="auto"/>
        <w:ind w:left="424" w:leftChars="202" w:firstLine="427"/>
        <w:jc w:val="left"/>
        <w:rPr>
          <w:rFonts w:hint="eastAsia" w:ascii="Times New Roman" w:hAnsi="Times New Roman" w:eastAsia="宋体" w:cs="Times New Roman"/>
          <w:color w:val="000000"/>
          <w:sz w:val="24"/>
          <w:szCs w:val="24"/>
          <w:shd w:val="clear" w:color="auto" w:fill="FFFFFF"/>
        </w:rPr>
      </w:pPr>
    </w:p>
    <w:p>
      <w:pPr>
        <w:spacing w:line="360" w:lineRule="auto"/>
        <w:ind w:left="424" w:leftChars="202" w:firstLine="2"/>
        <w:jc w:val="left"/>
        <w:rPr>
          <w:rFonts w:hint="eastAsia" w:cs="Times New Roman" w:asciiTheme="majorEastAsia" w:hAnsiTheme="majorEastAsia" w:eastAsiaTheme="majorEastAsia"/>
          <w:sz w:val="24"/>
          <w:szCs w:val="24"/>
        </w:rPr>
      </w:pPr>
      <w:r>
        <w:rPr>
          <w:rFonts w:hint="eastAsia" w:cs="Times New Roman" w:asciiTheme="majorEastAsia" w:hAnsiTheme="majorEastAsia" w:eastAsiaTheme="majorEastAsia"/>
          <w:sz w:val="24"/>
          <w:szCs w:val="24"/>
        </w:rPr>
        <w:t>4.</w:t>
      </w:r>
      <w:r>
        <w:rPr>
          <w:rFonts w:cs="Times New Roman" w:asciiTheme="majorEastAsia" w:hAnsiTheme="majorEastAsia" w:eastAsiaTheme="majorEastAsia"/>
          <w:sz w:val="24"/>
          <w:szCs w:val="24"/>
        </w:rPr>
        <w:t>7 仪器管理</w:t>
      </w:r>
    </w:p>
    <w:p>
      <w:pPr>
        <w:pStyle w:val="2"/>
        <w:spacing w:line="360" w:lineRule="auto"/>
        <w:ind w:left="426" w:firstLine="422" w:firstLineChars="176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对监测点位的设备进行统一信息管理，及相关质控操作，具体功能包括：</w:t>
      </w:r>
    </w:p>
    <w:p>
      <w:pPr>
        <w:pStyle w:val="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仪器管理：通过站点、监测类型等条件对监测仪器进行查询，查询列表展示设备类型、设备型号、状态、关键性能参数信息、最近在线时间、及操作等列项，操作项中包含历史状态、报警信息、仪器反控等操作连接；</w:t>
      </w:r>
    </w:p>
    <w:p>
      <w:pPr>
        <w:pStyle w:val="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历史状态用以查询该设备在查询时间段所发生的各类故障事件信息，包括故障类型，开始时间，结束时间，持续时间等；</w:t>
      </w:r>
    </w:p>
    <w:p>
      <w:pPr>
        <w:pStyle w:val="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仪器反控：可以通过平台发起对各监测点位的质控指令，如设备校时、系数修正等，</w:t>
      </w:r>
      <w:r>
        <w:rPr>
          <w:rFonts w:hint="eastAsia"/>
          <w:sz w:val="24"/>
          <w:szCs w:val="24"/>
        </w:rPr>
        <w:t>质控</w:t>
      </w:r>
      <w:r>
        <w:rPr>
          <w:sz w:val="24"/>
          <w:szCs w:val="24"/>
        </w:rPr>
        <w:t>结果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进行评价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并可以对质控事件进行查询；</w:t>
      </w:r>
    </w:p>
    <w:p>
      <w:pPr>
        <w:spacing w:line="360" w:lineRule="auto"/>
        <w:jc w:val="left"/>
        <w:rPr>
          <w:rFonts w:hint="eastAsia" w:ascii="Times New Roman" w:hAnsi="Times New Roman" w:eastAsia="宋体" w:cs="Times New Roman"/>
          <w:color w:val="000000"/>
          <w:sz w:val="24"/>
          <w:szCs w:val="24"/>
          <w:shd w:val="clear" w:color="auto" w:fill="FFFFFF"/>
        </w:rPr>
      </w:pPr>
    </w:p>
    <w:p>
      <w:pPr>
        <w:spacing w:line="360" w:lineRule="auto"/>
        <w:ind w:left="424" w:leftChars="202" w:firstLine="427"/>
        <w:jc w:val="left"/>
        <w:rPr>
          <w:rFonts w:cs="Times New Roman" w:asciiTheme="majorEastAsia" w:hAnsiTheme="majorEastAsia" w:eastAsiaTheme="maj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F1332C"/>
    <w:multiLevelType w:val="multilevel"/>
    <w:tmpl w:val="31F1332C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1">
    <w:nsid w:val="34B53BD8"/>
    <w:multiLevelType w:val="multilevel"/>
    <w:tmpl w:val="34B53BD8"/>
    <w:lvl w:ilvl="0" w:tentative="0">
      <w:start w:val="1"/>
      <w:numFmt w:val="decimal"/>
      <w:lvlText w:val="%1)"/>
      <w:lvlJc w:val="left"/>
      <w:pPr>
        <w:ind w:left="1269" w:hanging="420"/>
      </w:pPr>
    </w:lvl>
    <w:lvl w:ilvl="1" w:tentative="0">
      <w:start w:val="1"/>
      <w:numFmt w:val="lowerLetter"/>
      <w:lvlText w:val="%2)"/>
      <w:lvlJc w:val="left"/>
      <w:pPr>
        <w:ind w:left="1689" w:hanging="420"/>
      </w:pPr>
    </w:lvl>
    <w:lvl w:ilvl="2" w:tentative="0">
      <w:start w:val="1"/>
      <w:numFmt w:val="lowerRoman"/>
      <w:lvlText w:val="%3."/>
      <w:lvlJc w:val="right"/>
      <w:pPr>
        <w:ind w:left="2109" w:hanging="420"/>
      </w:pPr>
    </w:lvl>
    <w:lvl w:ilvl="3" w:tentative="0">
      <w:start w:val="1"/>
      <w:numFmt w:val="decimal"/>
      <w:lvlText w:val="%4."/>
      <w:lvlJc w:val="left"/>
      <w:pPr>
        <w:ind w:left="2529" w:hanging="420"/>
      </w:pPr>
    </w:lvl>
    <w:lvl w:ilvl="4" w:tentative="0">
      <w:start w:val="1"/>
      <w:numFmt w:val="lowerLetter"/>
      <w:lvlText w:val="%5)"/>
      <w:lvlJc w:val="left"/>
      <w:pPr>
        <w:ind w:left="2949" w:hanging="420"/>
      </w:pPr>
    </w:lvl>
    <w:lvl w:ilvl="5" w:tentative="0">
      <w:start w:val="1"/>
      <w:numFmt w:val="lowerRoman"/>
      <w:lvlText w:val="%6."/>
      <w:lvlJc w:val="right"/>
      <w:pPr>
        <w:ind w:left="3369" w:hanging="420"/>
      </w:pPr>
    </w:lvl>
    <w:lvl w:ilvl="6" w:tentative="0">
      <w:start w:val="1"/>
      <w:numFmt w:val="decimal"/>
      <w:lvlText w:val="%7."/>
      <w:lvlJc w:val="left"/>
      <w:pPr>
        <w:ind w:left="3789" w:hanging="420"/>
      </w:pPr>
    </w:lvl>
    <w:lvl w:ilvl="7" w:tentative="0">
      <w:start w:val="1"/>
      <w:numFmt w:val="lowerLetter"/>
      <w:lvlText w:val="%8)"/>
      <w:lvlJc w:val="left"/>
      <w:pPr>
        <w:ind w:left="4209" w:hanging="420"/>
      </w:pPr>
    </w:lvl>
    <w:lvl w:ilvl="8" w:tentative="0">
      <w:start w:val="1"/>
      <w:numFmt w:val="lowerRoman"/>
      <w:lvlText w:val="%9."/>
      <w:lvlJc w:val="right"/>
      <w:pPr>
        <w:ind w:left="4629" w:hanging="420"/>
      </w:pPr>
    </w:lvl>
  </w:abstractNum>
  <w:abstractNum w:abstractNumId="2">
    <w:nsid w:val="5375A768"/>
    <w:multiLevelType w:val="singleLevel"/>
    <w:tmpl w:val="5375A76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62A77D34"/>
    <w:multiLevelType w:val="multilevel"/>
    <w:tmpl w:val="62A77D34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516"/>
    <w:rsid w:val="000B378F"/>
    <w:rsid w:val="000C3516"/>
    <w:rsid w:val="00130BAB"/>
    <w:rsid w:val="001A18EE"/>
    <w:rsid w:val="00215E9B"/>
    <w:rsid w:val="00404AE6"/>
    <w:rsid w:val="004142C7"/>
    <w:rsid w:val="004336DE"/>
    <w:rsid w:val="00492457"/>
    <w:rsid w:val="005F1EFD"/>
    <w:rsid w:val="006145F3"/>
    <w:rsid w:val="0063452C"/>
    <w:rsid w:val="007C2A24"/>
    <w:rsid w:val="007C633F"/>
    <w:rsid w:val="008601FA"/>
    <w:rsid w:val="008643EA"/>
    <w:rsid w:val="00924418"/>
    <w:rsid w:val="00A23AC8"/>
    <w:rsid w:val="00A66447"/>
    <w:rsid w:val="00B974F6"/>
    <w:rsid w:val="00C452C8"/>
    <w:rsid w:val="00C547C4"/>
    <w:rsid w:val="00CD10C6"/>
    <w:rsid w:val="00CE0897"/>
    <w:rsid w:val="00D33888"/>
    <w:rsid w:val="00D668DD"/>
    <w:rsid w:val="00DB7B95"/>
    <w:rsid w:val="00DB7C11"/>
    <w:rsid w:val="00DE1CEC"/>
    <w:rsid w:val="00DE2105"/>
    <w:rsid w:val="00E253C7"/>
    <w:rsid w:val="00E310F2"/>
    <w:rsid w:val="00E743D0"/>
    <w:rsid w:val="00EB127E"/>
    <w:rsid w:val="00EB4174"/>
    <w:rsid w:val="00EF7A7B"/>
    <w:rsid w:val="00F03353"/>
    <w:rsid w:val="00F2642C"/>
    <w:rsid w:val="00F84180"/>
    <w:rsid w:val="4A672228"/>
    <w:rsid w:val="538E40A6"/>
    <w:rsid w:val="601C3919"/>
    <w:rsid w:val="7E5C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200" w:firstLineChars="200"/>
    </w:pPr>
    <w:rPr>
      <w:rFonts w:ascii="Times New Roman" w:hAnsi="Times New Roman" w:eastAsia="宋体" w:cs="Times New Roman"/>
      <w:szCs w:val="20"/>
    </w:rPr>
  </w:style>
  <w:style w:type="paragraph" w:styleId="3">
    <w:name w:val="Plain Text"/>
    <w:basedOn w:val="1"/>
    <w:link w:val="13"/>
    <w:unhideWhenUsed/>
    <w:qFormat/>
    <w:uiPriority w:val="99"/>
    <w:rPr>
      <w:rFonts w:ascii="宋体" w:hAnsi="Courier New" w:eastAsia="宋体" w:cs="Times New Roman"/>
      <w:szCs w:val="21"/>
    </w:r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6"/>
    <w:link w:val="5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4"/>
    <w:qFormat/>
    <w:uiPriority w:val="99"/>
    <w:rPr>
      <w:sz w:val="18"/>
      <w:szCs w:val="18"/>
    </w:rPr>
  </w:style>
  <w:style w:type="paragraph" w:customStyle="1" w:styleId="10">
    <w:name w:val="列出段落1"/>
    <w:basedOn w:val="1"/>
    <w:qFormat/>
    <w:uiPriority w:val="34"/>
    <w:pPr>
      <w:ind w:firstLine="420" w:firstLineChars="200"/>
    </w:pPr>
  </w:style>
  <w:style w:type="paragraph" w:customStyle="1" w:styleId="11">
    <w:name w:val="标准正文"/>
    <w:basedOn w:val="1"/>
    <w:link w:val="12"/>
    <w:qFormat/>
    <w:uiPriority w:val="0"/>
    <w:pPr>
      <w:spacing w:line="360" w:lineRule="auto"/>
      <w:ind w:firstLine="420" w:firstLineChars="200"/>
    </w:pPr>
    <w:rPr>
      <w:rFonts w:ascii="Calibri" w:hAnsi="Calibri" w:eastAsia="宋体" w:cs="Times New Roman"/>
      <w:lang w:val="zh-CN"/>
    </w:rPr>
  </w:style>
  <w:style w:type="character" w:customStyle="1" w:styleId="12">
    <w:name w:val="标准正文 Char"/>
    <w:link w:val="11"/>
    <w:qFormat/>
    <w:uiPriority w:val="0"/>
    <w:rPr>
      <w:rFonts w:ascii="Calibri" w:hAnsi="Calibri" w:eastAsia="宋体" w:cs="Times New Roman"/>
      <w:lang w:val="zh-CN" w:eastAsia="zh-CN"/>
    </w:rPr>
  </w:style>
  <w:style w:type="character" w:customStyle="1" w:styleId="13">
    <w:name w:val="纯文本 Char"/>
    <w:basedOn w:val="6"/>
    <w:link w:val="3"/>
    <w:qFormat/>
    <w:uiPriority w:val="99"/>
    <w:rPr>
      <w:rFonts w:ascii="宋体" w:hAnsi="Courier New" w:eastAsia="宋体" w:cs="Times New Roman"/>
      <w:szCs w:val="21"/>
    </w:rPr>
  </w:style>
  <w:style w:type="paragraph" w:customStyle="1" w:styleId="14">
    <w:name w:val="段落正文"/>
    <w:basedOn w:val="1"/>
    <w:link w:val="15"/>
    <w:qFormat/>
    <w:uiPriority w:val="0"/>
    <w:pPr>
      <w:spacing w:line="360" w:lineRule="auto"/>
      <w:ind w:firstLine="420" w:firstLineChars="200"/>
    </w:pPr>
    <w:rPr>
      <w:rFonts w:ascii="Times New Roman" w:hAnsi="Times New Roman" w:eastAsia="宋体" w:cs="Times New Roman"/>
      <w:sz w:val="24"/>
      <w:szCs w:val="21"/>
    </w:rPr>
  </w:style>
  <w:style w:type="character" w:customStyle="1" w:styleId="15">
    <w:name w:val="段落正文 字符"/>
    <w:basedOn w:val="6"/>
    <w:link w:val="14"/>
    <w:qFormat/>
    <w:uiPriority w:val="0"/>
    <w:rPr>
      <w:rFonts w:ascii="Times New Roman" w:hAnsi="Times New Roman" w:eastAsia="宋体" w:cs="Times New Roman"/>
      <w:sz w:val="24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8</Pages>
  <Words>387</Words>
  <Characters>2212</Characters>
  <Lines>18</Lines>
  <Paragraphs>5</Paragraphs>
  <ScaleCrop>false</ScaleCrop>
  <LinksUpToDate>false</LinksUpToDate>
  <CharactersWithSpaces>2594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2017-08-29T02:33:00Z</dcterms:created>
  <dc:creator>贾刚</dc:creator>
  <cp:lastModifiedBy>zll</cp:lastModifiedBy>
  <dcterms:modified xsi:type="dcterms:W3CDTF">2017-09-20T09:47:25Z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