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b w:val="1"/>
          <w:bCs w:val="1"/>
          <w:highlight w:val="yellow"/>
        </w:rPr>
      </w:pPr>
      <w:r w:rsidDel="00000000" w:rsidR="00000000" w:rsidRPr="00000000">
        <w:rPr>
          <w:b w:val="1"/>
          <w:bCs w:val="1"/>
          <w:highlight w:val="yellow"/>
          <w:rtl w:val="0"/>
        </w:rPr>
        <w:t xml:space="preserve">#Introduction</w:t>
      </w:r>
    </w:p>
    <w:p w:rsidR="00000000" w:rsidDel="00000000" w:rsidP="00000000" w:rsidRDefault="00000000" w:rsidRPr="00000000" w14:paraId="00000002">
      <w:pPr>
        <w:spacing w:line="240" w:lineRule="auto"/>
        <w:rPr>
          <w:b w:val="1"/>
          <w:bCs w:val="1"/>
          <w:highlight w:val="yellow"/>
        </w:rPr>
      </w:pPr>
      <w:r w:rsidDel="00000000" w:rsidR="00000000" w:rsidRPr="00000000">
        <w:rPr>
          <w:b w:val="1"/>
          <w:bCs w:val="1"/>
          <w:highlight w:val="yellow"/>
          <w:rtl w:val="0"/>
        </w:rPr>
        <w:t xml:space="preserve">CG - incidencia e mortalidade global</w:t>
      </w:r>
    </w:p>
    <w:p w:rsidR="00000000" w:rsidDel="00000000" w:rsidP="00000000" w:rsidRDefault="00000000" w:rsidRPr="00000000" w14:paraId="00000003">
      <w:pPr>
        <w:spacing w:line="240" w:lineRule="auto"/>
        <w:rPr>
          <w:b w:val="1"/>
          <w:bCs w:val="1"/>
          <w:highlight w:val="yellow"/>
        </w:rPr>
      </w:pPr>
      <w:r w:rsidDel="00000000" w:rsidR="00000000" w:rsidRPr="00000000">
        <w:rPr>
          <w:rtl w:val="0"/>
        </w:rPr>
      </w:r>
    </w:p>
    <w:p w:rsidR="00000000" w:rsidDel="00000000" w:rsidP="00000000" w:rsidRDefault="00000000" w:rsidRPr="00000000" w14:paraId="00000004">
      <w:pPr>
        <w:spacing w:line="240" w:lineRule="auto"/>
        <w:ind w:firstLine="720"/>
        <w:jc w:val="both"/>
        <w:rPr/>
      </w:pPr>
      <w:r w:rsidDel="00000000" w:rsidR="00000000" w:rsidRPr="00000000">
        <w:rPr>
          <w:rtl w:val="0"/>
        </w:rPr>
        <w:t xml:space="preserve">O câncer gástrico (CG) está entre as neoplasias malignas mais importantes, com mais de 960.000 novos casos notificados em 2022, sendo o quinto câncer mais comum e o quinto com maior mortalidade em todo o mundo</w:t>
      </w:r>
      <w:hyperlink r:id="rId6">
        <w:r w:rsidDel="00000000" w:rsidR="00000000" w:rsidRPr="00000000">
          <w:rPr>
            <w:rtl w:val="0"/>
          </w:rPr>
          <w:t xml:space="preserve"> (Bray </w:t>
        </w:r>
      </w:hyperlink>
      <w:hyperlink r:id="rId7">
        <w:r w:rsidDel="00000000" w:rsidR="00000000" w:rsidRPr="00000000">
          <w:rPr>
            <w:i w:val="1"/>
            <w:iCs w:val="1"/>
            <w:rtl w:val="0"/>
          </w:rPr>
          <w:t xml:space="preserve">et al</w:t>
        </w:r>
      </w:hyperlink>
      <w:hyperlink r:id="rId8">
        <w:r w:rsidDel="00000000" w:rsidR="00000000" w:rsidRPr="00000000">
          <w:rPr>
            <w:rtl w:val="0"/>
          </w:rPr>
          <w:t xml:space="preserve">. 2024)</w:t>
        </w:r>
      </w:hyperlink>
      <w:r w:rsidDel="00000000" w:rsidR="00000000" w:rsidRPr="00000000">
        <w:rPr>
          <w:rtl w:val="0"/>
        </w:rPr>
        <w:t xml:space="preserve">. A distribuição global da doença é marcadamente desigual fazendo com que, apesar da  diminuição gradual da incidência e mortalidade, o impacto global continue alto (Qin et al, 2025). O Leste Asiático concentra aproximadamente metade dos casos e óbitos mundiais e apresenta as maiores taxas de incidência (Yang, 2023). Regiões como Europa Oriental, América Central e América do Sul também apresentam risco elevado, enquanto a maior parte da África e a América do Norte registram taxas mais baixas </w:t>
      </w:r>
      <w:hyperlink r:id="rId9">
        <w:r w:rsidDel="00000000" w:rsidR="00000000" w:rsidRPr="00000000">
          <w:rPr>
            <w:rtl w:val="0"/>
          </w:rPr>
          <w:t xml:space="preserve">(Etemadi </w:t>
        </w:r>
      </w:hyperlink>
      <w:hyperlink r:id="rId10">
        <w:r w:rsidDel="00000000" w:rsidR="00000000" w:rsidRPr="00000000">
          <w:rPr>
            <w:i w:val="1"/>
            <w:iCs w:val="1"/>
            <w:rtl w:val="0"/>
          </w:rPr>
          <w:t xml:space="preserve">et al</w:t>
        </w:r>
      </w:hyperlink>
      <w:hyperlink r:id="rId11">
        <w:r w:rsidDel="00000000" w:rsidR="00000000" w:rsidRPr="00000000">
          <w:rPr>
            <w:rtl w:val="0"/>
          </w:rPr>
          <w:t xml:space="preserve">. 2020; van Schooten et al, 2023)</w:t>
        </w:r>
      </w:hyperlink>
      <w:r w:rsidDel="00000000" w:rsidR="00000000" w:rsidRPr="00000000">
        <w:rPr>
          <w:rtl w:val="0"/>
        </w:rPr>
        <w:t xml:space="preserve">.</w:t>
      </w:r>
    </w:p>
    <w:p w:rsidR="00000000" w:rsidDel="00000000" w:rsidP="00000000" w:rsidRDefault="00000000" w:rsidRPr="00000000" w14:paraId="00000005">
      <w:pPr>
        <w:spacing w:after="0" w:before="0" w:line="240" w:lineRule="auto"/>
        <w:ind w:firstLine="720"/>
        <w:jc w:val="both"/>
        <w:rPr/>
      </w:pPr>
      <w:r w:rsidDel="00000000" w:rsidR="00000000" w:rsidRPr="00000000">
        <w:rPr>
          <w:rtl w:val="0"/>
        </w:rPr>
        <w:t xml:space="preserve">Na América Latina, o câncer gástrico constitui uma das neoplasias mais relevantes em termos de incidência e mortalidade (Curado, 2019). Embora a região apresente incidência global intermediária, diversos países, como Chile, Costa Rica, Colômbia, Equador e Peru, registram taxas comparáveis às observadas no Leste Asiático ( Sierra, 2016; Torres-Roman, 2022; van Shooten </w:t>
      </w:r>
      <w:r w:rsidDel="00000000" w:rsidR="00000000" w:rsidRPr="00000000">
        <w:rPr>
          <w:i w:val="1"/>
          <w:iCs w:val="1"/>
          <w:rtl w:val="0"/>
        </w:rPr>
        <w:t xml:space="preserve">et al</w:t>
      </w:r>
      <w:r w:rsidDel="00000000" w:rsidR="00000000" w:rsidRPr="00000000">
        <w:rPr>
          <w:rtl w:val="0"/>
        </w:rPr>
        <w:t xml:space="preserve">, 2023; Vanegas </w:t>
      </w:r>
      <w:r w:rsidDel="00000000" w:rsidR="00000000" w:rsidRPr="00000000">
        <w:rPr>
          <w:i w:val="1"/>
          <w:iCs w:val="1"/>
          <w:rtl w:val="0"/>
        </w:rPr>
        <w:t xml:space="preserve">et al</w:t>
      </w:r>
      <w:r w:rsidDel="00000000" w:rsidR="00000000" w:rsidRPr="00000000">
        <w:rPr>
          <w:rtl w:val="0"/>
        </w:rPr>
        <w:t xml:space="preserve">, 2025). No Brasil, essa tendência se manifesta com particular relevância na região Norte, onde o câncer de estômago historicamente se destaca como um problema de saúde pública (Curado et al. 2019).</w:t>
      </w:r>
    </w:p>
    <w:p w:rsidR="00000000" w:rsidDel="00000000" w:rsidP="00000000" w:rsidRDefault="00000000" w:rsidRPr="00000000" w14:paraId="00000006">
      <w:pPr>
        <w:spacing w:after="0" w:before="0" w:line="240" w:lineRule="auto"/>
        <w:ind w:firstLine="720"/>
        <w:jc w:val="both"/>
        <w:rPr/>
      </w:pPr>
      <w:r w:rsidDel="00000000" w:rsidR="00000000" w:rsidRPr="00000000">
        <w:rPr>
          <w:rtl w:val="0"/>
        </w:rPr>
        <w:t xml:space="preserve">Recentemente pesquisas sobre câncer gástrico na Amazônia sugerem que há subdiagnóstico e alta prevalência de mutações germinativas em pacientes jovens, reforçando que fatores genéticos na população amazônida podem ter papel importante na susceptibilidade à doença (de Assumpção et al. 2022). A maioria dos diagnósticos ocorre em estágios avançados, evidenciando o desafio do diagnóstico precoce e resultando em baixas taxas de sobrevida, o que torna o câncer gástrico um grave problema de saúde pública na região (Curado et al. 2019; Oliveira et al. 2023; de Araújo Fagundes et al. 2024).</w:t>
      </w:r>
    </w:p>
    <w:p w:rsidR="00000000" w:rsidDel="00000000" w:rsidP="00000000" w:rsidRDefault="00000000" w:rsidRPr="00000000" w14:paraId="00000007">
      <w:pPr>
        <w:spacing w:after="0" w:before="0" w:line="240" w:lineRule="auto"/>
        <w:ind w:firstLine="720"/>
        <w:jc w:val="both"/>
        <w:rPr/>
      </w:pPr>
      <w:r w:rsidDel="00000000" w:rsidR="00000000" w:rsidRPr="00000000">
        <w:rPr>
          <w:rtl w:val="0"/>
        </w:rPr>
      </w:r>
    </w:p>
    <w:p w:rsidR="00000000" w:rsidDel="00000000" w:rsidP="00000000" w:rsidRDefault="00000000" w:rsidRPr="00000000" w14:paraId="00000008">
      <w:pPr>
        <w:spacing w:after="0" w:before="0" w:line="240" w:lineRule="auto"/>
        <w:ind w:firstLine="720"/>
        <w:jc w:val="both"/>
        <w:rPr/>
      </w:pPr>
      <w:r w:rsidDel="00000000" w:rsidR="00000000" w:rsidRPr="00000000">
        <w:rPr>
          <w:rtl w:val="0"/>
        </w:rPr>
      </w:r>
    </w:p>
    <w:p w:rsidR="00000000" w:rsidDel="00000000" w:rsidP="00000000" w:rsidRDefault="00000000" w:rsidRPr="00000000" w14:paraId="00000009">
      <w:pPr>
        <w:spacing w:after="0" w:before="0" w:line="240" w:lineRule="auto"/>
        <w:ind w:firstLine="720"/>
        <w:jc w:val="both"/>
        <w:rPr/>
      </w:pPr>
      <w:r w:rsidDel="00000000" w:rsidR="00000000" w:rsidRPr="00000000">
        <w:rPr>
          <w:rtl w:val="0"/>
        </w:rPr>
      </w:r>
    </w:p>
    <w:p w:rsidR="00000000" w:rsidDel="00000000" w:rsidP="00000000" w:rsidRDefault="00000000" w:rsidRPr="00000000" w14:paraId="0000000A">
      <w:pPr>
        <w:spacing w:after="0" w:before="0" w:line="240" w:lineRule="auto"/>
        <w:ind w:firstLine="720"/>
        <w:jc w:val="both"/>
        <w:rPr/>
      </w:pPr>
      <w:r w:rsidDel="00000000" w:rsidR="00000000" w:rsidRPr="00000000">
        <w:rPr>
          <w:rtl w:val="0"/>
        </w:rPr>
      </w:r>
    </w:p>
    <w:p w:rsidR="00000000" w:rsidDel="00000000" w:rsidP="00000000" w:rsidRDefault="00000000" w:rsidRPr="00000000" w14:paraId="0000000B">
      <w:pPr>
        <w:spacing w:after="0" w:before="0" w:line="240" w:lineRule="auto"/>
        <w:ind w:firstLine="720"/>
        <w:jc w:val="both"/>
        <w:rPr/>
      </w:pPr>
      <w:r w:rsidDel="00000000" w:rsidR="00000000" w:rsidRPr="00000000">
        <w:rPr>
          <w:rtl w:val="0"/>
        </w:rPr>
      </w:r>
    </w:p>
    <w:p w:rsidR="00000000" w:rsidDel="00000000" w:rsidP="00000000" w:rsidRDefault="00000000" w:rsidRPr="00000000" w14:paraId="0000000C">
      <w:pPr>
        <w:spacing w:after="0" w:before="0" w:line="240" w:lineRule="auto"/>
        <w:ind w:firstLine="720"/>
        <w:jc w:val="both"/>
        <w:rPr/>
      </w:pPr>
      <w:r w:rsidDel="00000000" w:rsidR="00000000" w:rsidRPr="00000000">
        <w:rPr>
          <w:rtl w:val="0"/>
        </w:rPr>
      </w:r>
    </w:p>
    <w:p w:rsidR="00000000" w:rsidDel="00000000" w:rsidP="00000000" w:rsidRDefault="00000000" w:rsidRPr="00000000" w14:paraId="0000000D">
      <w:pPr>
        <w:spacing w:after="0" w:before="0" w:line="240" w:lineRule="auto"/>
        <w:ind w:firstLine="720"/>
        <w:jc w:val="both"/>
        <w:rPr/>
      </w:pPr>
      <w:r w:rsidDel="00000000" w:rsidR="00000000" w:rsidRPr="00000000">
        <w:rPr>
          <w:rtl w:val="0"/>
        </w:rPr>
        <w:t xml:space="preserve">A elevada prevalência de </w:t>
      </w:r>
      <w:r w:rsidDel="00000000" w:rsidR="00000000" w:rsidRPr="00000000">
        <w:rPr>
          <w:i w:val="1"/>
          <w:iCs w:val="1"/>
          <w:rtl w:val="0"/>
        </w:rPr>
        <w:t xml:space="preserve">Helicobacter pylori</w:t>
      </w:r>
      <w:r w:rsidDel="00000000" w:rsidR="00000000" w:rsidRPr="00000000">
        <w:rPr>
          <w:rtl w:val="0"/>
        </w:rPr>
        <w:t xml:space="preserve"> constitui o principal determinante da carga da doença na América Latina, especialmente em populações de baixa renda e áreas rurais, onde a infecção é frequentemente adquirida na infância. </w:t>
      </w:r>
    </w:p>
    <w:p w:rsidR="00000000" w:rsidDel="00000000" w:rsidP="00000000" w:rsidRDefault="00000000" w:rsidRPr="00000000" w14:paraId="0000000E">
      <w:pPr>
        <w:spacing w:after="0" w:before="0" w:line="240" w:lineRule="auto"/>
        <w:ind w:firstLine="720"/>
        <w:jc w:val="both"/>
        <w:rPr/>
      </w:pPr>
      <w:r w:rsidDel="00000000" w:rsidR="00000000" w:rsidRPr="00000000">
        <w:rPr>
          <w:rtl w:val="0"/>
        </w:rPr>
        <w:t xml:space="preserve">Estima-se que o </w:t>
      </w:r>
      <w:r w:rsidDel="00000000" w:rsidR="00000000" w:rsidRPr="00000000">
        <w:rPr>
          <w:i w:val="1"/>
          <w:iCs w:val="1"/>
          <w:rtl w:val="0"/>
        </w:rPr>
        <w:t xml:space="preserve">H. pylori</w:t>
      </w:r>
      <w:r w:rsidDel="00000000" w:rsidR="00000000" w:rsidRPr="00000000">
        <w:rPr>
          <w:rtl w:val="0"/>
        </w:rPr>
        <w:t xml:space="preserve"> seja responsável por cerca de 90% dos cânceres gástricos não-cárdia e aproximadamente 75% de todos os casos globais. Dietas ricas em sal, alimentos processados e carnes vermelhas, além do tabagismo e consumo de álcool, representam importantes fatores comportamentais associados ao risco. Determinantes sociais, como pobreza, baixa escolaridade e acesso limitado aos serviços de saúde, contribuem substancialmente para a persistência da elevada mortalidade na região. </w:t>
      </w:r>
    </w:p>
    <w:p w:rsidR="00000000" w:rsidDel="00000000" w:rsidP="00000000" w:rsidRDefault="00000000" w:rsidRPr="00000000" w14:paraId="0000000F">
      <w:pPr>
        <w:spacing w:after="0" w:before="0" w:line="240" w:lineRule="auto"/>
        <w:ind w:firstLine="720"/>
        <w:jc w:val="both"/>
        <w:rPr/>
      </w:pPr>
      <w:r w:rsidDel="00000000" w:rsidR="00000000" w:rsidRPr="00000000">
        <w:rPr>
          <w:rtl w:val="0"/>
        </w:rPr>
      </w:r>
    </w:p>
    <w:p w:rsidR="00000000" w:rsidDel="00000000" w:rsidP="00000000" w:rsidRDefault="00000000" w:rsidRPr="00000000" w14:paraId="00000010">
      <w:pPr>
        <w:spacing w:after="0" w:before="0" w:line="240" w:lineRule="auto"/>
        <w:ind w:firstLine="720"/>
        <w:jc w:val="both"/>
        <w:rPr/>
      </w:pPr>
      <w:r w:rsidDel="00000000" w:rsidR="00000000" w:rsidRPr="00000000">
        <w:rPr>
          <w:rtl w:val="0"/>
        </w:rPr>
        <w:t xml:space="preserve">Observa-se importante agregação geográfica de risco em áreas montanhosas ao longo da Cordilheira dos Andes e da América Central, frequentemente associadas a maior altitude e condições socioeconômicas desfavoráveis(Torres, 2013).</w:t>
      </w:r>
    </w:p>
    <w:p w:rsidR="00000000" w:rsidDel="00000000" w:rsidP="00000000" w:rsidRDefault="00000000" w:rsidRPr="00000000" w14:paraId="00000011">
      <w:pPr>
        <w:spacing w:after="0" w:before="0" w:line="240" w:lineRule="auto"/>
        <w:ind w:firstLine="720"/>
        <w:jc w:val="both"/>
        <w:rPr/>
      </w:pPr>
      <w:r w:rsidDel="00000000" w:rsidR="00000000" w:rsidRPr="00000000">
        <w:rPr>
          <w:rtl w:val="0"/>
        </w:rPr>
      </w:r>
    </w:p>
    <w:p w:rsidR="00000000" w:rsidDel="00000000" w:rsidP="00000000" w:rsidRDefault="00000000" w:rsidRPr="00000000" w14:paraId="00000012">
      <w:pPr>
        <w:spacing w:line="240" w:lineRule="auto"/>
        <w:ind w:firstLine="720"/>
        <w:jc w:val="both"/>
        <w:rPr/>
      </w:pPr>
      <w:r w:rsidDel="00000000" w:rsidR="00000000" w:rsidRPr="00000000">
        <w:rPr>
          <w:rtl w:val="0"/>
        </w:rPr>
      </w:r>
    </w:p>
    <w:p w:rsidR="00000000" w:rsidDel="00000000" w:rsidP="00000000" w:rsidRDefault="00000000" w:rsidRPr="00000000" w14:paraId="00000013">
      <w:pPr>
        <w:spacing w:line="240" w:lineRule="auto"/>
        <w:ind w:firstLine="720"/>
        <w:jc w:val="both"/>
        <w:rPr/>
      </w:pPr>
      <w:r w:rsidDel="00000000" w:rsidR="00000000" w:rsidRPr="00000000">
        <w:rPr>
          <w:rtl w:val="0"/>
        </w:rPr>
        <w:t xml:space="preserve">No entanto, essas populações são frequentemente sub-representadas em estudos de perfil molecular e ensaios clínicos e, portanto, não são completamente compreendidas Isto cria a necessidade de entender a biologia tumoral específica destas regiões.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spacing w:line="240" w:lineRule="auto"/>
        <w:ind w:firstLine="720"/>
        <w:jc w:val="both"/>
        <w:rPr/>
      </w:pPr>
      <w:r w:rsidDel="00000000" w:rsidR="00000000" w:rsidRPr="00000000">
        <w:rPr>
          <w:rtl w:val="0"/>
        </w:rPr>
      </w:r>
    </w:p>
    <w:p w:rsidR="00000000" w:rsidDel="00000000" w:rsidP="00000000" w:rsidRDefault="00000000" w:rsidRPr="00000000" w14:paraId="00000016">
      <w:pPr>
        <w:spacing w:after="240" w:before="240" w:line="240" w:lineRule="auto"/>
        <w:jc w:val="both"/>
        <w:rPr/>
      </w:pPr>
      <w:r w:rsidDel="00000000" w:rsidR="00000000" w:rsidRPr="00000000">
        <w:rPr>
          <w:rtl w:val="0"/>
        </w:rPr>
      </w:r>
    </w:p>
    <w:p w:rsidR="00000000" w:rsidDel="00000000" w:rsidP="00000000" w:rsidRDefault="00000000" w:rsidRPr="00000000" w14:paraId="00000017">
      <w:pPr>
        <w:spacing w:after="240" w:before="240" w:line="240" w:lineRule="auto"/>
        <w:jc w:val="both"/>
        <w:rPr/>
      </w:pPr>
      <w:r w:rsidDel="00000000" w:rsidR="00000000" w:rsidRPr="00000000">
        <w:rPr>
          <w:rtl w:val="0"/>
        </w:rPr>
        <w:t xml:space="preserve">reflexo do diagnóstico tardio e do acesso limitado ao tratamento especializado.</w:t>
      </w:r>
    </w:p>
    <w:p w:rsidR="00000000" w:rsidDel="00000000" w:rsidP="00000000" w:rsidRDefault="00000000" w:rsidRPr="00000000" w14:paraId="00000018">
      <w:pPr>
        <w:spacing w:after="240" w:before="240" w:line="240" w:lineRule="auto"/>
        <w:jc w:val="both"/>
        <w:rPr/>
      </w:pPr>
      <w:r w:rsidDel="00000000" w:rsidR="00000000" w:rsidRPr="00000000">
        <w:rPr>
          <w:rtl w:val="0"/>
        </w:rPr>
        <w:t xml:space="preserve">No Brasil, o câncer gástrico permanece entre as neoplasias mais incidentes, com estimativas recentes indicando taxas aproximadas de 13,4 por 100.000 homens e 7,3 por 100.000 mulheres para o triênio 2023-2025. Embora a mortalidade nacional tenha apresentado tendência geral de declínio desde a década de 1980, observa-se marcada heterogeneidade regional, com reduções mais consistentes nas regiões Sul e Sudeste e manutenção de altas taxas ou tendências ascendentes em partes das regiões Norte e Nordeste.</w:t>
      </w:r>
    </w:p>
    <w:p w:rsidR="00000000" w:rsidDel="00000000" w:rsidP="00000000" w:rsidRDefault="00000000" w:rsidRPr="00000000" w14:paraId="00000019">
      <w:pPr>
        <w:spacing w:after="240" w:before="240" w:line="240" w:lineRule="auto"/>
        <w:jc w:val="both"/>
        <w:rPr/>
      </w:pPr>
      <w:r w:rsidDel="00000000" w:rsidR="00000000" w:rsidRPr="00000000">
        <w:rPr>
          <w:rtl w:val="0"/>
        </w:rPr>
        <w:t xml:space="preserve">No Brasil, essa tendência se manifesta com particular relevância na região Norte, onde o câncer de estômago historicamente se destaca como um importante problema de saúde pública (Curado et al., 2019). Em estudo de perfil epidemiológico, Curado e colaboradores demonstraram que, já no período de 1990 a 2012, a região Norte apresentava taxas de incidência de adenocarcinoma gástrico entre as mais altas do país (Curado et al., 2019). Dados hospitalares recentes reforçam a magnitude do problema, com elevado número de internações e taxas expressivas de mortalidade intra-hospitalar.</w:t>
      </w:r>
    </w:p>
    <w:p w:rsidR="00000000" w:rsidDel="00000000" w:rsidP="00000000" w:rsidRDefault="00000000" w:rsidRPr="00000000" w14:paraId="0000001A">
      <w:pPr>
        <w:spacing w:after="240" w:before="240" w:line="240" w:lineRule="auto"/>
        <w:jc w:val="both"/>
        <w:rPr/>
      </w:pPr>
      <w:r w:rsidDel="00000000" w:rsidR="00000000" w:rsidRPr="00000000">
        <w:rPr>
          <w:rtl w:val="0"/>
        </w:rPr>
        <w:t xml:space="preserve">Além dos determinantes infecciosos e socioeconômicos, pesquisas recentes conduzidas na Amazônia brasileira sugerem possível subdiagnóstico da doença, particularmente em áreas remotas, e identificaram alta prevalência de mutações germinativas em pacientes jovens com câncer gástrico, indicando que fatores genéticos específicos da população amazônida podem desempenhar papel relevante na susceptibilidade à doença (de Assumpção et al., 2022). A prevalência de </w:t>
      </w:r>
      <w:r w:rsidDel="00000000" w:rsidR="00000000" w:rsidRPr="00000000">
        <w:rPr>
          <w:i w:val="1"/>
          <w:iCs w:val="1"/>
          <w:rtl w:val="0"/>
        </w:rPr>
        <w:t xml:space="preserve">H. pylori</w:t>
      </w:r>
      <w:r w:rsidDel="00000000" w:rsidR="00000000" w:rsidRPr="00000000">
        <w:rPr>
          <w:rtl w:val="0"/>
        </w:rPr>
        <w:t xml:space="preserve"> na região pode ultrapassar 90%, com predominância de cepas mais virulentas, associadas a lesões gástricas mais severas e maior risco de carcinogênese.</w:t>
      </w:r>
    </w:p>
    <w:p w:rsidR="00000000" w:rsidDel="00000000" w:rsidP="00000000" w:rsidRDefault="00000000" w:rsidRPr="00000000" w14:paraId="0000001B">
      <w:pPr>
        <w:spacing w:after="240" w:before="240" w:line="240" w:lineRule="auto"/>
        <w:jc w:val="both"/>
        <w:rPr/>
      </w:pPr>
      <w:r w:rsidDel="00000000" w:rsidR="00000000" w:rsidRPr="00000000">
        <w:rPr>
          <w:rtl w:val="0"/>
        </w:rPr>
        <w:t xml:space="preserve">A maioria dos diagnósticos na região Norte ocorre em estágios avançados, evidenciando importantes limitações no acesso ao diagnóstico precoce e ao tratamento oportuno, o que se traduz em baixas taxas de sobrevida e reforça o caráter do câncer gástrico como grave problema de saúde pública regional (Curado et al., 2019; Oliveira et al., 2023; de Araújo Fagundes et al., 2024).</w:t>
      </w:r>
    </w:p>
    <w:p w:rsidR="00000000" w:rsidDel="00000000" w:rsidP="00000000" w:rsidRDefault="00000000" w:rsidRPr="00000000" w14:paraId="0000001C">
      <w:pPr>
        <w:spacing w:after="240" w:before="240" w:line="240" w:lineRule="auto"/>
        <w:jc w:val="both"/>
        <w:rPr/>
      </w:pPr>
      <w:r w:rsidDel="00000000" w:rsidR="00000000" w:rsidRPr="00000000">
        <w:rPr>
          <w:rtl w:val="0"/>
        </w:rPr>
        <w:t xml:space="preserve">Diante desse cenário, estratégias baseadas em evidências, como programas de testagem e tratamento do </w:t>
      </w:r>
      <w:r w:rsidDel="00000000" w:rsidR="00000000" w:rsidRPr="00000000">
        <w:rPr>
          <w:i w:val="1"/>
          <w:iCs w:val="1"/>
          <w:rtl w:val="0"/>
        </w:rPr>
        <w:t xml:space="preserve">H. pylori</w:t>
      </w:r>
      <w:r w:rsidDel="00000000" w:rsidR="00000000" w:rsidRPr="00000000">
        <w:rPr>
          <w:rtl w:val="0"/>
        </w:rPr>
        <w:t xml:space="preserve">, intervenções dietéticas, controle do tabagismo e rastreamento endoscópico direcionado a populações de alto risco, são consideradas centrais para a redução da carga futura da doença. A compreensão integrada dos determinantes epidemiológicos, biológicos e sociais do câncer gástrico é fundamental para orientar políticas públicas e estratégias de controle mais eficazes, especialmente em regiões de maior vulnerabilidade, como a América Latina e o Norte do Brasil.</w:t>
      </w:r>
    </w:p>
    <w:p w:rsidR="00000000" w:rsidDel="00000000" w:rsidP="00000000" w:rsidRDefault="00000000" w:rsidRPr="00000000" w14:paraId="0000001D">
      <w:pPr>
        <w:spacing w:line="240" w:lineRule="auto"/>
        <w:rPr>
          <w:b w:val="1"/>
          <w:bCs w:val="1"/>
          <w:highlight w:val="yellow"/>
        </w:rPr>
      </w:pPr>
      <w:r w:rsidDel="00000000" w:rsidR="00000000" w:rsidRPr="00000000">
        <w:rPr>
          <w:rtl w:val="0"/>
        </w:rPr>
      </w:r>
    </w:p>
    <w:p w:rsidR="00000000" w:rsidDel="00000000" w:rsidP="00000000" w:rsidRDefault="00000000" w:rsidRPr="00000000" w14:paraId="0000001E">
      <w:pPr>
        <w:spacing w:line="240" w:lineRule="auto"/>
        <w:rPr/>
      </w:pPr>
      <w:r w:rsidDel="00000000" w:rsidR="00000000" w:rsidRPr="00000000">
        <w:rPr>
          <w:rtl w:val="0"/>
        </w:rPr>
      </w:r>
    </w:p>
    <w:p w:rsidR="00000000" w:rsidDel="00000000" w:rsidP="00000000" w:rsidRDefault="00000000" w:rsidRPr="00000000" w14:paraId="0000001F">
      <w:pPr>
        <w:spacing w:line="240" w:lineRule="auto"/>
        <w:ind w:firstLine="720"/>
        <w:jc w:val="both"/>
        <w:rPr/>
      </w:pPr>
      <w:r w:rsidDel="00000000" w:rsidR="00000000" w:rsidRPr="00000000">
        <w:rPr>
          <w:rtl w:val="0"/>
        </w:rPr>
        <w:t xml:space="preserve">é fundamental compreender detalhadamente a heterogeneidade tumoral. Hoje já se tem conhecimento de que os tumores não são uma população celular homogênea de células cancerígenas, e sim um ambiente composto também por diversos tipos de células não malignas. Este ambiente, referido como microambiente tumoral (</w:t>
      </w:r>
      <w:r w:rsidDel="00000000" w:rsidR="00000000" w:rsidRPr="00000000">
        <w:rPr>
          <w:i w:val="1"/>
          <w:iCs w:val="1"/>
          <w:rtl w:val="0"/>
        </w:rPr>
        <w:t xml:space="preserve">Tumor Microenvironment</w:t>
      </w:r>
      <w:r w:rsidDel="00000000" w:rsidR="00000000" w:rsidRPr="00000000">
        <w:rPr>
          <w:rtl w:val="0"/>
        </w:rPr>
        <w:t xml:space="preserve"> - TME), é considerado vital na modulação do crescimento do tumor, afetando a eficácia terapêutica</w:t>
      </w:r>
      <w:hyperlink r:id="rId12">
        <w:r w:rsidDel="00000000" w:rsidR="00000000" w:rsidRPr="00000000">
          <w:rPr>
            <w:rtl w:val="0"/>
          </w:rPr>
          <w:t xml:space="preserve"> (Dakal </w:t>
        </w:r>
      </w:hyperlink>
      <w:hyperlink r:id="rId13">
        <w:r w:rsidDel="00000000" w:rsidR="00000000" w:rsidRPr="00000000">
          <w:rPr>
            <w:i w:val="1"/>
            <w:iCs w:val="1"/>
            <w:rtl w:val="0"/>
          </w:rPr>
          <w:t xml:space="preserve">et al</w:t>
        </w:r>
      </w:hyperlink>
      <w:hyperlink r:id="rId14">
        <w:r w:rsidDel="00000000" w:rsidR="00000000" w:rsidRPr="00000000">
          <w:rPr>
            <w:rtl w:val="0"/>
          </w:rPr>
          <w:t xml:space="preserve">. 2024)</w:t>
        </w:r>
      </w:hyperlink>
      <w:r w:rsidDel="00000000" w:rsidR="00000000" w:rsidRPr="00000000">
        <w:rPr>
          <w:rtl w:val="0"/>
        </w:rPr>
        <w:t xml:space="preserve">.  Nesse contexto, o conceito dos </w:t>
      </w:r>
      <w:r w:rsidDel="00000000" w:rsidR="00000000" w:rsidRPr="00000000">
        <w:rPr>
          <w:i w:val="1"/>
          <w:iCs w:val="1"/>
          <w:rtl w:val="0"/>
        </w:rPr>
        <w:t xml:space="preserve">Hallmarks of Cancer</w:t>
      </w:r>
      <w:hyperlink r:id="rId15">
        <w:r w:rsidDel="00000000" w:rsidR="00000000" w:rsidRPr="00000000">
          <w:rPr>
            <w:i w:val="1"/>
            <w:iCs w:val="1"/>
            <w:rtl w:val="0"/>
          </w:rPr>
          <w:t xml:space="preserve"> </w:t>
        </w:r>
      </w:hyperlink>
      <w:hyperlink r:id="rId16">
        <w:r w:rsidDel="00000000" w:rsidR="00000000" w:rsidRPr="00000000">
          <w:rPr>
            <w:rtl w:val="0"/>
          </w:rPr>
          <w:t xml:space="preserve">(Hanahan e Weinberg 2000; 2011; Hanahan, 2022)</w:t>
        </w:r>
      </w:hyperlink>
      <w:r w:rsidDel="00000000" w:rsidR="00000000" w:rsidRPr="00000000">
        <w:rPr>
          <w:rtl w:val="0"/>
        </w:rPr>
        <w:t xml:space="preserve"> sintetiza os processos biológicos fundamentais que sustentam a progressão tumoral, muitos deles diretamente modulados pelo TME, como angiogênese, evasão imune e invasão metastática. A Figura 1 ilustra esses </w:t>
      </w:r>
      <w:r w:rsidDel="00000000" w:rsidR="00000000" w:rsidRPr="00000000">
        <w:rPr>
          <w:i w:val="1"/>
          <w:iCs w:val="1"/>
          <w:rtl w:val="0"/>
        </w:rPr>
        <w:t xml:space="preserve">hallmarks</w:t>
      </w:r>
      <w:r w:rsidDel="00000000" w:rsidR="00000000" w:rsidRPr="00000000">
        <w:rPr>
          <w:rtl w:val="0"/>
        </w:rPr>
        <w:t xml:space="preserve"> e evidencia a contribuição central do microambiente para a evolução do câncer. </w:t>
      </w:r>
    </w:p>
    <w:p w:rsidR="00000000" w:rsidDel="00000000" w:rsidP="00000000" w:rsidRDefault="00000000" w:rsidRPr="00000000" w14:paraId="00000020">
      <w:pPr>
        <w:spacing w:line="240" w:lineRule="auto"/>
        <w:ind w:firstLine="720"/>
        <w:jc w:val="both"/>
        <w:rPr/>
      </w:pPr>
      <w:r w:rsidDel="00000000" w:rsidR="00000000" w:rsidRPr="00000000">
        <w:rPr>
          <w:rtl w:val="0"/>
        </w:rPr>
        <w:t xml:space="preserve">Entre os componentes do TME, destaca-se o microambiente imune tumoral  (</w:t>
      </w:r>
      <w:r w:rsidDel="00000000" w:rsidR="00000000" w:rsidRPr="00000000">
        <w:rPr>
          <w:i w:val="1"/>
          <w:iCs w:val="1"/>
          <w:color w:val="282828"/>
          <w:rtl w:val="0"/>
        </w:rPr>
        <w:t xml:space="preserve">Tumor Immune Microenvironment - </w:t>
      </w:r>
      <w:r w:rsidDel="00000000" w:rsidR="00000000" w:rsidRPr="00000000">
        <w:rPr>
          <w:rtl w:val="0"/>
        </w:rPr>
        <w:t xml:space="preserve">TIME), que corresponde às células imunes infiltradas e suas interações locais.  O TIME desempenha papel central na regulação da resposta antitumoral ou pró-tumoral</w:t>
      </w:r>
      <w:hyperlink r:id="rId17">
        <w:r w:rsidDel="00000000" w:rsidR="00000000" w:rsidRPr="00000000">
          <w:rPr>
            <w:rtl w:val="0"/>
          </w:rPr>
          <w:t xml:space="preserve"> (Sales de Sá </w:t>
        </w:r>
      </w:hyperlink>
      <w:hyperlink r:id="rId18">
        <w:r w:rsidDel="00000000" w:rsidR="00000000" w:rsidRPr="00000000">
          <w:rPr>
            <w:i w:val="1"/>
            <w:iCs w:val="1"/>
            <w:rtl w:val="0"/>
          </w:rPr>
          <w:t xml:space="preserve">et al</w:t>
        </w:r>
      </w:hyperlink>
      <w:hyperlink r:id="rId19">
        <w:r w:rsidDel="00000000" w:rsidR="00000000" w:rsidRPr="00000000">
          <w:rPr>
            <w:rtl w:val="0"/>
          </w:rPr>
          <w:t xml:space="preserve">. 2021)</w:t>
        </w:r>
      </w:hyperlink>
      <w:r w:rsidDel="00000000" w:rsidR="00000000" w:rsidRPr="00000000">
        <w:rPr>
          <w:rtl w:val="0"/>
        </w:rPr>
        <w:t xml:space="preserve">, influenciando diretamente a eficácia de imunoterapias, como os bloqueadores de checkpoints imunológicos (PD-1, PD-L1, CTLA-4)</w:t>
      </w:r>
      <w:hyperlink r:id="rId20">
        <w:r w:rsidDel="00000000" w:rsidR="00000000" w:rsidRPr="00000000">
          <w:rPr>
            <w:rtl w:val="0"/>
          </w:rPr>
          <w:t xml:space="preserve"> </w:t>
        </w:r>
      </w:hyperlink>
      <w:hyperlink r:id="rId21">
        <w:r w:rsidDel="00000000" w:rsidR="00000000" w:rsidRPr="00000000">
          <w:rPr>
            <w:color w:val="1155cc"/>
            <w:rtl w:val="0"/>
          </w:rPr>
          <w:t xml:space="preserve">(Wang </w:t>
        </w:r>
      </w:hyperlink>
      <w:hyperlink r:id="rId22">
        <w:r w:rsidDel="00000000" w:rsidR="00000000" w:rsidRPr="00000000">
          <w:rPr>
            <w:i w:val="1"/>
            <w:iCs w:val="1"/>
            <w:color w:val="1155cc"/>
            <w:rtl w:val="0"/>
          </w:rPr>
          <w:t xml:space="preserve">et al</w:t>
        </w:r>
      </w:hyperlink>
      <w:hyperlink r:id="rId23">
        <w:r w:rsidDel="00000000" w:rsidR="00000000" w:rsidRPr="00000000">
          <w:rPr>
            <w:color w:val="1155cc"/>
            <w:rtl w:val="0"/>
          </w:rPr>
          <w:t xml:space="preserve">. 2022)</w:t>
        </w:r>
      </w:hyperlink>
      <w:r w:rsidDel="00000000" w:rsidR="00000000" w:rsidRPr="00000000">
        <w:rPr>
          <w:rtl w:val="0"/>
        </w:rPr>
        <w:t xml:space="preserve">. Além disso, avanços recentes, como CAR-T </w:t>
      </w:r>
      <w:r w:rsidDel="00000000" w:rsidR="00000000" w:rsidRPr="00000000">
        <w:rPr>
          <w:i w:val="1"/>
          <w:iCs w:val="1"/>
          <w:rtl w:val="0"/>
        </w:rPr>
        <w:t xml:space="preserve">cells</w:t>
      </w:r>
      <w:r w:rsidDel="00000000" w:rsidR="00000000" w:rsidRPr="00000000">
        <w:rPr>
          <w:rtl w:val="0"/>
        </w:rPr>
        <w:t xml:space="preserve"> e terapias alvo-específicas, têm emergido a partir da compreensão de sua dinâmica</w:t>
      </w:r>
      <w:hyperlink r:id="rId24">
        <w:r w:rsidDel="00000000" w:rsidR="00000000" w:rsidRPr="00000000">
          <w:rPr>
            <w:rtl w:val="0"/>
          </w:rPr>
          <w:t xml:space="preserve"> </w:t>
        </w:r>
      </w:hyperlink>
      <w:hyperlink r:id="rId25">
        <w:r w:rsidDel="00000000" w:rsidR="00000000" w:rsidRPr="00000000">
          <w:rPr>
            <w:color w:val="1155cc"/>
            <w:rtl w:val="0"/>
          </w:rPr>
          <w:t xml:space="preserve">(Ramos </w:t>
        </w:r>
      </w:hyperlink>
      <w:hyperlink r:id="rId26">
        <w:r w:rsidDel="00000000" w:rsidR="00000000" w:rsidRPr="00000000">
          <w:rPr>
            <w:i w:val="1"/>
            <w:iCs w:val="1"/>
            <w:color w:val="1155cc"/>
            <w:rtl w:val="0"/>
          </w:rPr>
          <w:t xml:space="preserve">et al.</w:t>
        </w:r>
      </w:hyperlink>
      <w:hyperlink r:id="rId27">
        <w:r w:rsidDel="00000000" w:rsidR="00000000" w:rsidRPr="00000000">
          <w:rPr>
            <w:color w:val="1155cc"/>
            <w:rtl w:val="0"/>
          </w:rPr>
          <w:t xml:space="preserve"> 2021)</w:t>
        </w:r>
      </w:hyperlink>
      <w:r w:rsidDel="00000000" w:rsidR="00000000" w:rsidRPr="00000000">
        <w:rPr>
          <w:rtl w:val="0"/>
        </w:rPr>
        <w:t xml:space="preserve">. O TME, e em especial o TIME, reflete disfunções associadas às células cancerígenas e a mediadores inflamatórios locais, que desencadeiam a ativação do sistema imunológico e o recrutamento de células imunes </w:t>
      </w:r>
      <w:hyperlink r:id="rId28">
        <w:r w:rsidDel="00000000" w:rsidR="00000000" w:rsidRPr="00000000">
          <w:rPr>
            <w:rtl w:val="0"/>
          </w:rPr>
          <w:t xml:space="preserve"> (Grivennikov </w:t>
        </w:r>
      </w:hyperlink>
      <w:hyperlink r:id="rId29">
        <w:r w:rsidDel="00000000" w:rsidR="00000000" w:rsidRPr="00000000">
          <w:rPr>
            <w:i w:val="1"/>
            <w:iCs w:val="1"/>
            <w:rtl w:val="0"/>
          </w:rPr>
          <w:t xml:space="preserve">et al.</w:t>
        </w:r>
      </w:hyperlink>
      <w:hyperlink r:id="rId30">
        <w:r w:rsidDel="00000000" w:rsidR="00000000" w:rsidRPr="00000000">
          <w:rPr>
            <w:rtl w:val="0"/>
          </w:rPr>
          <w:t xml:space="preserve"> 2010; Turley </w:t>
        </w:r>
      </w:hyperlink>
      <w:hyperlink r:id="rId31">
        <w:r w:rsidDel="00000000" w:rsidR="00000000" w:rsidRPr="00000000">
          <w:rPr>
            <w:i w:val="1"/>
            <w:iCs w:val="1"/>
            <w:rtl w:val="0"/>
          </w:rPr>
          <w:t xml:space="preserve">et al</w:t>
        </w:r>
      </w:hyperlink>
      <w:hyperlink r:id="rId32">
        <w:r w:rsidDel="00000000" w:rsidR="00000000" w:rsidRPr="00000000">
          <w:rPr>
            <w:rtl w:val="0"/>
          </w:rPr>
          <w:t xml:space="preserve">. 2015; Thorsson </w:t>
        </w:r>
      </w:hyperlink>
      <w:hyperlink r:id="rId33">
        <w:r w:rsidDel="00000000" w:rsidR="00000000" w:rsidRPr="00000000">
          <w:rPr>
            <w:i w:val="1"/>
            <w:iCs w:val="1"/>
            <w:rtl w:val="0"/>
          </w:rPr>
          <w:t xml:space="preserve">et al</w:t>
        </w:r>
      </w:hyperlink>
      <w:hyperlink r:id="rId34">
        <w:r w:rsidDel="00000000" w:rsidR="00000000" w:rsidRPr="00000000">
          <w:rPr>
            <w:rtl w:val="0"/>
          </w:rPr>
          <w:t xml:space="preserve">. 2018)</w:t>
        </w:r>
      </w:hyperlink>
      <w:r w:rsidDel="00000000" w:rsidR="00000000" w:rsidRPr="00000000">
        <w:rPr>
          <w:rtl w:val="0"/>
        </w:rPr>
        <w:t xml:space="preserve">.  </w:t>
      </w:r>
    </w:p>
    <w:p w:rsidR="00000000" w:rsidDel="00000000" w:rsidP="00000000" w:rsidRDefault="00000000" w:rsidRPr="00000000" w14:paraId="00000021">
      <w:pPr>
        <w:spacing w:line="240" w:lineRule="auto"/>
        <w:ind w:firstLine="720"/>
        <w:jc w:val="both"/>
        <w:rPr/>
      </w:pPr>
      <w:r w:rsidDel="00000000" w:rsidR="00000000" w:rsidRPr="00000000">
        <w:rPr>
          <w:rtl w:val="0"/>
        </w:rPr>
      </w:r>
    </w:p>
    <w:p w:rsidR="00000000" w:rsidDel="00000000" w:rsidP="00000000" w:rsidRDefault="00000000" w:rsidRPr="00000000" w14:paraId="00000022">
      <w:pPr>
        <w:spacing w:line="240" w:lineRule="auto"/>
        <w:ind w:firstLine="720"/>
        <w:jc w:val="both"/>
        <w:rPr/>
      </w:pPr>
      <w:r w:rsidDel="00000000" w:rsidR="00000000" w:rsidRPr="00000000">
        <w:rPr>
          <w:rtl w:val="0"/>
        </w:rPr>
      </w:r>
    </w:p>
    <w:p w:rsidR="00000000" w:rsidDel="00000000" w:rsidP="00000000" w:rsidRDefault="00000000" w:rsidRPr="00000000" w14:paraId="00000023">
      <w:pPr>
        <w:ind w:firstLine="720"/>
        <w:rPr>
          <w:sz w:val="24"/>
          <w:szCs w:val="24"/>
        </w:rPr>
      </w:pPr>
      <w:r w:rsidDel="00000000" w:rsidR="00000000" w:rsidRPr="00000000">
        <w:rPr>
          <w:rtl w:val="0"/>
        </w:rPr>
      </w:r>
    </w:p>
    <w:p w:rsidR="00000000" w:rsidDel="00000000" w:rsidP="00000000" w:rsidRDefault="00000000" w:rsidRPr="00000000" w14:paraId="00000024">
      <w:pPr>
        <w:rPr>
          <w:b w:val="1"/>
          <w:bCs w:val="1"/>
          <w:highlight w:val="yellow"/>
        </w:rPr>
      </w:pPr>
      <w:r w:rsidDel="00000000" w:rsidR="00000000" w:rsidRPr="00000000">
        <w:rPr>
          <w:rtl w:val="0"/>
        </w:rPr>
      </w:r>
    </w:p>
    <w:p w:rsidR="00000000" w:rsidDel="00000000" w:rsidP="00000000" w:rsidRDefault="00000000" w:rsidRPr="00000000" w14:paraId="00000025">
      <w:pPr>
        <w:rPr>
          <w:b w:val="1"/>
          <w:bCs w:val="1"/>
          <w:highlight w:val="yellow"/>
        </w:rPr>
      </w:pPr>
      <w:r w:rsidDel="00000000" w:rsidR="00000000" w:rsidRPr="00000000">
        <w:rPr>
          <w:rtl w:val="0"/>
        </w:rPr>
      </w:r>
    </w:p>
    <w:p w:rsidR="00000000" w:rsidDel="00000000" w:rsidP="00000000" w:rsidRDefault="00000000" w:rsidRPr="00000000" w14:paraId="00000026">
      <w:pPr>
        <w:rPr>
          <w:b w:val="1"/>
          <w:bCs w:val="1"/>
          <w:highlight w:val="yellow"/>
        </w:rPr>
      </w:pPr>
      <w:r w:rsidDel="00000000" w:rsidR="00000000" w:rsidRPr="00000000">
        <w:rPr>
          <w:rtl w:val="0"/>
        </w:rPr>
      </w:r>
    </w:p>
    <w:p w:rsidR="00000000" w:rsidDel="00000000" w:rsidP="00000000" w:rsidRDefault="00000000" w:rsidRPr="00000000" w14:paraId="00000027">
      <w:pPr>
        <w:rPr>
          <w:b w:val="1"/>
          <w:bCs w:val="1"/>
          <w:highlight w:val="yellow"/>
        </w:rPr>
      </w:pPr>
      <w:r w:rsidDel="00000000" w:rsidR="00000000" w:rsidRPr="00000000">
        <w:rPr>
          <w:rtl w:val="0"/>
        </w:rPr>
      </w:r>
    </w:p>
    <w:p w:rsidR="00000000" w:rsidDel="00000000" w:rsidP="00000000" w:rsidRDefault="00000000" w:rsidRPr="00000000" w14:paraId="00000028">
      <w:pPr>
        <w:spacing w:line="240" w:lineRule="auto"/>
        <w:ind w:firstLine="720"/>
        <w:jc w:val="both"/>
        <w:rPr>
          <w:highlight w:val="yellow"/>
        </w:rPr>
      </w:pPr>
      <w:r w:rsidDel="00000000" w:rsidR="00000000" w:rsidRPr="00000000">
        <w:rPr>
          <w:highlight w:val="yellow"/>
          <w:rtl w:val="0"/>
        </w:rPr>
        <w:t xml:space="preserve">Apesar do aumento de estudos recentes envolvendo marcadores inflamatórios em CG, ainda há uma lacuna significativa na compreensão detalhada das assinaturas imunes relacionadas a esta patologia, em especial em populações da região amazônica</w:t>
      </w:r>
      <w:hyperlink r:id="rId35">
        <w:r w:rsidDel="00000000" w:rsidR="00000000" w:rsidRPr="00000000">
          <w:rPr>
            <w:highlight w:val="yellow"/>
            <w:rtl w:val="0"/>
          </w:rPr>
          <w:t xml:space="preserve"> (de Araújo Fagundes </w:t>
        </w:r>
      </w:hyperlink>
      <w:hyperlink r:id="rId36">
        <w:r w:rsidDel="00000000" w:rsidR="00000000" w:rsidRPr="00000000">
          <w:rPr>
            <w:i w:val="1"/>
            <w:iCs w:val="1"/>
            <w:highlight w:val="yellow"/>
            <w:rtl w:val="0"/>
          </w:rPr>
          <w:t xml:space="preserve">et al.</w:t>
        </w:r>
      </w:hyperlink>
      <w:hyperlink r:id="rId37">
        <w:r w:rsidDel="00000000" w:rsidR="00000000" w:rsidRPr="00000000">
          <w:rPr>
            <w:highlight w:val="yellow"/>
            <w:rtl w:val="0"/>
          </w:rPr>
          <w:t xml:space="preserve"> 2024; Groen – van Schooten </w:t>
        </w:r>
      </w:hyperlink>
      <w:hyperlink r:id="rId38">
        <w:r w:rsidDel="00000000" w:rsidR="00000000" w:rsidRPr="00000000">
          <w:rPr>
            <w:i w:val="1"/>
            <w:iCs w:val="1"/>
            <w:highlight w:val="yellow"/>
            <w:rtl w:val="0"/>
          </w:rPr>
          <w:t xml:space="preserve">et al.</w:t>
        </w:r>
      </w:hyperlink>
      <w:hyperlink r:id="rId39">
        <w:r w:rsidDel="00000000" w:rsidR="00000000" w:rsidRPr="00000000">
          <w:rPr>
            <w:highlight w:val="yellow"/>
            <w:rtl w:val="0"/>
          </w:rPr>
          <w:t xml:space="preserve"> 2025)</w:t>
        </w:r>
      </w:hyperlink>
      <w:r w:rsidDel="00000000" w:rsidR="00000000" w:rsidRPr="00000000">
        <w:rPr>
          <w:highlight w:val="yellow"/>
          <w:rtl w:val="0"/>
        </w:rPr>
        <w:t xml:space="preserve">. </w:t>
      </w:r>
    </w:p>
    <w:p w:rsidR="00000000" w:rsidDel="00000000" w:rsidP="00000000" w:rsidRDefault="00000000" w:rsidRPr="00000000" w14:paraId="00000029">
      <w:pPr>
        <w:spacing w:line="240" w:lineRule="auto"/>
        <w:ind w:firstLine="720"/>
        <w:jc w:val="both"/>
        <w:rPr>
          <w:highlight w:val="yellow"/>
        </w:rPr>
      </w:pPr>
      <w:r w:rsidDel="00000000" w:rsidR="00000000" w:rsidRPr="00000000">
        <w:rPr>
          <w:rtl w:val="0"/>
        </w:rPr>
      </w:r>
    </w:p>
    <w:p w:rsidR="00000000" w:rsidDel="00000000" w:rsidP="00000000" w:rsidRDefault="00000000" w:rsidRPr="00000000" w14:paraId="0000002A">
      <w:pPr>
        <w:spacing w:line="240" w:lineRule="auto"/>
        <w:ind w:firstLine="720"/>
        <w:jc w:val="both"/>
        <w:rPr>
          <w:highlight w:val="yellow"/>
        </w:rPr>
      </w:pPr>
      <w:r w:rsidDel="00000000" w:rsidR="00000000" w:rsidRPr="00000000">
        <w:rPr>
          <w:highlight w:val="yellow"/>
          <w:rtl w:val="0"/>
        </w:rPr>
        <w:t xml:space="preserve">“A unified understanding of the immune landscape is essential to translate molecular heterogeneity into clinically actionable immune signatures.”</w:t>
      </w:r>
    </w:p>
    <w:p w:rsidR="00000000" w:rsidDel="00000000" w:rsidP="00000000" w:rsidRDefault="00000000" w:rsidRPr="00000000" w14:paraId="0000002B">
      <w:pPr>
        <w:ind w:firstLine="720"/>
        <w:rPr>
          <w:sz w:val="24"/>
          <w:szCs w:val="24"/>
          <w:highlight w:val="yellow"/>
        </w:rPr>
      </w:pPr>
      <w:r w:rsidDel="00000000" w:rsidR="00000000" w:rsidRPr="00000000">
        <w:rPr>
          <w:rtl w:val="0"/>
        </w:rPr>
      </w:r>
    </w:p>
    <w:p w:rsidR="00000000" w:rsidDel="00000000" w:rsidP="00000000" w:rsidRDefault="00000000" w:rsidRPr="00000000" w14:paraId="0000002C">
      <w:pPr>
        <w:ind w:firstLine="720"/>
        <w:rPr>
          <w:sz w:val="24"/>
          <w:szCs w:val="24"/>
          <w:highlight w:val="yellow"/>
        </w:rPr>
      </w:pPr>
      <w:r w:rsidDel="00000000" w:rsidR="00000000" w:rsidRPr="00000000">
        <w:rPr>
          <w:sz w:val="24"/>
          <w:szCs w:val="24"/>
          <w:highlight w:val="yellow"/>
          <w:rtl w:val="0"/>
        </w:rPr>
        <w:t xml:space="preserve">“The present review describes the epidemiology of GC in different regions in the world, especially in Brazil, summarizes its risk and prognostic factors, and focuses on immune signatures to develop therapeutic strategies for the management of GC patients.”</w:t>
      </w:r>
    </w:p>
    <w:p w:rsidR="00000000" w:rsidDel="00000000" w:rsidP="00000000" w:rsidRDefault="00000000" w:rsidRPr="00000000" w14:paraId="0000002D">
      <w:pPr>
        <w:spacing w:line="432" w:lineRule="auto"/>
        <w:ind w:left="0" w:firstLine="0"/>
        <w:jc w:val="both"/>
        <w:rPr/>
      </w:pPr>
      <w:r w:rsidDel="00000000" w:rsidR="00000000" w:rsidRPr="00000000">
        <w:rPr>
          <w:rtl w:val="0"/>
        </w:rPr>
      </w:r>
    </w:p>
    <w:p w:rsidR="00000000" w:rsidDel="00000000" w:rsidP="00000000" w:rsidRDefault="00000000" w:rsidRPr="00000000" w14:paraId="0000002E">
      <w:pPr>
        <w:rPr>
          <w:b w:val="1"/>
          <w:bCs w:val="1"/>
          <w:shd w:fill="ff9900" w:val="clear"/>
        </w:rPr>
      </w:pPr>
      <w:r w:rsidDel="00000000" w:rsidR="00000000" w:rsidRPr="00000000">
        <w:rPr>
          <w:b w:val="1"/>
          <w:bCs w:val="1"/>
          <w:shd w:fill="ff9900" w:val="clear"/>
          <w:rtl w:val="0"/>
        </w:rPr>
        <w:t xml:space="preserve"># Molecular Classification and Immune Context</w:t>
      </w:r>
    </w:p>
    <w:p w:rsidR="00000000" w:rsidDel="00000000" w:rsidP="00000000" w:rsidRDefault="00000000" w:rsidRPr="00000000" w14:paraId="0000002F">
      <w:pPr>
        <w:rPr>
          <w:b w:val="1"/>
          <w:bCs w:val="1"/>
          <w:shd w:fill="ff9900" w:val="clear"/>
        </w:rPr>
      </w:pPr>
      <w:r w:rsidDel="00000000" w:rsidR="00000000" w:rsidRPr="00000000">
        <w:rPr>
          <w:rtl w:val="0"/>
        </w:rPr>
      </w:r>
    </w:p>
    <w:p w:rsidR="00000000" w:rsidDel="00000000" w:rsidP="00000000" w:rsidRDefault="00000000" w:rsidRPr="00000000" w14:paraId="00000030">
      <w:pPr>
        <w:rPr>
          <w:b w:val="1"/>
          <w:bCs w:val="1"/>
          <w:highlight w:val="green"/>
        </w:rPr>
      </w:pPr>
      <w:r w:rsidDel="00000000" w:rsidR="00000000" w:rsidRPr="00000000">
        <w:rPr>
          <w:b w:val="1"/>
          <w:bCs w:val="1"/>
          <w:highlight w:val="green"/>
          <w:rtl w:val="0"/>
        </w:rPr>
        <w:t xml:space="preserve"># Cellular Architecture of the Gastric Tumor Microenvironment</w:t>
      </w:r>
    </w:p>
    <w:p w:rsidR="00000000" w:rsidDel="00000000" w:rsidP="00000000" w:rsidRDefault="00000000" w:rsidRPr="00000000" w14:paraId="00000031">
      <w:pPr>
        <w:rPr>
          <w:b w:val="1"/>
          <w:bCs w:val="1"/>
          <w:highlight w:val="green"/>
        </w:rPr>
      </w:pPr>
      <w:r w:rsidDel="00000000" w:rsidR="00000000" w:rsidRPr="00000000">
        <w:rPr>
          <w:rtl w:val="0"/>
        </w:rPr>
      </w:r>
    </w:p>
    <w:p w:rsidR="00000000" w:rsidDel="00000000" w:rsidP="00000000" w:rsidRDefault="00000000" w:rsidRPr="00000000" w14:paraId="00000032">
      <w:pPr>
        <w:rPr>
          <w:b w:val="1"/>
          <w:bCs w:val="1"/>
          <w:highlight w:val="cyan"/>
        </w:rPr>
      </w:pPr>
      <w:r w:rsidDel="00000000" w:rsidR="00000000" w:rsidRPr="00000000">
        <w:rPr>
          <w:b w:val="1"/>
          <w:bCs w:val="1"/>
          <w:highlight w:val="cyan"/>
          <w:rtl w:val="0"/>
        </w:rPr>
        <w:t xml:space="preserve">#Functional Immune States: Beyond Cell Types</w:t>
      </w:r>
    </w:p>
    <w:p w:rsidR="00000000" w:rsidDel="00000000" w:rsidP="00000000" w:rsidRDefault="00000000" w:rsidRPr="00000000" w14:paraId="00000033">
      <w:pPr>
        <w:rPr>
          <w:b w:val="1"/>
          <w:bCs w:val="1"/>
          <w:highlight w:val="cyan"/>
        </w:rPr>
      </w:pPr>
      <w:r w:rsidDel="00000000" w:rsidR="00000000" w:rsidRPr="00000000">
        <w:rPr>
          <w:rtl w:val="0"/>
        </w:rPr>
      </w:r>
    </w:p>
    <w:p w:rsidR="00000000" w:rsidDel="00000000" w:rsidP="00000000" w:rsidRDefault="00000000" w:rsidRPr="00000000" w14:paraId="00000034">
      <w:pPr>
        <w:rPr>
          <w:b w:val="1"/>
          <w:bCs w:val="1"/>
          <w:shd w:fill="c9daf8" w:val="clear"/>
        </w:rPr>
      </w:pPr>
      <w:r w:rsidDel="00000000" w:rsidR="00000000" w:rsidRPr="00000000">
        <w:rPr>
          <w:b w:val="1"/>
          <w:bCs w:val="1"/>
          <w:shd w:fill="c9daf8" w:val="clear"/>
          <w:rtl w:val="0"/>
        </w:rPr>
        <w:t xml:space="preserve">#Immune Signatures in Gastric Cancer: What Do We Know?</w:t>
      </w:r>
    </w:p>
    <w:p w:rsidR="00000000" w:rsidDel="00000000" w:rsidP="00000000" w:rsidRDefault="00000000" w:rsidRPr="00000000" w14:paraId="00000035">
      <w:pPr>
        <w:rPr>
          <w:b w:val="1"/>
          <w:bCs w:val="1"/>
          <w:shd w:fill="c9daf8" w:val="clear"/>
        </w:rPr>
      </w:pPr>
      <w:r w:rsidDel="00000000" w:rsidR="00000000" w:rsidRPr="00000000">
        <w:rPr>
          <w:rtl w:val="0"/>
        </w:rPr>
      </w:r>
    </w:p>
    <w:p w:rsidR="00000000" w:rsidDel="00000000" w:rsidP="00000000" w:rsidRDefault="00000000" w:rsidRPr="00000000" w14:paraId="00000036">
      <w:pPr>
        <w:rPr>
          <w:b w:val="1"/>
          <w:bCs w:val="1"/>
          <w:shd w:fill="dd7e6b" w:val="clear"/>
        </w:rPr>
      </w:pPr>
      <w:r w:rsidDel="00000000" w:rsidR="00000000" w:rsidRPr="00000000">
        <w:rPr>
          <w:b w:val="1"/>
          <w:bCs w:val="1"/>
          <w:shd w:fill="dd7e6b" w:val="clear"/>
          <w:rtl w:val="0"/>
        </w:rPr>
        <w:t xml:space="preserve"># Immunotherapy Response: Why Biomarkers Still Fail (Colocar mesmo?)</w:t>
      </w:r>
    </w:p>
    <w:p w:rsidR="00000000" w:rsidDel="00000000" w:rsidP="00000000" w:rsidRDefault="00000000" w:rsidRPr="00000000" w14:paraId="00000037">
      <w:pPr>
        <w:rPr>
          <w:b w:val="1"/>
          <w:bCs w:val="1"/>
          <w:shd w:fill="dd7e6b" w:val="clear"/>
        </w:rPr>
      </w:pPr>
      <w:r w:rsidDel="00000000" w:rsidR="00000000" w:rsidRPr="00000000">
        <w:rPr>
          <w:rtl w:val="0"/>
        </w:rPr>
      </w:r>
    </w:p>
    <w:p w:rsidR="00000000" w:rsidDel="00000000" w:rsidP="00000000" w:rsidRDefault="00000000" w:rsidRPr="00000000" w14:paraId="00000038">
      <w:pPr>
        <w:rPr>
          <w:b w:val="1"/>
          <w:bCs w:val="1"/>
          <w:shd w:fill="dd7e6b" w:val="clear"/>
        </w:rPr>
      </w:pPr>
      <w:r w:rsidDel="00000000" w:rsidR="00000000" w:rsidRPr="00000000">
        <w:rPr>
          <w:b w:val="1"/>
          <w:bCs w:val="1"/>
          <w:shd w:fill="f4cccc" w:val="clear"/>
          <w:rtl w:val="0"/>
        </w:rPr>
        <w:t xml:space="preserve"># Emerging Technologies Reshaping the Field (Colocar mesmo???)</w:t>
      </w:r>
      <w:r w:rsidDel="00000000" w:rsidR="00000000" w:rsidRPr="00000000">
        <w:rPr>
          <w:rtl w:val="0"/>
        </w:rPr>
      </w:r>
    </w:p>
    <w:p w:rsidR="00000000" w:rsidDel="00000000" w:rsidP="00000000" w:rsidRDefault="00000000" w:rsidRPr="00000000" w14:paraId="00000039">
      <w:pPr>
        <w:rPr>
          <w:b w:val="1"/>
          <w:bCs w:val="1"/>
          <w:shd w:fill="c9daf8" w:val="clear"/>
        </w:rPr>
      </w:pPr>
      <w:r w:rsidDel="00000000" w:rsidR="00000000" w:rsidRPr="00000000">
        <w:rPr>
          <w:rtl w:val="0"/>
        </w:rPr>
      </w:r>
    </w:p>
    <w:p w:rsidR="00000000" w:rsidDel="00000000" w:rsidP="00000000" w:rsidRDefault="00000000" w:rsidRPr="00000000" w14:paraId="0000003A">
      <w:pPr>
        <w:rPr>
          <w:b w:val="1"/>
          <w:bCs w:val="1"/>
          <w:shd w:fill="c9daf8" w:val="clear"/>
        </w:rPr>
      </w:pPr>
      <w:r w:rsidDel="00000000" w:rsidR="00000000" w:rsidRPr="00000000">
        <w:rPr>
          <w:b w:val="1"/>
          <w:bCs w:val="1"/>
          <w:shd w:fill="b4a7d6" w:val="clear"/>
          <w:rtl w:val="0"/>
        </w:rPr>
        <w:t xml:space="preserve"># Gaps, Biases and Underrepresented Populations</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zotero.org/google-docs/?32zSrz" TargetMode="External"/><Relationship Id="rId22" Type="http://schemas.openxmlformats.org/officeDocument/2006/relationships/hyperlink" Target="https://www.zotero.org/google-docs/?32zSrz" TargetMode="External"/><Relationship Id="rId21" Type="http://schemas.openxmlformats.org/officeDocument/2006/relationships/hyperlink" Target="https://www.zotero.org/google-docs/?32zSrz" TargetMode="External"/><Relationship Id="rId24" Type="http://schemas.openxmlformats.org/officeDocument/2006/relationships/hyperlink" Target="https://www.zotero.org/google-docs/?ejepl3" TargetMode="External"/><Relationship Id="rId23" Type="http://schemas.openxmlformats.org/officeDocument/2006/relationships/hyperlink" Target="https://www.zotero.org/google-docs/?32zSrz"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zotero.org/google-docs/?eCQaOy" TargetMode="External"/><Relationship Id="rId26" Type="http://schemas.openxmlformats.org/officeDocument/2006/relationships/hyperlink" Target="https://www.zotero.org/google-docs/?ejepl3" TargetMode="External"/><Relationship Id="rId25" Type="http://schemas.openxmlformats.org/officeDocument/2006/relationships/hyperlink" Target="https://www.zotero.org/google-docs/?ejepl3" TargetMode="External"/><Relationship Id="rId28" Type="http://schemas.openxmlformats.org/officeDocument/2006/relationships/hyperlink" Target="https://www.zotero.org/google-docs/?Z5P4EJ" TargetMode="External"/><Relationship Id="rId27" Type="http://schemas.openxmlformats.org/officeDocument/2006/relationships/hyperlink" Target="https://www.zotero.org/google-docs/?ejepl3" TargetMode="External"/><Relationship Id="rId5" Type="http://schemas.openxmlformats.org/officeDocument/2006/relationships/styles" Target="styles.xml"/><Relationship Id="rId6" Type="http://schemas.openxmlformats.org/officeDocument/2006/relationships/hyperlink" Target="https://www.zotero.org/google-docs/?QngtfY" TargetMode="External"/><Relationship Id="rId29" Type="http://schemas.openxmlformats.org/officeDocument/2006/relationships/hyperlink" Target="https://www.zotero.org/google-docs/?Z5P4EJ" TargetMode="External"/><Relationship Id="rId7" Type="http://schemas.openxmlformats.org/officeDocument/2006/relationships/hyperlink" Target="https://www.zotero.org/google-docs/?QngtfY" TargetMode="External"/><Relationship Id="rId8" Type="http://schemas.openxmlformats.org/officeDocument/2006/relationships/hyperlink" Target="https://www.zotero.org/google-docs/?QngtfY" TargetMode="External"/><Relationship Id="rId31" Type="http://schemas.openxmlformats.org/officeDocument/2006/relationships/hyperlink" Target="https://www.zotero.org/google-docs/?Z5P4EJ" TargetMode="External"/><Relationship Id="rId30" Type="http://schemas.openxmlformats.org/officeDocument/2006/relationships/hyperlink" Target="https://www.zotero.org/google-docs/?Z5P4EJ" TargetMode="External"/><Relationship Id="rId11" Type="http://schemas.openxmlformats.org/officeDocument/2006/relationships/hyperlink" Target="https://www.zotero.org/google-docs/?eCQaOy" TargetMode="External"/><Relationship Id="rId33" Type="http://schemas.openxmlformats.org/officeDocument/2006/relationships/hyperlink" Target="https://www.zotero.org/google-docs/?Z5P4EJ" TargetMode="External"/><Relationship Id="rId10" Type="http://schemas.openxmlformats.org/officeDocument/2006/relationships/hyperlink" Target="https://www.zotero.org/google-docs/?eCQaOy" TargetMode="External"/><Relationship Id="rId32" Type="http://schemas.openxmlformats.org/officeDocument/2006/relationships/hyperlink" Target="https://www.zotero.org/google-docs/?Z5P4EJ" TargetMode="External"/><Relationship Id="rId13" Type="http://schemas.openxmlformats.org/officeDocument/2006/relationships/hyperlink" Target="https://www.zotero.org/google-docs/?y9rean" TargetMode="External"/><Relationship Id="rId35" Type="http://schemas.openxmlformats.org/officeDocument/2006/relationships/hyperlink" Target="https://www.zotero.org/google-docs/?pxfsSy" TargetMode="External"/><Relationship Id="rId12" Type="http://schemas.openxmlformats.org/officeDocument/2006/relationships/hyperlink" Target="https://www.zotero.org/google-docs/?y9rean" TargetMode="External"/><Relationship Id="rId34" Type="http://schemas.openxmlformats.org/officeDocument/2006/relationships/hyperlink" Target="https://www.zotero.org/google-docs/?Z5P4EJ" TargetMode="External"/><Relationship Id="rId15" Type="http://schemas.openxmlformats.org/officeDocument/2006/relationships/hyperlink" Target="https://www.zotero.org/google-docs/?hYQCHb" TargetMode="External"/><Relationship Id="rId37" Type="http://schemas.openxmlformats.org/officeDocument/2006/relationships/hyperlink" Target="https://www.zotero.org/google-docs/?pxfsSy" TargetMode="External"/><Relationship Id="rId14" Type="http://schemas.openxmlformats.org/officeDocument/2006/relationships/hyperlink" Target="https://www.zotero.org/google-docs/?y9rean" TargetMode="External"/><Relationship Id="rId36" Type="http://schemas.openxmlformats.org/officeDocument/2006/relationships/hyperlink" Target="https://www.zotero.org/google-docs/?pxfsSy" TargetMode="External"/><Relationship Id="rId17" Type="http://schemas.openxmlformats.org/officeDocument/2006/relationships/hyperlink" Target="https://www.zotero.org/google-docs/?ikheDY" TargetMode="External"/><Relationship Id="rId39" Type="http://schemas.openxmlformats.org/officeDocument/2006/relationships/hyperlink" Target="https://www.zotero.org/google-docs/?pxfsSy" TargetMode="External"/><Relationship Id="rId16" Type="http://schemas.openxmlformats.org/officeDocument/2006/relationships/hyperlink" Target="https://www.zotero.org/google-docs/?hYQCHb" TargetMode="External"/><Relationship Id="rId38" Type="http://schemas.openxmlformats.org/officeDocument/2006/relationships/hyperlink" Target="https://www.zotero.org/google-docs/?pxfsSy" TargetMode="External"/><Relationship Id="rId19" Type="http://schemas.openxmlformats.org/officeDocument/2006/relationships/hyperlink" Target="https://www.zotero.org/google-docs/?ikheDY" TargetMode="External"/><Relationship Id="rId18" Type="http://schemas.openxmlformats.org/officeDocument/2006/relationships/hyperlink" Target="https://www.zotero.org/google-docs/?ikheD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