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" w:lineRule="auto"/>
        <w:rPr/>
      </w:pPr>
      <w:r w:rsidDel="00000000" w:rsidR="00000000" w:rsidRPr="00000000">
        <w:rPr>
          <w:b w:val="1"/>
          <w:bCs w:val="1"/>
          <w:color w:val="4a90d9"/>
          <w:sz w:val="15"/>
          <w:szCs w:val="15"/>
          <w:rtl w:val="0"/>
        </w:rPr>
        <w:t xml:space="preserve">CASE BI KINEA — MEMO EXECUTIVO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Rule="auto"/>
        <w:rPr/>
      </w:pPr>
      <w:r w:rsidDel="00000000" w:rsidR="00000000" w:rsidRPr="00000000">
        <w:rPr>
          <w:b w:val="1"/>
          <w:bCs w:val="1"/>
          <w:color w:val="0b2545"/>
          <w:sz w:val="28"/>
          <w:szCs w:val="28"/>
          <w:rtl w:val="0"/>
        </w:rPr>
        <w:t xml:space="preserve">Kinea × XP: Inteligência Competitiva na Prateleira Pública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d9d9d9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00"/>
        <w:gridCol w:w="3975"/>
        <w:gridCol w:w="1200"/>
        <w:gridCol w:w="2975"/>
        <w:tblGridChange w:id="0">
          <w:tblGrid>
            <w:gridCol w:w="1200"/>
            <w:gridCol w:w="3975"/>
            <w:gridCol w:w="1200"/>
            <w:gridCol w:w="2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5b6472"/>
                <w:sz w:val="16"/>
                <w:szCs w:val="16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Comitê de avaliação </w:t>
            </w: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- </w:t>
            </w:r>
            <w:r w:rsidDel="00000000" w:rsidR="00000000" w:rsidRPr="00000000">
              <w:rPr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Kinea Investimentos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5b6472"/>
                <w:sz w:val="16"/>
                <w:szCs w:val="16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31 de Agosto</w:t>
            </w:r>
            <w:r w:rsidDel="00000000" w:rsidR="00000000" w:rsidRPr="00000000">
              <w:rPr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5b6472"/>
                <w:sz w:val="16"/>
                <w:szCs w:val="16"/>
                <w:rtl w:val="0"/>
              </w:rPr>
              <w:t xml:space="preserve">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Juliana Manso Murakami</w:t>
            </w: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 - </w:t>
            </w:r>
            <w:r w:rsidDel="00000000" w:rsidR="00000000" w:rsidRPr="00000000">
              <w:rPr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 Processo seletivo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5b6472"/>
                <w:sz w:val="16"/>
                <w:szCs w:val="16"/>
                <w:rtl w:val="0"/>
              </w:rPr>
              <w:t xml:space="preserve">Assunto: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6"/>
                <w:szCs w:val="16"/>
                <w:rtl w:val="0"/>
              </w:rPr>
              <w:t xml:space="preserve">Posicionamento dos 17 fundos Kinea na prateleira XP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Bdr>
          <w:bottom w:color="4a90d9" w:space="4" w:sz="6" w:val="single"/>
        </w:pBdr>
        <w:spacing w:after="90" w:before="200" w:lineRule="auto"/>
        <w:rPr/>
      </w:pPr>
      <w:r w:rsidDel="00000000" w:rsidR="00000000" w:rsidRPr="00000000">
        <w:rPr>
          <w:b w:val="1"/>
          <w:bCs w:val="1"/>
          <w:color w:val="0b2545"/>
          <w:sz w:val="21"/>
          <w:szCs w:val="2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68" w:lineRule="auto"/>
        <w:rPr/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Mapear como os </w:t>
      </w: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17 fundos públicos da Kinea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 estão posicionados na prateleira pública da XP em quatro dimensões - </w:t>
      </w: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Produto, Liquidez e custos, Retorno e risco e Conteúdo e diferenciação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 e recomendar as ações de Comercial e Marketing a priorizar nos próximos 90 dias. A XP foi tratada simultaneamente como cliente (canal a otimizar) e como distribuidora (concorrência aparece na mesma prateleira).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4a90d9" w:space="4" w:sz="6" w:val="single"/>
        </w:pBdr>
        <w:spacing w:after="90" w:before="200" w:lineRule="auto"/>
        <w:rPr/>
      </w:pPr>
      <w:r w:rsidDel="00000000" w:rsidR="00000000" w:rsidRPr="00000000">
        <w:rPr>
          <w:b w:val="1"/>
          <w:bCs w:val="1"/>
          <w:color w:val="0b2545"/>
          <w:sz w:val="21"/>
          <w:szCs w:val="21"/>
          <w:rtl w:val="0"/>
        </w:rPr>
        <w:t xml:space="preserve">Método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68" w:lineRule="auto"/>
        <w:rPr/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Cada fundo foi comparado a concorrentes reais agrupados por </w:t>
      </w: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similaridade de estratégia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 - não pela classificação ANBIMA/CVM genérica, usando dados públicos e verificáveis da ficha XP e da CVM Dados Abertos, com critério de desvantagem sensível ao tipo de métrica (+30% em taxas, -2 p.p. em retorno, refletindo maior variância natural de performance).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4a90d9" w:space="4" w:sz="6" w:val="single"/>
        </w:pBdr>
        <w:spacing w:after="90" w:before="200" w:lineRule="auto"/>
        <w:rPr/>
      </w:pPr>
      <w:r w:rsidDel="00000000" w:rsidR="00000000" w:rsidRPr="00000000">
        <w:rPr>
          <w:b w:val="1"/>
          <w:bCs w:val="1"/>
          <w:color w:val="0b2545"/>
          <w:sz w:val="21"/>
          <w:szCs w:val="21"/>
          <w:rtl w:val="0"/>
        </w:rPr>
        <w:t xml:space="preserve">Diagnóstico agregado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0" w:line="268" w:lineRule="auto"/>
        <w:rPr/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Dos </w:t>
      </w: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68 pares fundo × dimensão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 avaliados: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70" w:line="260" w:lineRule="auto"/>
        <w:ind w:left="720" w:hanging="360"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39 bem posicionados (57%)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 — a maioria dos pares Kinea está em linha ou à frente dos concorrentes diretos.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70" w:line="260" w:lineRule="auto"/>
        <w:ind w:left="720" w:hanging="360"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17 em desvantagem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 — concentrados em Liquidez e custos: taxa de administração acima da mediana dos concorrentes diretos é o padrão mais recorrente do portfólio.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70" w:line="260" w:lineRule="auto"/>
        <w:ind w:left="720" w:hanging="360"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5 mal comunicados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 — concentrados em Alpes Prev, KDIF11 e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KNHY11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: a ficha pública não reflete um resultado que o fundo já 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70" w:line="260" w:lineRule="auto"/>
        <w:ind w:left="720" w:hanging="360"/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7 em limitação de categoria/plataforma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 — nem a Kinea nem o concorrente têm o dado; não contam como desvantagem competitiva.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4a90d9" w:space="3" w:sz="6" w:val="single"/>
        </w:pBdr>
        <w:spacing w:after="70" w:before="160" w:lineRule="auto"/>
        <w:rPr/>
      </w:pPr>
      <w:r w:rsidDel="00000000" w:rsidR="00000000" w:rsidRPr="00000000">
        <w:rPr>
          <w:b w:val="1"/>
          <w:bCs w:val="1"/>
          <w:color w:val="0b2545"/>
          <w:sz w:val="19"/>
          <w:szCs w:val="19"/>
          <w:rtl w:val="0"/>
        </w:rPr>
        <w:t xml:space="preserve">Recomendações — três prioridades para os próximos 90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="250" w:lineRule="auto"/>
        <w:rPr>
          <w:color w:val="1a1a1a"/>
          <w:sz w:val="17"/>
          <w:szCs w:val="17"/>
        </w:rPr>
      </w:pPr>
      <w:r w:rsidDel="00000000" w:rsidR="00000000" w:rsidRPr="00000000">
        <w:rPr>
          <w:color w:val="1a1a1a"/>
          <w:sz w:val="17"/>
          <w:szCs w:val="17"/>
          <w:rtl w:val="0"/>
        </w:rPr>
        <w:t xml:space="preserve">Dentre os 6 fundos documentados, priorizamos os 3 casos com o desvio mais relevante frente aos pares. Cada recomendação separa explicitamente </w:t>
      </w:r>
      <w:r w:rsidDel="00000000" w:rsidR="00000000" w:rsidRPr="00000000">
        <w:rPr>
          <w:b w:val="1"/>
          <w:bCs w:val="1"/>
          <w:color w:val="1a1a1a"/>
          <w:sz w:val="17"/>
          <w:szCs w:val="17"/>
          <w:rtl w:val="0"/>
        </w:rPr>
        <w:t xml:space="preserve">fato</w:t>
      </w:r>
      <w:r w:rsidDel="00000000" w:rsidR="00000000" w:rsidRPr="00000000">
        <w:rPr>
          <w:color w:val="1a1a1a"/>
          <w:sz w:val="17"/>
          <w:szCs w:val="17"/>
          <w:rtl w:val="0"/>
        </w:rPr>
        <w:t xml:space="preserve"> (o que os dados mostram), </w:t>
      </w:r>
      <w:r w:rsidDel="00000000" w:rsidR="00000000" w:rsidRPr="00000000">
        <w:rPr>
          <w:b w:val="1"/>
          <w:bCs w:val="1"/>
          <w:color w:val="1a1a1a"/>
          <w:sz w:val="17"/>
          <w:szCs w:val="17"/>
          <w:rtl w:val="0"/>
        </w:rPr>
        <w:t xml:space="preserve">inferência</w:t>
      </w:r>
      <w:r w:rsidDel="00000000" w:rsidR="00000000" w:rsidRPr="00000000">
        <w:rPr>
          <w:color w:val="1a1a1a"/>
          <w:sz w:val="17"/>
          <w:szCs w:val="17"/>
          <w:rtl w:val="0"/>
        </w:rPr>
        <w:t xml:space="preserve"> (o que isso sugere) e </w:t>
      </w:r>
      <w:r w:rsidDel="00000000" w:rsidR="00000000" w:rsidRPr="00000000">
        <w:rPr>
          <w:b w:val="1"/>
          <w:bCs w:val="1"/>
          <w:color w:val="1a1a1a"/>
          <w:sz w:val="17"/>
          <w:szCs w:val="17"/>
          <w:rtl w:val="0"/>
        </w:rPr>
        <w:t xml:space="preserve">hipótese</w:t>
      </w:r>
      <w:r w:rsidDel="00000000" w:rsidR="00000000" w:rsidRPr="00000000">
        <w:rPr>
          <w:color w:val="1a1a1a"/>
          <w:sz w:val="17"/>
          <w:szCs w:val="17"/>
          <w:rtl w:val="0"/>
        </w:rPr>
        <w:t xml:space="preserve"> (o resultado esperado, ainda não validado) — estrutura completa também disponível em `</w:t>
      </w:r>
      <w:r w:rsidDel="00000000" w:rsidR="00000000" w:rsidRPr="00000000">
        <w:rPr>
          <w:color w:val="1a1a1a"/>
          <w:sz w:val="17"/>
          <w:szCs w:val="17"/>
          <w:rtl w:val="0"/>
        </w:rPr>
        <w:t xml:space="preserve">recomendacoes.csv</w:t>
      </w:r>
      <w:r w:rsidDel="00000000" w:rsidR="00000000" w:rsidRPr="00000000">
        <w:rPr>
          <w:color w:val="1a1a1a"/>
          <w:sz w:val="17"/>
          <w:szCs w:val="17"/>
          <w:rtl w:val="0"/>
        </w:rPr>
        <w:t xml:space="preserve">` e na aba Recomendações do dashboard.</w:t>
      </w:r>
    </w:p>
    <w:p w:rsidR="00000000" w:rsidDel="00000000" w:rsidP="00000000" w:rsidRDefault="00000000" w:rsidRPr="00000000" w14:paraId="00000017">
      <w:pPr>
        <w:spacing w:after="100" w:line="250" w:lineRule="auto"/>
        <w:rPr>
          <w:color w:val="1a1a1a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1"/>
          <w:tblHeader w:val="0"/>
        </w:trPr>
        <w:tc>
          <w:tcPr>
            <w:shd w:fill="f4f6f8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19"/>
                <w:szCs w:val="19"/>
                <w:rtl w:val="0"/>
              </w:rPr>
              <w:t xml:space="preserve">KNIP11</w:t>
            </w:r>
            <w:r w:rsidDel="00000000" w:rsidR="00000000" w:rsidRPr="00000000">
              <w:rPr>
                <w:b w:val="1"/>
                <w:bCs w:val="1"/>
                <w:color w:val="0b2545"/>
                <w:sz w:val="19"/>
                <w:szCs w:val="19"/>
                <w:rtl w:val="0"/>
              </w:rPr>
              <w:t xml:space="preserve">  </w:t>
            </w:r>
            <w:r w:rsidDel="00000000" w:rsidR="00000000" w:rsidRPr="00000000">
              <w:rPr>
                <w:i w:val="1"/>
                <w:iCs w:val="1"/>
                <w:color w:val="5b6472"/>
                <w:sz w:val="16"/>
                <w:szCs w:val="16"/>
                <w:rtl w:val="0"/>
              </w:rPr>
              <w:t xml:space="preserve">— </w:t>
            </w:r>
            <w:r w:rsidDel="00000000" w:rsidR="00000000" w:rsidRPr="00000000">
              <w:rPr>
                <w:b w:val="1"/>
                <w:bCs w:val="1"/>
                <w:color w:val="5b6472"/>
                <w:sz w:val="16"/>
                <w:szCs w:val="16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nvestigar antes de agir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Problema/oportunidade: </w:t>
            </w:r>
            <w:r w:rsidDel="00000000" w:rsidR="00000000" w:rsidRPr="00000000">
              <w:rPr>
                <w:b w:val="1"/>
                <w:bCs w:val="1"/>
                <w:color w:val="0b2545"/>
                <w:sz w:val="14"/>
                <w:szCs w:val="14"/>
                <w:rtl w:val="0"/>
              </w:rPr>
              <w:t xml:space="preserve">[FATO] 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retorno no ano de -2,96% enquanto os 2 pares diretos de papel/recebíveis (XPCI11, CPTS11) têm mediana de +9,24% — maior desvio negativo entre os 17 fundos Kinea.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Evidência: </w:t>
            </w:r>
            <w:r w:rsidDel="00000000" w:rsidR="00000000" w:rsidRPr="00000000">
              <w:rPr>
                <w:b w:val="1"/>
                <w:bCs w:val="1"/>
                <w:color w:val="0b2545"/>
                <w:sz w:val="14"/>
                <w:szCs w:val="14"/>
                <w:rtl w:val="0"/>
              </w:rPr>
              <w:t xml:space="preserve">[FATO] 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desvio de -12,2 p.p. vs. mediana do grupo; taxa de administração (1,00%) também acima da mediana ampla do mercado FII (0,43%).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Ação proposta: </w:t>
            </w:r>
            <w:r w:rsidDel="00000000" w:rsidR="00000000" w:rsidRPr="00000000">
              <w:rPr>
                <w:b w:val="1"/>
                <w:bCs w:val="1"/>
                <w:color w:val="4a90d9"/>
                <w:sz w:val="14"/>
                <w:szCs w:val="14"/>
                <w:rtl w:val="0"/>
              </w:rPr>
              <w:t xml:space="preserve">[INFERÊNCIA] 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priorizar o fundo para revisão de estratégia/comunicação antes de qualquer ação comercial - é o maior desvio negativo do portfólio.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Impacto esperado: </w:t>
            </w:r>
            <w:r w:rsidDel="00000000" w:rsidR="00000000" w:rsidRPr="00000000">
              <w:rPr>
                <w:b w:val="1"/>
                <w:bCs w:val="1"/>
                <w:color w:val="b8860b"/>
                <w:sz w:val="14"/>
                <w:szCs w:val="14"/>
                <w:rtl w:val="0"/>
              </w:rPr>
              <w:t xml:space="preserve">[HIPÓTESE] 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mitigação do maior risco reputacional de underperformance combinado a taxa acima do mercado entre os 17 fundos.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Métrica de acompanhamento: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retorno relativo trimestral vs. grupo; NPS/reclamações de clientes.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Dependências: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atribuição de performance interna da gestão (não pública).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5b6472"/>
                <w:sz w:val="15"/>
                <w:szCs w:val="15"/>
                <w:rtl w:val="0"/>
              </w:rPr>
              <w:t xml:space="preserve">Responsável sugerido: </w:t>
            </w:r>
            <w:r w:rsidDel="00000000" w:rsidR="00000000" w:rsidRPr="00000000">
              <w:rPr>
                <w:color w:val="5b6472"/>
                <w:sz w:val="15"/>
                <w:szCs w:val="15"/>
                <w:rtl w:val="0"/>
              </w:rPr>
              <w:t xml:space="preserve">Comercial / Marketing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7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1"/>
          <w:tblHeader w:val="0"/>
        </w:trPr>
        <w:tc>
          <w:tcPr>
            <w:shd w:fill="f4f6f8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19"/>
                <w:szCs w:val="19"/>
                <w:rtl w:val="0"/>
              </w:rPr>
              <w:t xml:space="preserve">KDIF11</w:t>
            </w:r>
            <w:r w:rsidDel="00000000" w:rsidR="00000000" w:rsidRPr="00000000">
              <w:rPr>
                <w:b w:val="1"/>
                <w:bCs w:val="1"/>
                <w:color w:val="0b2545"/>
                <w:sz w:val="19"/>
                <w:szCs w:val="19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— Corrigir a ficha pública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Problema/oportunidade: </w:t>
            </w:r>
            <w:r w:rsidDel="00000000" w:rsidR="00000000" w:rsidRPr="00000000">
              <w:rPr>
                <w:b w:val="1"/>
                <w:bCs w:val="1"/>
                <w:color w:val="0b2545"/>
                <w:sz w:val="14"/>
                <w:szCs w:val="14"/>
                <w:rtl w:val="0"/>
              </w:rPr>
              <w:t xml:space="preserve">[FATO] 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ficha da XP retorna Rentabilidade "0%" nas 6 janelas (Fundo, IBOV, CDI), não expõe cotistas/PL que concorrentes diretos expõem, e não exibe o campo Público, presente nos outros 4 FIIs Kinea no mesmo template.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Evidência: </w:t>
            </w:r>
            <w:r w:rsidDel="00000000" w:rsidR="00000000" w:rsidRPr="00000000">
              <w:rPr>
                <w:b w:val="1"/>
                <w:bCs w:val="1"/>
                <w:color w:val="0b2545"/>
                <w:sz w:val="14"/>
                <w:szCs w:val="14"/>
                <w:rtl w:val="0"/>
              </w:rPr>
              <w:t xml:space="preserve">[FATO] 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retorno real de 15,28% em 12 meses (maisretorno.com, supletiva) — +5,75 p.p. acima da mediana dos pares diretos de infra (9,53%) — não chega ao investidor pelo canal principal; ficha 50% incompleta.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Ação proposta: </w:t>
            </w:r>
            <w:r w:rsidDel="00000000" w:rsidR="00000000" w:rsidRPr="00000000">
              <w:rPr>
                <w:b w:val="1"/>
                <w:bCs w:val="1"/>
                <w:color w:val="4a90d9"/>
                <w:sz w:val="14"/>
                <w:szCs w:val="14"/>
                <w:rtl w:val="0"/>
              </w:rPr>
              <w:t xml:space="preserve">[INFERÊNCIA] 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acionar relacionamento com a XP para corrigir, num único pedido, a tabela de Rentabilidade, os campos de cotistas/PL e o campo Público ausentes.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Impacto esperado: </w:t>
            </w:r>
            <w:r w:rsidDel="00000000" w:rsidR="00000000" w:rsidRPr="00000000">
              <w:rPr>
                <w:b w:val="1"/>
                <w:bCs w:val="1"/>
                <w:color w:val="b8860b"/>
                <w:sz w:val="14"/>
                <w:szCs w:val="14"/>
                <w:rtl w:val="0"/>
              </w:rPr>
              <w:t xml:space="preserve">[HIPÓTESE] 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reduzir a barreira de informação que pode estar represando captação — maior potencial de impacto imediato, sem mudança de produto.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Métrica de acompanhamento: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tempo até correção da ficha; completude de ficha (hoje 50%); captação do KDIF11 antes/depois.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Dependências: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correção depende da XP — fora do controle direto da Kinea.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5b6472"/>
                <w:sz w:val="15"/>
                <w:szCs w:val="15"/>
                <w:rtl w:val="0"/>
              </w:rPr>
              <w:t xml:space="preserve">Responsável sugerido: </w:t>
            </w:r>
            <w:r w:rsidDel="00000000" w:rsidR="00000000" w:rsidRPr="00000000">
              <w:rPr>
                <w:color w:val="5b6472"/>
                <w:sz w:val="15"/>
                <w:szCs w:val="15"/>
                <w:rtl w:val="0"/>
              </w:rPr>
              <w:t xml:space="preserve">Distribuição / Relacionamento com XP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7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1"/>
          <w:tblHeader w:val="0"/>
        </w:trPr>
        <w:tc>
          <w:tcPr>
            <w:shd w:fill="f4f6f8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b2545"/>
                <w:sz w:val="19"/>
                <w:szCs w:val="19"/>
                <w:rtl w:val="0"/>
              </w:rPr>
              <w:t xml:space="preserve">KNHY11</w:t>
            </w:r>
            <w:r w:rsidDel="00000000" w:rsidR="00000000" w:rsidRPr="00000000">
              <w:rPr>
                <w:b w:val="1"/>
                <w:bCs w:val="1"/>
                <w:color w:val="0b2545"/>
                <w:sz w:val="19"/>
                <w:szCs w:val="19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— Reposicionar a narrativa da taxa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Problema/oportunidade: </w:t>
            </w:r>
            <w:r w:rsidDel="00000000" w:rsidR="00000000" w:rsidRPr="00000000">
              <w:rPr>
                <w:b w:val="1"/>
                <w:bCs w:val="1"/>
                <w:color w:val="0b2545"/>
                <w:sz w:val="14"/>
                <w:szCs w:val="14"/>
                <w:rtl w:val="0"/>
              </w:rPr>
              <w:t xml:space="preserve">[FATO] 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taxa de administração 62% acima da mediana concorrente (1,60% vs. 0,98%), em um ano ruim para o segmento CRI/high yield.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Evidência: </w:t>
            </w:r>
            <w:r w:rsidDel="00000000" w:rsidR="00000000" w:rsidRPr="00000000">
              <w:rPr>
                <w:b w:val="1"/>
                <w:bCs w:val="1"/>
                <w:color w:val="0b2545"/>
                <w:sz w:val="14"/>
                <w:szCs w:val="14"/>
                <w:rtl w:val="0"/>
              </w:rPr>
              <w:t xml:space="preserve">[FATO] 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retorno -1,90% no ano vs. mediana dos concorrentes de -7,38% — o fundo perdeu significativamente menos que o mercado.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Ação proposta: </w:t>
            </w:r>
            <w:r w:rsidDel="00000000" w:rsidR="00000000" w:rsidRPr="00000000">
              <w:rPr>
                <w:b w:val="1"/>
                <w:bCs w:val="1"/>
                <w:color w:val="4a90d9"/>
                <w:sz w:val="14"/>
                <w:szCs w:val="14"/>
                <w:rtl w:val="0"/>
              </w:rPr>
              <w:t xml:space="preserve">[INFERÊNCIA] 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reposicionar a comunicação como "gestão ativa amorteceu a perda em um ano difícil para o setor", em vez de deixar a taxa sem contexto ao lado do retorno negativo. Não reduzir a taxa.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Impacto esperado: </w:t>
            </w:r>
            <w:r w:rsidDel="00000000" w:rsidR="00000000" w:rsidRPr="00000000">
              <w:rPr>
                <w:b w:val="1"/>
                <w:bCs w:val="1"/>
                <w:color w:val="b8860b"/>
                <w:sz w:val="14"/>
                <w:szCs w:val="14"/>
                <w:rtl w:val="0"/>
              </w:rPr>
              <w:t xml:space="preserve">[HIPÓTESE] 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reduzir a percepção negativa da combinação taxa alta + retorno negativo.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Métrica de acompanhamento: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resgates líquidos do próximo trimestre.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55" w:line="23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5"/>
                <w:szCs w:val="15"/>
                <w:rtl w:val="0"/>
              </w:rPr>
              <w:t xml:space="preserve">Dependências: </w:t>
            </w:r>
            <w:r w:rsidDel="00000000" w:rsidR="00000000" w:rsidRPr="00000000">
              <w:rPr>
                <w:color w:val="1a1a1a"/>
                <w:sz w:val="15"/>
                <w:szCs w:val="15"/>
                <w:rtl w:val="0"/>
              </w:rPr>
              <w:t xml:space="preserve">nenhuma dependência crítica — é só ajuste de conteúdo/comunicação.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5b6472"/>
                <w:sz w:val="15"/>
                <w:szCs w:val="15"/>
                <w:rtl w:val="0"/>
              </w:rPr>
              <w:t xml:space="preserve">Responsável sugerido: </w:t>
            </w:r>
            <w:r w:rsidDel="00000000" w:rsidR="00000000" w:rsidRPr="00000000">
              <w:rPr>
                <w:color w:val="5b6472"/>
                <w:sz w:val="15"/>
                <w:szCs w:val="15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Bdr>
          <w:bottom w:color="4a90d9" w:space="3" w:sz="6" w:val="single"/>
        </w:pBdr>
        <w:spacing w:after="70" w:before="160" w:lineRule="auto"/>
        <w:rPr>
          <w:b w:val="1"/>
          <w:bCs w:val="1"/>
          <w:color w:val="0b254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4a90d9" w:space="3" w:sz="6" w:val="single"/>
        </w:pBdr>
        <w:spacing w:after="70" w:before="160" w:lineRule="auto"/>
        <w:rPr/>
      </w:pPr>
      <w:r w:rsidDel="00000000" w:rsidR="00000000" w:rsidRPr="00000000">
        <w:rPr>
          <w:b w:val="1"/>
          <w:bCs w:val="1"/>
          <w:color w:val="0b2545"/>
          <w:sz w:val="19"/>
          <w:szCs w:val="19"/>
          <w:rtl w:val="0"/>
        </w:rPr>
        <w:t xml:space="preserve">Outras recomendações documentadas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="250" w:lineRule="auto"/>
        <w:rPr/>
      </w:pPr>
      <w:r w:rsidDel="00000000" w:rsidR="00000000" w:rsidRPr="00000000">
        <w:rPr>
          <w:color w:val="1a1a1a"/>
          <w:sz w:val="17"/>
          <w:szCs w:val="17"/>
          <w:rtl w:val="0"/>
        </w:rPr>
        <w:t xml:space="preserve">Três recomendações adicionais seguem a mesma estrutura completa (fato/inferência/hipótese) em `</w:t>
      </w:r>
      <w:r w:rsidDel="00000000" w:rsidR="00000000" w:rsidRPr="00000000">
        <w:rPr>
          <w:color w:val="1a1a1a"/>
          <w:sz w:val="17"/>
          <w:szCs w:val="17"/>
          <w:rtl w:val="0"/>
        </w:rPr>
        <w:t xml:space="preserve">recomendacoes.csv</w:t>
      </w:r>
      <w:r w:rsidDel="00000000" w:rsidR="00000000" w:rsidRPr="00000000">
        <w:rPr>
          <w:color w:val="1a1a1a"/>
          <w:sz w:val="17"/>
          <w:szCs w:val="17"/>
          <w:rtl w:val="0"/>
        </w:rPr>
        <w:t xml:space="preserve">` e na aba Recomendações do dashboard: </w:t>
      </w:r>
      <w:r w:rsidDel="00000000" w:rsidR="00000000" w:rsidRPr="00000000">
        <w:rPr>
          <w:b w:val="1"/>
          <w:bCs w:val="1"/>
          <w:color w:val="1a1a1a"/>
          <w:sz w:val="17"/>
          <w:szCs w:val="17"/>
          <w:rtl w:val="0"/>
        </w:rPr>
        <w:t xml:space="preserve">KNCR11</w:t>
      </w:r>
      <w:r w:rsidDel="00000000" w:rsidR="00000000" w:rsidRPr="00000000">
        <w:rPr>
          <w:color w:val="1a1a1a"/>
          <w:sz w:val="17"/>
          <w:szCs w:val="17"/>
          <w:rtl w:val="0"/>
        </w:rPr>
        <w:t xml:space="preserve"> - investigar causa de retorno abaixo do mercado combinado a taxa acima do padrão (Gestão do fundo + Comercial); </w:t>
      </w:r>
      <w:r w:rsidDel="00000000" w:rsidR="00000000" w:rsidRPr="00000000">
        <w:rPr>
          <w:b w:val="1"/>
          <w:bCs w:val="1"/>
          <w:color w:val="1a1a1a"/>
          <w:sz w:val="17"/>
          <w:szCs w:val="17"/>
          <w:rtl w:val="0"/>
        </w:rPr>
        <w:t xml:space="preserve">KFOF11</w:t>
      </w:r>
      <w:r w:rsidDel="00000000" w:rsidR="00000000" w:rsidRPr="00000000">
        <w:rPr>
          <w:color w:val="1a1a1a"/>
          <w:sz w:val="17"/>
          <w:szCs w:val="17"/>
          <w:rtl w:val="0"/>
        </w:rPr>
        <w:t xml:space="preserve"> - ampliar comunicação de desempenho forte frente aos pares (Marketing + Comercial); </w:t>
      </w:r>
      <w:r w:rsidDel="00000000" w:rsidR="00000000" w:rsidRPr="00000000">
        <w:rPr>
          <w:b w:val="1"/>
          <w:bCs w:val="1"/>
          <w:color w:val="1a1a1a"/>
          <w:sz w:val="17"/>
          <w:szCs w:val="17"/>
          <w:rtl w:val="0"/>
        </w:rPr>
        <w:t xml:space="preserve">Kinea Oportunidade FIF RF CP</w:t>
      </w:r>
      <w:r w:rsidDel="00000000" w:rsidR="00000000" w:rsidRPr="00000000">
        <w:rPr>
          <w:color w:val="1a1a1a"/>
          <w:sz w:val="17"/>
          <w:szCs w:val="17"/>
          <w:rtl w:val="0"/>
        </w:rPr>
        <w:t xml:space="preserve"> - aproveitar comercialmente o público-alvo mais amplo que os pares (Marketing + Comercial).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4a90d9" w:space="3" w:sz="6" w:val="single"/>
        </w:pBdr>
        <w:spacing w:after="70" w:before="160" w:lineRule="auto"/>
        <w:rPr/>
      </w:pPr>
      <w:r w:rsidDel="00000000" w:rsidR="00000000" w:rsidRPr="00000000">
        <w:rPr>
          <w:b w:val="1"/>
          <w:bCs w:val="1"/>
          <w:color w:val="0b2545"/>
          <w:sz w:val="19"/>
          <w:szCs w:val="19"/>
          <w:rtl w:val="0"/>
        </w:rPr>
        <w:t xml:space="preserve">Limitações conhecidas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="250" w:lineRule="auto"/>
        <w:rPr>
          <w:color w:val="1a1a1a"/>
          <w:sz w:val="17"/>
          <w:szCs w:val="17"/>
        </w:rPr>
      </w:pPr>
      <w:r w:rsidDel="00000000" w:rsidR="00000000" w:rsidRPr="00000000">
        <w:rPr>
          <w:color w:val="1a1a1a"/>
          <w:sz w:val="17"/>
          <w:szCs w:val="17"/>
          <w:rtl w:val="0"/>
        </w:rPr>
        <w:t xml:space="preserve">A vitrine comercial filtrável da XP não tem endpoint público reproduzível — a lista de 17 fundos foi construída via busca e validada manualmente. Alguns concorrentes de colocação privada não têm ficha pública XP e por isso não entram no cálculo, só em contexto qualitativo. Detalhes completos em `docs/</w:t>
      </w:r>
      <w:hyperlink r:id="rId7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metodologia.md</w:t>
        </w:r>
      </w:hyperlink>
      <w:r w:rsidDel="00000000" w:rsidR="00000000" w:rsidRPr="00000000">
        <w:rPr>
          <w:color w:val="1a1a1a"/>
          <w:sz w:val="17"/>
          <w:szCs w:val="17"/>
          <w:rtl w:val="0"/>
        </w:rPr>
        <w:t xml:space="preserve">`.</w:t>
      </w:r>
    </w:p>
    <w:p w:rsidR="00000000" w:rsidDel="00000000" w:rsidP="00000000" w:rsidRDefault="00000000" w:rsidRPr="00000000" w14:paraId="00000041">
      <w:pPr>
        <w:spacing w:after="100" w:line="250" w:lineRule="auto"/>
        <w:rPr>
          <w:color w:val="1a1a1a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0b2545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 recomendações estão prontas para execução em 90 dias.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metodologi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jzrPzQ+BUuhsgrTtJahlziD5eA==">CgMxLjA4AHIhMWJDbVFvNmhFUFgxdGYwcE1tUmtnZjI5WUlBSGZSQWgx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2026-08-31T01:30:10.381Z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