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7AD3" w:rsidRPr="00127AD3" w:rsidRDefault="00127AD3" w:rsidP="00127AD3">
      <w:pPr>
        <w:jc w:val="center"/>
        <w:rPr>
          <w:rFonts w:ascii="Century Gothic" w:hAnsi="Century Gothic"/>
          <w:color w:val="44546A" w:themeColor="text2"/>
          <w:sz w:val="36"/>
          <w:szCs w:val="36"/>
        </w:rPr>
      </w:pPr>
      <w:r w:rsidRPr="00127AD3">
        <w:rPr>
          <w:rFonts w:ascii="Century Gothic" w:hAnsi="Century Gothic"/>
          <w:color w:val="44546A" w:themeColor="text2"/>
          <w:sz w:val="36"/>
          <w:szCs w:val="36"/>
        </w:rPr>
        <w:t>Módulo 06 – Procedimento Operacional Padrão Monitoramento</w:t>
      </w:r>
      <w:bookmarkStart w:id="0" w:name="_GoBack"/>
      <w:bookmarkEnd w:id="0"/>
    </w:p>
    <w:p w:rsidR="00127AD3" w:rsidRDefault="00127AD3" w:rsidP="00127AD3">
      <w:pPr>
        <w:jc w:val="center"/>
        <w:rPr>
          <w:rFonts w:ascii="Century Gothic" w:hAnsi="Century Gothic"/>
          <w:color w:val="44546A" w:themeColor="text2"/>
          <w:sz w:val="26"/>
          <w:szCs w:val="26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Objetivo/ Introdução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Este módulo tem por objetivo definir e orientar todos os funcionários envolvidos no processo de segurança, a fim de pré-definir os parâmetros de todas as ações que abrangem os sistemas implantados nos clientes de monitoramento.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Definições:</w:t>
      </w:r>
    </w:p>
    <w:p w:rsidR="00127AD3" w:rsidRDefault="00127AD3" w:rsidP="00127AD3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Pronta-resposta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Agente designado para verificação local em casos de disparo de alarme</w:t>
      </w:r>
    </w:p>
    <w:p w:rsidR="00127AD3" w:rsidRDefault="00127AD3" w:rsidP="00127AD3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Preservação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Recursos de segurança física utilizados pelo cliente quando o sistema de alarme apresenta inoperância</w:t>
      </w:r>
    </w:p>
    <w:p w:rsidR="00127AD3" w:rsidRDefault="00127AD3" w:rsidP="00127AD3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Ronda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Recursos de segurança física utilizado pelo cliente quando não há disparo de alarme, mas existe necessidade de verificação. Como por exemplo: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Queda de energia ou internet;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Ausência de agente para preservação;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Vistoria em conjunto;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Vistoria por denúncia de terceiros, sem disparo de alarme;</w:t>
      </w:r>
    </w:p>
    <w:p w:rsidR="00127AD3" w:rsidRDefault="00127AD3" w:rsidP="00127AD3">
      <w:pPr>
        <w:pStyle w:val="PargrafodaLista"/>
        <w:numPr>
          <w:ilvl w:val="0"/>
          <w:numId w:val="1"/>
        </w:numPr>
        <w:rPr>
          <w:rFonts w:ascii="Century Gothic" w:hAnsi="Century Gothic"/>
        </w:rPr>
      </w:pPr>
      <w:r>
        <w:rPr>
          <w:rFonts w:ascii="Century Gothic" w:hAnsi="Century Gothic"/>
        </w:rPr>
        <w:t>Comunicação do sistema de alarme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Comunicação do sistema de alarme;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Primária: via Ethernet;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Secundária: Via GPRS;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Tipos de sensores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IVA Infravermelho Ativo: Utilizado em áreas externas, entradas de portões e proteções perimetrais. Substitui cercas elétricas;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IVP Infravermelho Passivo: Utilizado em ambientes internos, instalado em entradas e janelas. Possui feixe de 90° que capta movimentos abaixo do local de instalação, reduzindo disparos falsos.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-Sensor Magnético: Usado em portas janelas, centrais de alarme e </w:t>
      </w:r>
      <w:proofErr w:type="spellStart"/>
      <w:r>
        <w:rPr>
          <w:rFonts w:ascii="Century Gothic" w:hAnsi="Century Gothic"/>
        </w:rPr>
        <w:t>CPDs</w:t>
      </w:r>
      <w:proofErr w:type="spellEnd"/>
      <w:r>
        <w:rPr>
          <w:rFonts w:ascii="Century Gothic" w:hAnsi="Century Gothic"/>
        </w:rPr>
        <w:t>. Pode ser com ou sem fio.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Tipos de monitoramentos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 xml:space="preserve">- Monitoramento Kit </w:t>
      </w:r>
      <w:proofErr w:type="spellStart"/>
      <w:r>
        <w:rPr>
          <w:rFonts w:ascii="Century Gothic" w:hAnsi="Century Gothic"/>
          <w:color w:val="44546A" w:themeColor="text2"/>
          <w:sz w:val="24"/>
          <w:szCs w:val="24"/>
        </w:rPr>
        <w:t>Anti-Arrastão</w:t>
      </w:r>
      <w:proofErr w:type="spellEnd"/>
    </w:p>
    <w:p w:rsidR="00127AD3" w:rsidRDefault="00127AD3" w:rsidP="00127AD3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Composição: Câmera IP, sensor magnético e dois botões de pânico</w:t>
      </w:r>
    </w:p>
    <w:p w:rsidR="00127AD3" w:rsidRDefault="00127AD3" w:rsidP="00127AD3">
      <w:pPr>
        <w:pStyle w:val="PargrafodaLista"/>
        <w:numPr>
          <w:ilvl w:val="0"/>
          <w:numId w:val="2"/>
        </w:numPr>
        <w:rPr>
          <w:rFonts w:ascii="Century Gothic" w:hAnsi="Century Gothic"/>
        </w:rPr>
      </w:pPr>
      <w:r>
        <w:rPr>
          <w:rFonts w:ascii="Century Gothic" w:hAnsi="Century Gothic"/>
        </w:rPr>
        <w:t>Instalação: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Câmera IP: guarita ou recepção do condomínio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Sensor magnético: porta da guarita/ recepção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Botões de pânico: mesa da guarita ou com vigilante externo</w:t>
      </w:r>
    </w:p>
    <w:p w:rsidR="00127AD3" w:rsidRDefault="00127AD3" w:rsidP="00127AD3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Procedimentos: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Disparo recebido pelo SIGMA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Verificação via câmera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Procedimento de senha e contrassenha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Se confirmado: local sem anormalidade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Se não confirmado: acionamento imediato da Polícia Militar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Rondas periódicas são feitas nas câmeras para detectar anormalidades e desvios de conduta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-Monitoramento de CFTV</w:t>
      </w:r>
    </w:p>
    <w:p w:rsidR="00127AD3" w:rsidRDefault="00127AD3" w:rsidP="00127AD3">
      <w:pPr>
        <w:pStyle w:val="PargrafodaLista"/>
        <w:numPr>
          <w:ilvl w:val="0"/>
          <w:numId w:val="3"/>
        </w:numPr>
        <w:rPr>
          <w:rFonts w:ascii="Century Gothic" w:hAnsi="Century Gothic"/>
        </w:rPr>
      </w:pPr>
      <w:r>
        <w:rPr>
          <w:rFonts w:ascii="Century Gothic" w:hAnsi="Century Gothic"/>
        </w:rPr>
        <w:t>Rondas periódicas nas câmeras do condomínio para detectar: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-Anormalidades: contato imediato, senha e contrassenha. Se não confirmado acionar a polícia militar.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Desvios de conduta: uso de celular, colaborador dormindo, ausência na guarita, contato com colaborador e geração de relatório no SIGMA.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-Monitoramento de alarme com CFTV</w:t>
      </w:r>
    </w:p>
    <w:p w:rsidR="00127AD3" w:rsidRDefault="00127AD3" w:rsidP="00127AD3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Ao receber disparo: verificação imediata do CFTV;</w:t>
      </w:r>
    </w:p>
    <w:p w:rsidR="00127AD3" w:rsidRDefault="00127AD3" w:rsidP="00127AD3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Em alguns casos, presença do cliente pode ser solicitada para vistoria interna, junto ao agente de pronta resposta e à polícia militar;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Cronologia de acionamento:</w:t>
      </w:r>
    </w:p>
    <w:p w:rsidR="00127AD3" w:rsidRDefault="00127AD3" w:rsidP="00127AD3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Agente de pronta resposta;</w:t>
      </w:r>
    </w:p>
    <w:p w:rsidR="00127AD3" w:rsidRDefault="00127AD3" w:rsidP="00127AD3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Supervisor de monitoramento;</w:t>
      </w:r>
    </w:p>
    <w:p w:rsidR="00127AD3" w:rsidRDefault="00127AD3" w:rsidP="00127AD3">
      <w:pPr>
        <w:pStyle w:val="PargrafodaLista"/>
        <w:numPr>
          <w:ilvl w:val="0"/>
          <w:numId w:val="3"/>
        </w:numPr>
        <w:jc w:val="both"/>
        <w:rPr>
          <w:rFonts w:ascii="Century Gothic" w:hAnsi="Century Gothic"/>
        </w:rPr>
      </w:pPr>
      <w:r>
        <w:rPr>
          <w:rFonts w:ascii="Century Gothic" w:hAnsi="Century Gothic"/>
        </w:rPr>
        <w:t>Cliente;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-Monitoramento de alarme sem CFTV</w:t>
      </w:r>
    </w:p>
    <w:p w:rsidR="00127AD3" w:rsidRDefault="00127AD3" w:rsidP="00127AD3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>Disparo recebido: contato imediato no local com senha e contrassenha</w:t>
      </w:r>
    </w:p>
    <w:p w:rsidR="00127AD3" w:rsidRDefault="00127AD3" w:rsidP="00127AD3">
      <w:pPr>
        <w:pStyle w:val="PargrafodaLista"/>
        <w:numPr>
          <w:ilvl w:val="0"/>
          <w:numId w:val="4"/>
        </w:numPr>
        <w:rPr>
          <w:rFonts w:ascii="Century Gothic" w:hAnsi="Century Gothic"/>
        </w:rPr>
      </w:pPr>
      <w:r>
        <w:rPr>
          <w:rFonts w:ascii="Century Gothic" w:hAnsi="Century Gothic"/>
        </w:rPr>
        <w:t xml:space="preserve">Se não confirmado: acompanhamento da ocorrência </w:t>
      </w:r>
      <w:proofErr w:type="gramStart"/>
      <w:r>
        <w:rPr>
          <w:rFonts w:ascii="Century Gothic" w:hAnsi="Century Gothic"/>
        </w:rPr>
        <w:t>+</w:t>
      </w:r>
      <w:proofErr w:type="gramEnd"/>
      <w:r>
        <w:rPr>
          <w:rFonts w:ascii="Century Gothic" w:hAnsi="Century Gothic"/>
        </w:rPr>
        <w:t xml:space="preserve"> relatório no SIGMA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Cronologia de acionamento:</w:t>
      </w:r>
    </w:p>
    <w:p w:rsidR="00127AD3" w:rsidRDefault="00127AD3" w:rsidP="00127AD3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Polícia militar;</w:t>
      </w:r>
    </w:p>
    <w:p w:rsidR="00127AD3" w:rsidRDefault="00127AD3" w:rsidP="00127AD3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Supervisor de monitoramento;</w:t>
      </w:r>
    </w:p>
    <w:p w:rsidR="00127AD3" w:rsidRDefault="00127AD3" w:rsidP="00127AD3">
      <w:pPr>
        <w:pStyle w:val="PargrafodaLista"/>
        <w:numPr>
          <w:ilvl w:val="0"/>
          <w:numId w:val="5"/>
        </w:numPr>
        <w:rPr>
          <w:rFonts w:ascii="Century Gothic" w:hAnsi="Century Gothic"/>
        </w:rPr>
      </w:pPr>
      <w:r>
        <w:rPr>
          <w:rFonts w:ascii="Century Gothic" w:hAnsi="Century Gothic"/>
        </w:rPr>
        <w:t>Cliente;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SIGMA – Atendimento de Alarme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-Abertura de porta</w:t>
      </w:r>
    </w:p>
    <w:p w:rsidR="00127AD3" w:rsidRDefault="00127AD3" w:rsidP="00127AD3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Mostra horário exato da abertura;</w:t>
      </w:r>
    </w:p>
    <w:p w:rsidR="00127AD3" w:rsidRDefault="00127AD3" w:rsidP="00127AD3">
      <w:pPr>
        <w:pStyle w:val="PargrafodaLista"/>
        <w:numPr>
          <w:ilvl w:val="0"/>
          <w:numId w:val="6"/>
        </w:numPr>
        <w:rPr>
          <w:rFonts w:ascii="Century Gothic" w:hAnsi="Century Gothic"/>
        </w:rPr>
      </w:pPr>
      <w:r>
        <w:rPr>
          <w:rFonts w:ascii="Century Gothic" w:hAnsi="Century Gothic"/>
        </w:rPr>
        <w:t>Ações: verificar imagens e realizar contato conforme nicho;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Exemplos de sinistro: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-Porta da guarita aberta somente para recebimento de objetos/ entregas;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Pessoas não autorizadas na guarita/ recepção;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Observações: Síndico, zelador e auxiliar de limpeza têm entrada liberada, mas não podem permanecer por longos períodos.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-Teste de Reporte Periódico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Teste automático de central de alarme, configurado para ser feito a cada 1 hora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-Falha de Auto teste/ Falha na comunicação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-É a geração automática quando o sistema não recebe teste periódico.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-Verificar imagens do local;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Contatar colaborador para identificar queda de energia/ internet;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 Aguardar 10 minutos para descartar oscilações;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-Caso seja confirmado, encerrar evento no SIGMA com observação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Procedimentos adicionais: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-Portaria/ vigilância 24 horas: contato periódico </w:t>
      </w:r>
      <w:proofErr w:type="gramStart"/>
      <w:r>
        <w:rPr>
          <w:rFonts w:ascii="Century Gothic" w:hAnsi="Century Gothic"/>
        </w:rPr>
        <w:t>+</w:t>
      </w:r>
      <w:proofErr w:type="gramEnd"/>
      <w:r>
        <w:rPr>
          <w:rFonts w:ascii="Century Gothic" w:hAnsi="Century Gothic"/>
        </w:rPr>
        <w:t xml:space="preserve"> ordem de serviço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-Somente alarme: envio de pronta resposta </w:t>
      </w:r>
      <w:proofErr w:type="gramStart"/>
      <w:r>
        <w:rPr>
          <w:rFonts w:ascii="Century Gothic" w:hAnsi="Century Gothic"/>
        </w:rPr>
        <w:t>+</w:t>
      </w:r>
      <w:proofErr w:type="gramEnd"/>
      <w:r>
        <w:rPr>
          <w:rFonts w:ascii="Century Gothic" w:hAnsi="Century Gothic"/>
        </w:rPr>
        <w:t xml:space="preserve"> contato com cliente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-Armado pelo usuário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É quando é registrado o horário em que o alarme foi ativado;</w:t>
      </w:r>
    </w:p>
    <w:p w:rsidR="00127AD3" w:rsidRDefault="00127AD3" w:rsidP="00127AD3">
      <w:pPr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-Desarmado pelo usuário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É quando é registrado o horário em que o alarme foi desativado;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-Disparos de alarmes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É ativado por sensores 24 horas, a ação que deve ser tomada é entrar em contato imediato no local com senha e contrassenha;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-Disparos de pânico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Pode ocorrer em teste ou emergência real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Como atuar: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- Contato imediato com o condomínio, senha e contrassenha, se for positivo encerra o evento, e se for negativo, enviar pronta resposta </w:t>
      </w:r>
      <w:proofErr w:type="gramStart"/>
      <w:r>
        <w:rPr>
          <w:rFonts w:ascii="Century Gothic" w:hAnsi="Century Gothic"/>
        </w:rPr>
        <w:t>+</w:t>
      </w:r>
      <w:proofErr w:type="gramEnd"/>
      <w:r>
        <w:rPr>
          <w:rFonts w:ascii="Century Gothic" w:hAnsi="Century Gothic"/>
        </w:rPr>
        <w:t xml:space="preserve"> acionar o 190.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Observação: Clientes com efetivo Alpha Secure, o supervisor responsável é acionado.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-Não armado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Evento gerado quando o alarme não é ativado no horário programado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 xml:space="preserve">Ação: contato no local, senha e contrassenha 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-Desarme fora do horário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Evento quando há desativação fora do horário definido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Ação: contato com colaborador ou responsável direto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-Evento gerado manualmente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Inserido pelo operador no SIGMA em situações específicas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Exemplo: testes, arrombamentos e sensores inoperantes</w:t>
      </w:r>
    </w:p>
    <w:p w:rsidR="00127AD3" w:rsidRDefault="00127AD3" w:rsidP="00127AD3">
      <w:pPr>
        <w:shd w:val="clear" w:color="auto" w:fill="E7E6E6" w:themeFill="background2"/>
        <w:rPr>
          <w:rFonts w:ascii="Century Gothic" w:hAnsi="Century Gothic"/>
          <w:color w:val="44546A" w:themeColor="text2"/>
          <w:sz w:val="24"/>
          <w:szCs w:val="24"/>
        </w:rPr>
      </w:pPr>
      <w:r>
        <w:rPr>
          <w:rFonts w:ascii="Century Gothic" w:hAnsi="Century Gothic"/>
          <w:color w:val="44546A" w:themeColor="text2"/>
          <w:sz w:val="24"/>
          <w:szCs w:val="24"/>
        </w:rPr>
        <w:t>- Queda de energia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Gerado quando há interrupção da alimentação da central de alarme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t>Ação: contato com responsável e acompanhamento até normalização, se não normalizado, enviar agente ao local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-Bateria com Carga Baixa</w:t>
      </w:r>
      <w:r>
        <w:rPr>
          <w:rFonts w:ascii="Century Gothic" w:hAnsi="Century Gothic"/>
        </w:rPr>
        <w:br/>
        <w:t>Identifica falha na bateria que alimenta a central em caso de queda de energia.</w:t>
      </w:r>
      <w:r>
        <w:rPr>
          <w:rFonts w:ascii="Century Gothic" w:hAnsi="Century Gothic"/>
        </w:rPr>
        <w:br/>
        <w:t>Ação: abrir ordem de serviço se recorrente.</w:t>
      </w:r>
    </w:p>
    <w:p w:rsidR="00127AD3" w:rsidRDefault="00127AD3" w:rsidP="00127AD3">
      <w:pPr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br/>
      </w:r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-</w:t>
      </w:r>
      <w:proofErr w:type="spellStart"/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Tamper</w:t>
      </w:r>
      <w:proofErr w:type="spellEnd"/>
      <w:r>
        <w:rPr>
          <w:rFonts w:ascii="Century Gothic" w:hAnsi="Century Gothic"/>
        </w:rPr>
        <w:br/>
        <w:t>Indica adulteração ou abertura indevida de sensores/central.</w:t>
      </w:r>
      <w:r>
        <w:rPr>
          <w:rFonts w:ascii="Century Gothic" w:hAnsi="Century Gothic"/>
        </w:rPr>
        <w:br/>
        <w:t>Ação: envio de técnico ou abertura de ordem de serviço.</w:t>
      </w:r>
      <w:r>
        <w:rPr>
          <w:rFonts w:ascii="Century Gothic" w:hAnsi="Century Gothic"/>
        </w:rPr>
        <w:br/>
      </w:r>
      <w:r>
        <w:rPr>
          <w:rFonts w:ascii="Century Gothic" w:hAnsi="Century Gothic"/>
        </w:rPr>
        <w:br/>
      </w:r>
      <w:r>
        <w:rPr>
          <w:rFonts w:ascii="Century Gothic" w:hAnsi="Century Gothic"/>
        </w:rPr>
        <w:br/>
      </w:r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-Orientações Gerais</w:t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</w:rPr>
        <w:t>• Em alguns casos, clientes podem solicitar preservação por inoperância do sistema.</w:t>
      </w:r>
      <w:r>
        <w:rPr>
          <w:rFonts w:ascii="Century Gothic" w:hAnsi="Century Gothic"/>
        </w:rPr>
        <w:br/>
        <w:t>• Pedido deve ser atendido pelo operador, via empresa de pronta resposta ou indicada no SIGMA.</w:t>
      </w:r>
      <w:r>
        <w:rPr>
          <w:rFonts w:ascii="Century Gothic" w:hAnsi="Century Gothic"/>
        </w:rPr>
        <w:br/>
      </w:r>
      <w:r>
        <w:rPr>
          <w:rFonts w:ascii="Century Gothic" w:hAnsi="Century Gothic"/>
        </w:rPr>
        <w:br/>
      </w:r>
      <w:r>
        <w:rPr>
          <w:rFonts w:ascii="Century Gothic" w:hAnsi="Century Gothic"/>
        </w:rPr>
        <w:br/>
      </w:r>
      <w:r>
        <w:rPr>
          <w:rFonts w:ascii="Century Gothic" w:hAnsi="Century Gothic"/>
          <w:color w:val="44546A" w:themeColor="text2"/>
          <w:sz w:val="24"/>
          <w:szCs w:val="24"/>
          <w:shd w:val="clear" w:color="auto" w:fill="E7E6E6" w:themeFill="background2"/>
        </w:rPr>
        <w:t>- Relatórios de Ronda, Preservação e Pronto Atendimento</w:t>
      </w:r>
      <w:r>
        <w:rPr>
          <w:rFonts w:ascii="Century Gothic" w:hAnsi="Century Gothic"/>
          <w:b/>
        </w:rPr>
        <w:br/>
      </w:r>
      <w:r>
        <w:rPr>
          <w:rFonts w:ascii="Century Gothic" w:hAnsi="Century Gothic"/>
        </w:rPr>
        <w:t>• Todo envio de pronta resposta deve ser registrado no SIGMA, relatando:</w:t>
      </w:r>
      <w:r>
        <w:rPr>
          <w:rFonts w:ascii="Century Gothic" w:hAnsi="Century Gothic"/>
        </w:rPr>
        <w:br/>
        <w:t>• Ordem de deslocamento</w:t>
      </w:r>
      <w:r>
        <w:rPr>
          <w:rFonts w:ascii="Century Gothic" w:hAnsi="Century Gothic"/>
        </w:rPr>
        <w:br/>
        <w:t>• Chegada ao local</w:t>
      </w:r>
      <w:r>
        <w:rPr>
          <w:rFonts w:ascii="Century Gothic" w:hAnsi="Century Gothic"/>
        </w:rPr>
        <w:br/>
        <w:t>• Situação encontrada</w:t>
      </w: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127AD3" w:rsidRDefault="00127AD3" w:rsidP="00127AD3">
      <w:pPr>
        <w:rPr>
          <w:rFonts w:ascii="Century Gothic" w:hAnsi="Century Gothic"/>
        </w:rPr>
      </w:pPr>
    </w:p>
    <w:p w:rsidR="007E5A73" w:rsidRDefault="007E5A73"/>
    <w:sectPr w:rsidR="007E5A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C6052"/>
    <w:multiLevelType w:val="hybridMultilevel"/>
    <w:tmpl w:val="EBE41D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D00BD"/>
    <w:multiLevelType w:val="hybridMultilevel"/>
    <w:tmpl w:val="EC065F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36E92"/>
    <w:multiLevelType w:val="hybridMultilevel"/>
    <w:tmpl w:val="9648F1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5408A5"/>
    <w:multiLevelType w:val="hybridMultilevel"/>
    <w:tmpl w:val="7938B61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48341D"/>
    <w:multiLevelType w:val="hybridMultilevel"/>
    <w:tmpl w:val="E9AAE74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B87998"/>
    <w:multiLevelType w:val="hybridMultilevel"/>
    <w:tmpl w:val="2D64AE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AD3"/>
    <w:rsid w:val="00127AD3"/>
    <w:rsid w:val="007E5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92907"/>
  <w15:chartTrackingRefBased/>
  <w15:docId w15:val="{2BC82C52-3D89-4049-B9B4-94BD05411D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27AD3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127A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405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900</Words>
  <Characters>4862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2</cp:revision>
  <cp:lastPrinted>2025-11-25T19:25:00Z</cp:lastPrinted>
  <dcterms:created xsi:type="dcterms:W3CDTF">2025-11-25T19:24:00Z</dcterms:created>
  <dcterms:modified xsi:type="dcterms:W3CDTF">2025-11-25T19:25:00Z</dcterms:modified>
</cp:coreProperties>
</file>