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123" w:rsidRPr="00541455" w:rsidRDefault="00F75AD5" w:rsidP="00F75AD5">
      <w:pPr>
        <w:pStyle w:val="PargrafodaLista"/>
        <w:numPr>
          <w:ilvl w:val="0"/>
          <w:numId w:val="1"/>
        </w:numPr>
      </w:pPr>
      <w:r w:rsidRPr="00541455">
        <w:t>Detecção de Comunidades em Redes Complexas</w:t>
      </w:r>
      <w:r w:rsidR="008B4262" w:rsidRPr="00541455">
        <w:t xml:space="preserve"> (Artigo 9)</w:t>
      </w:r>
    </w:p>
    <w:p w:rsidR="00F75AD5" w:rsidRPr="00541455" w:rsidRDefault="002E310D" w:rsidP="004202E1">
      <w:pPr>
        <w:ind w:firstLine="360"/>
        <w:rPr>
          <w:rStyle w:val="fontstyle01"/>
          <w:sz w:val="22"/>
          <w:szCs w:val="22"/>
        </w:rPr>
      </w:pPr>
      <w:r w:rsidRPr="00541455">
        <w:rPr>
          <w:rStyle w:val="fontstyle01"/>
          <w:sz w:val="22"/>
          <w:szCs w:val="22"/>
        </w:rPr>
        <w:t xml:space="preserve">Um grafo simples não orientado </w:t>
      </w:r>
      <w:r w:rsidRPr="00541455">
        <w:rPr>
          <w:rStyle w:val="fontstyle21"/>
          <w:sz w:val="22"/>
          <w:szCs w:val="22"/>
        </w:rPr>
        <w:t xml:space="preserve">G </w:t>
      </w:r>
      <w:r w:rsidRPr="00541455">
        <w:rPr>
          <w:rStyle w:val="fontstyle01"/>
          <w:sz w:val="22"/>
          <w:szCs w:val="22"/>
        </w:rPr>
        <w:t>consiste de dois</w:t>
      </w:r>
      <w:r w:rsidRPr="00541455">
        <w:rPr>
          <w:rFonts w:ascii="Calibri" w:hAnsi="Calibri" w:cs="Calibri"/>
          <w:color w:val="242021"/>
        </w:rPr>
        <w:t xml:space="preserve"> </w:t>
      </w:r>
      <w:r w:rsidRPr="00541455">
        <w:rPr>
          <w:rStyle w:val="fontstyle01"/>
          <w:sz w:val="22"/>
          <w:szCs w:val="22"/>
        </w:rPr>
        <w:t xml:space="preserve">conjuntos </w:t>
      </w:r>
      <w:r w:rsidRPr="00541455">
        <w:rPr>
          <w:rStyle w:val="fontstyle21"/>
          <w:sz w:val="22"/>
          <w:szCs w:val="22"/>
        </w:rPr>
        <w:t xml:space="preserve">V </w:t>
      </w:r>
      <w:r w:rsidRPr="00541455">
        <w:rPr>
          <w:rStyle w:val="fontstyle01"/>
          <w:sz w:val="22"/>
          <w:szCs w:val="22"/>
        </w:rPr>
        <w:t xml:space="preserve">e </w:t>
      </w:r>
      <w:proofErr w:type="spellStart"/>
      <w:r w:rsidRPr="00541455">
        <w:rPr>
          <w:rStyle w:val="fontstyle21"/>
          <w:sz w:val="22"/>
          <w:szCs w:val="22"/>
        </w:rPr>
        <w:t>E</w:t>
      </w:r>
      <w:proofErr w:type="spellEnd"/>
      <w:r w:rsidRPr="00541455">
        <w:rPr>
          <w:rStyle w:val="fontstyle31"/>
          <w:sz w:val="22"/>
          <w:szCs w:val="22"/>
        </w:rPr>
        <w:t xml:space="preserve">, </w:t>
      </w:r>
      <w:r w:rsidRPr="00541455">
        <w:rPr>
          <w:rStyle w:val="fontstyle01"/>
          <w:sz w:val="22"/>
          <w:szCs w:val="22"/>
        </w:rPr>
        <w:t xml:space="preserve">sendo </w:t>
      </w:r>
      <w:r w:rsidRPr="00541455">
        <w:rPr>
          <w:rStyle w:val="fontstyle21"/>
          <w:sz w:val="22"/>
          <w:szCs w:val="22"/>
        </w:rPr>
        <w:t xml:space="preserve">V </w:t>
      </w:r>
      <w:r w:rsidRPr="00541455">
        <w:rPr>
          <w:rStyle w:val="fontstyle01"/>
          <w:sz w:val="22"/>
          <w:szCs w:val="22"/>
        </w:rPr>
        <w:t>um conjunto finito e não</w:t>
      </w:r>
      <w:r w:rsidRPr="00541455">
        <w:rPr>
          <w:rFonts w:ascii="Calibri" w:hAnsi="Calibri" w:cs="Calibri"/>
          <w:color w:val="242021"/>
        </w:rPr>
        <w:br/>
      </w:r>
      <w:r w:rsidRPr="00541455">
        <w:rPr>
          <w:rStyle w:val="fontstyle01"/>
          <w:sz w:val="22"/>
          <w:szCs w:val="22"/>
        </w:rPr>
        <w:t xml:space="preserve">vazio cujos elementos são denominados </w:t>
      </w:r>
      <w:r w:rsidRPr="00541455">
        <w:rPr>
          <w:rStyle w:val="fontstyle31"/>
          <w:sz w:val="22"/>
          <w:szCs w:val="22"/>
        </w:rPr>
        <w:t xml:space="preserve">vértices </w:t>
      </w:r>
      <w:r w:rsidRPr="00541455">
        <w:rPr>
          <w:rStyle w:val="fontstyle01"/>
          <w:sz w:val="22"/>
          <w:szCs w:val="22"/>
        </w:rPr>
        <w:t xml:space="preserve">e </w:t>
      </w:r>
      <w:proofErr w:type="spellStart"/>
      <w:r w:rsidRPr="00541455">
        <w:rPr>
          <w:rStyle w:val="fontstyle21"/>
          <w:sz w:val="22"/>
          <w:szCs w:val="22"/>
        </w:rPr>
        <w:t>E</w:t>
      </w:r>
      <w:proofErr w:type="spellEnd"/>
      <w:r w:rsidRPr="00541455">
        <w:rPr>
          <w:rStyle w:val="fontstyle21"/>
          <w:sz w:val="22"/>
          <w:szCs w:val="22"/>
        </w:rPr>
        <w:t xml:space="preserve"> </w:t>
      </w:r>
      <w:r w:rsidRPr="00541455">
        <w:rPr>
          <w:rStyle w:val="fontstyle01"/>
          <w:sz w:val="22"/>
          <w:szCs w:val="22"/>
        </w:rPr>
        <w:t xml:space="preserve">um conjunto de subconjuntos de dois elementos de </w:t>
      </w:r>
      <w:r w:rsidRPr="00541455">
        <w:rPr>
          <w:rStyle w:val="fontstyle21"/>
          <w:sz w:val="22"/>
          <w:szCs w:val="22"/>
        </w:rPr>
        <w:t xml:space="preserve">V </w:t>
      </w:r>
      <w:r w:rsidRPr="00541455">
        <w:rPr>
          <w:rStyle w:val="fontstyle01"/>
          <w:sz w:val="22"/>
          <w:szCs w:val="22"/>
        </w:rPr>
        <w:t xml:space="preserve">cujos elementos são denominados </w:t>
      </w:r>
      <w:r w:rsidRPr="00541455">
        <w:rPr>
          <w:rStyle w:val="fontstyle31"/>
          <w:sz w:val="22"/>
          <w:szCs w:val="22"/>
        </w:rPr>
        <w:t>arestas</w:t>
      </w:r>
      <w:r w:rsidRPr="00541455">
        <w:rPr>
          <w:rStyle w:val="fontstyle01"/>
          <w:sz w:val="22"/>
          <w:szCs w:val="22"/>
        </w:rPr>
        <w:t xml:space="preserve">. O número de vértices determina a ordem do grafo e é denotado por </w:t>
      </w:r>
      <w:r w:rsidRPr="00541455">
        <w:rPr>
          <w:rStyle w:val="fontstyle21"/>
          <w:sz w:val="22"/>
          <w:szCs w:val="22"/>
        </w:rPr>
        <w:t xml:space="preserve">n </w:t>
      </w:r>
      <w:r w:rsidRPr="00541455">
        <w:rPr>
          <w:rStyle w:val="fontstyle41"/>
        </w:rPr>
        <w:t>=</w:t>
      </w:r>
      <w:r w:rsidRPr="00541455">
        <w:rPr>
          <w:rStyle w:val="fontstyle51"/>
        </w:rPr>
        <w:t>|</w:t>
      </w:r>
      <w:r w:rsidRPr="00541455">
        <w:rPr>
          <w:rStyle w:val="fontstyle21"/>
          <w:sz w:val="22"/>
          <w:szCs w:val="22"/>
        </w:rPr>
        <w:t>V</w:t>
      </w:r>
      <w:r w:rsidRPr="00541455">
        <w:rPr>
          <w:rStyle w:val="fontstyle51"/>
        </w:rPr>
        <w:t xml:space="preserve"> | </w:t>
      </w:r>
      <w:r w:rsidRPr="00541455">
        <w:rPr>
          <w:rStyle w:val="fontstyle01"/>
          <w:sz w:val="22"/>
          <w:szCs w:val="22"/>
        </w:rPr>
        <w:t>e o número de arestas determina o tamanho do grafo, sendo</w:t>
      </w:r>
      <w:r w:rsidRPr="00541455">
        <w:rPr>
          <w:rFonts w:ascii="Calibri" w:hAnsi="Calibri" w:cs="Calibri"/>
          <w:color w:val="242021"/>
        </w:rPr>
        <w:br/>
      </w:r>
      <w:r w:rsidRPr="00541455">
        <w:rPr>
          <w:rStyle w:val="fontstyle01"/>
          <w:sz w:val="22"/>
          <w:szCs w:val="22"/>
        </w:rPr>
        <w:t xml:space="preserve">denotado por </w:t>
      </w:r>
      <w:r w:rsidRPr="00541455">
        <w:rPr>
          <w:rStyle w:val="fontstyle21"/>
          <w:sz w:val="22"/>
          <w:szCs w:val="22"/>
        </w:rPr>
        <w:t xml:space="preserve">m </w:t>
      </w:r>
      <w:r w:rsidRPr="00541455">
        <w:rPr>
          <w:rStyle w:val="fontstyle41"/>
        </w:rPr>
        <w:t>=</w:t>
      </w:r>
      <w:r w:rsidRPr="00541455">
        <w:rPr>
          <w:rStyle w:val="fontstyle51"/>
        </w:rPr>
        <w:t>|</w:t>
      </w:r>
      <w:r w:rsidRPr="00541455">
        <w:rPr>
          <w:rStyle w:val="fontstyle21"/>
          <w:sz w:val="22"/>
          <w:szCs w:val="22"/>
        </w:rPr>
        <w:t xml:space="preserve"> E</w:t>
      </w:r>
      <w:r w:rsidRPr="00541455">
        <w:rPr>
          <w:rStyle w:val="fontstyle51"/>
        </w:rPr>
        <w:t xml:space="preserve"> |</w:t>
      </w:r>
      <w:r w:rsidRPr="00541455">
        <w:rPr>
          <w:rStyle w:val="fontstyle01"/>
          <w:sz w:val="22"/>
          <w:szCs w:val="22"/>
        </w:rPr>
        <w:t xml:space="preserve">, onde </w:t>
      </w:r>
      <w:r w:rsidRPr="00541455">
        <w:rPr>
          <w:rStyle w:val="fontstyle51"/>
        </w:rPr>
        <w:t xml:space="preserve">0 </w:t>
      </w:r>
      <w:r w:rsidRPr="00541455">
        <w:rPr>
          <w:rStyle w:val="fontstyle41"/>
        </w:rPr>
        <w:t>≤ m ≤ n(n-</w:t>
      </w:r>
      <w:proofErr w:type="gramStart"/>
      <w:r w:rsidRPr="00541455">
        <w:rPr>
          <w:rStyle w:val="fontstyle41"/>
        </w:rPr>
        <w:t>1)/</w:t>
      </w:r>
      <w:proofErr w:type="gramEnd"/>
      <w:r w:rsidRPr="00541455">
        <w:rPr>
          <w:rStyle w:val="fontstyle41"/>
        </w:rPr>
        <w:t>2</w:t>
      </w:r>
      <w:r w:rsidRPr="00541455">
        <w:rPr>
          <w:rStyle w:val="fontstyle01"/>
          <w:sz w:val="22"/>
          <w:szCs w:val="22"/>
        </w:rPr>
        <w:t xml:space="preserve">. O grau de um vértice </w:t>
      </w:r>
      <w:r w:rsidRPr="00541455">
        <w:rPr>
          <w:rStyle w:val="fontstyle21"/>
          <w:sz w:val="22"/>
          <w:szCs w:val="22"/>
        </w:rPr>
        <w:t>vi</w:t>
      </w:r>
      <w:r w:rsidRPr="00541455">
        <w:rPr>
          <w:rStyle w:val="fontstyle01"/>
          <w:sz w:val="22"/>
          <w:szCs w:val="22"/>
        </w:rPr>
        <w:t xml:space="preserve">, </w:t>
      </w:r>
      <w:proofErr w:type="gramStart"/>
      <w:r w:rsidRPr="00541455">
        <w:rPr>
          <w:rStyle w:val="fontstyle21"/>
          <w:sz w:val="22"/>
          <w:szCs w:val="22"/>
        </w:rPr>
        <w:t>d</w:t>
      </w:r>
      <w:r w:rsidRPr="00541455">
        <w:rPr>
          <w:rStyle w:val="fontstyle51"/>
        </w:rPr>
        <w:t>(</w:t>
      </w:r>
      <w:proofErr w:type="gramEnd"/>
      <w:r w:rsidRPr="00541455">
        <w:rPr>
          <w:rStyle w:val="fontstyle21"/>
          <w:sz w:val="22"/>
          <w:szCs w:val="22"/>
        </w:rPr>
        <w:t xml:space="preserve">vi </w:t>
      </w:r>
      <w:r w:rsidRPr="00541455">
        <w:rPr>
          <w:rStyle w:val="fontstyle51"/>
        </w:rPr>
        <w:t xml:space="preserve">) </w:t>
      </w:r>
      <w:r w:rsidRPr="00541455">
        <w:rPr>
          <w:rStyle w:val="fontstyle01"/>
          <w:sz w:val="22"/>
          <w:szCs w:val="22"/>
        </w:rPr>
        <w:t>é o número de arestas</w:t>
      </w:r>
      <w:r w:rsidRPr="00541455">
        <w:rPr>
          <w:rFonts w:ascii="Calibri" w:hAnsi="Calibri" w:cs="Calibri"/>
          <w:color w:val="242021"/>
        </w:rPr>
        <w:br/>
      </w:r>
      <w:r w:rsidRPr="00541455">
        <w:rPr>
          <w:rStyle w:val="fontstyle01"/>
          <w:sz w:val="22"/>
          <w:szCs w:val="22"/>
        </w:rPr>
        <w:t xml:space="preserve">incidentes a ele e dois vértices são denominados </w:t>
      </w:r>
      <w:r w:rsidRPr="00541455">
        <w:rPr>
          <w:rStyle w:val="fontstyle31"/>
          <w:sz w:val="22"/>
          <w:szCs w:val="22"/>
        </w:rPr>
        <w:t xml:space="preserve">adjacentes </w:t>
      </w:r>
      <w:r w:rsidRPr="00541455">
        <w:rPr>
          <w:rStyle w:val="fontstyle01"/>
          <w:sz w:val="22"/>
          <w:szCs w:val="22"/>
        </w:rPr>
        <w:t>se existe uma aresta entre eles.</w:t>
      </w:r>
    </w:p>
    <w:p w:rsidR="003A2B00" w:rsidRPr="00541455" w:rsidRDefault="003A2B00" w:rsidP="004202E1">
      <w:pPr>
        <w:ind w:firstLine="360"/>
        <w:rPr>
          <w:rFonts w:ascii="Calibri" w:hAnsi="Calibri" w:cs="Calibri"/>
          <w:color w:val="242021"/>
        </w:rPr>
      </w:pPr>
      <w:r w:rsidRPr="00541455">
        <w:rPr>
          <w:rFonts w:ascii="Calibri" w:hAnsi="Calibri" w:cs="Calibri"/>
          <w:color w:val="242021"/>
        </w:rPr>
        <w:t>Existem inúmeras maneiras de se representar a estrutura</w:t>
      </w:r>
      <w:r w:rsidR="004202E1" w:rsidRPr="00541455">
        <w:rPr>
          <w:rFonts w:ascii="Calibri" w:hAnsi="Calibri" w:cs="Calibri"/>
          <w:color w:val="242021"/>
        </w:rPr>
        <w:t xml:space="preserve"> </w:t>
      </w:r>
      <w:r w:rsidRPr="00541455">
        <w:rPr>
          <w:rFonts w:ascii="Calibri" w:hAnsi="Calibri" w:cs="Calibri"/>
          <w:color w:val="242021"/>
        </w:rPr>
        <w:t>de um grafo. A representação matricial é frequentemente</w:t>
      </w:r>
      <w:r w:rsidR="004202E1" w:rsidRPr="00541455">
        <w:rPr>
          <w:rFonts w:ascii="Calibri" w:hAnsi="Calibri" w:cs="Calibri"/>
          <w:color w:val="242021"/>
        </w:rPr>
        <w:t xml:space="preserve"> </w:t>
      </w:r>
      <w:r w:rsidRPr="00541455">
        <w:rPr>
          <w:rFonts w:ascii="Calibri" w:hAnsi="Calibri" w:cs="Calibri"/>
          <w:color w:val="242021"/>
        </w:rPr>
        <w:t>ut</w:t>
      </w:r>
      <w:r w:rsidR="004202E1" w:rsidRPr="00541455">
        <w:rPr>
          <w:rFonts w:ascii="Calibri" w:hAnsi="Calibri" w:cs="Calibri"/>
          <w:color w:val="242021"/>
        </w:rPr>
        <w:t>i</w:t>
      </w:r>
      <w:r w:rsidRPr="00541455">
        <w:rPr>
          <w:rFonts w:ascii="Calibri" w:hAnsi="Calibri" w:cs="Calibri"/>
          <w:color w:val="242021"/>
        </w:rPr>
        <w:t>lizada quando há a necessidade de realização de cálculos</w:t>
      </w:r>
      <w:r w:rsidR="004202E1" w:rsidRPr="00541455">
        <w:rPr>
          <w:rFonts w:ascii="Calibri" w:hAnsi="Calibri" w:cs="Calibri"/>
          <w:color w:val="242021"/>
        </w:rPr>
        <w:t xml:space="preserve"> </w:t>
      </w:r>
      <w:r w:rsidRPr="00541455">
        <w:rPr>
          <w:rFonts w:ascii="Calibri" w:hAnsi="Calibri" w:cs="Calibri"/>
          <w:color w:val="242021"/>
        </w:rPr>
        <w:t>envolvendo dados estruturais. Dentre as matrizes mais</w:t>
      </w:r>
      <w:r w:rsidR="004202E1" w:rsidRPr="00541455">
        <w:rPr>
          <w:rFonts w:ascii="Calibri" w:hAnsi="Calibri" w:cs="Calibri"/>
          <w:color w:val="242021"/>
        </w:rPr>
        <w:t xml:space="preserve"> </w:t>
      </w:r>
      <w:r w:rsidRPr="00541455">
        <w:rPr>
          <w:rFonts w:ascii="Calibri" w:hAnsi="Calibri" w:cs="Calibri"/>
          <w:color w:val="242021"/>
        </w:rPr>
        <w:t>conhecidas, estão as matrizes de adjacência, incidência,</w:t>
      </w:r>
      <w:r w:rsidR="004202E1" w:rsidRPr="00541455">
        <w:rPr>
          <w:rFonts w:ascii="Calibri" w:hAnsi="Calibri" w:cs="Calibri"/>
          <w:color w:val="242021"/>
        </w:rPr>
        <w:t xml:space="preserve"> </w:t>
      </w:r>
      <w:r w:rsidRPr="00541455">
        <w:rPr>
          <w:rFonts w:ascii="Calibri" w:hAnsi="Calibri" w:cs="Calibri"/>
          <w:color w:val="242021"/>
        </w:rPr>
        <w:t>laplaciana e outras. Neste trabalho, é ut</w:t>
      </w:r>
      <w:r w:rsidR="004202E1" w:rsidRPr="00541455">
        <w:rPr>
          <w:rFonts w:ascii="Calibri" w:hAnsi="Calibri" w:cs="Calibri"/>
          <w:color w:val="242021"/>
        </w:rPr>
        <w:t>i</w:t>
      </w:r>
      <w:r w:rsidRPr="00541455">
        <w:rPr>
          <w:rFonts w:ascii="Calibri" w:hAnsi="Calibri" w:cs="Calibri"/>
          <w:color w:val="242021"/>
        </w:rPr>
        <w:t>lizada a matriz de</w:t>
      </w:r>
      <w:r w:rsidR="004202E1" w:rsidRPr="00541455">
        <w:rPr>
          <w:rFonts w:ascii="Calibri" w:hAnsi="Calibri" w:cs="Calibri"/>
          <w:color w:val="242021"/>
        </w:rPr>
        <w:t xml:space="preserve"> </w:t>
      </w:r>
      <w:r w:rsidRPr="00541455">
        <w:rPr>
          <w:rFonts w:ascii="Calibri" w:hAnsi="Calibri" w:cs="Calibri"/>
          <w:color w:val="242021"/>
        </w:rPr>
        <w:t xml:space="preserve">adjacência, denotada por </w:t>
      </w:r>
      <w:r w:rsidRPr="00541455">
        <w:rPr>
          <w:rFonts w:ascii="TimesNewRomanPS-ItalicMT" w:hAnsi="TimesNewRomanPS-ItalicMT"/>
          <w:i/>
          <w:iCs/>
          <w:color w:val="000000"/>
        </w:rPr>
        <w:t xml:space="preserve">A </w:t>
      </w:r>
      <w:r w:rsidRPr="00541455">
        <w:rPr>
          <w:rFonts w:ascii="TimesNewRomanPSMT" w:hAnsi="TimesNewRomanPSMT"/>
          <w:color w:val="000000"/>
        </w:rPr>
        <w:t>(</w:t>
      </w:r>
      <w:r w:rsidR="004202E1" w:rsidRPr="00541455">
        <w:rPr>
          <w:rFonts w:ascii="TimesNewRomanPS-ItalicMT" w:hAnsi="TimesNewRomanPS-ItalicMT"/>
          <w:i/>
          <w:iCs/>
          <w:color w:val="000000"/>
        </w:rPr>
        <w:t>G</w:t>
      </w:r>
      <w:proofErr w:type="gramStart"/>
      <w:r w:rsidRPr="00541455">
        <w:rPr>
          <w:rFonts w:ascii="TimesNewRomanPSMT" w:hAnsi="TimesNewRomanPSMT"/>
          <w:color w:val="000000"/>
        </w:rPr>
        <w:t xml:space="preserve">) </w:t>
      </w:r>
      <w:r w:rsidRPr="00541455">
        <w:rPr>
          <w:rFonts w:ascii="Calibri" w:hAnsi="Calibri" w:cs="Calibri"/>
          <w:color w:val="242021"/>
        </w:rPr>
        <w:t>,</w:t>
      </w:r>
      <w:proofErr w:type="gramEnd"/>
      <w:r w:rsidRPr="00541455">
        <w:rPr>
          <w:rFonts w:ascii="Calibri" w:hAnsi="Calibri" w:cs="Calibri"/>
          <w:color w:val="242021"/>
        </w:rPr>
        <w:t xml:space="preserve"> sendo a entrada </w:t>
      </w:r>
      <w:proofErr w:type="spellStart"/>
      <w:r w:rsidRPr="00541455">
        <w:rPr>
          <w:rFonts w:ascii="TimesNewRomanPS-ItalicMT" w:hAnsi="TimesNewRomanPS-ItalicMT"/>
          <w:i/>
          <w:iCs/>
          <w:color w:val="000000"/>
        </w:rPr>
        <w:t>aij</w:t>
      </w:r>
      <w:proofErr w:type="spellEnd"/>
      <w:r w:rsidRPr="00541455">
        <w:rPr>
          <w:rFonts w:ascii="TimesNewRomanPS-ItalicMT" w:hAnsi="TimesNewRomanPS-ItalicMT"/>
          <w:i/>
          <w:iCs/>
          <w:color w:val="000000"/>
        </w:rPr>
        <w:t xml:space="preserve"> </w:t>
      </w:r>
      <w:r w:rsidRPr="00541455">
        <w:rPr>
          <w:rFonts w:ascii="Calibri" w:hAnsi="Calibri" w:cs="Calibri"/>
          <w:color w:val="242021"/>
        </w:rPr>
        <w:t>dessa</w:t>
      </w:r>
      <w:r w:rsidRPr="00541455">
        <w:rPr>
          <w:rFonts w:ascii="Calibri" w:hAnsi="Calibri" w:cs="Calibri"/>
          <w:color w:val="242021"/>
        </w:rPr>
        <w:br/>
        <w:t xml:space="preserve">matriz igual a se </w:t>
      </w:r>
      <w:r w:rsidRPr="00541455">
        <w:rPr>
          <w:rFonts w:ascii="TimesNewRomanPS-ItalicMT" w:hAnsi="TimesNewRomanPS-ItalicMT"/>
          <w:i/>
          <w:iCs/>
          <w:color w:val="000000"/>
        </w:rPr>
        <w:t xml:space="preserve">vi </w:t>
      </w:r>
      <w:r w:rsidRPr="00541455">
        <w:rPr>
          <w:rFonts w:ascii="Calibri" w:hAnsi="Calibri" w:cs="Calibri"/>
          <w:color w:val="242021"/>
        </w:rPr>
        <w:t xml:space="preserve">e </w:t>
      </w:r>
      <w:r w:rsidRPr="00541455">
        <w:rPr>
          <w:rFonts w:ascii="TimesNewRomanPS-ItalicMT" w:hAnsi="TimesNewRomanPS-ItalicMT"/>
          <w:i/>
          <w:iCs/>
          <w:color w:val="000000"/>
        </w:rPr>
        <w:t xml:space="preserve">v j </w:t>
      </w:r>
      <w:r w:rsidRPr="00541455">
        <w:rPr>
          <w:rFonts w:ascii="Calibri" w:hAnsi="Calibri" w:cs="Calibri"/>
          <w:color w:val="242021"/>
        </w:rPr>
        <w:t xml:space="preserve">são adjacentes, ou iguais a </w:t>
      </w:r>
      <w:r w:rsidR="004202E1" w:rsidRPr="00541455">
        <w:rPr>
          <w:rFonts w:ascii="Calibri" w:hAnsi="Calibri" w:cs="Calibri"/>
          <w:color w:val="242021"/>
        </w:rPr>
        <w:t xml:space="preserve"> ()</w:t>
      </w:r>
      <w:r w:rsidRPr="00541455">
        <w:rPr>
          <w:rFonts w:ascii="Calibri-Italic" w:hAnsi="Calibri-Italic"/>
          <w:i/>
          <w:iCs/>
          <w:color w:val="242021"/>
        </w:rPr>
        <w:t>,</w:t>
      </w:r>
      <w:r w:rsidR="004202E1" w:rsidRPr="00541455">
        <w:rPr>
          <w:rFonts w:ascii="Calibri-Italic" w:hAnsi="Calibri-Italic"/>
          <w:i/>
          <w:iCs/>
          <w:color w:val="242021"/>
        </w:rPr>
        <w:t xml:space="preserve"> </w:t>
      </w:r>
      <w:r w:rsidRPr="00541455">
        <w:rPr>
          <w:rFonts w:ascii="Calibri" w:hAnsi="Calibri" w:cs="Calibri"/>
          <w:color w:val="242021"/>
        </w:rPr>
        <w:t xml:space="preserve">caso contrário, </w:t>
      </w:r>
      <w:r w:rsidRPr="00541455">
        <w:rPr>
          <w:rFonts w:ascii="Cambria Math" w:hAnsi="Cambria Math" w:cs="Cambria Math"/>
          <w:color w:val="000000"/>
        </w:rPr>
        <w:t>∀</w:t>
      </w:r>
      <w:r w:rsidRPr="00541455">
        <w:rPr>
          <w:rFonts w:ascii="TimesNewRomanPS-ItalicMT" w:hAnsi="TimesNewRomanPS-ItalicMT"/>
          <w:i/>
          <w:iCs/>
          <w:color w:val="000000"/>
        </w:rPr>
        <w:t>i</w:t>
      </w:r>
      <w:r w:rsidRPr="00541455">
        <w:rPr>
          <w:rFonts w:ascii="TimesNewRomanPSMT" w:hAnsi="TimesNewRomanPSMT"/>
          <w:color w:val="000000"/>
        </w:rPr>
        <w:t xml:space="preserve">, </w:t>
      </w:r>
      <w:r w:rsidRPr="00541455">
        <w:rPr>
          <w:rFonts w:ascii="TimesNewRomanPS-ItalicMT" w:hAnsi="TimesNewRomanPS-ItalicMT"/>
          <w:i/>
          <w:iCs/>
          <w:color w:val="000000"/>
        </w:rPr>
        <w:t xml:space="preserve">j </w:t>
      </w:r>
      <w:r w:rsidRPr="00541455">
        <w:rPr>
          <w:rFonts w:ascii="SymbolMT" w:hAnsi="SymbolMT"/>
          <w:color w:val="000000"/>
        </w:rPr>
        <w:t>=</w:t>
      </w:r>
      <w:r w:rsidRPr="00541455">
        <w:rPr>
          <w:rFonts w:ascii="TimesNewRomanPSMT" w:hAnsi="TimesNewRomanPSMT"/>
          <w:color w:val="000000"/>
        </w:rPr>
        <w:t xml:space="preserve">1,..., </w:t>
      </w:r>
      <w:r w:rsidRPr="00541455">
        <w:rPr>
          <w:rFonts w:ascii="TimesNewRomanPS-ItalicMT" w:hAnsi="TimesNewRomanPS-ItalicMT"/>
          <w:i/>
          <w:iCs/>
          <w:color w:val="000000"/>
        </w:rPr>
        <w:t xml:space="preserve">n </w:t>
      </w:r>
      <w:r w:rsidRPr="00541455">
        <w:rPr>
          <w:rFonts w:ascii="Calibri" w:hAnsi="Calibri" w:cs="Calibri"/>
          <w:color w:val="242021"/>
        </w:rPr>
        <w:t>.</w:t>
      </w:r>
    </w:p>
    <w:p w:rsidR="004202E1" w:rsidRPr="00541455" w:rsidRDefault="004202E1" w:rsidP="004202E1">
      <w:pPr>
        <w:pStyle w:val="PargrafodaLista"/>
        <w:numPr>
          <w:ilvl w:val="1"/>
          <w:numId w:val="1"/>
        </w:numPr>
        <w:rPr>
          <w:rFonts w:ascii="Calibri" w:hAnsi="Calibri" w:cs="Calibri"/>
          <w:color w:val="242021"/>
        </w:rPr>
      </w:pPr>
      <w:r w:rsidRPr="00541455">
        <w:rPr>
          <w:rFonts w:ascii="Calibri" w:hAnsi="Calibri" w:cs="Calibri"/>
          <w:color w:val="242021"/>
        </w:rPr>
        <w:t>Análise de agrupamentos</w:t>
      </w:r>
    </w:p>
    <w:p w:rsidR="004202E1" w:rsidRPr="00541455" w:rsidRDefault="00E648FC" w:rsidP="00387F9A">
      <w:pPr>
        <w:ind w:firstLine="360"/>
        <w:rPr>
          <w:rStyle w:val="fontstyle01"/>
          <w:sz w:val="22"/>
          <w:szCs w:val="22"/>
        </w:rPr>
      </w:pPr>
      <w:r w:rsidRPr="00541455">
        <w:rPr>
          <w:rStyle w:val="fontstyle01"/>
          <w:sz w:val="22"/>
          <w:szCs w:val="22"/>
        </w:rPr>
        <w:t>Análise de agrupamentos é o nome dado a um conjunto</w:t>
      </w:r>
      <w:r w:rsidRPr="00541455">
        <w:rPr>
          <w:rFonts w:ascii="Calibri" w:hAnsi="Calibri" w:cs="Calibri"/>
          <w:color w:val="242021"/>
        </w:rPr>
        <w:t xml:space="preserve"> </w:t>
      </w:r>
      <w:r w:rsidRPr="00541455">
        <w:rPr>
          <w:rStyle w:val="fontstyle01"/>
          <w:sz w:val="22"/>
          <w:szCs w:val="22"/>
        </w:rPr>
        <w:t xml:space="preserve">de métodos que têm por objetivo reunir os objetos em grupos homogêneos, sendo essa homogeneidade avaliada através de uma medida de distância. Dada uma amostra de </w:t>
      </w:r>
      <w:r w:rsidRPr="00541455">
        <w:rPr>
          <w:rStyle w:val="fontstyle21"/>
          <w:sz w:val="22"/>
          <w:szCs w:val="22"/>
        </w:rPr>
        <w:t xml:space="preserve">n </w:t>
      </w:r>
      <w:r w:rsidRPr="00541455">
        <w:rPr>
          <w:rStyle w:val="fontstyle01"/>
          <w:sz w:val="22"/>
          <w:szCs w:val="22"/>
        </w:rPr>
        <w:t xml:space="preserve">objetos, cada um deles medindo </w:t>
      </w:r>
      <w:r w:rsidRPr="00541455">
        <w:rPr>
          <w:rStyle w:val="fontstyle21"/>
          <w:sz w:val="22"/>
          <w:szCs w:val="22"/>
        </w:rPr>
        <w:t xml:space="preserve">p </w:t>
      </w:r>
      <w:r w:rsidRPr="00541455">
        <w:rPr>
          <w:rStyle w:val="fontstyle01"/>
          <w:sz w:val="22"/>
          <w:szCs w:val="22"/>
        </w:rPr>
        <w:t xml:space="preserve">variáveis, procura-se um esquema de agrupamento em </w:t>
      </w:r>
      <w:r w:rsidRPr="00541455">
        <w:rPr>
          <w:rStyle w:val="fontstyle21"/>
          <w:sz w:val="22"/>
          <w:szCs w:val="22"/>
        </w:rPr>
        <w:t xml:space="preserve">k </w:t>
      </w:r>
      <w:r w:rsidRPr="00541455">
        <w:rPr>
          <w:rStyle w:val="fontstyle01"/>
          <w:sz w:val="22"/>
          <w:szCs w:val="22"/>
        </w:rPr>
        <w:t>grupos.</w:t>
      </w:r>
    </w:p>
    <w:p w:rsidR="00387F9A" w:rsidRPr="00541455" w:rsidRDefault="00387F9A" w:rsidP="00387F9A">
      <w:pPr>
        <w:ind w:firstLine="360"/>
        <w:rPr>
          <w:rFonts w:ascii="Calibri" w:hAnsi="Calibri" w:cs="Calibri"/>
          <w:color w:val="242021"/>
        </w:rPr>
      </w:pPr>
      <w:r w:rsidRPr="00541455">
        <w:rPr>
          <w:rStyle w:val="fontstyle01"/>
          <w:sz w:val="22"/>
          <w:szCs w:val="22"/>
        </w:rPr>
        <w:t xml:space="preserve">Um primeiro passo à aplicação de qualquer algoritmo de agrupamento consiste da definição da matriz de dados. Mais </w:t>
      </w:r>
      <w:r w:rsidRPr="00541455">
        <w:rPr>
          <w:rFonts w:ascii="Calibri" w:hAnsi="Calibri" w:cs="Calibri"/>
          <w:color w:val="242021"/>
        </w:rPr>
        <w:t>especif</w:t>
      </w:r>
      <w:r w:rsidR="004D6219" w:rsidRPr="00541455">
        <w:rPr>
          <w:rFonts w:ascii="Calibri" w:hAnsi="Calibri" w:cs="Calibri"/>
          <w:color w:val="242021"/>
        </w:rPr>
        <w:t>i</w:t>
      </w:r>
      <w:r w:rsidRPr="00541455">
        <w:rPr>
          <w:rFonts w:ascii="Calibri" w:hAnsi="Calibri" w:cs="Calibri"/>
          <w:color w:val="242021"/>
        </w:rPr>
        <w:t xml:space="preserve">camente, selecionada a amostra de </w:t>
      </w:r>
      <w:r w:rsidRPr="00541455">
        <w:rPr>
          <w:rFonts w:ascii="Calibri-Italic" w:hAnsi="Calibri-Italic"/>
          <w:i/>
          <w:iCs/>
          <w:color w:val="242021"/>
        </w:rPr>
        <w:t xml:space="preserve">n </w:t>
      </w:r>
      <w:r w:rsidRPr="00541455">
        <w:rPr>
          <w:rFonts w:ascii="Calibri" w:hAnsi="Calibri" w:cs="Calibri"/>
          <w:color w:val="242021"/>
        </w:rPr>
        <w:t>objetos, devem</w:t>
      </w:r>
      <w:r w:rsidR="004D6219" w:rsidRPr="00541455">
        <w:rPr>
          <w:rFonts w:ascii="Calibri" w:hAnsi="Calibri" w:cs="Calibri"/>
          <w:color w:val="242021"/>
        </w:rPr>
        <w:t>-</w:t>
      </w:r>
      <w:r w:rsidRPr="00541455">
        <w:rPr>
          <w:rFonts w:ascii="Calibri" w:hAnsi="Calibri" w:cs="Calibri"/>
          <w:color w:val="242021"/>
        </w:rPr>
        <w:t>se def</w:t>
      </w:r>
      <w:r w:rsidR="004D6219" w:rsidRPr="00541455">
        <w:rPr>
          <w:rFonts w:ascii="Calibri" w:hAnsi="Calibri" w:cs="Calibri"/>
          <w:color w:val="242021"/>
        </w:rPr>
        <w:t>i</w:t>
      </w:r>
      <w:r w:rsidRPr="00541455">
        <w:rPr>
          <w:rFonts w:ascii="Calibri" w:hAnsi="Calibri" w:cs="Calibri"/>
          <w:color w:val="242021"/>
        </w:rPr>
        <w:t>nir quais atributos (variáveis) serão considerados para</w:t>
      </w:r>
      <w:r w:rsidR="004D6219" w:rsidRPr="00541455">
        <w:rPr>
          <w:rFonts w:ascii="Calibri" w:hAnsi="Calibri" w:cs="Calibri"/>
          <w:color w:val="242021"/>
        </w:rPr>
        <w:t xml:space="preserve"> </w:t>
      </w:r>
      <w:r w:rsidRPr="00541455">
        <w:rPr>
          <w:rFonts w:ascii="Calibri" w:hAnsi="Calibri" w:cs="Calibri"/>
          <w:color w:val="242021"/>
        </w:rPr>
        <w:t>os objetos. Esses atributos são considerados no cálculo da</w:t>
      </w:r>
      <w:r w:rsidRPr="00541455">
        <w:rPr>
          <w:rFonts w:ascii="Calibri" w:hAnsi="Calibri" w:cs="Calibri"/>
          <w:color w:val="242021"/>
        </w:rPr>
        <w:br/>
        <w:t>medida de homogeneidade dos grupos. Dessa forma, os</w:t>
      </w:r>
      <w:r w:rsidR="004D6219" w:rsidRPr="00541455">
        <w:rPr>
          <w:rFonts w:ascii="Calibri" w:hAnsi="Calibri" w:cs="Calibri"/>
          <w:color w:val="242021"/>
        </w:rPr>
        <w:t xml:space="preserve"> </w:t>
      </w:r>
      <w:r w:rsidRPr="00541455">
        <w:rPr>
          <w:rFonts w:ascii="Calibri" w:hAnsi="Calibri" w:cs="Calibri"/>
          <w:color w:val="242021"/>
        </w:rPr>
        <w:t xml:space="preserve">algoritmos de agrupamento trabalham com uma matriz </w:t>
      </w:r>
      <w:r w:rsidRPr="00541455">
        <w:rPr>
          <w:rFonts w:ascii="TimesNewRomanPS-ItalicMT" w:hAnsi="TimesNewRomanPS-ItalicMT"/>
          <w:i/>
          <w:iCs/>
          <w:color w:val="000000"/>
        </w:rPr>
        <w:t>A</w:t>
      </w:r>
      <w:r w:rsidR="004D6219" w:rsidRPr="00541455">
        <w:rPr>
          <w:rFonts w:ascii="TimesNewRomanPS-ItalicMT" w:hAnsi="TimesNewRomanPS-ItalicMT"/>
          <w:i/>
          <w:iCs/>
          <w:color w:val="000000"/>
        </w:rPr>
        <w:t xml:space="preserve"> </w:t>
      </w:r>
      <w:r w:rsidRPr="00541455">
        <w:rPr>
          <w:rFonts w:ascii="Calibri" w:hAnsi="Calibri" w:cs="Calibri"/>
          <w:color w:val="242021"/>
        </w:rPr>
        <w:t>const</w:t>
      </w:r>
      <w:r w:rsidR="004D6219" w:rsidRPr="00541455">
        <w:rPr>
          <w:rFonts w:ascii="Calibri" w:hAnsi="Calibri" w:cs="Calibri"/>
          <w:color w:val="242021"/>
        </w:rPr>
        <w:t>i</w:t>
      </w:r>
      <w:r w:rsidRPr="00541455">
        <w:rPr>
          <w:rFonts w:ascii="Calibri" w:hAnsi="Calibri" w:cs="Calibri"/>
          <w:color w:val="242021"/>
        </w:rPr>
        <w:t xml:space="preserve">tuída por </w:t>
      </w:r>
      <w:r w:rsidRPr="00541455">
        <w:rPr>
          <w:rFonts w:ascii="TimesNewRomanPS-ItalicMT" w:hAnsi="TimesNewRomanPS-ItalicMT"/>
          <w:i/>
          <w:iCs/>
          <w:color w:val="000000"/>
        </w:rPr>
        <w:t xml:space="preserve">n </w:t>
      </w:r>
      <w:r w:rsidRPr="00541455">
        <w:rPr>
          <w:rFonts w:ascii="Calibri" w:hAnsi="Calibri" w:cs="Calibri"/>
          <w:color w:val="242021"/>
        </w:rPr>
        <w:t xml:space="preserve">linhas (objetos) e </w:t>
      </w:r>
      <w:r w:rsidRPr="00541455">
        <w:rPr>
          <w:rFonts w:ascii="TimesNewRomanPS-ItalicMT" w:hAnsi="TimesNewRomanPS-ItalicMT"/>
          <w:i/>
          <w:iCs/>
          <w:color w:val="000000"/>
        </w:rPr>
        <w:t xml:space="preserve">p </w:t>
      </w:r>
      <w:r w:rsidRPr="00541455">
        <w:rPr>
          <w:rFonts w:ascii="Calibri" w:hAnsi="Calibri" w:cs="Calibri"/>
          <w:color w:val="242021"/>
        </w:rPr>
        <w:t>colunas (variáveis). A</w:t>
      </w:r>
      <w:r w:rsidR="004D6219" w:rsidRPr="00541455">
        <w:rPr>
          <w:rFonts w:ascii="Calibri" w:hAnsi="Calibri" w:cs="Calibri"/>
          <w:color w:val="242021"/>
        </w:rPr>
        <w:t xml:space="preserve"> </w:t>
      </w:r>
      <w:r w:rsidRPr="00541455">
        <w:rPr>
          <w:rFonts w:ascii="Calibri" w:hAnsi="Calibri" w:cs="Calibri"/>
          <w:color w:val="242021"/>
        </w:rPr>
        <w:t>similaridade entre objetos é obt</w:t>
      </w:r>
      <w:r w:rsidR="004D6219" w:rsidRPr="00541455">
        <w:rPr>
          <w:rFonts w:ascii="Calibri" w:hAnsi="Calibri" w:cs="Calibri"/>
          <w:color w:val="242021"/>
        </w:rPr>
        <w:t>i</w:t>
      </w:r>
      <w:r w:rsidRPr="00541455">
        <w:rPr>
          <w:rFonts w:ascii="Calibri" w:hAnsi="Calibri" w:cs="Calibri"/>
          <w:color w:val="242021"/>
        </w:rPr>
        <w:t>da através de coef</w:t>
      </w:r>
      <w:r w:rsidR="004D6219" w:rsidRPr="00541455">
        <w:rPr>
          <w:rFonts w:ascii="Calibri" w:hAnsi="Calibri" w:cs="Calibri"/>
          <w:color w:val="242021"/>
        </w:rPr>
        <w:t>i</w:t>
      </w:r>
      <w:r w:rsidRPr="00541455">
        <w:rPr>
          <w:rFonts w:ascii="Calibri" w:hAnsi="Calibri" w:cs="Calibri"/>
          <w:color w:val="242021"/>
        </w:rPr>
        <w:t>cientes</w:t>
      </w:r>
      <w:r w:rsidR="004D6219" w:rsidRPr="00541455">
        <w:rPr>
          <w:rFonts w:ascii="Calibri" w:hAnsi="Calibri" w:cs="Calibri"/>
          <w:color w:val="242021"/>
        </w:rPr>
        <w:t xml:space="preserve"> e</w:t>
      </w:r>
      <w:r w:rsidRPr="00541455">
        <w:rPr>
          <w:rFonts w:ascii="Calibri" w:hAnsi="Calibri" w:cs="Calibri"/>
          <w:color w:val="242021"/>
        </w:rPr>
        <w:t>specíf</w:t>
      </w:r>
      <w:r w:rsidR="004D6219" w:rsidRPr="00541455">
        <w:rPr>
          <w:rFonts w:ascii="Calibri" w:hAnsi="Calibri" w:cs="Calibri"/>
          <w:color w:val="242021"/>
        </w:rPr>
        <w:t>i</w:t>
      </w:r>
      <w:r w:rsidRPr="00541455">
        <w:rPr>
          <w:rFonts w:ascii="Calibri" w:hAnsi="Calibri" w:cs="Calibri"/>
          <w:color w:val="242021"/>
        </w:rPr>
        <w:t>cos para cada t</w:t>
      </w:r>
      <w:r w:rsidR="004D6219" w:rsidRPr="00541455">
        <w:rPr>
          <w:rFonts w:ascii="Calibri" w:hAnsi="Calibri" w:cs="Calibri"/>
          <w:color w:val="242021"/>
        </w:rPr>
        <w:t>i</w:t>
      </w:r>
      <w:r w:rsidRPr="00541455">
        <w:rPr>
          <w:rFonts w:ascii="Calibri" w:hAnsi="Calibri" w:cs="Calibri"/>
          <w:color w:val="242021"/>
        </w:rPr>
        <w:t>po de variável.</w:t>
      </w:r>
    </w:p>
    <w:p w:rsidR="00A56A75" w:rsidRPr="00541455" w:rsidRDefault="00A56A75" w:rsidP="00387F9A">
      <w:pPr>
        <w:ind w:firstLine="360"/>
        <w:rPr>
          <w:rFonts w:ascii="Calibri" w:hAnsi="Calibri" w:cs="Calibri"/>
          <w:color w:val="242021"/>
        </w:rPr>
      </w:pPr>
      <w:r w:rsidRPr="00541455">
        <w:rPr>
          <w:rFonts w:ascii="Calibri" w:hAnsi="Calibri" w:cs="Calibri"/>
          <w:color w:val="242021"/>
        </w:rPr>
        <w:t xml:space="preserve">Conforme comentado anteriormente, para avaliar a homogeneidade entre os objetos, utilizamos medidas de similaridade. Consideram-se dois tipos de similaridade: similaridade propriamente dita, que mede quão semelhantes são os objetos, e dissimilaridade, que mede quão diferentes são, sendo uma a complementar da outra. Dessa forma, quanto maior a similaridade, mais semelhante será, e quanto maior a dissimilaridade, menor a semelhança. Assim, definimos a matriz de similaridade, denotada por </w:t>
      </w:r>
      <w:r w:rsidRPr="00541455">
        <w:rPr>
          <w:rFonts w:ascii="TimesNewRomanPS-ItalicMT" w:hAnsi="TimesNewRomanPS-ItalicMT"/>
          <w:i/>
          <w:iCs/>
          <w:color w:val="000000"/>
        </w:rPr>
        <w:t>B</w:t>
      </w:r>
      <w:r w:rsidRPr="00541455">
        <w:rPr>
          <w:rFonts w:ascii="Calibri" w:hAnsi="Calibri" w:cs="Calibri"/>
          <w:color w:val="242021"/>
        </w:rPr>
        <w:t xml:space="preserve">, como sendo uma matriz de ordem </w:t>
      </w:r>
      <w:r w:rsidRPr="00541455">
        <w:rPr>
          <w:rFonts w:ascii="TimesNewRomanPS-ItalicMT" w:hAnsi="TimesNewRomanPS-ItalicMT"/>
          <w:i/>
          <w:iCs/>
          <w:color w:val="000000"/>
        </w:rPr>
        <w:t>n</w:t>
      </w:r>
      <w:r w:rsidRPr="00541455">
        <w:rPr>
          <w:rFonts w:ascii="SymbolMT" w:hAnsi="SymbolMT"/>
          <w:color w:val="000000"/>
        </w:rPr>
        <w:t xml:space="preserve">× </w:t>
      </w:r>
      <w:r w:rsidRPr="00541455">
        <w:rPr>
          <w:rFonts w:ascii="TimesNewRomanPS-ItalicMT" w:hAnsi="TimesNewRomanPS-ItalicMT"/>
          <w:i/>
          <w:iCs/>
          <w:color w:val="000000"/>
        </w:rPr>
        <w:t xml:space="preserve">p </w:t>
      </w:r>
      <w:r w:rsidRPr="00541455">
        <w:rPr>
          <w:rFonts w:ascii="Calibri" w:hAnsi="Calibri" w:cs="Calibri"/>
          <w:color w:val="242021"/>
        </w:rPr>
        <w:t xml:space="preserve">em que as </w:t>
      </w:r>
      <w:r w:rsidRPr="00541455">
        <w:rPr>
          <w:rFonts w:ascii="TimesNewRomanPS-ItalicMT" w:hAnsi="TimesNewRomanPS-ItalicMT"/>
          <w:i/>
          <w:iCs/>
          <w:color w:val="000000"/>
        </w:rPr>
        <w:t xml:space="preserve">n </w:t>
      </w:r>
      <w:r w:rsidRPr="00541455">
        <w:rPr>
          <w:rFonts w:ascii="Calibri" w:hAnsi="Calibri" w:cs="Calibri"/>
          <w:color w:val="242021"/>
        </w:rPr>
        <w:t xml:space="preserve">linhas correspondem aos objetos e as </w:t>
      </w:r>
      <w:r w:rsidRPr="00541455">
        <w:rPr>
          <w:rFonts w:ascii="TimesNewRomanPS-ItalicMT" w:hAnsi="TimesNewRomanPS-ItalicMT"/>
          <w:i/>
          <w:iCs/>
          <w:color w:val="000000"/>
        </w:rPr>
        <w:t xml:space="preserve">p </w:t>
      </w:r>
      <w:r w:rsidRPr="00541455">
        <w:rPr>
          <w:rFonts w:ascii="Calibri" w:hAnsi="Calibri" w:cs="Calibri"/>
          <w:color w:val="242021"/>
        </w:rPr>
        <w:t>colunas às variáveis.</w:t>
      </w:r>
    </w:p>
    <w:p w:rsidR="00F16449" w:rsidRPr="00541455" w:rsidRDefault="00F16449" w:rsidP="00387F9A">
      <w:pPr>
        <w:ind w:firstLine="360"/>
        <w:rPr>
          <w:rFonts w:ascii="Calibri" w:hAnsi="Calibri" w:cs="Calibri"/>
          <w:color w:val="242021"/>
        </w:rPr>
      </w:pPr>
      <w:r w:rsidRPr="00541455">
        <w:rPr>
          <w:rFonts w:ascii="Calibri" w:hAnsi="Calibri" w:cs="Calibri"/>
          <w:color w:val="242021"/>
        </w:rPr>
        <w:t xml:space="preserve">Supondo atributos quantitativos, as medidas de dissimilaridade mais utilizadas para dois objetos </w:t>
      </w:r>
      <w:r w:rsidRPr="00541455">
        <w:rPr>
          <w:rFonts w:ascii="TimesNewRomanPS-ItalicMT" w:hAnsi="TimesNewRomanPS-ItalicMT"/>
          <w:i/>
          <w:iCs/>
          <w:color w:val="000000"/>
        </w:rPr>
        <w:t xml:space="preserve">i </w:t>
      </w:r>
      <w:r w:rsidRPr="00541455">
        <w:rPr>
          <w:rFonts w:cstheme="minorHAnsi"/>
          <w:iCs/>
          <w:color w:val="000000"/>
        </w:rPr>
        <w:t>e</w:t>
      </w:r>
      <w:r w:rsidRPr="00541455">
        <w:rPr>
          <w:rFonts w:ascii="TimesNewRomanPS-ItalicMT" w:hAnsi="TimesNewRomanPS-ItalicMT"/>
          <w:iCs/>
          <w:color w:val="000000"/>
        </w:rPr>
        <w:t xml:space="preserve"> </w:t>
      </w:r>
      <w:r w:rsidRPr="00541455">
        <w:rPr>
          <w:rFonts w:ascii="TimesNewRomanPS-ItalicMT" w:hAnsi="TimesNewRomanPS-ItalicMT"/>
          <w:i/>
          <w:iCs/>
          <w:color w:val="000000"/>
        </w:rPr>
        <w:t xml:space="preserve">j </w:t>
      </w:r>
      <w:r w:rsidRPr="00541455">
        <w:rPr>
          <w:rFonts w:ascii="Calibri" w:hAnsi="Calibri" w:cs="Calibri"/>
          <w:color w:val="242021"/>
        </w:rPr>
        <w:t>com essa escala são:</w:t>
      </w:r>
    </w:p>
    <w:p w:rsidR="00F16449" w:rsidRPr="00541455" w:rsidRDefault="00F16449" w:rsidP="00F16449">
      <w:pPr>
        <w:pStyle w:val="PargrafodaLista"/>
        <w:numPr>
          <w:ilvl w:val="0"/>
          <w:numId w:val="2"/>
        </w:numPr>
      </w:pPr>
      <w:r w:rsidRPr="00541455">
        <w:rPr>
          <w:rFonts w:ascii="Calibri" w:hAnsi="Calibri" w:cs="Calibri"/>
          <w:color w:val="242021"/>
        </w:rPr>
        <w:t>D</w:t>
      </w:r>
      <w:r w:rsidR="0012642E" w:rsidRPr="00541455">
        <w:rPr>
          <w:rFonts w:ascii="Calibri" w:hAnsi="Calibri" w:cs="Calibri"/>
          <w:color w:val="242021"/>
        </w:rPr>
        <w:t>istância euclidiana</w:t>
      </w:r>
    </w:p>
    <w:p w:rsidR="00F16449" w:rsidRPr="00541455" w:rsidRDefault="0012642E" w:rsidP="00F16449">
      <w:pPr>
        <w:pStyle w:val="PargrafodaLista"/>
        <w:numPr>
          <w:ilvl w:val="0"/>
          <w:numId w:val="2"/>
        </w:numPr>
      </w:pPr>
      <w:r w:rsidRPr="00541455">
        <w:rPr>
          <w:rFonts w:ascii="Calibri" w:hAnsi="Calibri" w:cs="Calibri"/>
          <w:color w:val="242021"/>
        </w:rPr>
        <w:t xml:space="preserve">Distância de </w:t>
      </w:r>
      <w:proofErr w:type="spellStart"/>
      <w:r w:rsidRPr="00541455">
        <w:rPr>
          <w:rFonts w:ascii="Calibri-Italic" w:hAnsi="Calibri-Italic"/>
          <w:i/>
          <w:iCs/>
          <w:color w:val="242021"/>
        </w:rPr>
        <w:t>Manhatan</w:t>
      </w:r>
      <w:proofErr w:type="spellEnd"/>
    </w:p>
    <w:p w:rsidR="0012642E" w:rsidRPr="00541455" w:rsidRDefault="0012642E" w:rsidP="00F16449">
      <w:pPr>
        <w:pStyle w:val="PargrafodaLista"/>
        <w:numPr>
          <w:ilvl w:val="0"/>
          <w:numId w:val="2"/>
        </w:numPr>
        <w:rPr>
          <w:rStyle w:val="fontstyle01"/>
          <w:rFonts w:asciiTheme="minorHAnsi" w:hAnsiTheme="minorHAnsi" w:cstheme="minorBidi"/>
          <w:color w:val="auto"/>
          <w:sz w:val="22"/>
          <w:szCs w:val="22"/>
        </w:rPr>
      </w:pPr>
      <w:r w:rsidRPr="00541455">
        <w:rPr>
          <w:rStyle w:val="fontstyle01"/>
          <w:sz w:val="22"/>
          <w:szCs w:val="22"/>
        </w:rPr>
        <w:t>Outras medidas podem ser construídas com base na distância euclidiana</w:t>
      </w:r>
    </w:p>
    <w:p w:rsidR="00EC0F8F" w:rsidRPr="00541455" w:rsidRDefault="00EC0F8F" w:rsidP="00EC0F8F">
      <w:pPr>
        <w:ind w:firstLine="284"/>
        <w:rPr>
          <w:rFonts w:ascii="Calibri" w:hAnsi="Calibri" w:cs="Calibri"/>
          <w:color w:val="000000"/>
        </w:rPr>
      </w:pPr>
      <w:r w:rsidRPr="00541455">
        <w:rPr>
          <w:rFonts w:ascii="Calibri" w:hAnsi="Calibri" w:cs="Calibri"/>
          <w:color w:val="242021"/>
        </w:rPr>
        <w:t xml:space="preserve">Os métodos de agrupamento são divididos em hierárquicos e não-hierárquicos. No caso dos métodos hierárquicos, o número de grupos não é um parâmetro de entrada. Esses métodos </w:t>
      </w:r>
      <w:r w:rsidRPr="00541455">
        <w:rPr>
          <w:rFonts w:ascii="Calibri" w:hAnsi="Calibri" w:cs="Calibri"/>
          <w:color w:val="242021"/>
        </w:rPr>
        <w:lastRenderedPageBreak/>
        <w:t xml:space="preserve">são divididos em duas categorias, quais sejam: os </w:t>
      </w:r>
      <w:proofErr w:type="spellStart"/>
      <w:r w:rsidRPr="00541455">
        <w:rPr>
          <w:rFonts w:ascii="Calibri" w:hAnsi="Calibri" w:cs="Calibri"/>
          <w:color w:val="242021"/>
        </w:rPr>
        <w:t>aglomerativos</w:t>
      </w:r>
      <w:proofErr w:type="spellEnd"/>
      <w:r w:rsidRPr="00541455">
        <w:rPr>
          <w:rFonts w:ascii="Calibri" w:hAnsi="Calibri" w:cs="Calibri"/>
          <w:color w:val="242021"/>
        </w:rPr>
        <w:t xml:space="preserve"> e os </w:t>
      </w:r>
      <w:proofErr w:type="spellStart"/>
      <w:r w:rsidRPr="00541455">
        <w:rPr>
          <w:rFonts w:ascii="Calibri" w:hAnsi="Calibri" w:cs="Calibri"/>
          <w:color w:val="242021"/>
        </w:rPr>
        <w:t>divisivos</w:t>
      </w:r>
      <w:proofErr w:type="spellEnd"/>
      <w:r w:rsidRPr="00541455">
        <w:rPr>
          <w:rFonts w:ascii="Calibri" w:hAnsi="Calibri" w:cs="Calibri"/>
          <w:color w:val="000000"/>
        </w:rPr>
        <w:t xml:space="preserve">. Nos </w:t>
      </w:r>
      <w:proofErr w:type="spellStart"/>
      <w:r w:rsidRPr="00541455">
        <w:rPr>
          <w:rFonts w:ascii="Calibri" w:hAnsi="Calibri" w:cs="Calibri"/>
          <w:color w:val="000000"/>
        </w:rPr>
        <w:t>aglomerativos</w:t>
      </w:r>
      <w:proofErr w:type="spellEnd"/>
      <w:r w:rsidRPr="00541455">
        <w:rPr>
          <w:rFonts w:ascii="Calibri" w:hAnsi="Calibri" w:cs="Calibri"/>
          <w:color w:val="000000"/>
        </w:rPr>
        <w:t xml:space="preserve">, inicialmente há </w:t>
      </w:r>
      <w:r w:rsidRPr="00541455">
        <w:rPr>
          <w:rFonts w:ascii="TimesNewRomanPS-ItalicMT" w:hAnsi="TimesNewRomanPS-ItalicMT"/>
          <w:i/>
          <w:iCs/>
          <w:color w:val="000000"/>
        </w:rPr>
        <w:t xml:space="preserve">n </w:t>
      </w:r>
      <w:r w:rsidRPr="00541455">
        <w:rPr>
          <w:rFonts w:ascii="Calibri" w:hAnsi="Calibri" w:cs="Calibri"/>
          <w:color w:val="000000"/>
        </w:rPr>
        <w:t xml:space="preserve">grupos de </w:t>
      </w:r>
      <w:r w:rsidRPr="00541455">
        <w:rPr>
          <w:rFonts w:ascii="TimesNewRomanPSMT" w:hAnsi="TimesNewRomanPSMT"/>
          <w:color w:val="000000"/>
        </w:rPr>
        <w:t xml:space="preserve">1 </w:t>
      </w:r>
      <w:r w:rsidRPr="00541455">
        <w:rPr>
          <w:rFonts w:ascii="Calibri" w:hAnsi="Calibri" w:cs="Calibri"/>
          <w:color w:val="000000"/>
        </w:rPr>
        <w:t xml:space="preserve">objeto cada, sendo efetuada uma série de uniões até obter </w:t>
      </w:r>
      <w:r w:rsidRPr="00541455">
        <w:rPr>
          <w:rFonts w:ascii="TimesNewRomanPS-ItalicMT" w:hAnsi="TimesNewRomanPS-ItalicMT"/>
          <w:i/>
          <w:iCs/>
          <w:color w:val="000000"/>
        </w:rPr>
        <w:t xml:space="preserve">k </w:t>
      </w:r>
      <w:r w:rsidRPr="00541455">
        <w:rPr>
          <w:rFonts w:ascii="Calibri" w:hAnsi="Calibri" w:cs="Calibri"/>
          <w:color w:val="000000"/>
        </w:rPr>
        <w:t>grupos; e</w:t>
      </w:r>
      <w:r w:rsidRPr="00541455">
        <w:rPr>
          <w:rFonts w:ascii="Calibri" w:hAnsi="Calibri" w:cs="Calibri"/>
          <w:color w:val="000000"/>
        </w:rPr>
        <w:br/>
        <w:t xml:space="preserve">nos </w:t>
      </w:r>
      <w:proofErr w:type="spellStart"/>
      <w:r w:rsidRPr="00541455">
        <w:rPr>
          <w:rFonts w:ascii="Calibri" w:hAnsi="Calibri" w:cs="Calibri"/>
          <w:color w:val="000000"/>
        </w:rPr>
        <w:t>divisivos</w:t>
      </w:r>
      <w:proofErr w:type="spellEnd"/>
      <w:r w:rsidRPr="00541455">
        <w:rPr>
          <w:rFonts w:ascii="Calibri" w:hAnsi="Calibri" w:cs="Calibri"/>
          <w:color w:val="000000"/>
        </w:rPr>
        <w:t xml:space="preserve">, inicialmente há um único grupo formado por </w:t>
      </w:r>
      <w:r w:rsidRPr="00541455">
        <w:rPr>
          <w:rFonts w:ascii="TimesNewRomanPS-ItalicMT" w:hAnsi="TimesNewRomanPS-ItalicMT"/>
          <w:i/>
          <w:iCs/>
          <w:color w:val="000000"/>
        </w:rPr>
        <w:t xml:space="preserve">n </w:t>
      </w:r>
      <w:r w:rsidRPr="00541455">
        <w:rPr>
          <w:rFonts w:ascii="Calibri" w:hAnsi="Calibri" w:cs="Calibri"/>
          <w:color w:val="000000"/>
        </w:rPr>
        <w:t xml:space="preserve">objetos, sendo efetuadas sucessivas divisões dos grupos até que sejam atingidos </w:t>
      </w:r>
      <w:r w:rsidRPr="00541455">
        <w:rPr>
          <w:rFonts w:ascii="TimesNewRomanPS-ItalicMT" w:hAnsi="TimesNewRomanPS-ItalicMT"/>
          <w:i/>
          <w:iCs/>
          <w:color w:val="000000"/>
        </w:rPr>
        <w:t xml:space="preserve">k </w:t>
      </w:r>
      <w:r w:rsidRPr="00541455">
        <w:rPr>
          <w:rFonts w:ascii="Calibri" w:hAnsi="Calibri" w:cs="Calibri"/>
          <w:color w:val="000000"/>
        </w:rPr>
        <w:t>grupos.</w:t>
      </w:r>
    </w:p>
    <w:p w:rsidR="00AB7B80" w:rsidRPr="00541455" w:rsidRDefault="00AB7B80" w:rsidP="00EC0F8F">
      <w:pPr>
        <w:ind w:firstLine="284"/>
        <w:rPr>
          <w:rFonts w:ascii="Calibri" w:hAnsi="Calibri" w:cs="Calibri"/>
          <w:color w:val="000000"/>
        </w:rPr>
      </w:pPr>
      <w:r w:rsidRPr="00541455">
        <w:rPr>
          <w:rFonts w:ascii="Calibri" w:hAnsi="Calibri" w:cs="Calibri"/>
          <w:color w:val="242021"/>
        </w:rPr>
        <w:t xml:space="preserve">Nos métodos não hierárquicos, o </w:t>
      </w:r>
      <w:r w:rsidR="0080132B" w:rsidRPr="00541455">
        <w:rPr>
          <w:rFonts w:ascii="Calibri" w:hAnsi="Calibri" w:cs="Calibri"/>
          <w:color w:val="242021"/>
        </w:rPr>
        <w:t>número de grupos (</w:t>
      </w:r>
      <w:r w:rsidRPr="00541455">
        <w:rPr>
          <w:rFonts w:ascii="TimesNewRomanPS-ItalicMT" w:hAnsi="TimesNewRomanPS-ItalicMT"/>
          <w:i/>
          <w:iCs/>
          <w:color w:val="000000"/>
        </w:rPr>
        <w:t>k</w:t>
      </w:r>
      <w:r w:rsidRPr="00541455">
        <w:rPr>
          <w:rFonts w:ascii="Calibri" w:hAnsi="Calibri" w:cs="Calibri"/>
          <w:color w:val="242021"/>
        </w:rPr>
        <w:t xml:space="preserve">) é especificado previamente. Os grupos formados devem ter: Coesão interna (similaridade interna) e Isolamento (separação). Em geral, os algoritmos computacionais associados a estes métodos são iterativos. Além disso, esses métodos propiciam </w:t>
      </w:r>
      <w:r w:rsidRPr="00541455">
        <w:rPr>
          <w:rFonts w:ascii="Calibri" w:hAnsi="Calibri" w:cs="Calibri"/>
          <w:color w:val="000000"/>
        </w:rPr>
        <w:t xml:space="preserve">ter maior capacidade de análise do conjunto de dados de maior porte (com número maior de objetos). Um dos métodos mais conhecido e utilizado em relação aos métodos não hierárquicos é o método </w:t>
      </w:r>
      <w:r w:rsidRPr="00541455">
        <w:rPr>
          <w:rFonts w:ascii="Calibri-Italic" w:hAnsi="Calibri-Italic"/>
          <w:i/>
          <w:iCs/>
          <w:color w:val="000000"/>
        </w:rPr>
        <w:t>k-</w:t>
      </w:r>
      <w:proofErr w:type="spellStart"/>
      <w:r w:rsidRPr="00541455">
        <w:rPr>
          <w:rFonts w:ascii="Calibri-Italic" w:hAnsi="Calibri-Italic"/>
          <w:i/>
          <w:iCs/>
          <w:color w:val="000000"/>
        </w:rPr>
        <w:t>means</w:t>
      </w:r>
      <w:proofErr w:type="spellEnd"/>
      <w:r w:rsidRPr="00541455">
        <w:rPr>
          <w:rFonts w:ascii="Calibri" w:hAnsi="Calibri" w:cs="Calibri"/>
          <w:color w:val="000000"/>
        </w:rPr>
        <w:t>.</w:t>
      </w:r>
    </w:p>
    <w:p w:rsidR="00743802" w:rsidRPr="00541455" w:rsidRDefault="00743802" w:rsidP="00EC0F8F">
      <w:pPr>
        <w:ind w:firstLine="284"/>
        <w:rPr>
          <w:rFonts w:ascii="Calibri" w:hAnsi="Calibri" w:cs="Calibri"/>
          <w:color w:val="000000"/>
        </w:rPr>
      </w:pPr>
      <w:r w:rsidRPr="00541455">
        <w:rPr>
          <w:rFonts w:ascii="Calibri" w:hAnsi="Calibri" w:cs="Calibri"/>
          <w:color w:val="000000"/>
        </w:rPr>
        <w:t xml:space="preserve">1.2 </w:t>
      </w:r>
      <w:r w:rsidRPr="00541455">
        <w:rPr>
          <w:rFonts w:cstheme="minorHAnsi"/>
          <w:bCs/>
          <w:color w:val="242021"/>
        </w:rPr>
        <w:t>Medida de qualidade de agrupamento</w:t>
      </w:r>
    </w:p>
    <w:p w:rsidR="0080132B" w:rsidRPr="00541455" w:rsidRDefault="0080132B" w:rsidP="00EC0F8F">
      <w:pPr>
        <w:ind w:firstLine="284"/>
        <w:rPr>
          <w:rFonts w:ascii="Calibri" w:hAnsi="Calibri" w:cs="Calibri"/>
          <w:color w:val="242021"/>
        </w:rPr>
      </w:pPr>
      <w:r w:rsidRPr="00541455">
        <w:rPr>
          <w:rFonts w:ascii="Calibri" w:hAnsi="Calibri" w:cs="Calibri"/>
          <w:color w:val="242021"/>
        </w:rPr>
        <w:t xml:space="preserve">Existem medidas, denominadas medidas de qualidade, que são aplicadas para avaliar </w:t>
      </w:r>
      <w:r w:rsidRPr="00541455">
        <w:rPr>
          <w:rFonts w:ascii="Calibri-Italic" w:hAnsi="Calibri-Italic"/>
          <w:i/>
          <w:iCs/>
          <w:color w:val="242021"/>
        </w:rPr>
        <w:t xml:space="preserve">a posteriori </w:t>
      </w:r>
      <w:r w:rsidRPr="00541455">
        <w:rPr>
          <w:rFonts w:ascii="Calibri" w:hAnsi="Calibri" w:cs="Calibri"/>
          <w:color w:val="242021"/>
        </w:rPr>
        <w:t xml:space="preserve">os </w:t>
      </w:r>
      <w:r w:rsidRPr="00541455">
        <w:rPr>
          <w:rFonts w:ascii="Calibri-Italic" w:hAnsi="Calibri-Italic"/>
          <w:i/>
          <w:iCs/>
          <w:color w:val="242021"/>
        </w:rPr>
        <w:t xml:space="preserve">clusters </w:t>
      </w:r>
      <w:r w:rsidRPr="00541455">
        <w:rPr>
          <w:rFonts w:ascii="Calibri" w:hAnsi="Calibri" w:cs="Calibri"/>
          <w:color w:val="242021"/>
        </w:rPr>
        <w:t xml:space="preserve">formados. Em particular, a medida utilizada neste trabalho é o coeficiente de silhueta. Esse coeficiente permite avaliar, para cada objeto, a sua pertinência em relação ao </w:t>
      </w:r>
      <w:r w:rsidRPr="00541455">
        <w:rPr>
          <w:rFonts w:ascii="Calibri-Italic" w:hAnsi="Calibri-Italic"/>
          <w:i/>
          <w:iCs/>
          <w:color w:val="242021"/>
        </w:rPr>
        <w:t>cluster</w:t>
      </w:r>
      <w:r w:rsidRPr="00541455">
        <w:rPr>
          <w:rFonts w:ascii="Calibri" w:hAnsi="Calibri" w:cs="Calibri"/>
          <w:color w:val="242021"/>
        </w:rPr>
        <w:t>, bem</w:t>
      </w:r>
      <w:r w:rsidR="008842A7" w:rsidRPr="00541455">
        <w:rPr>
          <w:rFonts w:ascii="Calibri" w:hAnsi="Calibri" w:cs="Calibri"/>
          <w:color w:val="242021"/>
        </w:rPr>
        <w:t xml:space="preserve"> </w:t>
      </w:r>
      <w:r w:rsidRPr="00541455">
        <w:rPr>
          <w:rFonts w:ascii="Calibri" w:hAnsi="Calibri" w:cs="Calibri"/>
          <w:color w:val="242021"/>
        </w:rPr>
        <w:t xml:space="preserve">como se os </w:t>
      </w:r>
      <w:r w:rsidRPr="00541455">
        <w:rPr>
          <w:rFonts w:ascii="Calibri-Italic" w:hAnsi="Calibri-Italic"/>
          <w:i/>
          <w:iCs/>
          <w:color w:val="242021"/>
        </w:rPr>
        <w:t xml:space="preserve">clusters </w:t>
      </w:r>
      <w:r w:rsidRPr="00541455">
        <w:rPr>
          <w:rFonts w:ascii="Calibri" w:hAnsi="Calibri" w:cs="Calibri"/>
          <w:color w:val="242021"/>
        </w:rPr>
        <w:t>formados têm uma estrutura natural de</w:t>
      </w:r>
      <w:r w:rsidR="00A02C9F" w:rsidRPr="00541455">
        <w:rPr>
          <w:rFonts w:ascii="Calibri" w:hAnsi="Calibri" w:cs="Calibri"/>
          <w:color w:val="242021"/>
        </w:rPr>
        <w:t xml:space="preserve"> </w:t>
      </w:r>
      <w:r w:rsidRPr="00541455">
        <w:rPr>
          <w:rFonts w:ascii="Calibri" w:hAnsi="Calibri" w:cs="Calibri"/>
          <w:color w:val="242021"/>
        </w:rPr>
        <w:t>agrupamento. Ou seja, permite ident</w:t>
      </w:r>
      <w:r w:rsidR="00A02C9F" w:rsidRPr="00541455">
        <w:rPr>
          <w:rFonts w:ascii="Calibri" w:hAnsi="Calibri" w:cs="Calibri"/>
          <w:color w:val="242021"/>
        </w:rPr>
        <w:t>i</w:t>
      </w:r>
      <w:r w:rsidRPr="00541455">
        <w:rPr>
          <w:rFonts w:ascii="Calibri" w:hAnsi="Calibri" w:cs="Calibri"/>
          <w:color w:val="242021"/>
        </w:rPr>
        <w:t>f</w:t>
      </w:r>
      <w:r w:rsidR="00A02C9F" w:rsidRPr="00541455">
        <w:rPr>
          <w:rFonts w:ascii="Calibri" w:hAnsi="Calibri" w:cs="Calibri"/>
          <w:color w:val="242021"/>
        </w:rPr>
        <w:t>i</w:t>
      </w:r>
      <w:r w:rsidRPr="00541455">
        <w:rPr>
          <w:rFonts w:ascii="Calibri" w:hAnsi="Calibri" w:cs="Calibri"/>
          <w:color w:val="242021"/>
        </w:rPr>
        <w:t>car se cada um dos</w:t>
      </w:r>
      <w:r w:rsidR="00A02C9F" w:rsidRPr="00541455">
        <w:rPr>
          <w:rFonts w:ascii="Calibri" w:hAnsi="Calibri" w:cs="Calibri"/>
          <w:color w:val="242021"/>
        </w:rPr>
        <w:t xml:space="preserve"> </w:t>
      </w:r>
      <w:r w:rsidRPr="00541455">
        <w:rPr>
          <w:rFonts w:ascii="Calibri" w:hAnsi="Calibri" w:cs="Calibri"/>
          <w:color w:val="242021"/>
        </w:rPr>
        <w:t xml:space="preserve">objetos está bem posicionado em relação ao </w:t>
      </w:r>
      <w:r w:rsidRPr="00541455">
        <w:rPr>
          <w:rFonts w:ascii="Calibri-Italic" w:hAnsi="Calibri-Italic"/>
          <w:i/>
          <w:iCs/>
          <w:color w:val="242021"/>
        </w:rPr>
        <w:t>cluster</w:t>
      </w:r>
      <w:r w:rsidRPr="00541455">
        <w:rPr>
          <w:rFonts w:ascii="Calibri" w:hAnsi="Calibri" w:cs="Calibri"/>
          <w:color w:val="242021"/>
        </w:rPr>
        <w:t>.</w:t>
      </w:r>
    </w:p>
    <w:p w:rsidR="0055753F" w:rsidRPr="00541455" w:rsidRDefault="0055753F" w:rsidP="00EC0F8F">
      <w:pPr>
        <w:ind w:firstLine="284"/>
        <w:rPr>
          <w:rStyle w:val="fontstyle01"/>
          <w:sz w:val="22"/>
          <w:szCs w:val="22"/>
        </w:rPr>
      </w:pPr>
      <w:r w:rsidRPr="00541455">
        <w:rPr>
          <w:rStyle w:val="fontstyle01"/>
          <w:sz w:val="22"/>
          <w:szCs w:val="22"/>
        </w:rPr>
        <w:t xml:space="preserve">No caso da silhueta média, temos que um valor de </w:t>
      </w:r>
      <w:r w:rsidRPr="00541455">
        <w:rPr>
          <w:rStyle w:val="fontstyle21"/>
          <w:sz w:val="22"/>
          <w:szCs w:val="22"/>
        </w:rPr>
        <w:t xml:space="preserve">s </w:t>
      </w:r>
      <w:r w:rsidRPr="00541455">
        <w:rPr>
          <w:rStyle w:val="fontstyle01"/>
          <w:sz w:val="22"/>
          <w:szCs w:val="22"/>
        </w:rPr>
        <w:t xml:space="preserve">acima de 0.7 indica que há uma boa estrutura de agrupamento, já um valor entre 0.51 e 0.7 indica que há uma estrutura razoável de agrupamento e um valor entre 0.26 e 0.5 indica uma estrutura fraca, ou seja, é aconselhável a aplicação de </w:t>
      </w:r>
      <w:r w:rsidR="00E67482" w:rsidRPr="00541455">
        <w:rPr>
          <w:rStyle w:val="fontstyle01"/>
          <w:sz w:val="22"/>
          <w:szCs w:val="22"/>
        </w:rPr>
        <w:t xml:space="preserve">outro </w:t>
      </w:r>
      <w:r w:rsidRPr="00541455">
        <w:rPr>
          <w:rStyle w:val="fontstyle01"/>
          <w:sz w:val="22"/>
          <w:szCs w:val="22"/>
        </w:rPr>
        <w:t>método de agrupamento para os dados.</w:t>
      </w:r>
      <w:r w:rsidR="00E67482" w:rsidRPr="00541455">
        <w:rPr>
          <w:rStyle w:val="fontstyle01"/>
          <w:sz w:val="22"/>
          <w:szCs w:val="22"/>
        </w:rPr>
        <w:t xml:space="preserve"> E finalmente, os valores abaixo de 0.26 indicam que não há nenhuma estrutura de agrupamento nos dados, ou seja, não existem grupos naturais.</w:t>
      </w:r>
    </w:p>
    <w:p w:rsidR="00A40DF0" w:rsidRPr="00541455" w:rsidRDefault="00A40DF0" w:rsidP="00A40DF0">
      <w:pPr>
        <w:pStyle w:val="PargrafodaLista"/>
        <w:numPr>
          <w:ilvl w:val="1"/>
          <w:numId w:val="1"/>
        </w:numPr>
        <w:rPr>
          <w:rStyle w:val="fontstyle01"/>
          <w:sz w:val="22"/>
          <w:szCs w:val="22"/>
        </w:rPr>
      </w:pPr>
      <w:r w:rsidRPr="00541455">
        <w:rPr>
          <w:rStyle w:val="fontstyle01"/>
          <w:sz w:val="22"/>
          <w:szCs w:val="22"/>
        </w:rPr>
        <w:t>Problemas de redes e algoritmos de detecção</w:t>
      </w:r>
    </w:p>
    <w:p w:rsidR="00A40DF0" w:rsidRPr="00541455" w:rsidRDefault="00A40DF0" w:rsidP="00A40DF0">
      <w:pPr>
        <w:ind w:firstLine="360"/>
        <w:rPr>
          <w:rFonts w:ascii="Calibri" w:hAnsi="Calibri" w:cs="Calibri"/>
          <w:color w:val="242021"/>
        </w:rPr>
      </w:pPr>
      <w:r w:rsidRPr="00541455">
        <w:rPr>
          <w:rFonts w:ascii="Calibri" w:hAnsi="Calibri" w:cs="Calibri"/>
          <w:color w:val="242021"/>
        </w:rPr>
        <w:t xml:space="preserve">A detecção de comunidades tem por objetivo a formação de grupos que tenham similaridade entre seus nós, ou seja, que eles desempenhem funções similares dentro do seu grupo. Além disso, tanto o número de comunidades em uma rede quanto o seu tamanho não são conhecidos </w:t>
      </w:r>
      <w:r w:rsidRPr="00541455">
        <w:rPr>
          <w:rFonts w:ascii="Calibri-Italic" w:hAnsi="Calibri-Italic"/>
          <w:i/>
          <w:iCs/>
          <w:color w:val="242021"/>
        </w:rPr>
        <w:t>a priori</w:t>
      </w:r>
      <w:r w:rsidRPr="00541455">
        <w:rPr>
          <w:rFonts w:ascii="Calibri" w:hAnsi="Calibri" w:cs="Calibri"/>
          <w:color w:val="242021"/>
        </w:rPr>
        <w:t xml:space="preserve">, sendo esses parâmetros determinados mediante a aplicação de algoritmos de detecção de comunidades. Portanto, dada uma rede associada a um grafo </w:t>
      </w:r>
      <w:proofErr w:type="gramStart"/>
      <w:r w:rsidRPr="00541455">
        <w:rPr>
          <w:rFonts w:ascii="TimesNewRomanPS-ItalicMT" w:hAnsi="TimesNewRomanPS-ItalicMT"/>
          <w:i/>
          <w:iCs/>
          <w:color w:val="000000"/>
        </w:rPr>
        <w:t>G</w:t>
      </w:r>
      <w:r w:rsidRPr="00541455">
        <w:rPr>
          <w:rFonts w:ascii="TimesNewRomanPSMT" w:hAnsi="TimesNewRomanPSMT"/>
          <w:color w:val="000000"/>
        </w:rPr>
        <w:t>(</w:t>
      </w:r>
      <w:proofErr w:type="gramEnd"/>
      <w:r w:rsidRPr="00541455">
        <w:rPr>
          <w:rFonts w:ascii="TimesNewRomanPS-ItalicMT" w:hAnsi="TimesNewRomanPS-ItalicMT"/>
          <w:i/>
          <w:iCs/>
          <w:color w:val="000000"/>
        </w:rPr>
        <w:t xml:space="preserve">V </w:t>
      </w:r>
      <w:r w:rsidRPr="00541455">
        <w:rPr>
          <w:rFonts w:ascii="TimesNewRomanPSMT" w:hAnsi="TimesNewRomanPSMT"/>
          <w:color w:val="000000"/>
        </w:rPr>
        <w:t xml:space="preserve">, </w:t>
      </w:r>
      <w:r w:rsidRPr="00541455">
        <w:rPr>
          <w:rFonts w:ascii="TimesNewRomanPS-ItalicMT" w:hAnsi="TimesNewRomanPS-ItalicMT"/>
          <w:i/>
          <w:iCs/>
          <w:color w:val="000000"/>
        </w:rPr>
        <w:t>E</w:t>
      </w:r>
      <w:r w:rsidRPr="00541455">
        <w:rPr>
          <w:rFonts w:ascii="TimesNewRomanPSMT" w:hAnsi="TimesNewRomanPSMT"/>
          <w:color w:val="000000"/>
        </w:rPr>
        <w:t xml:space="preserve">) </w:t>
      </w:r>
      <w:r w:rsidRPr="00541455">
        <w:rPr>
          <w:rFonts w:ascii="Calibri" w:hAnsi="Calibri" w:cs="Calibri"/>
          <w:color w:val="242021"/>
        </w:rPr>
        <w:t xml:space="preserve">com </w:t>
      </w:r>
      <w:r w:rsidRPr="00541455">
        <w:rPr>
          <w:rFonts w:ascii="TimesNewRomanPS-ItalicMT" w:hAnsi="TimesNewRomanPS-ItalicMT"/>
          <w:i/>
          <w:iCs/>
          <w:color w:val="000000"/>
        </w:rPr>
        <w:t xml:space="preserve">n </w:t>
      </w:r>
      <w:r w:rsidRPr="00541455">
        <w:rPr>
          <w:rFonts w:ascii="TimesNewRomanPSMT" w:hAnsi="TimesNewRomanPSMT"/>
          <w:color w:val="242021"/>
        </w:rPr>
        <w:t xml:space="preserve">nós e </w:t>
      </w:r>
      <w:r w:rsidRPr="00541455">
        <w:rPr>
          <w:rFonts w:ascii="TimesNewRomanPS-ItalicMT" w:hAnsi="TimesNewRomanPS-ItalicMT"/>
          <w:i/>
          <w:iCs/>
          <w:color w:val="000000"/>
        </w:rPr>
        <w:t xml:space="preserve">m </w:t>
      </w:r>
      <w:r w:rsidRPr="00541455">
        <w:rPr>
          <w:rFonts w:ascii="Calibri" w:hAnsi="Calibri" w:cs="Calibri"/>
          <w:color w:val="242021"/>
        </w:rPr>
        <w:t xml:space="preserve">arestas, é possível encontrar subgrupos de nós a partir de qualquer algoritmo de detecção de comunidades. Se considerarmos que </w:t>
      </w:r>
      <w:r w:rsidRPr="00541455">
        <w:rPr>
          <w:rFonts w:ascii="TimesNewRomanPS-ItalicMT" w:hAnsi="TimesNewRomanPS-ItalicMT"/>
          <w:i/>
          <w:iCs/>
          <w:color w:val="000000"/>
        </w:rPr>
        <w:t>C</w:t>
      </w:r>
      <w:r w:rsidRPr="00541455">
        <w:rPr>
          <w:rFonts w:ascii="TimesNewRomanPSMT" w:hAnsi="TimesNewRomanPSMT"/>
          <w:color w:val="000000"/>
        </w:rPr>
        <w:t xml:space="preserve">1, </w:t>
      </w:r>
      <w:r w:rsidRPr="00541455">
        <w:rPr>
          <w:rFonts w:ascii="TimesNewRomanPS-ItalicMT" w:hAnsi="TimesNewRomanPS-ItalicMT"/>
          <w:i/>
          <w:iCs/>
          <w:color w:val="000000"/>
        </w:rPr>
        <w:t>C</w:t>
      </w:r>
      <w:r w:rsidRPr="00541455">
        <w:rPr>
          <w:rFonts w:ascii="TimesNewRomanPSMT" w:hAnsi="TimesNewRomanPSMT"/>
          <w:color w:val="000000"/>
        </w:rPr>
        <w:t xml:space="preserve">2, </w:t>
      </w:r>
      <w:r w:rsidRPr="00541455">
        <w:rPr>
          <w:rFonts w:ascii="MT-Extra" w:hAnsi="MT-Extra"/>
          <w:color w:val="000000"/>
        </w:rPr>
        <w:t>...</w:t>
      </w:r>
      <w:r w:rsidRPr="00541455">
        <w:rPr>
          <w:rFonts w:ascii="TimesNewRomanPSMT" w:hAnsi="TimesNewRomanPSMT"/>
          <w:color w:val="000000"/>
        </w:rPr>
        <w:t xml:space="preserve">, </w:t>
      </w:r>
      <w:proofErr w:type="spellStart"/>
      <w:r w:rsidRPr="00541455">
        <w:rPr>
          <w:rFonts w:ascii="TimesNewRomanPS-ItalicMT" w:hAnsi="TimesNewRomanPS-ItalicMT"/>
          <w:i/>
          <w:iCs/>
          <w:color w:val="000000"/>
        </w:rPr>
        <w:t>Ck</w:t>
      </w:r>
      <w:proofErr w:type="spellEnd"/>
      <w:r w:rsidRPr="00541455">
        <w:rPr>
          <w:rFonts w:ascii="TimesNewRomanPS-ItalicMT" w:hAnsi="TimesNewRomanPS-ItalicMT"/>
          <w:i/>
          <w:iCs/>
          <w:color w:val="000000"/>
        </w:rPr>
        <w:t xml:space="preserve"> </w:t>
      </w:r>
      <w:r w:rsidRPr="00541455">
        <w:rPr>
          <w:rFonts w:ascii="Calibri" w:hAnsi="Calibri" w:cs="Calibri"/>
          <w:color w:val="242021"/>
        </w:rPr>
        <w:t xml:space="preserve">são as comunidades encontradas, elas devem satisfazer as seguintes propriedades: </w:t>
      </w:r>
      <w:proofErr w:type="spellStart"/>
      <w:r w:rsidRPr="00541455">
        <w:rPr>
          <w:rFonts w:ascii="TimesNewRomanPS-ItalicMT" w:hAnsi="TimesNewRomanPS-ItalicMT"/>
          <w:i/>
          <w:iCs/>
          <w:color w:val="000000"/>
        </w:rPr>
        <w:t>Ci</w:t>
      </w:r>
      <w:proofErr w:type="spellEnd"/>
      <w:r w:rsidRPr="00541455">
        <w:rPr>
          <w:rFonts w:ascii="TimesNewRomanPS-ItalicMT" w:hAnsi="TimesNewRomanPS-ItalicMT"/>
          <w:i/>
          <w:iCs/>
          <w:color w:val="000000"/>
        </w:rPr>
        <w:t xml:space="preserve"> </w:t>
      </w:r>
      <w:r w:rsidRPr="00541455">
        <w:rPr>
          <w:rFonts w:ascii="MT-Extra" w:hAnsi="MT-Extra"/>
          <w:color w:val="000000"/>
        </w:rPr>
        <w:t>(interseção)</w:t>
      </w:r>
      <w:r w:rsidRPr="00541455">
        <w:rPr>
          <w:rFonts w:ascii="TimesNewRomanPS-ItalicMT" w:hAnsi="TimesNewRomanPS-ItalicMT"/>
          <w:i/>
          <w:iCs/>
          <w:color w:val="000000"/>
        </w:rPr>
        <w:t xml:space="preserve">C j </w:t>
      </w:r>
      <w:r w:rsidRPr="00541455">
        <w:rPr>
          <w:rFonts w:ascii="SymbolMT" w:hAnsi="SymbolMT"/>
          <w:color w:val="000000"/>
        </w:rPr>
        <w:t xml:space="preserve">= </w:t>
      </w:r>
      <w:r w:rsidRPr="00541455">
        <w:rPr>
          <w:rFonts w:ascii="TimesNewRomanPSMT" w:hAnsi="TimesNewRomanPSMT"/>
          <w:color w:val="000000"/>
        </w:rPr>
        <w:t xml:space="preserve">0, </w:t>
      </w:r>
      <w:r w:rsidRPr="00541455">
        <w:rPr>
          <w:rFonts w:ascii="TimesNewRomanPS-ItalicMT" w:hAnsi="TimesNewRomanPS-ItalicMT"/>
          <w:i/>
          <w:iCs/>
          <w:color w:val="000000"/>
        </w:rPr>
        <w:t xml:space="preserve">para i </w:t>
      </w:r>
      <w:r w:rsidRPr="00541455">
        <w:rPr>
          <w:rFonts w:ascii="SymbolMT" w:hAnsi="SymbolMT"/>
          <w:color w:val="000000"/>
        </w:rPr>
        <w:t xml:space="preserve">≠ </w:t>
      </w:r>
      <w:r w:rsidRPr="00541455">
        <w:rPr>
          <w:rFonts w:ascii="TimesNewRomanPS-ItalicMT" w:hAnsi="TimesNewRomanPS-ItalicMT"/>
          <w:i/>
          <w:iCs/>
          <w:color w:val="000000"/>
        </w:rPr>
        <w:t>j</w:t>
      </w:r>
      <w:r w:rsidRPr="00541455">
        <w:rPr>
          <w:rFonts w:ascii="Calibri" w:hAnsi="Calibri" w:cs="Calibri"/>
          <w:color w:val="242021"/>
        </w:rPr>
        <w:t>.</w:t>
      </w:r>
    </w:p>
    <w:p w:rsidR="00A40DF0" w:rsidRPr="00541455" w:rsidRDefault="00FC5107" w:rsidP="00A40DF0">
      <w:pPr>
        <w:ind w:firstLine="360"/>
        <w:rPr>
          <w:rFonts w:cstheme="minorHAnsi"/>
        </w:rPr>
      </w:pPr>
      <w:r w:rsidRPr="00541455">
        <w:rPr>
          <w:rFonts w:ascii="Calibri" w:hAnsi="Calibri" w:cs="Calibri"/>
          <w:color w:val="242021"/>
        </w:rPr>
        <w:t>Um dos principais problemas que se apresenta à detec</w:t>
      </w:r>
      <w:r w:rsidRPr="00541455">
        <w:rPr>
          <w:rFonts w:ascii="TimesNewRomanPSMT" w:hAnsi="TimesNewRomanPSMT"/>
          <w:color w:val="242021"/>
        </w:rPr>
        <w:t xml:space="preserve">ção </w:t>
      </w:r>
      <w:r w:rsidRPr="00541455">
        <w:rPr>
          <w:rFonts w:ascii="Calibri" w:hAnsi="Calibri" w:cs="Calibri"/>
          <w:color w:val="242021"/>
        </w:rPr>
        <w:t xml:space="preserve">de comunidades é que, em redes reais, </w:t>
      </w:r>
      <w:r w:rsidRPr="00541455">
        <w:rPr>
          <w:rFonts w:cstheme="minorHAnsi"/>
          <w:color w:val="242021"/>
        </w:rPr>
        <w:t xml:space="preserve">normalmente são um conhecimento prévio no que concerne ao número e ao tamanho das comunidades existentes. Consequentemente, não há nenhuma regra que permita definir a melhor divisão da rede em suas comunidades. Para resolver esse problema, Newman </w:t>
      </w:r>
      <w:r w:rsidRPr="00541455">
        <w:rPr>
          <w:rFonts w:cstheme="minorHAnsi"/>
          <w:i/>
          <w:iCs/>
          <w:color w:val="242021"/>
        </w:rPr>
        <w:t xml:space="preserve">et </w:t>
      </w:r>
      <w:proofErr w:type="spellStart"/>
      <w:r w:rsidRPr="00541455">
        <w:rPr>
          <w:rFonts w:cstheme="minorHAnsi"/>
          <w:color w:val="242021"/>
        </w:rPr>
        <w:t>Girvan</w:t>
      </w:r>
      <w:proofErr w:type="spellEnd"/>
      <w:r w:rsidRPr="00541455">
        <w:rPr>
          <w:rFonts w:cstheme="minorHAnsi"/>
          <w:color w:val="242021"/>
        </w:rPr>
        <w:t xml:space="preserve"> (2004) propuseram uma medida, denominada Modularidade, definida na próxima subseção</w:t>
      </w:r>
      <w:r w:rsidRPr="00541455">
        <w:rPr>
          <w:rFonts w:cstheme="minorHAnsi"/>
        </w:rPr>
        <w:t>.</w:t>
      </w:r>
    </w:p>
    <w:p w:rsidR="00FC5107" w:rsidRPr="00541455" w:rsidRDefault="00FC5107" w:rsidP="00FC5107">
      <w:pPr>
        <w:pStyle w:val="PargrafodaLista"/>
        <w:numPr>
          <w:ilvl w:val="1"/>
          <w:numId w:val="1"/>
        </w:numPr>
        <w:rPr>
          <w:rFonts w:cstheme="minorHAnsi"/>
        </w:rPr>
      </w:pPr>
      <w:r w:rsidRPr="00541455">
        <w:rPr>
          <w:rFonts w:cstheme="minorHAnsi"/>
        </w:rPr>
        <w:t>Modularidade</w:t>
      </w:r>
    </w:p>
    <w:p w:rsidR="00FC5107" w:rsidRPr="00541455" w:rsidRDefault="005A586C" w:rsidP="005F7325">
      <w:pPr>
        <w:ind w:firstLine="360"/>
        <w:rPr>
          <w:rStyle w:val="fontstyle01"/>
          <w:sz w:val="22"/>
          <w:szCs w:val="22"/>
        </w:rPr>
      </w:pPr>
      <w:r w:rsidRPr="00541455">
        <w:rPr>
          <w:rStyle w:val="fontstyle01"/>
          <w:sz w:val="22"/>
          <w:szCs w:val="22"/>
        </w:rPr>
        <w:t xml:space="preserve">A modularidade </w:t>
      </w:r>
      <w:r w:rsidRPr="00541455">
        <w:rPr>
          <w:rStyle w:val="fontstyle21"/>
          <w:sz w:val="22"/>
          <w:szCs w:val="22"/>
        </w:rPr>
        <w:t xml:space="preserve">Q </w:t>
      </w:r>
      <w:r w:rsidRPr="00541455">
        <w:rPr>
          <w:rStyle w:val="fontstyle01"/>
          <w:sz w:val="22"/>
          <w:szCs w:val="22"/>
        </w:rPr>
        <w:t xml:space="preserve">é uma medida originalmente criada para definir um critério de parada para o algoritmo de Newman </w:t>
      </w:r>
      <w:r w:rsidRPr="00541455">
        <w:rPr>
          <w:rStyle w:val="fontstyle31"/>
          <w:sz w:val="22"/>
          <w:szCs w:val="22"/>
        </w:rPr>
        <w:t xml:space="preserve">et </w:t>
      </w:r>
      <w:proofErr w:type="spellStart"/>
      <w:r w:rsidRPr="00541455">
        <w:rPr>
          <w:rStyle w:val="fontstyle01"/>
          <w:sz w:val="22"/>
          <w:szCs w:val="22"/>
        </w:rPr>
        <w:t>Girvan</w:t>
      </w:r>
      <w:proofErr w:type="spellEnd"/>
      <w:r w:rsidRPr="00541455">
        <w:rPr>
          <w:rStyle w:val="fontstyle01"/>
          <w:sz w:val="22"/>
          <w:szCs w:val="22"/>
        </w:rPr>
        <w:t xml:space="preserve">(2004). Ela representa uma das primeiras tentativas de </w:t>
      </w:r>
      <w:r w:rsidRPr="00541455">
        <w:rPr>
          <w:rStyle w:val="fontstyle01"/>
          <w:sz w:val="22"/>
          <w:szCs w:val="22"/>
        </w:rPr>
        <w:lastRenderedPageBreak/>
        <w:t>alcançar uma compreensão do princípio do problema de agrupamento em grafos, baseada no conceito de comunidade. Devido a sua eficácia no que concerne ao tempo de processamento, essa medida foi rapidamente difundida em teoria dos grafos e tornou-se um elemento fundamental de muitos métodos de agrupamento</w:t>
      </w:r>
      <w:r w:rsidR="005F7325" w:rsidRPr="00541455">
        <w:rPr>
          <w:rStyle w:val="fontstyle01"/>
          <w:sz w:val="22"/>
          <w:szCs w:val="22"/>
        </w:rPr>
        <w:t>.</w:t>
      </w:r>
    </w:p>
    <w:p w:rsidR="005F7325" w:rsidRPr="00541455" w:rsidRDefault="005F7325" w:rsidP="005F7325">
      <w:pPr>
        <w:ind w:firstLine="360"/>
        <w:rPr>
          <w:rFonts w:ascii="Calibri" w:hAnsi="Calibri" w:cs="Calibri"/>
          <w:color w:val="000000"/>
        </w:rPr>
      </w:pPr>
      <w:r w:rsidRPr="00541455">
        <w:rPr>
          <w:rFonts w:ascii="Calibri" w:hAnsi="Calibri" w:cs="Calibri"/>
          <w:color w:val="242021"/>
        </w:rPr>
        <w:t xml:space="preserve">Teoricamente, esta quantidade mede a proporção de arestas na rede que conectam vértices da mesma comunidade, menos o valor esperado da mesma quantidade na rede com as mesmas divisões de comunidades, mas com conexões aleatórias entre os vértices. Se o número de arestas em uma comunidade não é maior que o valor aleatório, então o valor da modularidade é </w:t>
      </w:r>
      <w:r w:rsidRPr="00541455">
        <w:rPr>
          <w:rFonts w:ascii="TimesNewRomanPS-ItalicMT" w:hAnsi="TimesNewRomanPS-ItalicMT"/>
          <w:i/>
          <w:iCs/>
          <w:color w:val="000000"/>
        </w:rPr>
        <w:t xml:space="preserve">Q </w:t>
      </w:r>
      <w:r w:rsidRPr="00541455">
        <w:rPr>
          <w:rFonts w:ascii="SymbolMT" w:hAnsi="SymbolMT"/>
          <w:color w:val="000000"/>
        </w:rPr>
        <w:t xml:space="preserve">= </w:t>
      </w:r>
      <w:proofErr w:type="gramStart"/>
      <w:r w:rsidRPr="00541455">
        <w:rPr>
          <w:rFonts w:ascii="TimesNewRomanPSMT" w:hAnsi="TimesNewRomanPSMT"/>
          <w:color w:val="000000"/>
        </w:rPr>
        <w:t xml:space="preserve">0 </w:t>
      </w:r>
      <w:r w:rsidRPr="00541455">
        <w:rPr>
          <w:rFonts w:ascii="Calibri" w:hAnsi="Calibri" w:cs="Calibri"/>
          <w:color w:val="242021"/>
        </w:rPr>
        <w:t>.</w:t>
      </w:r>
      <w:proofErr w:type="gramEnd"/>
      <w:r w:rsidRPr="00541455">
        <w:rPr>
          <w:rFonts w:ascii="Calibri" w:hAnsi="Calibri" w:cs="Calibri"/>
          <w:color w:val="242021"/>
        </w:rPr>
        <w:t xml:space="preserve"> Valores que se aproximam a </w:t>
      </w:r>
      <w:r w:rsidRPr="00541455">
        <w:rPr>
          <w:rFonts w:ascii="TimesNewRomanPS-ItalicMT" w:hAnsi="TimesNewRomanPS-ItalicMT"/>
          <w:i/>
          <w:iCs/>
          <w:color w:val="000000"/>
        </w:rPr>
        <w:t xml:space="preserve">Q </w:t>
      </w:r>
      <w:r w:rsidRPr="00541455">
        <w:rPr>
          <w:rFonts w:ascii="SymbolMT" w:hAnsi="SymbolMT"/>
          <w:color w:val="000000"/>
        </w:rPr>
        <w:t>=</w:t>
      </w:r>
      <w:r w:rsidRPr="00541455">
        <w:rPr>
          <w:rFonts w:ascii="TimesNewRomanPSMT" w:hAnsi="TimesNewRomanPSMT"/>
          <w:color w:val="000000"/>
        </w:rPr>
        <w:t>1</w:t>
      </w:r>
      <w:r w:rsidRPr="00541455">
        <w:rPr>
          <w:rFonts w:ascii="Calibri" w:hAnsi="Calibri" w:cs="Calibri"/>
          <w:color w:val="242021"/>
        </w:rPr>
        <w:t xml:space="preserve">, o qual é máximo, indicam uma estrutura forte de comunidade. </w:t>
      </w:r>
      <w:r w:rsidRPr="00541455">
        <w:rPr>
          <w:rFonts w:ascii="Calibri" w:hAnsi="Calibri" w:cs="Calibri"/>
          <w:color w:val="000000"/>
        </w:rPr>
        <w:t xml:space="preserve">Em muitas aplicações reais, os valores de </w:t>
      </w:r>
      <w:r w:rsidRPr="00541455">
        <w:rPr>
          <w:rFonts w:ascii="Calibri-Italic" w:hAnsi="Calibri-Italic"/>
          <w:i/>
          <w:iCs/>
          <w:color w:val="000000"/>
        </w:rPr>
        <w:t xml:space="preserve">Q </w:t>
      </w:r>
      <w:r w:rsidRPr="00541455">
        <w:rPr>
          <w:rFonts w:ascii="Calibri" w:hAnsi="Calibri" w:cs="Calibri"/>
          <w:color w:val="000000"/>
        </w:rPr>
        <w:t>(para as redes associadas) não ultrapassam 0.7 e valores mais altos não são frequentes.</w:t>
      </w:r>
    </w:p>
    <w:p w:rsidR="007E2B01" w:rsidRPr="00541455" w:rsidRDefault="007E2B01" w:rsidP="007E2B01">
      <w:pPr>
        <w:pStyle w:val="PargrafodaLista"/>
        <w:rPr>
          <w:rFonts w:cstheme="minorHAnsi"/>
          <w:bCs/>
          <w:color w:val="242021"/>
        </w:rPr>
      </w:pPr>
    </w:p>
    <w:p w:rsidR="007E2B01" w:rsidRPr="00541455" w:rsidRDefault="007E2B01" w:rsidP="007E2B01">
      <w:pPr>
        <w:pStyle w:val="PargrafodaLista"/>
        <w:numPr>
          <w:ilvl w:val="1"/>
          <w:numId w:val="1"/>
        </w:numPr>
        <w:rPr>
          <w:rFonts w:cstheme="minorHAnsi"/>
          <w:bCs/>
          <w:color w:val="242021"/>
        </w:rPr>
      </w:pPr>
      <w:proofErr w:type="spellStart"/>
      <w:r w:rsidRPr="00541455">
        <w:rPr>
          <w:rFonts w:cstheme="minorHAnsi"/>
          <w:bCs/>
          <w:color w:val="242021"/>
        </w:rPr>
        <w:t>FastGreedy</w:t>
      </w:r>
      <w:proofErr w:type="spellEnd"/>
    </w:p>
    <w:p w:rsidR="007E2B01" w:rsidRPr="00541455" w:rsidRDefault="001D6C1C" w:rsidP="002A1150">
      <w:pPr>
        <w:ind w:firstLine="360"/>
        <w:rPr>
          <w:rStyle w:val="fontstyle01"/>
          <w:sz w:val="22"/>
          <w:szCs w:val="22"/>
        </w:rPr>
      </w:pPr>
      <w:r w:rsidRPr="00541455">
        <w:rPr>
          <w:rFonts w:ascii="Calibri" w:hAnsi="Calibri" w:cs="Calibri"/>
          <w:color w:val="000000"/>
        </w:rPr>
        <w:t xml:space="preserve">Considerando a primeira </w:t>
      </w:r>
      <w:r w:rsidRPr="00541455">
        <w:rPr>
          <w:rFonts w:ascii="Calibri" w:hAnsi="Calibri" w:cs="Calibri"/>
          <w:color w:val="242021"/>
        </w:rPr>
        <w:t xml:space="preserve">iteração inicial desse algoritmo, cada vértice da rede é associado a um único objeto de uma comunidade. E, em iterações posteriores, os objetos vão sendo agregados (unidos), definindo, dessa forma, novas comunidades com número maior de objetos. Essa agregação (junção) produz um maior incremento no valor da modularidade </w:t>
      </w:r>
      <w:r w:rsidRPr="00541455">
        <w:rPr>
          <w:rFonts w:ascii="TimesNewRomanPS-ItalicMT" w:hAnsi="TimesNewRomanPS-ItalicMT"/>
          <w:i/>
          <w:iCs/>
          <w:color w:val="000000"/>
        </w:rPr>
        <w:t>Q</w:t>
      </w:r>
      <w:r w:rsidRPr="00541455">
        <w:rPr>
          <w:rFonts w:ascii="Calibri" w:hAnsi="Calibri" w:cs="Calibri"/>
          <w:color w:val="242021"/>
        </w:rPr>
        <w:t xml:space="preserve">. </w:t>
      </w:r>
    </w:p>
    <w:p w:rsidR="005F7325" w:rsidRPr="00541455" w:rsidRDefault="002A1150" w:rsidP="002A1150">
      <w:pPr>
        <w:ind w:firstLine="426"/>
        <w:rPr>
          <w:rStyle w:val="fontstyle01"/>
          <w:sz w:val="22"/>
          <w:szCs w:val="22"/>
        </w:rPr>
      </w:pPr>
      <w:r w:rsidRPr="00541455">
        <w:rPr>
          <w:rStyle w:val="fontstyle01"/>
          <w:sz w:val="22"/>
          <w:szCs w:val="22"/>
        </w:rPr>
        <w:t xml:space="preserve">O método pode ser representado como uma árvore, na qual as folhas são os vértices da rede original e os nós internos as correspondentes uniões. A árvore é chamada de </w:t>
      </w:r>
      <w:proofErr w:type="spellStart"/>
      <w:r w:rsidRPr="00541455">
        <w:rPr>
          <w:rStyle w:val="fontstyle01"/>
          <w:sz w:val="22"/>
          <w:szCs w:val="22"/>
        </w:rPr>
        <w:t>dendrograma</w:t>
      </w:r>
      <w:proofErr w:type="spellEnd"/>
      <w:r w:rsidRPr="00541455">
        <w:rPr>
          <w:rStyle w:val="fontstyle01"/>
          <w:sz w:val="22"/>
          <w:szCs w:val="22"/>
        </w:rPr>
        <w:t xml:space="preserve">, e representa uma decomposição hierárquica da rede em comunidades, como pode ser </w:t>
      </w:r>
      <w:r w:rsidRPr="00541455">
        <w:rPr>
          <w:rStyle w:val="fontstyle01"/>
          <w:color w:val="000000"/>
          <w:sz w:val="22"/>
          <w:szCs w:val="22"/>
        </w:rPr>
        <w:t>visto na Figura2, em que os círculos na parte inferior da figura representam os vértices individuais da rede. Os vértices se</w:t>
      </w:r>
      <w:r w:rsidRPr="00541455">
        <w:rPr>
          <w:rFonts w:ascii="Calibri" w:hAnsi="Calibri" w:cs="Calibri"/>
          <w:color w:val="000000"/>
        </w:rPr>
        <w:br/>
      </w:r>
      <w:r w:rsidRPr="00541455">
        <w:rPr>
          <w:rStyle w:val="fontstyle01"/>
          <w:color w:val="000000"/>
          <w:sz w:val="22"/>
          <w:szCs w:val="22"/>
        </w:rPr>
        <w:t xml:space="preserve">unem para formar </w:t>
      </w:r>
      <w:r w:rsidRPr="00541455">
        <w:rPr>
          <w:rStyle w:val="fontstyle01"/>
          <w:sz w:val="22"/>
          <w:szCs w:val="22"/>
        </w:rPr>
        <w:t>comunidades cada vez maiores como indicado pelas linhas, até chegar ao topo, onde todos estão unidos em uma única comunidade.</w:t>
      </w:r>
    </w:p>
    <w:p w:rsidR="008B4262" w:rsidRDefault="008B4262" w:rsidP="002A1150">
      <w:pPr>
        <w:ind w:firstLine="426"/>
        <w:rPr>
          <w:rStyle w:val="fontstyle01"/>
        </w:rPr>
      </w:pPr>
    </w:p>
    <w:p w:rsidR="008B4262" w:rsidRPr="0097048F" w:rsidRDefault="006E5730" w:rsidP="006E5730">
      <w:pPr>
        <w:pStyle w:val="PargrafodaLista"/>
        <w:numPr>
          <w:ilvl w:val="0"/>
          <w:numId w:val="1"/>
        </w:numPr>
        <w:rPr>
          <w:rFonts w:cstheme="minorHAnsi"/>
          <w:sz w:val="20"/>
          <w:szCs w:val="20"/>
        </w:rPr>
      </w:pPr>
      <w:proofErr w:type="spellStart"/>
      <w:r>
        <w:rPr>
          <w:rFonts w:cstheme="minorHAnsi"/>
          <w:color w:val="000000"/>
          <w:sz w:val="20"/>
          <w:szCs w:val="20"/>
        </w:rPr>
        <w:t>Homofilia</w:t>
      </w:r>
      <w:proofErr w:type="spellEnd"/>
      <w:r w:rsidRPr="0097048F">
        <w:rPr>
          <w:rFonts w:cstheme="minorHAnsi"/>
          <w:i/>
          <w:color w:val="000000"/>
          <w:sz w:val="20"/>
          <w:szCs w:val="20"/>
        </w:rPr>
        <w:t xml:space="preserve">, </w:t>
      </w:r>
      <w:proofErr w:type="spellStart"/>
      <w:r w:rsidR="0097048F">
        <w:rPr>
          <w:rFonts w:cstheme="minorHAnsi"/>
          <w:i/>
          <w:color w:val="000000"/>
          <w:sz w:val="20"/>
          <w:szCs w:val="20"/>
        </w:rPr>
        <w:t>group</w:t>
      </w:r>
      <w:proofErr w:type="spellEnd"/>
      <w:r w:rsidR="0097048F">
        <w:rPr>
          <w:rFonts w:cstheme="minorHAnsi"/>
          <w:i/>
          <w:color w:val="000000"/>
          <w:sz w:val="20"/>
          <w:szCs w:val="20"/>
        </w:rPr>
        <w:t xml:space="preserve"> </w:t>
      </w:r>
      <w:proofErr w:type="spellStart"/>
      <w:r w:rsidR="0097048F">
        <w:rPr>
          <w:rFonts w:cstheme="minorHAnsi"/>
          <w:i/>
          <w:color w:val="000000"/>
          <w:sz w:val="20"/>
          <w:szCs w:val="20"/>
        </w:rPr>
        <w:t>s</w:t>
      </w:r>
      <w:r w:rsidR="0097048F" w:rsidRPr="0097048F">
        <w:rPr>
          <w:rFonts w:cstheme="minorHAnsi"/>
          <w:i/>
          <w:color w:val="000000"/>
          <w:sz w:val="20"/>
          <w:szCs w:val="20"/>
        </w:rPr>
        <w:t>iz</w:t>
      </w:r>
      <w:r w:rsidRPr="0097048F">
        <w:rPr>
          <w:rFonts w:cstheme="minorHAnsi"/>
          <w:i/>
          <w:color w:val="000000"/>
          <w:sz w:val="20"/>
          <w:szCs w:val="20"/>
        </w:rPr>
        <w:t>e</w:t>
      </w:r>
      <w:proofErr w:type="spellEnd"/>
      <w:r>
        <w:rPr>
          <w:rFonts w:cstheme="minorHAnsi"/>
          <w:color w:val="000000"/>
          <w:sz w:val="20"/>
          <w:szCs w:val="20"/>
        </w:rPr>
        <w:t xml:space="preserve"> e</w:t>
      </w:r>
      <w:r w:rsidRPr="006E5730">
        <w:rPr>
          <w:rFonts w:cstheme="minorHAnsi"/>
          <w:color w:val="000000"/>
          <w:sz w:val="20"/>
          <w:szCs w:val="20"/>
        </w:rPr>
        <w:t xml:space="preserve"> </w:t>
      </w:r>
      <w:r>
        <w:rPr>
          <w:rFonts w:cstheme="minorHAnsi"/>
          <w:color w:val="000000"/>
          <w:sz w:val="20"/>
          <w:szCs w:val="20"/>
        </w:rPr>
        <w:t>a difusão de informação política</w:t>
      </w:r>
    </w:p>
    <w:p w:rsidR="00541455" w:rsidRDefault="00541455" w:rsidP="00541455">
      <w:pPr>
        <w:ind w:firstLine="360"/>
      </w:pPr>
      <w:r>
        <w:t xml:space="preserve">2.1 </w:t>
      </w:r>
      <w:r>
        <w:t>Introdução</w:t>
      </w:r>
    </w:p>
    <w:p w:rsidR="00541455" w:rsidRDefault="00541455" w:rsidP="00541455">
      <w:pPr>
        <w:ind w:firstLine="360"/>
      </w:pPr>
      <w:r w:rsidRPr="00150D33">
        <w:t xml:space="preserve">Ao contrário dos meios de comunicação de massa, as informações sobre sites de redes sociais circulam por meio de interações não comerciais entre indivíduos. A crescente importância das plataformas de mídia social, como o </w:t>
      </w:r>
      <w:proofErr w:type="spellStart"/>
      <w:r w:rsidRPr="00150D33">
        <w:t>Facebook</w:t>
      </w:r>
      <w:proofErr w:type="spellEnd"/>
      <w:r w:rsidRPr="00150D33">
        <w:t xml:space="preserve"> e o </w:t>
      </w:r>
      <w:proofErr w:type="spellStart"/>
      <w:r w:rsidRPr="00150D33">
        <w:t>Twitter</w:t>
      </w:r>
      <w:proofErr w:type="spellEnd"/>
      <w:r w:rsidRPr="00150D33">
        <w:t>, no fornecimento de informações aos eleitores representa um novo desafio para os formuladores de políticas.1 Enquanto as mídias tradicionais tendem a ser de natureza hierárquica, com um pequeno número de fornecedores fornecendo informações a um grande número dos consumidores, usuários típicos de sites de redes sociais podem consumir e produzir informações nessas plataformas. Além disso, os usuários da mesma plataforma de mídia social podem ser expostos a conteúdos significativamente diferentes, dependendo do conjunto de contas que eles seguem. Por outro lado, leitores de jornais e telespectadores de uma estação de televisão são expostos à mesma informação, pelo menos para uma primeira aproximação. Dadas essas diferenças entre os meios de comunicação tradicionais e as plataformas de mídia social, as práticas na regulação dos meios de comunicação tradicionais podem não se traduzir bem nas plataformas de mídia social.</w:t>
      </w:r>
    </w:p>
    <w:p w:rsidR="00541455" w:rsidRDefault="00541455" w:rsidP="00541455">
      <w:pPr>
        <w:ind w:firstLine="426"/>
      </w:pPr>
      <w:r w:rsidRPr="000514E6">
        <w:t xml:space="preserve">Para entender melhor a exposição dos eleitores à informação política nas plataformas de mídia social, conceituamos as mídias sociais como uma rede social. Se diferentes tipos de </w:t>
      </w:r>
      <w:r w:rsidRPr="000514E6">
        <w:lastRenderedPageBreak/>
        <w:t xml:space="preserve">indivíduos têm crenças diferentes e tendem a desenvolver relacionamentos com indivíduos que pensam da mesma forma, um fenômeno conhecido como </w:t>
      </w:r>
      <w:proofErr w:type="spellStart"/>
      <w:r w:rsidRPr="000514E6">
        <w:t>homofilia</w:t>
      </w:r>
      <w:proofErr w:type="spellEnd"/>
      <w:r w:rsidRPr="000514E6">
        <w:t xml:space="preserve">, então os usuários podem estar desproporcionalmente expostos a informações políticas com a mesma opinião. Conforme observado acima, a falta de independência entre as fontes de informação pode reduzir a qualidade das informações, ameaçando aumentar a seleção adversa e o risco moral no governo. Além disso, devido à </w:t>
      </w:r>
      <w:proofErr w:type="spellStart"/>
      <w:r w:rsidRPr="000514E6">
        <w:t>homofilia</w:t>
      </w:r>
      <w:proofErr w:type="spellEnd"/>
      <w:r w:rsidRPr="000514E6">
        <w:t>, os grupos minoritários podem ser menos informados do que os grupos majoritários, o que pode minar a eficácia das instituições democráticas através da redução da competição eleitoral.</w:t>
      </w:r>
      <w:bookmarkStart w:id="0" w:name="_GoBack"/>
      <w:bookmarkEnd w:id="0"/>
    </w:p>
    <w:p w:rsidR="00541455" w:rsidRDefault="00541455" w:rsidP="00541455">
      <w:pPr>
        <w:ind w:firstLine="426"/>
      </w:pPr>
    </w:p>
    <w:p w:rsidR="00541455" w:rsidRPr="0097048F" w:rsidRDefault="00541455" w:rsidP="00541455">
      <w:pPr>
        <w:rPr>
          <w:rFonts w:cstheme="minorHAnsi"/>
          <w:sz w:val="20"/>
          <w:szCs w:val="20"/>
        </w:rPr>
      </w:pPr>
    </w:p>
    <w:sectPr w:rsidR="00541455" w:rsidRPr="009704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ItalicMT">
    <w:altName w:val="Times New Roman"/>
    <w:panose1 w:val="00000000000000000000"/>
    <w:charset w:val="00"/>
    <w:family w:val="roman"/>
    <w:notTrueType/>
    <w:pitch w:val="default"/>
  </w:font>
  <w:font w:name="Calibri-Ital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T-Extr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476C3"/>
    <w:multiLevelType w:val="hybridMultilevel"/>
    <w:tmpl w:val="C2D6FF0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7DAB6ED6"/>
    <w:multiLevelType w:val="multilevel"/>
    <w:tmpl w:val="93A6D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A0E"/>
    <w:rsid w:val="0012642E"/>
    <w:rsid w:val="001D6C1C"/>
    <w:rsid w:val="002A1150"/>
    <w:rsid w:val="002E310D"/>
    <w:rsid w:val="00387F9A"/>
    <w:rsid w:val="003A2B00"/>
    <w:rsid w:val="004202E1"/>
    <w:rsid w:val="004D6219"/>
    <w:rsid w:val="00541455"/>
    <w:rsid w:val="0055753F"/>
    <w:rsid w:val="005A586C"/>
    <w:rsid w:val="005B3123"/>
    <w:rsid w:val="005F7325"/>
    <w:rsid w:val="006E5730"/>
    <w:rsid w:val="00743802"/>
    <w:rsid w:val="00744A0E"/>
    <w:rsid w:val="007E2B01"/>
    <w:rsid w:val="0080132B"/>
    <w:rsid w:val="008842A7"/>
    <w:rsid w:val="008B4262"/>
    <w:rsid w:val="009204B6"/>
    <w:rsid w:val="0097048F"/>
    <w:rsid w:val="00A02C9F"/>
    <w:rsid w:val="00A40DF0"/>
    <w:rsid w:val="00A56A75"/>
    <w:rsid w:val="00AB7B80"/>
    <w:rsid w:val="00D242E5"/>
    <w:rsid w:val="00E648FC"/>
    <w:rsid w:val="00E67482"/>
    <w:rsid w:val="00EC0F8F"/>
    <w:rsid w:val="00F16449"/>
    <w:rsid w:val="00F75AD5"/>
    <w:rsid w:val="00FC51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62F6D-FB01-475E-B9FE-70080572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75AD5"/>
    <w:pPr>
      <w:ind w:left="720"/>
      <w:contextualSpacing/>
    </w:pPr>
  </w:style>
  <w:style w:type="character" w:customStyle="1" w:styleId="fontstyle01">
    <w:name w:val="fontstyle01"/>
    <w:basedOn w:val="Fontepargpadro"/>
    <w:rsid w:val="002E310D"/>
    <w:rPr>
      <w:rFonts w:ascii="Calibri" w:hAnsi="Calibri" w:cs="Calibri" w:hint="default"/>
      <w:b w:val="0"/>
      <w:bCs w:val="0"/>
      <w:i w:val="0"/>
      <w:iCs w:val="0"/>
      <w:color w:val="242021"/>
      <w:sz w:val="20"/>
      <w:szCs w:val="20"/>
    </w:rPr>
  </w:style>
  <w:style w:type="character" w:customStyle="1" w:styleId="fontstyle21">
    <w:name w:val="fontstyle21"/>
    <w:basedOn w:val="Fontepargpadro"/>
    <w:rsid w:val="002E310D"/>
    <w:rPr>
      <w:rFonts w:ascii="TimesNewRomanPS-ItalicMT" w:hAnsi="TimesNewRomanPS-ItalicMT" w:hint="default"/>
      <w:b w:val="0"/>
      <w:bCs w:val="0"/>
      <w:i/>
      <w:iCs/>
      <w:color w:val="000000"/>
      <w:sz w:val="24"/>
      <w:szCs w:val="24"/>
    </w:rPr>
  </w:style>
  <w:style w:type="character" w:customStyle="1" w:styleId="fontstyle31">
    <w:name w:val="fontstyle31"/>
    <w:basedOn w:val="Fontepargpadro"/>
    <w:rsid w:val="002E310D"/>
    <w:rPr>
      <w:rFonts w:ascii="Calibri-Italic" w:hAnsi="Calibri-Italic" w:hint="default"/>
      <w:b w:val="0"/>
      <w:bCs w:val="0"/>
      <w:i/>
      <w:iCs/>
      <w:color w:val="242021"/>
      <w:sz w:val="20"/>
      <w:szCs w:val="20"/>
    </w:rPr>
  </w:style>
  <w:style w:type="character" w:customStyle="1" w:styleId="fontstyle41">
    <w:name w:val="fontstyle41"/>
    <w:basedOn w:val="Fontepargpadro"/>
    <w:rsid w:val="002E310D"/>
    <w:rPr>
      <w:rFonts w:ascii="SymbolMT" w:hAnsi="SymbolMT" w:hint="default"/>
      <w:b w:val="0"/>
      <w:bCs w:val="0"/>
      <w:i w:val="0"/>
      <w:iCs w:val="0"/>
      <w:color w:val="000000"/>
      <w:sz w:val="22"/>
      <w:szCs w:val="22"/>
    </w:rPr>
  </w:style>
  <w:style w:type="character" w:customStyle="1" w:styleId="fontstyle51">
    <w:name w:val="fontstyle51"/>
    <w:basedOn w:val="Fontepargpadro"/>
    <w:rsid w:val="002E310D"/>
    <w:rPr>
      <w:rFonts w:ascii="TimesNewRomanPSMT" w:hAnsi="TimesNewRomanPSMT" w:hint="default"/>
      <w:b w:val="0"/>
      <w:bCs w:val="0"/>
      <w:i w:val="0"/>
      <w:iCs w:val="0"/>
      <w:color w:val="000000"/>
      <w:sz w:val="22"/>
      <w:szCs w:val="22"/>
    </w:rPr>
  </w:style>
  <w:style w:type="character" w:customStyle="1" w:styleId="fontstyle61">
    <w:name w:val="fontstyle61"/>
    <w:basedOn w:val="Fontepargpadro"/>
    <w:rsid w:val="00A40DF0"/>
    <w:rPr>
      <w:rFonts w:ascii="SymbolMT" w:hAnsi="Symbo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4</Pages>
  <Words>1575</Words>
  <Characters>8505</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Ibiapina</dc:creator>
  <cp:keywords/>
  <dc:description/>
  <cp:lastModifiedBy>Juliana Ibiapina</cp:lastModifiedBy>
  <cp:revision>26</cp:revision>
  <dcterms:created xsi:type="dcterms:W3CDTF">2019-06-11T03:15:00Z</dcterms:created>
  <dcterms:modified xsi:type="dcterms:W3CDTF">2019-06-18T17:00:00Z</dcterms:modified>
</cp:coreProperties>
</file>