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083"/>
      </w:tblGrid>
      <w:tr>
        <w:tc>
          <w:tcPr>
            <w:tcW w:type="dxa" w:w="9083"/>
            <w:shd w:val="clear" w:color="auto" w:fill="ffe6e6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MODELO — APAGUE ESTE QUADRO ANTES DE ENTREGAR A PEÇA PARA REVISÃO</w:t>
            </w:r>
          </w:p>
        </w:tc>
      </w:tr>
      <w:tr>
        <w:tc>
          <w:tcPr>
            <w:tcW w:type="dxa" w:w="9083"/>
          </w:tcPr>
          <w:p>
            <w:pPr>
              <w:spacing w:before="40" w:after="40" w:line="276" w:lineRule="auto"/>
              <w:jc w:val="both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Antes de entregar: (1) confirme no PJe, por CPF e por número de contrato, se já existe execução sobre este mesmo título — havendo execução, a via provavelmente é embargos, e a escolha é do advogado responsável (Restrição Absoluta nº 20) — havendo, o número da execução tem de aparecer na linha de distribuição por dependência do endereçamento e na seção II; não havendo, registre no histórico do caso a data da pesquisa; (2) rode a varredura léxica de vocabulário de embargos — nenhuma ocorrência de "embargos", "embargante", "efeito suspensivo", "art. 919, § 1º" ou "garantia do juízo" pode sobrar numa declaratória (Restrição Absoluta nº 19: OPERACIONAL/visual_law.py, varrer_lexico_embargos); (3) confira que nenhum pedido de prova pericial contábil entrou no rol, nem em caráter subsidiário (Restrição Absoluta nº 18); (4) confira que nenhum quadro traz taxa calculada pelo escritório onde o título é omisso — a célula diz "não consta" (Restrição Absoluta nº 15); (5) confira que todo print entrou EM PAR — o recorte e a transcrição do que ele mostra (</w:t>
            </w: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[[INSERIR PRINT nn]]</w:t>
            </w:r>
            <w:r>
              <w:rPr>
                <w:rFonts w:ascii="Arial Narrow" w:hAnsi="Arial Narrow"/>
                <w:b w:val="0"/>
                <w:i w:val="0"/>
                <w:sz w:val="20"/>
              </w:rPr>
              <w:t xml:space="preserve"> + </w:t>
            </w: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[[TEXTO DO PRINT nn]]</w:t>
            </w:r>
            <w:r>
              <w:rPr>
                <w:rFonts w:ascii="Arial Narrow" w:hAnsi="Arial Narrow"/>
                <w:b w:val="0"/>
                <w:i w:val="0"/>
                <w:sz w:val="20"/>
              </w:rPr>
              <w:t>), porque imagem no PJe não é pesquisável nem copiável (OPERACIONAL/visual_law.py, varrer_marcadores_print); (6) resolva ou mantenha sinalizadas, em amarelo, todas as pendências documentais.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/>
          <w:i w:val="0"/>
          <w:sz w:val="24"/>
        </w:rPr>
        <w:t xml:space="preserve">EXCELENTÍSSIMO(A) SENHOR(A) DOUTOR(A) JUIZ(A) DE DIREITO DA </w:t>
      </w:r>
      <w:r>
        <w:rPr>
          <w:rFonts w:ascii="Arial Narrow" w:hAnsi="Arial Narrow"/>
          <w:b/>
          <w:i w:val="0"/>
          <w:sz w:val="24"/>
          <w:highlight w:val="yellow"/>
        </w:rPr>
        <w:t>[[Nº]]</w:t>
      </w:r>
      <w:r>
        <w:rPr>
          <w:rFonts w:ascii="Arial Narrow" w:hAnsi="Arial Narrow"/>
          <w:b/>
          <w:i w:val="0"/>
          <w:sz w:val="24"/>
        </w:rPr>
        <w:t xml:space="preserve">ª VARA CÍVEL DA COMARCA DE </w:t>
      </w:r>
      <w:r>
        <w:rPr>
          <w:rFonts w:ascii="Arial Narrow" w:hAnsi="Arial Narrow"/>
          <w:b/>
          <w:i w:val="0"/>
          <w:sz w:val="24"/>
          <w:highlight w:val="yellow"/>
        </w:rPr>
        <w:t>[[COMARCA]]</w:t>
      </w:r>
      <w:r>
        <w:rPr>
          <w:rFonts w:ascii="Arial Narrow" w:hAnsi="Arial Narrow"/>
          <w:b/>
          <w:i w:val="0"/>
          <w:sz w:val="24"/>
        </w:rPr>
        <w:t xml:space="preserve">, ESTADO DE </w:t>
      </w:r>
      <w:r>
        <w:rPr>
          <w:rFonts w:ascii="Arial Narrow" w:hAnsi="Arial Narrow"/>
          <w:b/>
          <w:i w:val="0"/>
          <w:sz w:val="24"/>
          <w:highlight w:val="yellow"/>
        </w:rPr>
        <w:t>[[ESTADO]]</w:t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Distribuição por dependência: incluir a linha abaixo SOMENTE se houver execução ou busca e apreensão em curso sobre o mesmo título e a opção consciente do advogado responsável tiver sido pela declaratória autônoma (ver seção 13bis da skill). Caso contrário, apagar. Texto: "Distribuição por dependência aos autos da Execução de Título Extrajudicial nº [[Nº DA EXECUÇÃO]], em curso perante este Juízo (art. 286, I, do CPC)."</w:t>
      </w:r>
    </w:p>
    <w:p>
      <w:pPr>
        <w:spacing w:after="24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  <w:highlight w:val="yellow"/>
        </w:rPr>
        <w:t>[[NOME DO CLIENTE]]</w:t>
      </w:r>
      <w:r>
        <w:rPr>
          <w:rFonts w:ascii="Arial Narrow" w:hAnsi="Arial Narrow"/>
          <w:b w:val="0"/>
          <w:i w:val="0"/>
          <w:sz w:val="24"/>
        </w:rPr>
        <w:t xml:space="preserve">, </w:t>
      </w:r>
      <w:r>
        <w:rPr>
          <w:rFonts w:ascii="Arial Narrow" w:hAnsi="Arial Narrow"/>
          <w:b w:val="0"/>
          <w:i w:val="0"/>
          <w:sz w:val="24"/>
          <w:highlight w:val="yellow"/>
        </w:rPr>
        <w:t>[[nacionalidade]]</w:t>
      </w:r>
      <w:r>
        <w:rPr>
          <w:rFonts w:ascii="Arial Narrow" w:hAnsi="Arial Narrow"/>
          <w:b w:val="0"/>
          <w:i w:val="0"/>
          <w:sz w:val="24"/>
        </w:rPr>
        <w:t xml:space="preserve">, </w:t>
      </w:r>
      <w:r>
        <w:rPr>
          <w:rFonts w:ascii="Arial Narrow" w:hAnsi="Arial Narrow"/>
          <w:b w:val="0"/>
          <w:i w:val="0"/>
          <w:sz w:val="24"/>
          <w:highlight w:val="yellow"/>
        </w:rPr>
        <w:t>[[estado civil]]</w:t>
      </w:r>
      <w:r>
        <w:rPr>
          <w:rFonts w:ascii="Arial Narrow" w:hAnsi="Arial Narrow"/>
          <w:b w:val="0"/>
          <w:i w:val="0"/>
          <w:sz w:val="24"/>
        </w:rPr>
        <w:t xml:space="preserve">, </w:t>
      </w:r>
      <w:r>
        <w:rPr>
          <w:rFonts w:ascii="Arial Narrow" w:hAnsi="Arial Narrow"/>
          <w:b w:val="0"/>
          <w:i w:val="0"/>
          <w:sz w:val="24"/>
          <w:highlight w:val="yellow"/>
        </w:rPr>
        <w:t>[[profissão]]</w:t>
      </w:r>
      <w:r>
        <w:rPr>
          <w:rFonts w:ascii="Arial Narrow" w:hAnsi="Arial Narrow"/>
          <w:b w:val="0"/>
          <w:i w:val="0"/>
          <w:sz w:val="24"/>
        </w:rPr>
        <w:t xml:space="preserve">, portador da Cédula de Identidade nº </w:t>
      </w:r>
      <w:r>
        <w:rPr>
          <w:rFonts w:ascii="Arial Narrow" w:hAnsi="Arial Narrow"/>
          <w:b w:val="0"/>
          <w:i w:val="0"/>
          <w:sz w:val="24"/>
          <w:highlight w:val="yellow"/>
        </w:rPr>
        <w:t>[[RG]]</w:t>
      </w:r>
      <w:r>
        <w:rPr>
          <w:rFonts w:ascii="Arial Narrow" w:hAnsi="Arial Narrow"/>
          <w:b w:val="0"/>
          <w:i w:val="0"/>
          <w:sz w:val="24"/>
        </w:rPr>
        <w:t xml:space="preserve"> </w:t>
      </w:r>
      <w:r>
        <w:rPr>
          <w:rFonts w:ascii="Arial Narrow" w:hAnsi="Arial Narrow"/>
          <w:b w:val="0"/>
          <w:i w:val="0"/>
          <w:sz w:val="24"/>
          <w:highlight w:val="yellow"/>
        </w:rPr>
        <w:t>[[órgão]]</w:t>
      </w:r>
      <w:r>
        <w:rPr>
          <w:rFonts w:ascii="Arial Narrow" w:hAnsi="Arial Narrow"/>
          <w:b w:val="0"/>
          <w:i w:val="0"/>
          <w:sz w:val="24"/>
        </w:rPr>
        <w:t xml:space="preserve">, inscrito no CPF sob o nº </w:t>
      </w:r>
      <w:r>
        <w:rPr>
          <w:rFonts w:ascii="Arial Narrow" w:hAnsi="Arial Narrow"/>
          <w:b w:val="0"/>
          <w:i w:val="0"/>
          <w:sz w:val="24"/>
          <w:highlight w:val="yellow"/>
        </w:rPr>
        <w:t>[[CPF]]</w:t>
      </w:r>
      <w:r>
        <w:rPr>
          <w:rFonts w:ascii="Arial Narrow" w:hAnsi="Arial Narrow"/>
          <w:b w:val="0"/>
          <w:i w:val="0"/>
          <w:sz w:val="24"/>
        </w:rPr>
        <w:t xml:space="preserve">, residente e domiciliado em </w:t>
      </w:r>
      <w:r>
        <w:rPr>
          <w:rFonts w:ascii="Arial Narrow" w:hAnsi="Arial Narrow"/>
          <w:b w:val="0"/>
          <w:i w:val="0"/>
          <w:sz w:val="24"/>
          <w:highlight w:val="yellow"/>
        </w:rPr>
        <w:t>[[ENDEREÇO COMPLETO]]</w:t>
      </w:r>
      <w:r>
        <w:rPr>
          <w:rFonts w:ascii="Arial Narrow" w:hAnsi="Arial Narrow"/>
          <w:b w:val="0"/>
          <w:i w:val="0"/>
          <w:sz w:val="24"/>
        </w:rPr>
        <w:t>, vem, por seus advogados que esta subscrevem, com fundamento no art. 19, I, do Código de Processo Civil, propor</w:t>
      </w:r>
    </w:p>
    <w:p>
      <w:pPr>
        <w:spacing w:line="360" w:lineRule="auto" w:after="0"/>
        <w:jc w:val="center"/>
      </w:pPr>
      <w:r>
        <w:rPr>
          <w:rFonts w:ascii="Arial Narrow" w:hAnsi="Arial Narrow"/>
          <w:b/>
          <w:i w:val="0"/>
          <w:sz w:val="24"/>
        </w:rPr>
        <w:t>AÇÃO DECLARATÓRIA DE DESCARACTERIZAÇÃO DA MORA</w:t>
      </w:r>
    </w:p>
    <w:p>
      <w:pPr>
        <w:spacing w:line="360" w:lineRule="auto" w:after="200"/>
        <w:jc w:val="center"/>
      </w:pPr>
      <w:r>
        <w:rPr>
          <w:rFonts w:ascii="Arial Narrow" w:hAnsi="Arial Narrow"/>
          <w:b w:val="0"/>
          <w:i w:val="0"/>
          <w:sz w:val="24"/>
        </w:rPr>
        <w:t>com pedido de tutela da evidência (art. 311, II, do CPC)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em face de </w:t>
      </w:r>
      <w:r>
        <w:rPr>
          <w:rFonts w:ascii="Arial Narrow" w:hAnsi="Arial Narrow"/>
          <w:b w:val="0"/>
          <w:i w:val="0"/>
          <w:sz w:val="24"/>
          <w:highlight w:val="yellow"/>
        </w:rPr>
        <w:t>[[NOME DO BANCO]]</w:t>
      </w:r>
      <w:r>
        <w:rPr>
          <w:rFonts w:ascii="Arial Narrow" w:hAnsi="Arial Narrow"/>
          <w:b w:val="0"/>
          <w:i w:val="0"/>
          <w:sz w:val="24"/>
        </w:rPr>
        <w:t xml:space="preserve">, </w:t>
      </w:r>
      <w:r>
        <w:rPr>
          <w:rFonts w:ascii="Arial Narrow" w:hAnsi="Arial Narrow"/>
          <w:b w:val="0"/>
          <w:i w:val="0"/>
          <w:sz w:val="24"/>
          <w:highlight w:val="yellow"/>
        </w:rPr>
        <w:t>[[natureza jurídica]]</w:t>
      </w:r>
      <w:r>
        <w:rPr>
          <w:rFonts w:ascii="Arial Narrow" w:hAnsi="Arial Narrow"/>
          <w:b w:val="0"/>
          <w:i w:val="0"/>
          <w:sz w:val="24"/>
        </w:rPr>
        <w:t xml:space="preserve">, inscrito no CNPJ sob o nº </w:t>
      </w:r>
      <w:r>
        <w:rPr>
          <w:rFonts w:ascii="Arial Narrow" w:hAnsi="Arial Narrow"/>
          <w:b w:val="0"/>
          <w:i w:val="0"/>
          <w:sz w:val="24"/>
          <w:highlight w:val="yellow"/>
        </w:rPr>
        <w:t>[[CNPJ]]</w:t>
      </w:r>
      <w:r>
        <w:rPr>
          <w:rFonts w:ascii="Arial Narrow" w:hAnsi="Arial Narrow"/>
          <w:b w:val="0"/>
          <w:i w:val="0"/>
          <w:sz w:val="24"/>
        </w:rPr>
        <w:t xml:space="preserve">, com sede em </w:t>
      </w:r>
      <w:r>
        <w:rPr>
          <w:rFonts w:ascii="Arial Narrow" w:hAnsi="Arial Narrow"/>
          <w:b w:val="0"/>
          <w:i w:val="0"/>
          <w:sz w:val="24"/>
          <w:highlight w:val="yellow"/>
        </w:rPr>
        <w:t>[[ENDEREÇO DA SEDE]]</w:t>
      </w:r>
      <w:r>
        <w:rPr>
          <w:rFonts w:ascii="Arial Narrow" w:hAnsi="Arial Narrow"/>
          <w:b w:val="0"/>
          <w:i w:val="0"/>
          <w:sz w:val="24"/>
        </w:rPr>
        <w:t>, pelos fundamentos de fato e de direito a seguir expostos.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1"/>
        <w:gridCol w:w="4541"/>
      </w:tblGrid>
      <w:tr>
        <w:tc>
          <w:tcPr>
            <w:tcW w:type="dxa" w:w="9083"/>
            <w:gridSpan w:val="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EM SÍNTESE</w:t>
            </w:r>
          </w:p>
        </w:tc>
      </w:tr>
      <w:tr>
        <w:tc>
          <w:tcPr>
            <w:tcW w:type="dxa" w:w="2362"/>
            <w:shd w:val="clear" w:color="auto" w:fill="f2f2f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O que se pede</w:t>
            </w:r>
          </w:p>
        </w:tc>
        <w:tc>
          <w:tcPr>
            <w:tcW w:type="dxa" w:w="6721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 xml:space="preserve">A declaração de que a mora do autor está descaracterizada quanto à </w:t>
            </w: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[[ESPÉCIE E Nº DO TÍTULO]]</w:t>
            </w:r>
            <w:r>
              <w:rPr>
                <w:rFonts w:ascii="Arial Narrow" w:hAnsi="Arial Narrow"/>
                <w:b w:val="0"/>
                <w:i w:val="0"/>
                <w:sz w:val="20"/>
              </w:rPr>
              <w:t xml:space="preserve"> e, por consequência, de que o título não é exigível.</w:t>
            </w:r>
          </w:p>
        </w:tc>
      </w:tr>
      <w:tr>
        <w:tc>
          <w:tcPr>
            <w:tcW w:type="dxa" w:w="2362"/>
            <w:shd w:val="clear" w:color="auto" w:fill="f2f2f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Por que é devido</w:t>
            </w:r>
          </w:p>
        </w:tc>
        <w:tc>
          <w:tcPr>
            <w:tcW w:type="dxa" w:w="6721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O réu exigiu, no período de normalidade contratual e antes de qualquer inadimplemento, capitalização de juros sem que o instrumento indicasse a taxa correspondente à periodicidade em que ela se opera. Verificada a abusividade em encargo da normalidade, a descaracterização da mora é consequência automática da Orientação 2 do Tema 28/STJ, precedente de observância obrigatória.</w:t>
            </w:r>
          </w:p>
        </w:tc>
      </w:tr>
      <w:tr>
        <w:tc>
          <w:tcPr>
            <w:tcW w:type="dxa" w:w="2362"/>
            <w:shd w:val="clear" w:color="auto" w:fill="f2f2f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O que NÃO se pede</w:t>
            </w:r>
          </w:p>
        </w:tc>
        <w:tc>
          <w:tcPr>
            <w:tcW w:type="dxa" w:w="6721"/>
            <w:shd w:val="clear" w:color="auto" w:fill="ffe6e6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Não se pede revisão de cláusulas, recálculo de prestações, repetição de indébito nem apuração de saldo devedor. Não há, portanto, valor incontroverso a depositar, nem matéria que dependa de perícia: a prova é o próprio instrumento contratual.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c55a11"/>
          <w:left w:val="single" w:sz="4" w:color="c55a11"/>
          <w:bottom w:val="single" w:sz="4" w:color="c55a11"/>
          <w:right w:val="single" w:sz="4" w:color="c55a11"/>
          <w:insideH w:val="single" w:sz="4" w:color="c55a11"/>
          <w:insideV w:val="single" w:sz="4" w:color="c55a11"/>
        </w:tblBorders>
      </w:tblPr>
      <w:tblGrid>
        <w:gridCol w:w="9083"/>
      </w:tblGrid>
      <w:tr>
        <w:tc>
          <w:tcPr>
            <w:tcW w:type="dxa" w:w="9083"/>
            <w:shd w:val="clear" w:color="auto" w:fill="f6b26b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4"/>
              </w:rPr>
              <w:t>I. DA NATUREZA DA AÇÃO E DA AUDIÊNCIA DE CONCILIAÇÃO</w:t>
            </w:r>
          </w:p>
        </w:tc>
      </w:tr>
    </w:tbl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Trata-se de ação estritamente declaratória (art. 19, I, do CPC), de pedido único: a declaração de descaracterização da mora. Não se postula recálculo, revisão de cláusulas, repetição de indébito nem apuração de saldo devedor, e a causa de pedir esgota-se em uma verificação objetiva: houve, ou não, exigência de encargo abusivo no período de normalidade contratual. Exigir depósito do incontroverso, caução ou perícia seria impor requisito estranho ao pedido (art. 492 do CPC): tais condicionantes constam da Orientação 4 do REsp 1.061.530/RS, que rege hipótese diversa (a vedação de inscrição em cadastro de inadimplentes antes da sentença), ao passo que a Orientação 2, aqui invocada, é autoaplicável.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O autor manifesta interesse na realização da audiência de conciliação prevista no art. 334 do CPC, nos termos do art. 3º, §§ 2º e 3º, do CPC.</w:t>
      </w:r>
    </w:p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c55a11"/>
          <w:left w:val="single" w:sz="4" w:color="c55a11"/>
          <w:bottom w:val="single" w:sz="4" w:color="c55a11"/>
          <w:right w:val="single" w:sz="4" w:color="c55a11"/>
          <w:insideH w:val="single" w:sz="4" w:color="c55a11"/>
          <w:insideV w:val="single" w:sz="4" w:color="c55a11"/>
        </w:tblBorders>
      </w:tblPr>
      <w:tblGrid>
        <w:gridCol w:w="9083"/>
      </w:tblGrid>
      <w:tr>
        <w:tc>
          <w:tcPr>
            <w:tcW w:type="dxa" w:w="9083"/>
            <w:shd w:val="clear" w:color="auto" w:fill="f6b26b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4"/>
              </w:rPr>
              <w:t>II. DA SÍNTESE DO CASO</w:t>
            </w:r>
          </w:p>
        </w:tc>
      </w:tr>
    </w:tbl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Em </w:t>
      </w:r>
      <w:r>
        <w:rPr>
          <w:rFonts w:ascii="Arial Narrow" w:hAnsi="Arial Narrow"/>
          <w:b w:val="0"/>
          <w:i w:val="0"/>
          <w:sz w:val="24"/>
          <w:highlight w:val="yellow"/>
        </w:rPr>
        <w:t>[[DATA DE EMISSÃO]]</w:t>
      </w:r>
      <w:r>
        <w:rPr>
          <w:rFonts w:ascii="Arial Narrow" w:hAnsi="Arial Narrow"/>
          <w:b w:val="0"/>
          <w:i w:val="0"/>
          <w:sz w:val="24"/>
        </w:rPr>
        <w:t xml:space="preserve">, o autor emitiu, em favor do réu, a </w:t>
      </w:r>
      <w:r>
        <w:rPr>
          <w:rFonts w:ascii="Arial Narrow" w:hAnsi="Arial Narrow"/>
          <w:b w:val="0"/>
          <w:i w:val="0"/>
          <w:sz w:val="24"/>
          <w:highlight w:val="yellow"/>
        </w:rPr>
        <w:t>[[ESPÉCIE E Nº DO TÍTULO]]</w:t>
      </w:r>
      <w:r>
        <w:rPr>
          <w:rFonts w:ascii="Arial Narrow" w:hAnsi="Arial Narrow"/>
          <w:b w:val="0"/>
          <w:i w:val="0"/>
          <w:sz w:val="24"/>
        </w:rPr>
        <w:t xml:space="preserve">, no valor de R$ </w:t>
      </w:r>
      <w:r>
        <w:rPr>
          <w:rFonts w:ascii="Arial Narrow" w:hAnsi="Arial Narrow"/>
          <w:b w:val="0"/>
          <w:i w:val="0"/>
          <w:sz w:val="24"/>
          <w:highlight w:val="yellow"/>
        </w:rPr>
        <w:t>[[VALOR]]</w:t>
      </w:r>
      <w:r>
        <w:rPr>
          <w:rFonts w:ascii="Arial Narrow" w:hAnsi="Arial Narrow"/>
          <w:b w:val="0"/>
          <w:i w:val="0"/>
          <w:sz w:val="24"/>
        </w:rPr>
        <w:t xml:space="preserve"> (</w:t>
      </w:r>
      <w:r>
        <w:rPr>
          <w:rFonts w:ascii="Arial Narrow" w:hAnsi="Arial Narrow"/>
          <w:b w:val="0"/>
          <w:i w:val="0"/>
          <w:sz w:val="24"/>
          <w:highlight w:val="yellow"/>
        </w:rPr>
        <w:t>[[VALOR POR EXTENSO]]</w:t>
      </w:r>
      <w:r>
        <w:rPr>
          <w:rFonts w:ascii="Arial Narrow" w:hAnsi="Arial Narrow"/>
          <w:b w:val="0"/>
          <w:i w:val="0"/>
          <w:sz w:val="24"/>
        </w:rPr>
        <w:t xml:space="preserve">), destinada a </w:t>
      </w:r>
      <w:r>
        <w:rPr>
          <w:rFonts w:ascii="Arial Narrow" w:hAnsi="Arial Narrow"/>
          <w:b w:val="0"/>
          <w:i w:val="0"/>
          <w:sz w:val="24"/>
          <w:highlight w:val="yellow"/>
        </w:rPr>
        <w:t>[[FINALIDADE DECLARADA NO TÍTULO]]</w:t>
      </w:r>
      <w:r>
        <w:rPr>
          <w:rFonts w:ascii="Arial Narrow" w:hAnsi="Arial Narrow"/>
          <w:b w:val="0"/>
          <w:i w:val="0"/>
          <w:sz w:val="24"/>
        </w:rPr>
        <w:t xml:space="preserve"> (Doc. </w:t>
      </w:r>
      <w:r>
        <w:rPr>
          <w:rFonts w:ascii="Arial Narrow" w:hAnsi="Arial Narrow"/>
          <w:b w:val="0"/>
          <w:i w:val="0"/>
          <w:sz w:val="24"/>
          <w:highlight w:val="yellow"/>
        </w:rPr>
        <w:t>[[Nº]]</w:t>
      </w:r>
      <w:r>
        <w:rPr>
          <w:rFonts w:ascii="Arial Narrow" w:hAnsi="Arial Narrow"/>
          <w:b w:val="0"/>
          <w:i w:val="0"/>
          <w:sz w:val="24"/>
        </w:rPr>
        <w:t>).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O pagamento foi ajustado em </w:t>
      </w:r>
      <w:r>
        <w:rPr>
          <w:rFonts w:ascii="Arial Narrow" w:hAnsi="Arial Narrow"/>
          <w:b w:val="0"/>
          <w:i w:val="0"/>
          <w:sz w:val="24"/>
          <w:highlight w:val="yellow"/>
        </w:rPr>
        <w:t>[[Nº]]</w:t>
      </w:r>
      <w:r>
        <w:rPr>
          <w:rFonts w:ascii="Arial Narrow" w:hAnsi="Arial Narrow"/>
          <w:b w:val="0"/>
          <w:i w:val="0"/>
          <w:sz w:val="24"/>
        </w:rPr>
        <w:t xml:space="preserve"> prestações </w:t>
      </w:r>
      <w:r>
        <w:rPr>
          <w:rFonts w:ascii="Arial Narrow" w:hAnsi="Arial Narrow"/>
          <w:b w:val="0"/>
          <w:i w:val="0"/>
          <w:sz w:val="24"/>
          <w:highlight w:val="yellow"/>
        </w:rPr>
        <w:t>[[periodicidade]]</w:t>
      </w:r>
      <w:r>
        <w:rPr>
          <w:rFonts w:ascii="Arial Narrow" w:hAnsi="Arial Narrow"/>
          <w:b w:val="0"/>
          <w:i w:val="0"/>
          <w:sz w:val="24"/>
        </w:rPr>
        <w:t xml:space="preserve"> e sucessivas, vencendo-se a primeira em </w:t>
      </w:r>
      <w:r>
        <w:rPr>
          <w:rFonts w:ascii="Arial Narrow" w:hAnsi="Arial Narrow"/>
          <w:b w:val="0"/>
          <w:i w:val="0"/>
          <w:sz w:val="24"/>
          <w:highlight w:val="yellow"/>
        </w:rPr>
        <w:t>[[DATA]]</w:t>
      </w:r>
      <w:r>
        <w:rPr>
          <w:rFonts w:ascii="Arial Narrow" w:hAnsi="Arial Narrow"/>
          <w:b w:val="0"/>
          <w:i w:val="0"/>
          <w:sz w:val="24"/>
        </w:rPr>
        <w:t xml:space="preserve"> e a última em </w:t>
      </w:r>
      <w:r>
        <w:rPr>
          <w:rFonts w:ascii="Arial Narrow" w:hAnsi="Arial Narrow"/>
          <w:b w:val="0"/>
          <w:i w:val="0"/>
          <w:sz w:val="24"/>
          <w:highlight w:val="yellow"/>
        </w:rPr>
        <w:t>[[DATA]]</w:t>
      </w:r>
      <w:r>
        <w:rPr>
          <w:rFonts w:ascii="Arial Narrow" w:hAnsi="Arial Narrow"/>
          <w:b w:val="0"/>
          <w:i w:val="0"/>
          <w:sz w:val="24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71"/>
        <w:gridCol w:w="2271"/>
        <w:gridCol w:w="2271"/>
        <w:gridCol w:w="2271"/>
      </w:tblGrid>
      <w:tr>
        <w:tc>
          <w:tcPr>
            <w:tcW w:type="dxa" w:w="9083"/>
            <w:gridSpan w:val="4"/>
            <w:shd w:val="clear" w:color="auto" w:fill="f6b26b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LINHA DO TEMPO DA OPERAÇÃO</w:t>
            </w:r>
          </w:p>
        </w:tc>
      </w:tr>
      <w:tr>
        <w:tc>
          <w:tcPr>
            <w:tcW w:type="dxa" w:w="1362"/>
            <w:shd w:val="clear" w:color="auto" w:fill="f2f2f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Data</w:t>
            </w:r>
          </w:p>
        </w:tc>
        <w:tc>
          <w:tcPr>
            <w:tcW w:type="dxa" w:w="4087"/>
            <w:shd w:val="clear" w:color="auto" w:fill="f2f2f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Evento</w:t>
            </w:r>
          </w:p>
        </w:tc>
        <w:tc>
          <w:tcPr>
            <w:tcW w:type="dxa" w:w="1817"/>
            <w:shd w:val="clear" w:color="auto" w:fill="f2f2f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Fase contratual</w:t>
            </w:r>
          </w:p>
        </w:tc>
        <w:tc>
          <w:tcPr>
            <w:tcW w:type="dxa" w:w="1817"/>
            <w:shd w:val="clear" w:color="auto" w:fill="f2f2f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Documento</w:t>
            </w:r>
          </w:p>
        </w:tc>
      </w:tr>
      <w:tr>
        <w:tc>
          <w:tcPr>
            <w:tcW w:type="dxa" w:w="136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[[DATA]]</w:t>
            </w:r>
          </w:p>
        </w:tc>
        <w:tc>
          <w:tcPr>
            <w:tcW w:type="dxa" w:w="408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Emissão do título e liberação do crédito</w:t>
            </w:r>
          </w:p>
        </w:tc>
        <w:tc>
          <w:tcPr>
            <w:tcW w:type="dxa" w:w="1817"/>
            <w:shd w:val="clear" w:color="auto" w:fill="e2efda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NORMALIDADE</w:t>
            </w:r>
          </w:p>
        </w:tc>
        <w:tc>
          <w:tcPr>
            <w:tcW w:type="dxa" w:w="1817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18"/>
              </w:rPr>
              <w:t xml:space="preserve">Doc. </w:t>
            </w:r>
            <w:r>
              <w:rPr>
                <w:rFonts w:ascii="Arial Narrow" w:hAnsi="Arial Narrow"/>
                <w:b w:val="0"/>
                <w:i w:val="0"/>
                <w:sz w:val="18"/>
                <w:highlight w:val="yellow"/>
              </w:rPr>
              <w:t>[[Nº]]</w:t>
            </w:r>
          </w:p>
        </w:tc>
      </w:tr>
      <w:tr>
        <w:tc>
          <w:tcPr>
            <w:tcW w:type="dxa" w:w="136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[[DATA]]</w:t>
            </w:r>
          </w:p>
        </w:tc>
        <w:tc>
          <w:tcPr>
            <w:tcW w:type="dxa" w:w="408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 xml:space="preserve">Incidência do encargo impugnado: </w:t>
            </w: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[[descrever o lançamento]]</w:t>
            </w:r>
          </w:p>
        </w:tc>
        <w:tc>
          <w:tcPr>
            <w:tcW w:type="dxa" w:w="1817"/>
            <w:shd w:val="clear" w:color="auto" w:fill="e2efda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NORMALIDADE</w:t>
            </w:r>
          </w:p>
        </w:tc>
        <w:tc>
          <w:tcPr>
            <w:tcW w:type="dxa" w:w="1817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18"/>
              </w:rPr>
              <w:t xml:space="preserve">Doc. </w:t>
            </w:r>
            <w:r>
              <w:rPr>
                <w:rFonts w:ascii="Arial Narrow" w:hAnsi="Arial Narrow"/>
                <w:b w:val="0"/>
                <w:i w:val="0"/>
                <w:sz w:val="18"/>
                <w:highlight w:val="yellow"/>
              </w:rPr>
              <w:t>[[Nº]]</w:t>
            </w:r>
          </w:p>
        </w:tc>
      </w:tr>
      <w:tr>
        <w:tc>
          <w:tcPr>
            <w:tcW w:type="dxa" w:w="136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[[DATA]]</w:t>
            </w:r>
          </w:p>
        </w:tc>
        <w:tc>
          <w:tcPr>
            <w:tcW w:type="dxa" w:w="408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Vencimento da primeira prestação</w:t>
            </w:r>
          </w:p>
        </w:tc>
        <w:tc>
          <w:tcPr>
            <w:tcW w:type="dxa" w:w="1817"/>
            <w:shd w:val="clear" w:color="auto" w:fill="e2efda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NORMALIDADE</w:t>
            </w:r>
          </w:p>
        </w:tc>
        <w:tc>
          <w:tcPr>
            <w:tcW w:type="dxa" w:w="1817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18"/>
              </w:rPr>
              <w:t xml:space="preserve">Doc. </w:t>
            </w:r>
            <w:r>
              <w:rPr>
                <w:rFonts w:ascii="Arial Narrow" w:hAnsi="Arial Narrow"/>
                <w:b w:val="0"/>
                <w:i w:val="0"/>
                <w:sz w:val="18"/>
                <w:highlight w:val="yellow"/>
              </w:rPr>
              <w:t>[[Nº]]</w:t>
            </w:r>
          </w:p>
        </w:tc>
      </w:tr>
      <w:tr>
        <w:tc>
          <w:tcPr>
            <w:tcW w:type="dxa" w:w="136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[[DATA]]</w:t>
            </w:r>
          </w:p>
        </w:tc>
        <w:tc>
          <w:tcPr>
            <w:tcW w:type="dxa" w:w="408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Primeiro inadimplemento</w:t>
            </w:r>
          </w:p>
        </w:tc>
        <w:tc>
          <w:tcPr>
            <w:tcW w:type="dxa" w:w="1817"/>
            <w:shd w:val="clear" w:color="auto" w:fill="ffe6e6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INADIMPLEMENTO</w:t>
            </w:r>
          </w:p>
        </w:tc>
        <w:tc>
          <w:tcPr>
            <w:tcW w:type="dxa" w:w="1817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18"/>
              </w:rPr>
              <w:t xml:space="preserve">Doc. </w:t>
            </w:r>
            <w:r>
              <w:rPr>
                <w:rFonts w:ascii="Arial Narrow" w:hAnsi="Arial Narrow"/>
                <w:b w:val="0"/>
                <w:i w:val="0"/>
                <w:sz w:val="18"/>
                <w:highlight w:val="yellow"/>
              </w:rPr>
              <w:t>[[Nº]]</w:t>
            </w:r>
          </w:p>
        </w:tc>
      </w:tr>
      <w:tr>
        <w:tc>
          <w:tcPr>
            <w:tcW w:type="dxa" w:w="136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[[DATA]]</w:t>
            </w:r>
          </w:p>
        </w:tc>
        <w:tc>
          <w:tcPr>
            <w:tcW w:type="dxa" w:w="4087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  <w:highlight w:val="yellow"/>
              </w:rPr>
              <w:t>[[Ajuizamento da execução / notificação / protesto, se houver]]</w:t>
            </w:r>
          </w:p>
        </w:tc>
        <w:tc>
          <w:tcPr>
            <w:tcW w:type="dxa" w:w="1817"/>
            <w:shd w:val="clear" w:color="auto" w:fill="ffe6e6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INADIMPLEMENTO</w:t>
            </w:r>
          </w:p>
        </w:tc>
        <w:tc>
          <w:tcPr>
            <w:tcW w:type="dxa" w:w="1817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 w:val="0"/>
                <w:i w:val="0"/>
                <w:sz w:val="18"/>
              </w:rPr>
              <w:t xml:space="preserve">Doc. </w:t>
            </w:r>
            <w:r>
              <w:rPr>
                <w:rFonts w:ascii="Arial Narrow" w:hAnsi="Arial Narrow"/>
                <w:b w:val="0"/>
                <w:i w:val="0"/>
                <w:sz w:val="18"/>
                <w:highlight w:val="yellow"/>
              </w:rPr>
              <w:t>[[Nº]]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A linha do tempo só entra na peça com as datas efetivamente extraídas do título e do demonstrativo. Data que não puder ser conferida no documento sai da tabela. Linha do tempo com data suposta é prova contra a própria peça. Se o demonstrativo não permitir identificar a data do primeiro inadimplemento, registre a pendência em vez de estimá-la.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Em </w:t>
      </w:r>
      <w:r>
        <w:rPr>
          <w:rFonts w:ascii="Arial Narrow" w:hAnsi="Arial Narrow"/>
          <w:b w:val="0"/>
          <w:i w:val="0"/>
          <w:sz w:val="24"/>
          <w:highlight w:val="yellow"/>
        </w:rPr>
        <w:t>[[DATA]]</w:t>
      </w:r>
      <w:r>
        <w:rPr>
          <w:rFonts w:ascii="Arial Narrow" w:hAnsi="Arial Narrow"/>
          <w:b w:val="0"/>
          <w:i w:val="0"/>
          <w:sz w:val="24"/>
        </w:rPr>
        <w:t xml:space="preserve">, o réu </w:t>
      </w:r>
      <w:r>
        <w:rPr>
          <w:rFonts w:ascii="Arial Narrow" w:hAnsi="Arial Narrow"/>
          <w:b w:val="0"/>
          <w:i w:val="0"/>
          <w:sz w:val="24"/>
          <w:highlight w:val="yellow"/>
        </w:rPr>
        <w:t>[[ajuizou execução de título extrajudicial fundada nessa mesma cédula, autuada sob o nº (…) / promoveu (…)]]</w:t>
      </w:r>
      <w:r>
        <w:rPr>
          <w:rFonts w:ascii="Arial Narrow" w:hAnsi="Arial Narrow"/>
          <w:b w:val="0"/>
          <w:i w:val="0"/>
          <w:sz w:val="24"/>
        </w:rPr>
        <w:t>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Embora tenha havido inadimplemento que, a princípio, configuraria mora, esta deve ser declarada descaracterizada. O réu exigiu, no período de normalidade contratual e antes de qualquer atraso, encargo abusivo e, nos termos do Tema 28/STJ, a abusividade verificada na normalidade retira da mora a validade jurídica.</w:t>
      </w:r>
    </w:p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c55a11"/>
          <w:left w:val="single" w:sz="4" w:color="c55a11"/>
          <w:bottom w:val="single" w:sz="4" w:color="c55a11"/>
          <w:right w:val="single" w:sz="4" w:color="c55a11"/>
          <w:insideH w:val="single" w:sz="4" w:color="c55a11"/>
          <w:insideV w:val="single" w:sz="4" w:color="c55a11"/>
        </w:tblBorders>
      </w:tblPr>
      <w:tblGrid>
        <w:gridCol w:w="9083"/>
      </w:tblGrid>
      <w:tr>
        <w:tc>
          <w:tcPr>
            <w:tcW w:type="dxa" w:w="9083"/>
            <w:shd w:val="clear" w:color="auto" w:fill="f6b26b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4"/>
              </w:rPr>
              <w:t>III. DO DIREITO</w:t>
            </w:r>
          </w:p>
        </w:tc>
      </w:tr>
    </w:tbl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before="160" w:after="80"/>
        <w:jc w:val="left"/>
      </w:pPr>
      <w:r>
        <w:rPr>
          <w:rFonts w:ascii="Arial Narrow" w:hAnsi="Arial Narrow"/>
          <w:b/>
          <w:i w:val="0"/>
          <w:sz w:val="24"/>
        </w:rPr>
        <w:t>III.1. Da aplicação do Código de Defesa do Consumidor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Aplica-se à relação que deu origem ao título o Código de Defesa do Consumidor. De um lado está a instituição financeira ré, que atua no mercado com finalidade de lucro, ofertando serviços financeiros de forma contínua e profissional; de outro, o autor, que os contrata sem deter o mesmo nível de conhecimento técnico, jurídico ou econômico. Os serviços bancários enquadram-se no conceito legal de serviço do art. 3º, § 2º, do CDC, e a constitucionalidade dessa incidência foi assentada pelo Supremo Tribunal Federal no julgamento da ADI 2.591/DF, consolidando-se na Súmula 297 do Superior Tribunal de Justiça: "O Código de Defesa do Consumidor é aplicável às instituições financeiras".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O fato de o crédito ter sido tomado para viabilizar atividade produtiva não afasta essa incidência. Embora a literalidade do art. 2º do CDC sugira a teoria finalista estrita, o Superior Tribunal de Justiça consolidou, por interpretação teleológica e com apoio no conceito de consumidor por equiparação do art. 29, a teoria finalista mitigada, também dita finalismo aprofundado, pela qual as normas consumeristas incidem sempre que demonstrada a vulnerabilidade de uma das partes frente à outra, em qualquer de suas modalidades: técnica, jurídica, fática ou informacional. A vulnerabilidade é o princípio-motor da política nacional das relações de consumo (art. 4º, I, do CDC). Em cédula de crédito rural a questão está decidida: presume-se a vulnerabilidade do produtor, equiparado a consumidor ainda quando o financiamento se destina à sua própria atividade, dando-se prevalência à destinação fática (REsp 1.166.054/RN, Rel. Min. Luis Felipe Salomão, 4ª Turma, DJe 18/06/2015).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No caso concreto, a vulnerabilidade do autor não é presunção invocada de passagem: é técnica e informacional, e mede-se exatamente pela impossibilidade de apurar, sozinho, o encargo que lhe seria cobrado. O autor é </w:t>
      </w:r>
      <w:r>
        <w:rPr>
          <w:rFonts w:ascii="Arial Narrow" w:hAnsi="Arial Narrow"/>
          <w:b w:val="0"/>
          <w:i w:val="0"/>
          <w:sz w:val="24"/>
          <w:highlight w:val="yellow"/>
        </w:rPr>
        <w:t>[[produtor rural / pecuarista / agricultor]]</w:t>
      </w:r>
      <w:r>
        <w:rPr>
          <w:rFonts w:ascii="Arial Narrow" w:hAnsi="Arial Narrow"/>
          <w:b w:val="0"/>
          <w:i w:val="0"/>
          <w:sz w:val="24"/>
        </w:rPr>
        <w:t>, pessoa natural, que não redigiu uma linha do instrumento: a cédula é formulário padrão do réu, de cláusulas impressas e sem possibilidade real de negociação, isto é, contrato de adesão (art. 54 do CDC), cujo § 4º ainda exige que a cláusula limitativa de direito seja redigida com destaque e permita compreensão imediata e fácil.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Reconhecida a relação de consumo, as normas consumeristas incidem inclusive para efeito de interpretação das cláusulas contratuais, de inversão do ônus da prova e de controle judicial da legalidade dos encargos exigidos. Três delas regem diretamente a cláusula impugnada: o art. 6º, III, que assegura a informação adequada e clara sobre o preço e os acréscimos; o art. 52, II, que impõe ao fornecedor informar prévia e adequadamente a taxa de juros no financiamento; e, sobretudo, o art. 46, segundo o qual o contrato redigido de modo a dificultar a compreensão de seu sentido e alcance NÃO OBRIGA o consumidor. São exatamente os três dispositivos que o Superior Tribunal de Justiça invocou ao inaugurar a tese da capitalização sem taxa expressa (REsp 1.568.290/RS, voto do Rel. Min. Paulo de Tarso Sanseverino).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Registre-se, por fim, que a tese não depende exclusivamente do Código. Ainda que se afastasse sua incidência, a exigência de pactuação expressa da capitalização em periodicidade inferior à anual é autônoma, por força das Súmulas 539 e 93 do STJ, e a boa-fé objetiva (art. 422 do Código Civil) impõe ao credor o dever anexo de informar o conteúdo do encargo que cobra. Por qualquer das vias, a omissão do número não se sana.</w:t>
      </w:r>
    </w:p>
    <w:p>
      <w:pPr>
        <w:spacing w:line="360" w:lineRule="auto" w:before="160" w:after="80"/>
        <w:jc w:val="left"/>
      </w:pPr>
      <w:r>
        <w:rPr>
          <w:rFonts w:ascii="Arial Narrow" w:hAnsi="Arial Narrow"/>
          <w:b/>
          <w:i w:val="0"/>
          <w:sz w:val="24"/>
        </w:rPr>
        <w:t>III.2. Da distinção entre juros compostos e capitalização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O Superior Tribunal de Justiça fixou, no REsp 973.827/RS (Tema 247, Rel. p/ acórdão Min. Maria Isabel Gallotti, 2ª Seção, DJe 24/09/2012), origem das Súmulas 539 e 541, a distinção que delimita esta demanda: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28"/>
        <w:gridCol w:w="3028"/>
        <w:gridCol w:w="3028"/>
      </w:tblGrid>
      <w:tr>
        <w:tc>
          <w:tcPr>
            <w:tcW w:type="dxa" w:w="9084"/>
            <w:gridSpan w:val="3"/>
            <w:shd w:val="clear" w:color="auto" w:fill="f6b26b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JUROS COMPOSTOS × CAPITALIZAÇÃO (Tema 247/STJ, REsp 973.827/RS)</w:t>
            </w:r>
          </w:p>
        </w:tc>
      </w:tr>
      <w:tr>
        <w:tc>
          <w:tcPr>
            <w:tcW w:type="dxa" w:w="2180"/>
            <w:shd w:val="clear" w:color="auto" w:fill="f2f2f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Aspecto</w:t>
            </w:r>
          </w:p>
        </w:tc>
        <w:tc>
          <w:tcPr>
            <w:tcW w:type="dxa" w:w="345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Regime de juros compostos</w:t>
            </w:r>
          </w:p>
        </w:tc>
        <w:tc>
          <w:tcPr>
            <w:tcW w:type="dxa" w:w="3452"/>
            <w:shd w:val="clear" w:color="auto" w:fill="fce4d6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Capitalização (sentido jurídico)</w:t>
            </w:r>
          </w:p>
        </w:tc>
      </w:tr>
      <w:tr>
        <w:tc>
          <w:tcPr>
            <w:tcW w:type="dxa" w:w="2180"/>
            <w:shd w:val="clear" w:color="auto" w:fill="f2f2f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Natureza</w:t>
            </w:r>
          </w:p>
        </w:tc>
        <w:tc>
          <w:tcPr>
            <w:tcW w:type="dxa" w:w="345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Categoria matemática: método de formação da taxa</w:t>
            </w:r>
          </w:p>
        </w:tc>
        <w:tc>
          <w:tcPr>
            <w:tcW w:type="dxa" w:w="345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Instituto jurídico: incorporação de juros vencidos ao principal</w:t>
            </w:r>
          </w:p>
        </w:tc>
      </w:tr>
      <w:tr>
        <w:tc>
          <w:tcPr>
            <w:tcW w:type="dxa" w:w="2180"/>
            <w:shd w:val="clear" w:color="auto" w:fill="f2f2f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Pressupõe mora?</w:t>
            </w:r>
          </w:p>
        </w:tc>
        <w:tc>
          <w:tcPr>
            <w:tcW w:type="dxa" w:w="345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Não. Opera com o contrato em dia</w:t>
            </w:r>
          </w:p>
        </w:tc>
        <w:tc>
          <w:tcPr>
            <w:tcW w:type="dxa" w:w="345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Sim. Pressupõe juros vencidos e não pagos</w:t>
            </w:r>
          </w:p>
        </w:tc>
      </w:tr>
      <w:tr>
        <w:tc>
          <w:tcPr>
            <w:tcW w:type="dxa" w:w="2180"/>
            <w:shd w:val="clear" w:color="auto" w:fill="f2f2f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O que o autor discute</w:t>
            </w:r>
          </w:p>
        </w:tc>
        <w:tc>
          <w:tcPr>
            <w:tcW w:type="dxa" w:w="345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Nada. Não se impugna o regime composto</w:t>
            </w:r>
          </w:p>
        </w:tc>
        <w:tc>
          <w:tcPr>
            <w:tcW w:type="dxa" w:w="3452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A ausência da taxa correspondente à periodicidade pactuada</w:t>
            </w:r>
          </w:p>
        </w:tc>
      </w:tr>
      <w:tr>
        <w:tc>
          <w:tcPr>
            <w:tcW w:type="dxa" w:w="2180"/>
            <w:shd w:val="clear" w:color="auto" w:fill="ffe6e6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ERRO FATAL</w:t>
            </w:r>
          </w:p>
        </w:tc>
        <w:tc>
          <w:tcPr>
            <w:tcW w:type="dxa" w:w="3452"/>
            <w:shd w:val="clear" w:color="auto" w:fill="ffe6e6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/>
                <w:sz w:val="20"/>
              </w:rPr>
              <w:t>Tratar o teste do duodécuplo (Súmula 541/STJ) como prova de pactuação</w:t>
            </w:r>
          </w:p>
        </w:tc>
        <w:tc>
          <w:tcPr>
            <w:tcW w:type="dxa" w:w="3452"/>
            <w:shd w:val="clear" w:color="auto" w:fill="ffe6e6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/>
                <w:sz w:val="20"/>
              </w:rPr>
              <w:t>A Súmula 541 afere taxa; não supre a pactuação expressa que a Súmula 539 exige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Não se impugna, pois, o regime composto, nem a licitude da capitalização em periodicidade inferior à anual. Impugna-se a exigência do encargo sem que o título informe a taxa da periodicidade em que ele se opera.</w:t>
      </w:r>
    </w:p>
    <w:p>
      <w:pPr>
        <w:spacing w:line="360" w:lineRule="auto" w:before="160" w:after="80"/>
        <w:jc w:val="left"/>
      </w:pPr>
      <w:r>
        <w:rPr>
          <w:rFonts w:ascii="Arial Narrow" w:hAnsi="Arial Narrow"/>
          <w:b/>
          <w:i w:val="0"/>
          <w:sz w:val="24"/>
        </w:rPr>
        <w:t>III.3. Da abusividade da capitalização: o título declara o evento e omite a taxa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A cláusula </w:t>
      </w:r>
      <w:r>
        <w:rPr>
          <w:rFonts w:ascii="Arial Narrow" w:hAnsi="Arial Narrow"/>
          <w:b w:val="0"/>
          <w:i w:val="0"/>
          <w:sz w:val="24"/>
          <w:highlight w:val="yellow"/>
        </w:rPr>
        <w:t>[[NOME DA CLÁUSULA]]</w:t>
      </w:r>
      <w:r>
        <w:rPr>
          <w:rFonts w:ascii="Arial Narrow" w:hAnsi="Arial Narrow"/>
          <w:b w:val="0"/>
          <w:i w:val="0"/>
          <w:sz w:val="24"/>
        </w:rPr>
        <w:t xml:space="preserve"> da </w:t>
      </w:r>
      <w:r>
        <w:rPr>
          <w:rFonts w:ascii="Arial Narrow" w:hAnsi="Arial Narrow"/>
          <w:b w:val="0"/>
          <w:i w:val="0"/>
          <w:sz w:val="24"/>
          <w:highlight w:val="yellow"/>
        </w:rPr>
        <w:t>[[ESPÉCIE E Nº DO TÍTULO]]</w:t>
      </w:r>
      <w:r>
        <w:rPr>
          <w:rFonts w:ascii="Arial Narrow" w:hAnsi="Arial Narrow"/>
          <w:b w:val="0"/>
          <w:i w:val="0"/>
          <w:sz w:val="24"/>
        </w:rPr>
        <w:t xml:space="preserve"> tem a seguinte redação, no que interessa: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595959"/>
          <w:left w:val="single" w:sz="4" w:color="595959"/>
          <w:bottom w:val="single" w:sz="4" w:color="595959"/>
          <w:right w:val="single" w:sz="4" w:color="595959"/>
          <w:insideH w:val="single" w:sz="4" w:color="595959"/>
          <w:insideV w:val="single" w:sz="4" w:color="595959"/>
        </w:tblBorders>
      </w:tblPr>
      <w:tblGrid>
        <w:gridCol w:w="9083"/>
      </w:tblGrid>
      <w:tr>
        <w:tc>
          <w:tcPr>
            <w:tcW w:type="dxa" w:w="9083"/>
            <w:shd w:val="clear" w:color="auto" w:fill="f2f2f2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color w:val="595959"/>
                <w:sz w:val="18"/>
              </w:rPr>
              <w:t>TRANSCRIÇÃO DA CLÁUSULA DO TÍTULO</w:t>
            </w:r>
          </w:p>
        </w:tc>
      </w:tr>
    </w:tbl>
    <w:p>
      <w:pPr>
        <w:spacing w:line="276" w:lineRule="auto" w:before="80" w:after="40"/>
        <w:ind w:left="2268"/>
        <w:jc w:val="both"/>
      </w:pPr>
      <w:r>
        <w:rPr>
          <w:rFonts w:ascii="Arial Narrow" w:hAnsi="Arial Narrow"/>
          <w:i/>
          <w:sz w:val="20"/>
        </w:rPr>
        <w:t>[[TEXTO DO PRINT 01: transcrição literal da cláusula, copiada do título, sem corte que descaracterize o sentido]]</w:t>
      </w:r>
    </w:p>
    <w:p>
      <w:pPr>
        <w:spacing w:line="276" w:lineRule="auto" w:after="160"/>
        <w:jc w:val="center"/>
      </w:pPr>
      <w:r>
        <w:rPr>
          <w:rFonts w:ascii="Arial Narrow" w:hAnsi="Arial Narrow"/>
          <w:b/>
          <w:i/>
          <w:sz w:val="20"/>
          <w:highlight w:val="yellow"/>
        </w:rPr>
        <w:t>[[ESPÉCIE E Nº DO TÍTULO]]</w:t>
      </w:r>
      <w:r>
        <w:rPr>
          <w:rFonts w:ascii="Arial Narrow" w:hAnsi="Arial Narrow"/>
          <w:b/>
          <w:i/>
          <w:sz w:val="20"/>
        </w:rPr>
        <w:t xml:space="preserve">, cláusula </w:t>
      </w:r>
      <w:r>
        <w:rPr>
          <w:rFonts w:ascii="Arial Narrow" w:hAnsi="Arial Narrow"/>
          <w:b/>
          <w:i/>
          <w:sz w:val="20"/>
          <w:highlight w:val="yellow"/>
        </w:rPr>
        <w:t>[[NOME]]</w:t>
      </w:r>
    </w:p>
    <w:p>
      <w:pPr>
        <w:spacing w:line="276" w:lineRule="auto" w:before="120" w:after="40"/>
        <w:jc w:val="center"/>
      </w:pPr>
      <w:r>
        <w:rPr>
          <w:rFonts w:ascii="Arial Narrow" w:hAnsi="Arial Narrow"/>
          <w:b/>
          <w:sz w:val="20"/>
          <w:highlight w:val="yellow"/>
        </w:rPr>
        <w:t>[[INSERIR PRINT 01: recorte da cláusula de encargos financeiros: faixa de largura total da página (nunca recorte estreito, que corta a linha no meio), com os termos da capitalização grifados em amarelo e a legenda citando a folha E a expressão "grifo nosso"]]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083"/>
      </w:tblGrid>
      <w:tr>
        <w:tc>
          <w:tcPr>
            <w:tcW w:type="dxa" w:w="9083"/>
            <w:shd w:val="clear" w:color="auto" w:fill="fff2c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O QUE O DOCUMENTO ACIMA PROVA</w:t>
            </w:r>
          </w:p>
        </w:tc>
      </w:tr>
      <w:tr>
        <w:tc>
          <w:tcPr>
            <w:tcW w:type="dxa" w:w="9083"/>
          </w:tcPr>
          <w:p>
            <w:pPr>
              <w:spacing w:before="40" w:after="40" w:line="276" w:lineRule="auto"/>
              <w:jc w:val="both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Nos trechos grifados o réu declara QUANDO capitaliza: por dias corridos, com base em taxa equivalente diária, no primeiro dia de cada mês. Em nenhum ponto declara A QUE TAXA. O único percentual do instrumento é o de 4% ao ano, de outra periodicidade: para aquela em que a capitalização efetivamente se opera, o título é omisso.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A leitura da cláusula revela dois planos que não se confundem e que precisam ser verificados separadamente.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1"/>
        <w:gridCol w:w="4541"/>
      </w:tblGrid>
      <w:tr>
        <w:tc>
          <w:tcPr>
            <w:tcW w:type="dxa" w:w="9082"/>
            <w:gridSpan w:val="2"/>
            <w:shd w:val="clear" w:color="auto" w:fill="f6b26b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O QUE O TÍTULO DECLARA E O QUE O TÍTULO OMITE</w:t>
            </w:r>
          </w:p>
        </w:tc>
      </w:tr>
      <w:tr>
        <w:tc>
          <w:tcPr>
            <w:tcW w:type="dxa" w:w="454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O título DECLARA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(plano do evento, lícito)</w:t>
            </w:r>
          </w:p>
        </w:tc>
        <w:tc>
          <w:tcPr>
            <w:tcW w:type="dxa" w:w="4541"/>
            <w:shd w:val="clear" w:color="auto" w:fill="ffe6e6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O título OMITE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(plano da taxa, abusivo)</w:t>
            </w:r>
          </w:p>
        </w:tc>
      </w:tr>
      <w:tr>
        <w:tc>
          <w:tcPr>
            <w:tcW w:type="dxa" w:w="4541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O evento da capitalização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Arial Narrow" w:hAnsi="Arial Narrow"/>
                <w:b w:val="0"/>
                <w:i/>
                <w:sz w:val="18"/>
              </w:rPr>
              <w:t xml:space="preserve">O título diz quando a capitalização ocorre: </w:t>
            </w:r>
            <w:r>
              <w:rPr>
                <w:rFonts w:ascii="Arial Narrow" w:hAnsi="Arial Narrow"/>
                <w:b w:val="0"/>
                <w:i/>
                <w:sz w:val="18"/>
                <w:highlight w:val="yellow"/>
              </w:rPr>
              <w:t>[[transcrever o trecho, ex.: "debitados e capitalizados no primeiro dia de cada mês"]]</w:t>
            </w:r>
            <w:r>
              <w:rPr>
                <w:rFonts w:ascii="Arial Narrow" w:hAnsi="Arial Narrow"/>
                <w:b w:val="0"/>
                <w:i/>
                <w:sz w:val="18"/>
              </w:rPr>
              <w:t>.</w:t>
            </w:r>
          </w:p>
        </w:tc>
        <w:tc>
          <w:tcPr>
            <w:tcW w:type="dxa" w:w="4541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A taxa da periodicidade pactuada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Arial Narrow" w:hAnsi="Arial Narrow"/>
                <w:b w:val="0"/>
                <w:i/>
                <w:sz w:val="18"/>
              </w:rPr>
              <w:t xml:space="preserve">Para a periodicidade </w:t>
            </w:r>
            <w:r>
              <w:rPr>
                <w:rFonts w:ascii="Arial Narrow" w:hAnsi="Arial Narrow"/>
                <w:b w:val="0"/>
                <w:i/>
                <w:sz w:val="18"/>
                <w:highlight w:val="yellow"/>
              </w:rPr>
              <w:t>[[diária/mensal]]</w:t>
            </w:r>
            <w:r>
              <w:rPr>
                <w:rFonts w:ascii="Arial Narrow" w:hAnsi="Arial Narrow"/>
                <w:b w:val="0"/>
                <w:i/>
                <w:sz w:val="18"/>
              </w:rPr>
              <w:t xml:space="preserve"> em que a capitalização efetivamente se opera, o instrumento NÃO CONSTA taxa alguma.</w:t>
            </w:r>
          </w:p>
        </w:tc>
      </w:tr>
      <w:tr>
        <w:tc>
          <w:tcPr>
            <w:tcW w:type="dxa" w:w="4541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A licitude desse evento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Arial Narrow" w:hAnsi="Arial Narrow"/>
                <w:b w:val="0"/>
                <w:i/>
                <w:sz w:val="18"/>
              </w:rPr>
              <w:t>Nada há de ilícito na periodicidade em si, desde que pactuada, na forma da Súmula 539/STJ e, em cédula rural, Súmula 93/STJ. O autor não a impugna.</w:t>
            </w:r>
          </w:p>
        </w:tc>
        <w:tc>
          <w:tcPr>
            <w:tcW w:type="dxa" w:w="4541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0"/>
              </w:rPr>
              <w:t>O único percentual declarado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Arial Narrow" w:hAnsi="Arial Narrow"/>
                <w:b w:val="0"/>
                <w:i/>
                <w:sz w:val="18"/>
              </w:rPr>
              <w:t xml:space="preserve">O título informa apenas a taxa </w:t>
            </w:r>
            <w:r>
              <w:rPr>
                <w:rFonts w:ascii="Arial Narrow" w:hAnsi="Arial Narrow"/>
                <w:b w:val="0"/>
                <w:i/>
                <w:sz w:val="18"/>
                <w:highlight w:val="yellow"/>
              </w:rPr>
              <w:t>[[anual/efetiva]]</w:t>
            </w:r>
            <w:r>
              <w:rPr>
                <w:rFonts w:ascii="Arial Narrow" w:hAnsi="Arial Narrow"/>
                <w:b w:val="0"/>
                <w:i/>
                <w:sz w:val="18"/>
              </w:rPr>
              <w:t xml:space="preserve"> de </w:t>
            </w:r>
            <w:r>
              <w:rPr>
                <w:rFonts w:ascii="Arial Narrow" w:hAnsi="Arial Narrow"/>
                <w:b w:val="0"/>
                <w:i/>
                <w:sz w:val="18"/>
                <w:highlight w:val="yellow"/>
              </w:rPr>
              <w:t>[[X]]</w:t>
            </w:r>
            <w:r>
              <w:rPr>
                <w:rFonts w:ascii="Arial Narrow" w:hAnsi="Arial Narrow"/>
                <w:b w:val="0"/>
                <w:i/>
                <w:sz w:val="18"/>
              </w:rPr>
              <w:t>%, que é de outra periodicidade e não supre a omissão.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A clareza quanto ao evento não supre a omissão quanto à taxa: são exigências autônomas. A Súmula 539/STJ exige pactuação expressa da capitalização inferior à anual, e pactuar expressamente um encargo financeiro compreende o percentual que o quantifica. Dizer quando os juros são capitalizados, sem dizer a que taxa, é pactuar a metade do encargo e cobrar o todo. É a violação ao dever de informação demonstrada no item III.1 (arts. 6º, III, 46 e 52, II, do CDC), agora aplicada ao encargo concreto deste título.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2e5d9c"/>
          <w:left w:val="single" w:sz="4" w:color="2e5d9c"/>
          <w:bottom w:val="single" w:sz="4" w:color="2e5d9c"/>
          <w:right w:val="single" w:sz="4" w:color="2e5d9c"/>
          <w:insideH w:val="single" w:sz="4" w:color="2e5d9c"/>
          <w:insideV w:val="single" w:sz="4" w:color="2e5d9c"/>
        </w:tblBorders>
      </w:tblPr>
      <w:tblGrid>
        <w:gridCol w:w="9083"/>
      </w:tblGrid>
      <w:tr>
        <w:tc>
          <w:tcPr>
            <w:tcW w:type="dxa" w:w="90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color w:val="2E5D9C"/>
                <w:sz w:val="18"/>
              </w:rPr>
              <w:t>SUPERIOR TRIBUNAL DE JUSTIÇA</w:t>
            </w:r>
          </w:p>
        </w:tc>
      </w:tr>
    </w:tbl>
    <w:p>
      <w:pPr>
        <w:spacing w:line="276" w:lineRule="auto" w:before="80" w:after="40"/>
        <w:ind w:left="2268"/>
        <w:jc w:val="both"/>
      </w:pPr>
      <w:r>
        <w:rPr>
          <w:rFonts w:ascii="Arial Narrow" w:hAnsi="Arial Narrow"/>
          <w:b w:val="0"/>
          <w:i/>
          <w:sz w:val="20"/>
        </w:rPr>
        <w:t>Necessidade de fornecimento, pela instituição financeira, de informações claras ao consumidor acerca da periodicidade da capitalização dos juros adotada no contrato, e da taxa de juros correspondente a essa periodicidade, sendo insuficiente a informação apenas das taxas efetivas mensal e anual.</w:t>
      </w:r>
    </w:p>
    <w:p>
      <w:pPr>
        <w:spacing w:line="276" w:lineRule="auto" w:after="160"/>
        <w:jc w:val="center"/>
      </w:pPr>
      <w:r>
        <w:rPr>
          <w:rFonts w:ascii="Arial Narrow" w:hAnsi="Arial Narrow"/>
          <w:b/>
          <w:i/>
          <w:sz w:val="20"/>
        </w:rPr>
        <w:t>STJ, REsp 1.826.463/SC, Rel. Min. Paulo de Tarso Sanseverino, 2ª Seção, DJe 29/10/2020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A orientação é firme: REsp 1.568.290/RS (3ª Turma, DJe 02/02/2016), precedente inaugural da tese; AgInt no REsp 2.024.575/RS (3ª Turma, DJe 19/04/2023); REsp 2.254.100/RS (3ª Turma, DJEN 16/04/2026); e AgInt nos EDcl no REsp 2.230.328/SC (4ª Turma, DJEN 22/04/2026). A observância do limite anual pactuado não supre a ausência da taxa correspondente à periodicidade em que a capitalização se opera.</w:t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Substituir o parágrafo e o precedente acima pelo julgado do tribunal a que a peça se dirige, quando houver. Precedente do próprio tribunal de origem pesa mais do que acúmulo de julgados de outras cortes. Ver seção 16 da skill e o ACERVO.md.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c55a11"/>
          <w:left w:val="single" w:sz="4" w:color="c55a11"/>
          <w:bottom w:val="single" w:sz="4" w:color="c55a11"/>
          <w:right w:val="single" w:sz="4" w:color="c55a11"/>
          <w:insideH w:val="single" w:sz="4" w:color="c55a11"/>
          <w:insideV w:val="single" w:sz="4" w:color="c55a11"/>
        </w:tblBorders>
      </w:tblPr>
      <w:tblGrid>
        <w:gridCol w:w="9083"/>
      </w:tblGrid>
      <w:tr>
        <w:tc>
          <w:tcPr>
            <w:tcW w:type="dxa" w:w="9083"/>
            <w:shd w:val="clear" w:color="auto" w:fill="fce4d6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color w:val="C55A11"/>
                <w:sz w:val="18"/>
              </w:rPr>
              <w:t>TRIBUNAL DE ORIGEM</w:t>
            </w:r>
          </w:p>
        </w:tc>
      </w:tr>
    </w:tbl>
    <w:p>
      <w:pPr>
        <w:spacing w:line="276" w:lineRule="auto" w:before="80" w:after="40"/>
        <w:ind w:left="2268"/>
        <w:jc w:val="both"/>
      </w:pPr>
      <w:r>
        <w:rPr>
          <w:rFonts w:ascii="Arial Narrow" w:hAnsi="Arial Narrow"/>
          <w:b w:val="0"/>
          <w:i/>
          <w:sz w:val="20"/>
          <w:highlight w:val="yellow"/>
        </w:rPr>
        <w:t>[[TRANSCREVER A EMENTA DO TRIBUNAL DE ORIGEM]]</w:t>
      </w:r>
    </w:p>
    <w:p>
      <w:pPr>
        <w:spacing w:line="276" w:lineRule="auto" w:after="160"/>
        <w:jc w:val="center"/>
      </w:pPr>
      <w:r>
        <w:rPr>
          <w:rFonts w:ascii="Arial Narrow" w:hAnsi="Arial Narrow"/>
          <w:b/>
          <w:i/>
          <w:sz w:val="20"/>
          <w:highlight w:val="yellow"/>
        </w:rPr>
        <w:t>[[TRIBUNAL, classe e nº, Câmara, Rel. Des. (…), j. (…)]]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Em crédito rural a exigência é ainda mais estrita: o Superior Tribunal de Justiça já corrigiu, precisamente, o uso da Súmula 541, que afere o regime matemático dos juros, para suprir a ausência de cláusula expressa quanto à taxa da periodicidade adotada (REsp 2.214.495/MG, Rel. Min. Raul Araújo, DJEN 26/03/2026).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Por fim, e para que não reste dúvida quanto ao alcance do pedido, a incidência do encargo impugnado se deu no período de normalidade contratual, conforme a linha do tempo acima e a segregação que o próprio demonstrativo do réu apresenta entre a coluna do período de normalidade e a do período de inadimplemento.</w:t>
      </w:r>
    </w:p>
    <w:p>
      <w:pPr>
        <w:spacing w:line="276" w:lineRule="auto" w:before="120" w:after="40"/>
        <w:jc w:val="center"/>
      </w:pPr>
      <w:r>
        <w:rPr>
          <w:rFonts w:ascii="Arial Narrow" w:hAnsi="Arial Narrow"/>
          <w:b/>
          <w:sz w:val="20"/>
          <w:highlight w:val="yellow"/>
        </w:rPr>
        <w:t>[[INSERIR PRINT 02: recorte do demonstrativo de débito / ficha gráfica mostrando a segregação entre a coluna do período de normalidade e a do período de inadimplemento; o recorte TEM de mostrar a normalidade; recorte só da coluna de inadimplência contradiz o Elo 1]]</w:t>
      </w:r>
    </w:p>
    <w:p>
      <w:pPr>
        <w:spacing w:line="276" w:lineRule="auto" w:after="160"/>
        <w:jc w:val="both"/>
      </w:pPr>
      <w:r>
        <w:rPr>
          <w:rFonts w:ascii="Arial Narrow" w:hAnsi="Arial Narrow"/>
          <w:sz w:val="20"/>
          <w:highlight w:val="yellow"/>
        </w:rPr>
        <w:t>[[TEXTO DO PRINT 02: transcrever os lançamentos do período de normalidade que o recorte mostra: data, histórico e valor, linha a linha, sem calcular nada a partir deles (Restrição Absoluta nº 15)]]</w:t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Documento indispensável. Sem ele, não afirmar "conforme documento anexo". A pendência fica em amarelo na peça até o demonstrativo ser localizado na pasta do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083"/>
      </w:tblGrid>
      <w:tr>
        <w:tc>
          <w:tcPr>
            <w:tcW w:type="dxa" w:w="9083"/>
            <w:shd w:val="clear" w:color="auto" w:fill="e2efda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18"/>
              </w:rPr>
              <w:t>CONCLUSÃO DO TÓPICO</w:t>
            </w:r>
          </w:p>
        </w:tc>
      </w:tr>
      <w:tr>
        <w:tc>
          <w:tcPr>
            <w:tcW w:type="dxa" w:w="9083"/>
          </w:tcPr>
          <w:p>
            <w:pPr>
              <w:spacing w:before="40" w:after="40" w:line="276" w:lineRule="auto"/>
              <w:jc w:val="both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Está configurado o Elo 1 do Tema 28/STJ: encargo abusivo exigido no período de normalidade contratual, demonstrado pela simples leitura do título, sem necessidade de qualquer dilação probatória.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before="160" w:after="80"/>
        <w:jc w:val="left"/>
      </w:pPr>
      <w:r>
        <w:rPr>
          <w:rFonts w:ascii="Arial Narrow" w:hAnsi="Arial Narrow"/>
          <w:b/>
          <w:i w:val="0"/>
          <w:sz w:val="24"/>
        </w:rPr>
        <w:t>III.4. Dos juros remuneratórios: verificação e conclusão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O Tema 28/STJ admite dois fundamentos independentes para a abusividade dos encargos da normalidade: a capitalização e os juros remuneratórios. Por dever de precisão, e para que a delimitação da causa de pedir fique inequívoca, registra-se o resultado da verificação do segundo.</w:t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Escolher UMA das duas redações abaixo e apagar a outra. A verificação dos dois encargos é obrigatória mesmo quando um deles dá negativo (Restrição Absoluta nº 12); o que se escolhe é a redação, nunca deixar de verificar.</w:t>
        <w:br/>
        <w:t>(A) NÃO HÁ ABUSIVIDADE: "A cédula pactua juros à taxa efetiva de [[X]]% ao ano, percentual inferior ao teto de 12% ao ano que o Decreto 22.626/33 impõe às operações de crédito rural na ausência de fixação pelo Conselho Monetário Nacional quanto a recursos não controlados. Não há, portanto, abusividade dos juros remuneratórios nesta operação, e nada se pede a esse título. O Elo 1 do Tema 28/STJ apoia-se, nesta demanda, exclusivamente na capitalização."</w:t>
        <w:br/>
        <w:t>(B) HÁ ABUSIVIDADE: desenvolver como fundamento autônomo do Elo 1, pela via do teto legal do crédito rural (seção 9.1 da skill) ou, em contrato NÃO rural, pela superação de 1,5 vez a taxa média de mercado do BACEN (seção 3.4), registrando o número da série temporal e a data da extração.</w:t>
      </w:r>
    </w:p>
    <w:p>
      <w:pPr>
        <w:spacing w:line="360" w:lineRule="auto" w:before="160" w:after="80"/>
        <w:jc w:val="left"/>
      </w:pPr>
      <w:r>
        <w:rPr>
          <w:rFonts w:ascii="Arial Narrow" w:hAnsi="Arial Narrow"/>
          <w:b/>
          <w:i w:val="0"/>
          <w:sz w:val="24"/>
        </w:rPr>
        <w:t>III.5. Da inexigibilidade do título: Tema 28/STJ e nulidade da execução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A abusividade demonstrada no item III.3, exigida integralmente no período de normalidade contratual, atrai a tese vinculante fixada pelo Superior Tribunal de Justiça no julgamento do recurso representativo da controvérsia: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2e5d9c"/>
          <w:left w:val="single" w:sz="4" w:color="2e5d9c"/>
          <w:bottom w:val="single" w:sz="4" w:color="2e5d9c"/>
          <w:right w:val="single" w:sz="4" w:color="2e5d9c"/>
          <w:insideH w:val="single" w:sz="4" w:color="2e5d9c"/>
          <w:insideV w:val="single" w:sz="4" w:color="2e5d9c"/>
        </w:tblBorders>
      </w:tblPr>
      <w:tblGrid>
        <w:gridCol w:w="9083"/>
      </w:tblGrid>
      <w:tr>
        <w:tc>
          <w:tcPr>
            <w:tcW w:type="dxa" w:w="90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color w:val="2E5D9C"/>
                <w:sz w:val="18"/>
              </w:rPr>
              <w:t>PRECEDENTE VINCULANTE (art. 927, III, do CPC)</w:t>
            </w:r>
          </w:p>
        </w:tc>
      </w:tr>
    </w:tbl>
    <w:p>
      <w:pPr>
        <w:spacing w:line="276" w:lineRule="auto" w:before="80" w:after="40"/>
        <w:ind w:left="2268"/>
        <w:jc w:val="both"/>
      </w:pPr>
      <w:r>
        <w:rPr>
          <w:rFonts w:ascii="Arial Narrow" w:hAnsi="Arial Narrow"/>
          <w:b w:val="0"/>
          <w:i/>
          <w:sz w:val="20"/>
        </w:rPr>
        <w:t>O reconhecimento da abusividade nos encargos exigidos no período da normalidade contratual (juros remuneratórios e capitalização) descaracteriza a mora.</w:t>
      </w:r>
    </w:p>
    <w:p>
      <w:pPr>
        <w:spacing w:line="276" w:lineRule="auto" w:after="160"/>
        <w:jc w:val="center"/>
      </w:pPr>
      <w:r>
        <w:rPr>
          <w:rFonts w:ascii="Arial Narrow" w:hAnsi="Arial Narrow"/>
          <w:b/>
          <w:i/>
          <w:sz w:val="20"/>
        </w:rPr>
        <w:t>STJ, Tema 28, REsp 1.061.530/RS, Rel. Min. Nancy Andrighi, 2ª Seção, DJe 10/03/2009, Orientação 2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O verbo é indicativo, não permissivo: não se autoriza o julgador a descaracterizar a mora, determina-se que a abusividade a descaracteriza. Sem mora válida não há vencimento antecipado; sem vencimento antecipado, o título carece de exigibilidade (art. 783 do CPC) e a execução é nula (art. 803, I, do CPC). Tampouco cabe remeter a matéria à liquidação: a descaracterização é efeito jurídico substantivo sobre a exigibilidade, e não questão de cálculo (STJ, AREsp 3.030.541/MG, Rel. Min. Raul Araújo, DJEN 04/12/2025).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Há, ainda, uma consequência lógica que o réu não contorna. Foi ele quem, ao incorporar ao saldo encargo cuja taxa não pactuou expressamente, tornou impossível o cumprimento da obrigação nos termos ajustados. O inadimplemento que hoje invoca como causa da execução foi provocado por sua própria conduta no período de normalidade, e ninguém pode alegar em favor próprio a mora que criou.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Tampouco se sustenta a alegação de que a matéria ainda não estaria pacificada. O Superior Tribunal de Justiça indeferiu o Incidente de Assunção de Competência sobre o tema precisamente por já existir tese firmada em recurso repetitivo, faltando ao incidente o requisito da relevante questão de direito ainda não pacificada (art. 947 do CPC), conforme REsp 2.214.495/MG, Rel. Min. Raul Araújo, DJEN 26/03/2026.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083"/>
      </w:tblGrid>
      <w:tr>
        <w:tc>
          <w:tcPr>
            <w:tcW w:type="dxa" w:w="9083"/>
            <w:shd w:val="clear" w:color="auto" w:fill="f6b26b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0"/>
              </w:rPr>
              <w:t>ÔNUS ARGUMENTATIVO PARA AFASTAR O PRECEDENTE</w:t>
            </w:r>
          </w:p>
        </w:tc>
      </w:tr>
      <w:tr>
        <w:tc>
          <w:tcPr>
            <w:tcW w:type="dxa" w:w="9083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•  Identificar, no caso concreto, elemento fático que o distinga do REsp 1.061.530/RS, não bastando afirmação genérica de que o contrato foi livremente pactuado.</w:t>
            </w:r>
          </w:p>
        </w:tc>
      </w:tr>
      <w:tr>
        <w:tc>
          <w:tcPr>
            <w:tcW w:type="dxa" w:w="9083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•  Enfrentar especificamente por que a capitalização exigida sem indicação da taxa da periodicidade não configuraria abusividade em encargo da normalidade.</w:t>
            </w:r>
          </w:p>
        </w:tc>
      </w:tr>
      <w:tr>
        <w:tc>
          <w:tcPr>
            <w:tcW w:type="dxa" w:w="9083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 w:val="0"/>
                <w:i w:val="0"/>
                <w:sz w:val="20"/>
              </w:rPr>
              <w:t>•  Decisão que rejeite precedente de observância obrigatória sem esse enfrentamento é decisão não fundamentada (art. 489, § 1º, VI, do CPC) e desafia, além do recurso cabível, a reclamação prevista no art. 988, IV, do CPC.</w:t>
            </w:r>
          </w:p>
        </w:tc>
      </w:tr>
    </w:tbl>
    <w:p>
      <w:pPr>
        <w:spacing w:after="120" w:before="0" w:line="240" w:lineRule="auto"/>
      </w:pPr>
      <w:r>
        <w:rPr>
          <w:rFonts w:ascii="Arial Narrow" w:hAnsi="Arial Narrow"/>
          <w:sz w:val="2"/>
        </w:rPr>
      </w:r>
    </w:p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c55a11"/>
          <w:left w:val="single" w:sz="4" w:color="c55a11"/>
          <w:bottom w:val="single" w:sz="4" w:color="c55a11"/>
          <w:right w:val="single" w:sz="4" w:color="c55a11"/>
          <w:insideH w:val="single" w:sz="4" w:color="c55a11"/>
          <w:insideV w:val="single" w:sz="4" w:color="c55a11"/>
        </w:tblBorders>
      </w:tblPr>
      <w:tblGrid>
        <w:gridCol w:w="9083"/>
      </w:tblGrid>
      <w:tr>
        <w:tc>
          <w:tcPr>
            <w:tcW w:type="dxa" w:w="9083"/>
            <w:shd w:val="clear" w:color="auto" w:fill="f6b26b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4"/>
              </w:rPr>
              <w:t>IV. DA TUTELA DA EVIDÊNCIA (ART. 311, II, DO CPC)</w:t>
            </w:r>
          </w:p>
        </w:tc>
      </w:tr>
    </w:tbl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O pedido liminar deve ser apreciado como tutela da evidência, que dispensa a demonstração de perigo de dano ou de risco ao resultado útil do processo. Os dois requisitos do art. 311, II, do CPC estão integralmente preenchidos: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Prova documental das alegações de fato: é o próprio título juntado com a inicial, pois a abusividade se afere pela leitura da cláusula, sem dilação probatória e sem perícia. Tese firmada em julgamento de casos repetitivos: Tema 28/STJ, REsp 1.061.530/RS, Orientação 2, de observância obrigatória (art. 927, III, do CPC).</w:t>
      </w:r>
    </w:p>
    <w:p>
      <w:pPr>
        <w:spacing w:line="360" w:lineRule="auto" w:before="160" w:after="80"/>
        <w:jc w:val="left"/>
      </w:pPr>
      <w:r>
        <w:rPr>
          <w:rFonts w:ascii="Arial Narrow" w:hAnsi="Arial Narrow"/>
          <w:b/>
          <w:i w:val="0"/>
          <w:sz w:val="24"/>
        </w:rPr>
        <w:t>IV.1. Subsidiariamente, da tutela de urgência (art. 300 do CPC)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Caso não se reconheçam preenchidos os requisitos da tutela da evidência, o que se admite apenas por argumentação, requer-se a tutela de urgência do art. 300 do CPC, cujos dois requisitos se verificam concretamente nestes autos.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Da probabilidade do direito. Ela não decorre de alegação, mas de dois documentos e de um precedente: a cláusula </w:t>
      </w:r>
      <w:r>
        <w:rPr>
          <w:rFonts w:ascii="Arial Narrow" w:hAnsi="Arial Narrow"/>
          <w:b w:val="0"/>
          <w:i w:val="0"/>
          <w:sz w:val="24"/>
          <w:highlight w:val="yellow"/>
        </w:rPr>
        <w:t>[[NOME DA CLÁUSULA]]</w:t>
      </w:r>
      <w:r>
        <w:rPr>
          <w:rFonts w:ascii="Arial Narrow" w:hAnsi="Arial Narrow"/>
          <w:b w:val="0"/>
          <w:i w:val="0"/>
          <w:sz w:val="24"/>
        </w:rPr>
        <w:t xml:space="preserve"> do título, que declara a capitalização e omite a taxa da periodicidade em que ela se opera; o demonstrativo elaborado pelo próprio réu, que lança esse encargo dentro do período de normalidade; e a Orientação 2 do Tema 28/STJ, de observância obrigatória. Não há fato controvertido a instruir, e sim subsunção de fato documentado a tese vinculante.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Do perigo de dano. Ele não é, aqui, a perda patrimonial considerada em abstrato: é a interrupção do ciclo produtivo de que o autor vive. O autor explora </w:t>
      </w:r>
      <w:r>
        <w:rPr>
          <w:rFonts w:ascii="Arial Narrow" w:hAnsi="Arial Narrow"/>
          <w:b w:val="0"/>
          <w:i w:val="0"/>
          <w:sz w:val="24"/>
          <w:highlight w:val="yellow"/>
        </w:rPr>
        <w:t>[[ATIVIDADE: pecuária de corte / pecuária leiteira / lavoura de (…)]]</w:t>
      </w:r>
      <w:r>
        <w:rPr>
          <w:rFonts w:ascii="Arial Narrow" w:hAnsi="Arial Narrow"/>
          <w:b w:val="0"/>
          <w:i w:val="0"/>
          <w:sz w:val="24"/>
        </w:rPr>
        <w:t xml:space="preserve"> em </w:t>
      </w:r>
      <w:r>
        <w:rPr>
          <w:rFonts w:ascii="Arial Narrow" w:hAnsi="Arial Narrow"/>
          <w:b w:val="0"/>
          <w:i w:val="0"/>
          <w:sz w:val="24"/>
          <w:highlight w:val="yellow"/>
        </w:rPr>
        <w:t>[[ÁREA E LOCALIZAÇÃO DO IMÓVEL]]</w:t>
      </w:r>
      <w:r>
        <w:rPr>
          <w:rFonts w:ascii="Arial Narrow" w:hAnsi="Arial Narrow"/>
          <w:b w:val="0"/>
          <w:i w:val="0"/>
          <w:sz w:val="24"/>
        </w:rPr>
        <w:t xml:space="preserve">, atividade que depende de crédito renovado a cada ciclo para custear </w:t>
      </w:r>
      <w:r>
        <w:rPr>
          <w:rFonts w:ascii="Arial Narrow" w:hAnsi="Arial Narrow"/>
          <w:b w:val="0"/>
          <w:i w:val="0"/>
          <w:sz w:val="24"/>
          <w:highlight w:val="yellow"/>
        </w:rPr>
        <w:t>[[INSUMOS DO CICLO: sal mineral, silagem, ração, vacinas, sêmen / sementes, fertilizantes, defensivos]]</w:t>
      </w:r>
      <w:r>
        <w:rPr>
          <w:rFonts w:ascii="Arial Narrow" w:hAnsi="Arial Narrow"/>
          <w:b w:val="0"/>
          <w:i w:val="0"/>
          <w:sz w:val="24"/>
        </w:rPr>
        <w:t xml:space="preserve">. A mora indevidamente caracterizada produz, em cadeia: (i) restrição cadastral, que fecha o acesso ao crédito de custeio, inclusive às linhas oficiais de crédito rural, cuja concessão exige regularidade do tomador; (ii) sem custeio, o autor deixa de adquirir </w:t>
      </w:r>
      <w:r>
        <w:rPr>
          <w:rFonts w:ascii="Arial Narrow" w:hAnsi="Arial Narrow"/>
          <w:b w:val="0"/>
          <w:i w:val="0"/>
          <w:sz w:val="24"/>
          <w:highlight w:val="yellow"/>
        </w:rPr>
        <w:t>[[INSUMO CRÍTICO]]</w:t>
      </w:r>
      <w:r>
        <w:rPr>
          <w:rFonts w:ascii="Arial Narrow" w:hAnsi="Arial Narrow"/>
          <w:b w:val="0"/>
          <w:i w:val="0"/>
          <w:sz w:val="24"/>
        </w:rPr>
        <w:t xml:space="preserve"> na janela de </w:t>
      </w:r>
      <w:r>
        <w:rPr>
          <w:rFonts w:ascii="Arial Narrow" w:hAnsi="Arial Narrow"/>
          <w:b w:val="0"/>
          <w:i w:val="0"/>
          <w:sz w:val="24"/>
          <w:highlight w:val="yellow"/>
        </w:rPr>
        <w:t>[[PERÍODO, SAFRA OU ESTAÇÃO]]</w:t>
      </w:r>
      <w:r>
        <w:rPr>
          <w:rFonts w:ascii="Arial Narrow" w:hAnsi="Arial Narrow"/>
          <w:b w:val="0"/>
          <w:i w:val="0"/>
          <w:sz w:val="24"/>
        </w:rPr>
        <w:t xml:space="preserve">, que não se repete dentro do mesmo ciclo; (iii) sem esse insumo na janela própria, sobrevém </w:t>
      </w:r>
      <w:r>
        <w:rPr>
          <w:rFonts w:ascii="Arial Narrow" w:hAnsi="Arial Narrow"/>
          <w:b w:val="0"/>
          <w:i w:val="0"/>
          <w:sz w:val="24"/>
          <w:highlight w:val="yellow"/>
        </w:rPr>
        <w:t>[[CONSEQUÊNCIA FÍSICA: perda de peso e de escore do rebanho, queda de produtividade, descarte de matrizes, perda da safra]]</w:t>
      </w:r>
      <w:r>
        <w:rPr>
          <w:rFonts w:ascii="Arial Narrow" w:hAnsi="Arial Narrow"/>
          <w:b w:val="0"/>
          <w:i w:val="0"/>
          <w:sz w:val="24"/>
        </w:rPr>
        <w:t>, com redução da receita exatamente no período em que ela seria necessária para pagar. O dano se realimenta: a mora indevida gera a incapacidade de pagamento que o réu depois invoca como prova da própria mora.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Acrescente-se que a constrição recai sobre </w:t>
      </w:r>
      <w:r>
        <w:rPr>
          <w:rFonts w:ascii="Arial Narrow" w:hAnsi="Arial Narrow"/>
          <w:b w:val="0"/>
          <w:i w:val="0"/>
          <w:sz w:val="24"/>
          <w:highlight w:val="yellow"/>
        </w:rPr>
        <w:t>[[BENS CONSTRITOS OU AMEAÇADOS: os semoventes dados em penhor cedular / o maquinário / a área de produção]]</w:t>
      </w:r>
      <w:r>
        <w:rPr>
          <w:rFonts w:ascii="Arial Narrow" w:hAnsi="Arial Narrow"/>
          <w:b w:val="0"/>
          <w:i w:val="0"/>
          <w:sz w:val="24"/>
        </w:rPr>
        <w:t>, que não constituem patrimônio de reserva, e sim o próprio instrumento da produção. Apreendê-los não antecipa a satisfação do crédito: suprime a fonte de onde ele poderia sair, com afronta ao princípio da menor onerosidade (art. 805 do CPC) e à função social da propriedade rural (art. 186, II e III, da Constituição).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A medida requerida é integralmente reversível (art. 300, § 3º, do CPC): ela suspende os efeitos de uma mora cuja própria validade é o objeto desta ação e, julgada improcedente a demanda, o réu retoma a cobrança sem prejuízo algum. A irreversibilidade está do outro lado: </w:t>
      </w:r>
      <w:r>
        <w:rPr>
          <w:rFonts w:ascii="Arial Narrow" w:hAnsi="Arial Narrow"/>
          <w:b w:val="0"/>
          <w:i w:val="0"/>
          <w:sz w:val="24"/>
          <w:highlight w:val="yellow"/>
        </w:rPr>
        <w:t>[[O QUE NÃO SE RECOMPÕE: rebanho vendido em leilão, safra perdida, matrizes descartadas]]</w:t>
      </w:r>
      <w:r>
        <w:rPr>
          <w:rFonts w:ascii="Arial Narrow" w:hAnsi="Arial Narrow"/>
          <w:b w:val="0"/>
          <w:i w:val="0"/>
          <w:sz w:val="24"/>
        </w:rPr>
        <w:t xml:space="preserve"> não se restitui por sentença.</w:t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Este é o tópico que a Gerência Jurídica mais devolve: "a tutela de urgência está genérica, individualizar o perigo de dano e a probabilidade do direito ao caso concreto" (5º apontamento mais frequente, jun-ago/2026). Substituir TODOS os campos acima por fatos do cliente: qual atividade, qual insumo, qual janela do ciclo, qual consequência física, quais bens. Tutela genérica é indeferida.</w:t>
      </w:r>
    </w:p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c55a11"/>
          <w:left w:val="single" w:sz="4" w:color="c55a11"/>
          <w:bottom w:val="single" w:sz="4" w:color="c55a11"/>
          <w:right w:val="single" w:sz="4" w:color="c55a11"/>
          <w:insideH w:val="single" w:sz="4" w:color="c55a11"/>
          <w:insideV w:val="single" w:sz="4" w:color="c55a11"/>
        </w:tblBorders>
      </w:tblPr>
      <w:tblGrid>
        <w:gridCol w:w="9083"/>
      </w:tblGrid>
      <w:tr>
        <w:tc>
          <w:tcPr>
            <w:tcW w:type="dxa" w:w="9083"/>
            <w:shd w:val="clear" w:color="auto" w:fill="f6b26b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4"/>
              </w:rPr>
              <w:t>V. DA GRATUIDADE DE JUSTIÇA</w:t>
            </w:r>
          </w:p>
        </w:tc>
      </w:tr>
    </w:tbl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 xml:space="preserve">O autor é </w:t>
      </w:r>
      <w:r>
        <w:rPr>
          <w:rFonts w:ascii="Arial Narrow" w:hAnsi="Arial Narrow"/>
          <w:b w:val="0"/>
          <w:i w:val="0"/>
          <w:sz w:val="24"/>
          <w:highlight w:val="yellow"/>
        </w:rPr>
        <w:t>[[produtor rural / pessoa natural]]</w:t>
      </w:r>
      <w:r>
        <w:rPr>
          <w:rFonts w:ascii="Arial Narrow" w:hAnsi="Arial Narrow"/>
          <w:b w:val="0"/>
          <w:i w:val="0"/>
          <w:sz w:val="24"/>
        </w:rPr>
        <w:t xml:space="preserve"> e não possui condições de arcar com as custas processuais e com os honorários sem prejuízo do próprio sustento e do de sua família, razão por que requer os benefícios da gratuidade de justiça (art. 98 do CPC), cuja declaração goza de presunção de veracidade (art. 99, § 3º, do CPC).</w:t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Declaração de hipossuficiência assinada, documento indispensável ao pedido. Conferir também se há registro de gratuidade indeferida em processo conexo e, havendo, enfrentar o ponto em vez de repetir o pedido. Para pessoa jurídica, o pedido exige prova da impossibilidade (Súmula 481/STJ), e a via usual é o diferimento.</w:t>
      </w:r>
    </w:p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Borders>
          <w:top w:val="single" w:sz="4" w:color="c55a11"/>
          <w:left w:val="single" w:sz="4" w:color="c55a11"/>
          <w:bottom w:val="single" w:sz="4" w:color="c55a11"/>
          <w:right w:val="single" w:sz="4" w:color="c55a11"/>
          <w:insideH w:val="single" w:sz="4" w:color="c55a11"/>
          <w:insideV w:val="single" w:sz="4" w:color="c55a11"/>
        </w:tblBorders>
      </w:tblPr>
      <w:tblGrid>
        <w:gridCol w:w="9083"/>
      </w:tblGrid>
      <w:tr>
        <w:tc>
          <w:tcPr>
            <w:tcW w:type="dxa" w:w="9083"/>
            <w:shd w:val="clear" w:color="auto" w:fill="f6b26b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 Narrow" w:hAnsi="Arial Narrow"/>
                <w:b/>
                <w:i w:val="0"/>
                <w:sz w:val="24"/>
              </w:rPr>
              <w:t>VI. DOS PEDIDOS</w:t>
            </w:r>
          </w:p>
        </w:tc>
      </w:tr>
    </w:tbl>
    <w:p>
      <w:pPr>
        <w:spacing w:after="8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Diante do exposto, requer-se: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a) </w:t>
      </w:r>
      <w:r>
        <w:rPr>
          <w:rFonts w:ascii="Arial Narrow" w:hAnsi="Arial Narrow"/>
          <w:b w:val="0"/>
          <w:i w:val="0"/>
          <w:sz w:val="24"/>
        </w:rPr>
        <w:t>a concessão dos benefícios da gratuidade de justiça;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b) </w:t>
      </w:r>
      <w:r>
        <w:rPr>
          <w:rFonts w:ascii="Arial Narrow" w:hAnsi="Arial Narrow"/>
          <w:b w:val="0"/>
          <w:i w:val="0"/>
          <w:sz w:val="24"/>
        </w:rPr>
        <w:t xml:space="preserve">a concessão liminar da tutela da evidência (art. 311, II, do CPC), independentemente de demonstração de urgência, para afastar desde já todos os efeitos jurídicos da mora quanto à </w:t>
      </w:r>
      <w:r>
        <w:rPr>
          <w:rFonts w:ascii="Arial Narrow" w:hAnsi="Arial Narrow"/>
          <w:b w:val="0"/>
          <w:i w:val="0"/>
          <w:sz w:val="24"/>
          <w:highlight w:val="yellow"/>
        </w:rPr>
        <w:t>[[ESPÉCIE E Nº DO TÍTULO]]</w:t>
      </w:r>
      <w:r>
        <w:rPr>
          <w:rFonts w:ascii="Arial Narrow" w:hAnsi="Arial Narrow"/>
          <w:b w:val="0"/>
          <w:i w:val="0"/>
          <w:sz w:val="24"/>
        </w:rPr>
        <w:t xml:space="preserve">, </w:t>
      </w:r>
      <w:r>
        <w:rPr>
          <w:rFonts w:ascii="Arial Narrow" w:hAnsi="Arial Narrow"/>
          <w:b w:val="0"/>
          <w:i w:val="0"/>
          <w:sz w:val="24"/>
          <w:highlight w:val="yellow"/>
        </w:rPr>
        <w:t>[[determinando-se a suspensão dos atos de constrição / abstenção de inscrição em cadastro restritivo / abstenção de apreensão do bem]]</w:t>
      </w:r>
      <w:r>
        <w:rPr>
          <w:rFonts w:ascii="Arial Narrow" w:hAnsi="Arial Narrow"/>
          <w:b w:val="0"/>
          <w:i w:val="0"/>
          <w:sz w:val="24"/>
        </w:rPr>
        <w:t>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c) </w:t>
      </w:r>
      <w:r>
        <w:rPr>
          <w:rFonts w:ascii="Arial Narrow" w:hAnsi="Arial Narrow"/>
          <w:b w:val="0"/>
          <w:i w:val="0"/>
          <w:sz w:val="24"/>
        </w:rPr>
        <w:t>subsidiariamente, a concessão de tutela de urgência (art. 300 do CPC) para os mesmos fins;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d) </w:t>
      </w:r>
      <w:r>
        <w:rPr>
          <w:rFonts w:ascii="Arial Narrow" w:hAnsi="Arial Narrow"/>
          <w:b w:val="0"/>
          <w:i w:val="0"/>
          <w:sz w:val="24"/>
        </w:rPr>
        <w:t>a citação do réu para, querendo, contestar a presente ação no prazo legal, sob pena de revelia;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e) </w:t>
      </w:r>
      <w:r>
        <w:rPr>
          <w:rFonts w:ascii="Arial Narrow" w:hAnsi="Arial Narrow"/>
          <w:b w:val="0"/>
          <w:i w:val="0"/>
          <w:sz w:val="24"/>
        </w:rPr>
        <w:t>no mérito, o reconhecimento da abusividade da capitalização de juros exigida no período de normalidade contratual, por ausência de indicação, no título, da taxa correspondente à periodicidade em que se opera;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f) </w:t>
      </w:r>
      <w:r>
        <w:rPr>
          <w:rFonts w:ascii="Arial Narrow" w:hAnsi="Arial Narrow"/>
          <w:b w:val="0"/>
          <w:i w:val="0"/>
          <w:sz w:val="24"/>
        </w:rPr>
        <w:t xml:space="preserve">a consequente declaração de descaracterização da mora do autor em relação à </w:t>
      </w:r>
      <w:r>
        <w:rPr>
          <w:rFonts w:ascii="Arial Narrow" w:hAnsi="Arial Narrow"/>
          <w:b w:val="0"/>
          <w:i w:val="0"/>
          <w:sz w:val="24"/>
          <w:highlight w:val="yellow"/>
        </w:rPr>
        <w:t>[[ESPÉCIE E Nº DO TÍTULO]]</w:t>
      </w:r>
      <w:r>
        <w:rPr>
          <w:rFonts w:ascii="Arial Narrow" w:hAnsi="Arial Narrow"/>
          <w:b w:val="0"/>
          <w:i w:val="0"/>
          <w:sz w:val="24"/>
        </w:rPr>
        <w:t>, nos termos do Tema 28/STJ (Orientação 2, REsp 1.061.530/RS), com eficácia de coisa julgada material;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g) </w:t>
      </w:r>
      <w:r>
        <w:rPr>
          <w:rFonts w:ascii="Arial Narrow" w:hAnsi="Arial Narrow"/>
          <w:b w:val="0"/>
          <w:i w:val="0"/>
          <w:sz w:val="24"/>
        </w:rPr>
        <w:t xml:space="preserve">a declaração de inexigibilidade do título executivo </w:t>
      </w:r>
      <w:r>
        <w:rPr>
          <w:rFonts w:ascii="Arial Narrow" w:hAnsi="Arial Narrow"/>
          <w:b w:val="0"/>
          <w:i w:val="0"/>
          <w:sz w:val="24"/>
          <w:highlight w:val="yellow"/>
        </w:rPr>
        <w:t>[[e a extinção da Execução nº (…), nos termos do art. 803, I, do CPC. Manter apenas se houver execução em curso]]</w:t>
      </w:r>
      <w:r>
        <w:rPr>
          <w:rFonts w:ascii="Arial Narrow" w:hAnsi="Arial Narrow"/>
          <w:b w:val="0"/>
          <w:i w:val="0"/>
          <w:sz w:val="24"/>
        </w:rPr>
        <w:t>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h) </w:t>
      </w:r>
      <w:r>
        <w:rPr>
          <w:rFonts w:ascii="Arial Narrow" w:hAnsi="Arial Narrow"/>
          <w:b w:val="0"/>
          <w:i w:val="0"/>
          <w:sz w:val="24"/>
        </w:rPr>
        <w:t>o julgamento antecipado do mérito (art. 355, I, do CPC), por ser a questão exclusivamente de direito e estar a matéria de fato integralmente comprovada pelos documentos que instruem esta inicial;</w:t>
      </w:r>
    </w:p>
    <w:p>
      <w:pPr>
        <w:spacing w:line="360" w:lineRule="auto" w:after="120"/>
        <w:ind w:left="567"/>
        <w:jc w:val="both"/>
      </w:pPr>
      <w:r>
        <w:rPr>
          <w:rFonts w:ascii="Arial Narrow" w:hAnsi="Arial Narrow"/>
          <w:b/>
          <w:sz w:val="24"/>
        </w:rPr>
        <w:t xml:space="preserve">i) </w:t>
      </w:r>
      <w:r>
        <w:rPr>
          <w:rFonts w:ascii="Arial Narrow" w:hAnsi="Arial Narrow"/>
          <w:b w:val="0"/>
          <w:i w:val="0"/>
          <w:sz w:val="24"/>
        </w:rPr>
        <w:t>a condenação do réu ao pagamento das custas processuais e dos honorários advocatícios sucumbenciais, fixados nos termos do art. 85, § 2º, do CPC.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Protesta provar o alegado pela prova documental já acostada.</w:t>
      </w:r>
    </w:p>
    <w:p>
      <w:pPr>
        <w:spacing w:line="276" w:lineRule="auto" w:after="120"/>
        <w:jc w:val="both"/>
      </w:pPr>
      <w:r>
        <w:rPr>
          <w:rFonts w:ascii="Arial Narrow" w:hAnsi="Arial Narrow"/>
          <w:sz w:val="20"/>
          <w:highlight w:val="yellow"/>
        </w:rPr>
        <w:t>[PENDENTE] Não incluir, aqui nem em qualquer outro ponto da peça, requerimento de prova pericial contábil, nem mesmo em caráter subsidiário. Restrição Absoluta nº 18: pedido subsidiário de perícia foi o fundamento textualmente citado para indeferir a tutela de evidência nos autos 0000050-81.2026.8.22.0016.</w:t>
      </w:r>
    </w:p>
    <w:p>
      <w:pPr>
        <w:spacing w:line="360" w:lineRule="auto" w:after="120"/>
        <w:jc w:val="both"/>
      </w:pPr>
      <w:r>
        <w:rPr>
          <w:rFonts w:ascii="Arial Narrow" w:hAnsi="Arial Narrow"/>
          <w:b w:val="0"/>
          <w:i w:val="0"/>
          <w:sz w:val="24"/>
        </w:rPr>
        <w:t>Dá-se à causa o valor de R$ 1.000,00 (mil reais).</w:t>
      </w:r>
    </w:p>
    <w:p>
      <w:pPr>
        <w:spacing w:after="240" w:before="0" w:line="240" w:lineRule="auto"/>
      </w:pPr>
      <w:r>
        <w:rPr>
          <w:rFonts w:ascii="Arial Narrow" w:hAnsi="Arial Narrow"/>
          <w:sz w:val="2"/>
        </w:rPr>
      </w:r>
    </w:p>
    <w:p>
      <w:pPr>
        <w:spacing w:line="360" w:lineRule="auto" w:after="0"/>
        <w:jc w:val="center"/>
      </w:pPr>
      <w:r>
        <w:rPr>
          <w:rFonts w:ascii="Arial Narrow" w:hAnsi="Arial Narrow"/>
          <w:b w:val="0"/>
          <w:i w:val="0"/>
          <w:sz w:val="24"/>
        </w:rPr>
        <w:t>Nestes termos,</w:t>
      </w:r>
    </w:p>
    <w:p>
      <w:pPr>
        <w:spacing w:line="360" w:lineRule="auto" w:after="200"/>
        <w:jc w:val="center"/>
      </w:pPr>
      <w:r>
        <w:rPr>
          <w:rFonts w:ascii="Arial Narrow" w:hAnsi="Arial Narrow"/>
          <w:b w:val="0"/>
          <w:i w:val="0"/>
          <w:sz w:val="24"/>
        </w:rPr>
        <w:t>Pede deferimento.</w:t>
      </w:r>
    </w:p>
    <w:p>
      <w:pPr>
        <w:spacing w:line="360" w:lineRule="auto" w:after="480"/>
        <w:jc w:val="center"/>
      </w:pPr>
      <w:r>
        <w:rPr>
          <w:rFonts w:ascii="Arial Narrow" w:hAnsi="Arial Narrow"/>
          <w:b w:val="0"/>
          <w:i w:val="0"/>
          <w:sz w:val="24"/>
          <w:highlight w:val="yellow"/>
        </w:rPr>
        <w:t>[[CIDADE]]</w:t>
      </w:r>
      <w:r>
        <w:rPr>
          <w:rFonts w:ascii="Arial Narrow" w:hAnsi="Arial Narrow"/>
          <w:b w:val="0"/>
          <w:i w:val="0"/>
          <w:sz w:val="24"/>
        </w:rPr>
        <w:t>/</w:t>
      </w:r>
      <w:r>
        <w:rPr>
          <w:rFonts w:ascii="Arial Narrow" w:hAnsi="Arial Narrow"/>
          <w:b w:val="0"/>
          <w:i w:val="0"/>
          <w:sz w:val="24"/>
          <w:highlight w:val="yellow"/>
        </w:rPr>
        <w:t>[[UF]]</w:t>
      </w:r>
      <w:r>
        <w:rPr>
          <w:rFonts w:ascii="Arial Narrow" w:hAnsi="Arial Narrow"/>
          <w:b w:val="0"/>
          <w:i w:val="0"/>
          <w:sz w:val="24"/>
        </w:rPr>
        <w:t xml:space="preserve">, </w:t>
      </w:r>
      <w:r>
        <w:rPr>
          <w:rFonts w:ascii="Arial Narrow" w:hAnsi="Arial Narrow"/>
          <w:b w:val="0"/>
          <w:i w:val="0"/>
          <w:sz w:val="24"/>
          <w:highlight w:val="yellow"/>
        </w:rPr>
        <w:t>[[DATA]]</w:t>
      </w:r>
      <w:r>
        <w:rPr>
          <w:rFonts w:ascii="Arial Narrow" w:hAnsi="Arial Narrow"/>
          <w:b w:val="0"/>
          <w:i w:val="0"/>
          <w:sz w:val="24"/>
        </w:rPr>
        <w:t>.</w:t>
      </w:r>
    </w:p>
    <w:p>
      <w:pPr>
        <w:spacing w:line="360" w:lineRule="auto" w:after="0"/>
        <w:jc w:val="center"/>
      </w:pPr>
      <w:r>
        <w:rPr>
          <w:rFonts w:ascii="Arial Narrow" w:hAnsi="Arial Narrow"/>
          <w:b/>
          <w:i w:val="0"/>
          <w:sz w:val="24"/>
        </w:rPr>
        <w:t>RENAN GOMES MALDONADO DE JESUS</w:t>
      </w:r>
    </w:p>
    <w:p>
      <w:pPr>
        <w:spacing w:line="360" w:lineRule="auto" w:after="360"/>
        <w:jc w:val="center"/>
      </w:pPr>
      <w:r>
        <w:rPr>
          <w:rFonts w:ascii="Arial Narrow" w:hAnsi="Arial Narrow"/>
          <w:b w:val="0"/>
          <w:i w:val="0"/>
          <w:sz w:val="24"/>
        </w:rPr>
        <w:t>OAB/RO 5769</w:t>
      </w:r>
    </w:p>
    <w:p>
      <w:pPr>
        <w:spacing w:line="360" w:lineRule="auto" w:after="0"/>
        <w:jc w:val="center"/>
      </w:pPr>
      <w:r>
        <w:rPr>
          <w:rFonts w:ascii="Arial Narrow" w:hAnsi="Arial Narrow"/>
          <w:b/>
          <w:i w:val="0"/>
          <w:sz w:val="24"/>
          <w:highlight w:val="yellow"/>
        </w:rPr>
        <w:t>[[NOME DO SEGUNDO SUBSCRITOR]]</w:t>
      </w:r>
    </w:p>
    <w:p>
      <w:pPr>
        <w:spacing w:line="360" w:lineRule="auto" w:after="0"/>
        <w:jc w:val="center"/>
      </w:pPr>
      <w:r>
        <w:rPr>
          <w:rFonts w:ascii="Arial Narrow" w:hAnsi="Arial Narrow"/>
          <w:b w:val="0"/>
          <w:i w:val="0"/>
          <w:sz w:val="24"/>
          <w:highlight w:val="yellow"/>
        </w:rPr>
        <w:t>[[OAB/UF Nº]]</w:t>
      </w:r>
    </w:p>
    <w:sectPr w:rsidR="00FC693F" w:rsidRPr="0006063C" w:rsidSect="00034616">
      <w:headerReference w:type="default" r:id="rId9"/>
      <w:pgSz w:w="11906" w:h="16838"/>
      <w:pgMar w:top="4178" w:right="1383" w:bottom="1417" w:left="1440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-1440" w:right="-1383"/>
      <w:jc w:val="left"/>
    </w:pPr>
    <w:r>
      <w:drawing>
        <wp:inline xmlns:a="http://schemas.openxmlformats.org/drawingml/2006/main" xmlns:pic="http://schemas.openxmlformats.org/drawingml/2006/picture">
          <wp:extent cx="7498799" cy="33882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imbrado-2026-fris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98799" cy="338828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  <w:tblCellMar>
        <w:top w:w="0" w:type="dxa"/>
        <w:left w:w="0" w:type="dxa"/>
        <w:bottom w:w="0" w:type="dxa"/>
        <w:right w:w="0" w:type="dxa"/>
      </w:tblCellMar>
      <w:tblInd w:w="-1440" w:type="dxa"/>
      <w:tblLayout w:type="fixed"/>
    </w:tblPr>
    <w:tblGrid>
      <w:gridCol w:w="5051"/>
      <w:gridCol w:w="6758"/>
    </w:tblGrid>
    <w:tr>
      <w:tc>
        <w:tcPr>
          <w:tcW w:type="dxa" w:w="5051"/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207600" cy="123849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imbrado-2026-logo-recortad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7600" cy="12384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58"/>
        </w:tcPr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Renan Maldonado - OAB/RO 5.769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Agenor Rufino - OAB/PE 62.751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Ana Sheila Garcez - OAB/RO 16.126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Arilson Cruz Lopes - OAB/RO 9.982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Bruno Vinícius - OAB/RO 13.021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Eliane Miranda - OAB/RO 7.904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Felipe Souza - OAB/RJ 244.309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Heloisa Antunes - OAB/DF 76.621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Mailson Monteiro - OAB/RO 14.501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Matheus Ramos - OAB/RJ 262.255</w:t>
          </w:r>
        </w:p>
        <w:p>
          <w:pPr>
            <w:spacing w:before="0" w:after="0" w:line="220" w:lineRule="exact"/>
            <w:ind w:right="170"/>
            <w:jc w:val="right"/>
          </w:pPr>
          <w:r>
            <w:rPr>
              <w:rFonts w:ascii="Arial" w:hAnsi="Arial" w:cs="Arial"/>
              <w:b/>
              <w:color w:val="000000"/>
              <w:sz w:val="18"/>
            </w:rPr>
            <w:t>Taynara Scatolin - OAB/MT 30.109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