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083"/>
      </w:tblGrid>
      <w:tr>
        <w:tc>
          <w:tcPr>
            <w:tcW w:type="dxa" w:w="9083"/>
            <w:shd w:val="clear" w:color="auto" w:fill="ffe6e6"/>
          </w:tcPr>
          <w:p>
            <w:pPr>
              <w:spacing w:before="40" w:after="40" w:line="276" w:lineRule="auto"/>
              <w:jc w:val="center"/>
            </w:pPr>
            <w:r>
              <w:rPr>
                <w:rFonts w:ascii="Arial Narrow" w:hAnsi="Arial Narrow"/>
                <w:b/>
                <w:i w:val="0"/>
                <w:sz w:val="18"/>
              </w:rPr>
              <w:t>MODELO — APAGUE ESTE QUADRO ANTES DE ENTREGAR A PEÇA PARA REVISÃO</w:t>
            </w:r>
          </w:p>
        </w:tc>
      </w:tr>
      <w:tr>
        <w:tc>
          <w:tcPr>
            <w:tcW w:type="dxa" w:w="9083"/>
          </w:tcPr>
          <w:p>
            <w:pPr>
              <w:spacing w:before="40" w:after="40" w:line="276" w:lineRule="auto"/>
              <w:jc w:val="both"/>
            </w:pPr>
            <w:r>
              <w:rPr>
                <w:rFonts w:ascii="Arial Narrow" w:hAnsi="Arial Narrow"/>
                <w:b w:val="0"/>
                <w:i w:val="0"/>
                <w:sz w:val="20"/>
              </w:rPr>
              <w:t xml:space="preserve">Antes de redigir: (1) LEIA A CÉDULA e preencha o quadro de identificação com programa (Pronaf, Pronamp ou sem programa), fonte de recursos e vencimento de cada operação; a tempestividade depende disso (MCR 10-1-27 "f" só vale para Pronaf; 2-6-12 "e" para custeio Pronamp e demais; 11-1-4 "h" para investimento subvencionado); (2) o pedido que vence nas decisões é ESCRITO, ANTES do vencimento (FAEP: 15 dias), com os DOIS laudos anexos e prova de recebimento; descubra QUANDO e COMO o cliente pediu a prorrogação: WhatsApp ou áudio ao gerente, e-mail, protocolo na agência, AR, ata notarial, testemunha de comparecimento. Todo registro com data vai para a linha do tempo e vira print em par (imagem + transcrição); (3) escolha UM dos dois caminhos do tópico III.2 e apague o outro; (4) confira a redação do MCR 2-6-4 VIGENTE NA DATA DO PEDIDO: a expressão "por sua conveniência e decisão, mediante solicitação do mutuário" entrou com a Res. CMN 5.314 (MCR nº 757, 17/07/2026); (5) leia na cédula qual assistência técnica foi pactuada (plano simples, projeto técnico, assistência em nível de imóvel) e ajuste o tópico III.4; (6) pesquise no PJe, por CPF e por número da cédula, execução, monitória ou busca e apreensão sobre as mesmas operações; (7) foro: CEF, Justiça Federal (art. 109, I, CF); Banco do Brasil segue na Justiça Estadual até decisão da GJ; (8) não cumule revisão de encargos: se houver abusividade, avalie peça própria (descaracterização da mora ou revisional); (9) LAUDO é o primeiro motivo de derrota (31 de 61 decisões desfavoráveis, diagnóstico de 13/09/2026): exija engenheiro agrônomo com ART, visita à propriedade, números da propriedade, e laudo de capacidade de pagamento com carência, número de parcelas e forma de amortização; (10) junte o que os juízes mais disseram faltar: notas fiscais e declaração de produção, requerimento administrativo datado, certidão de órgão público (ADERR, EMATER, IDARON, Defesa Civil); (11) o cronograma pedido tem de caber no teto normativo da LINHA (ex.: MCR 11-1-4 "d", 10-1-25, 2-6-11 "c"): carência acima do teto é cortada; (12) se o título for CCB, CPR ou houver recursos livres, mantenha o tópico III.1-A (natureza rural); se for cédula rural com recursos controlados, apague-o; (13) CADA PROVA TEM BLOCO PRÓPRIO (PROVA nn): recorte com moldura, grifo amarelo declarado (legenda com "grifo nosso"), transcrição e "o que prova"; a ficha MODELO_ALONGAMENTO_DIVIDA_RURAL.provas.json diz à automação que documento procurar, onde recortar e o que grifar; prova que não existe na pasta: apague o bloco E a linha do índice, nunca "conforme documento" sem documento; (14) JURISPRUDÊNCIA: todo julgado deste modelo foi selecionado por automação e TEM DE SER CONFERIDO pelo advogado no inteiro teor (número, órgão, relator, data e se o trecho citado está mesmo lá) antes do protocolo — na montagem deste modelo, a própria conferência corrigiu um relator atribuído errado; ALIMENTE com jurisprudência LOCAL do tribunal que vai julgar (TJRO ou TRF1), de preferência do gabinete ou câmara sorteada, e confira no vault (01 - MAGISTRADOS) o perfil recente do gabinete; (15) rode varrer_marcadores_print e confira que não sobrou </w:t>
            </w:r>
            <w:r>
              <w:rPr>
                <w:rFonts w:ascii="Arial Narrow" w:hAnsi="Arial Narrow"/>
                <w:b w:val="0"/>
                <w:i w:val="0"/>
                <w:sz w:val="20"/>
                <w:highlight w:val="yellow"/>
              </w:rPr>
              <w:t>[[campo]]</w:t>
            </w:r>
            <w:r>
              <w:rPr>
                <w:rFonts w:ascii="Arial Narrow" w:hAnsi="Arial Narrow"/>
                <w:b w:val="0"/>
                <w:i w:val="0"/>
                <w:sz w:val="20"/>
              </w:rPr>
              <w:t xml:space="preserve"> amarelo.</w:t>
            </w:r>
          </w:p>
        </w:tc>
      </w:tr>
    </w:tbl>
    <w:p>
      <w:pPr>
        <w:spacing w:after="120" w:before="0" w:line="240" w:lineRule="auto"/>
      </w:pPr>
      <w:r>
        <w:rPr>
          <w:rFonts w:ascii="Arial Narrow" w:hAnsi="Arial Narrow"/>
          <w:sz w:val="2"/>
        </w:rPr>
      </w:r>
    </w:p>
    <w:p>
      <w:pPr>
        <w:spacing w:line="360" w:lineRule="auto" w:after="120"/>
        <w:jc w:val="both"/>
      </w:pPr>
      <w:r>
        <w:rPr>
          <w:rFonts w:ascii="Arial Narrow" w:hAnsi="Arial Narrow"/>
          <w:b/>
          <w:i w:val="0"/>
          <w:sz w:val="24"/>
          <w:highlight w:val="yellow"/>
        </w:rPr>
        <w:t>[[EXCELENTÍSSIMO(A) SENHOR(A) JUIZ(A) DE DIREITO DA (…) VARA CÍVEL DA COMARCA DE (…) / JUIZ(A) FEDERAL DA (…) VARA FEDERAL DA SUBSEÇÃO JUDICIÁRIA DE (…)]]</w:t>
      </w:r>
    </w:p>
    <w:p>
      <w:pPr>
        <w:spacing w:after="240" w:before="0" w:line="240" w:lineRule="auto"/>
      </w:pPr>
      <w:r>
        <w:rPr>
          <w:rFonts w:ascii="Arial Narrow" w:hAnsi="Arial Narrow"/>
          <w:sz w:val="2"/>
        </w:rPr>
      </w:r>
    </w:p>
    <w:p>
      <w:pPr>
        <w:spacing w:line="360" w:lineRule="auto" w:after="120"/>
        <w:jc w:val="both"/>
      </w:pPr>
      <w:r>
        <w:rPr>
          <w:rFonts w:ascii="Arial Narrow" w:hAnsi="Arial Narrow"/>
          <w:b w:val="0"/>
          <w:i w:val="0"/>
          <w:sz w:val="24"/>
          <w:highlight w:val="yellow"/>
        </w:rPr>
        <w:t>[[NOME DO CLIENTE]]</w:t>
      </w:r>
      <w:r>
        <w:rPr>
          <w:rFonts w:ascii="Arial Narrow" w:hAnsi="Arial Narrow"/>
          <w:b w:val="0"/>
          <w:i w:val="0"/>
          <w:sz w:val="24"/>
        </w:rPr>
        <w:t xml:space="preserve">, </w:t>
      </w:r>
      <w:r>
        <w:rPr>
          <w:rFonts w:ascii="Arial Narrow" w:hAnsi="Arial Narrow"/>
          <w:b w:val="0"/>
          <w:i w:val="0"/>
          <w:sz w:val="24"/>
          <w:highlight w:val="yellow"/>
        </w:rPr>
        <w:t>[[nacionalidade]]</w:t>
      </w:r>
      <w:r>
        <w:rPr>
          <w:rFonts w:ascii="Arial Narrow" w:hAnsi="Arial Narrow"/>
          <w:b w:val="0"/>
          <w:i w:val="0"/>
          <w:sz w:val="24"/>
        </w:rPr>
        <w:t xml:space="preserve">, </w:t>
      </w:r>
      <w:r>
        <w:rPr>
          <w:rFonts w:ascii="Arial Narrow" w:hAnsi="Arial Narrow"/>
          <w:b w:val="0"/>
          <w:i w:val="0"/>
          <w:sz w:val="24"/>
          <w:highlight w:val="yellow"/>
        </w:rPr>
        <w:t>[[estado civil]]</w:t>
      </w:r>
      <w:r>
        <w:rPr>
          <w:rFonts w:ascii="Arial Narrow" w:hAnsi="Arial Narrow"/>
          <w:b w:val="0"/>
          <w:i w:val="0"/>
          <w:sz w:val="24"/>
        </w:rPr>
        <w:t xml:space="preserve">, produtor rural, portador da Cédula de Identidade nº </w:t>
      </w:r>
      <w:r>
        <w:rPr>
          <w:rFonts w:ascii="Arial Narrow" w:hAnsi="Arial Narrow"/>
          <w:b w:val="0"/>
          <w:i w:val="0"/>
          <w:sz w:val="24"/>
          <w:highlight w:val="yellow"/>
        </w:rPr>
        <w:t>[[RG]]</w:t>
      </w:r>
      <w:r>
        <w:rPr>
          <w:rFonts w:ascii="Arial Narrow" w:hAnsi="Arial Narrow"/>
          <w:b w:val="0"/>
          <w:i w:val="0"/>
          <w:sz w:val="24"/>
        </w:rPr>
        <w:t xml:space="preserve">, inscrito no CPF sob o nº </w:t>
      </w:r>
      <w:r>
        <w:rPr>
          <w:rFonts w:ascii="Arial Narrow" w:hAnsi="Arial Narrow"/>
          <w:b w:val="0"/>
          <w:i w:val="0"/>
          <w:sz w:val="24"/>
          <w:highlight w:val="yellow"/>
        </w:rPr>
        <w:t>[[CPF]]</w:t>
      </w:r>
      <w:r>
        <w:rPr>
          <w:rFonts w:ascii="Arial Narrow" w:hAnsi="Arial Narrow"/>
          <w:b w:val="0"/>
          <w:i w:val="0"/>
          <w:sz w:val="24"/>
        </w:rPr>
        <w:t xml:space="preserve">, residente e domiciliado em </w:t>
      </w:r>
      <w:r>
        <w:rPr>
          <w:rFonts w:ascii="Arial Narrow" w:hAnsi="Arial Narrow"/>
          <w:b w:val="0"/>
          <w:i w:val="0"/>
          <w:sz w:val="24"/>
          <w:highlight w:val="yellow"/>
        </w:rPr>
        <w:t>[[ENDEREÇO COMPLETO]]</w:t>
      </w:r>
      <w:r>
        <w:rPr>
          <w:rFonts w:ascii="Arial Narrow" w:hAnsi="Arial Narrow"/>
          <w:b w:val="0"/>
          <w:i w:val="0"/>
          <w:sz w:val="24"/>
        </w:rPr>
        <w:t xml:space="preserve">, endereço eletrônico </w:t>
      </w:r>
      <w:r>
        <w:rPr>
          <w:rFonts w:ascii="Arial Narrow" w:hAnsi="Arial Narrow"/>
          <w:b w:val="0"/>
          <w:i w:val="0"/>
          <w:sz w:val="24"/>
          <w:highlight w:val="yellow"/>
        </w:rPr>
        <w:t>[[e-mail]]</w:t>
      </w:r>
      <w:r>
        <w:rPr>
          <w:rFonts w:ascii="Arial Narrow" w:hAnsi="Arial Narrow"/>
          <w:b w:val="0"/>
          <w:i w:val="0"/>
          <w:sz w:val="24"/>
        </w:rPr>
        <w:t>, vem, por seus advogados que esta subscrevem, propor</w:t>
      </w:r>
    </w:p>
    <w:p>
      <w:pPr>
        <w:spacing w:line="360" w:lineRule="auto" w:after="0"/>
        <w:jc w:val="center"/>
      </w:pPr>
      <w:r>
        <w:rPr>
          <w:rFonts w:ascii="Arial Narrow" w:hAnsi="Arial Narrow"/>
          <w:b/>
          <w:i w:val="0"/>
          <w:sz w:val="24"/>
        </w:rPr>
        <w:t>AÇÃO MANDAMENTAL DE PRORROGAÇÃO DE CRÉDITO RURAL</w:t>
      </w:r>
    </w:p>
    <w:p>
      <w:pPr>
        <w:spacing w:line="360" w:lineRule="auto" w:after="0"/>
        <w:jc w:val="center"/>
      </w:pPr>
      <w:r>
        <w:rPr>
          <w:rFonts w:ascii="Arial Narrow" w:hAnsi="Arial Narrow"/>
          <w:b w:val="0"/>
          <w:i w:val="0"/>
          <w:sz w:val="24"/>
        </w:rPr>
        <w:t>(obrigação de fazer: arts. 497 e 501 do CPC)</w:t>
      </w:r>
    </w:p>
    <w:p>
      <w:pPr>
        <w:spacing w:line="360" w:lineRule="auto" w:after="200"/>
        <w:jc w:val="center"/>
      </w:pPr>
      <w:r>
        <w:rPr>
          <w:rFonts w:ascii="Arial Narrow" w:hAnsi="Arial Narrow"/>
          <w:b w:val="0"/>
          <w:i w:val="0"/>
          <w:sz w:val="24"/>
        </w:rPr>
        <w:t>com pedido de TUTELA DE URGÊNCIA DE NATUREZA CAUTELAR formulado conjuntamente com o pedido principal (arts. 300, 301 e 308, § 1º, do CPC)</w:t>
      </w:r>
    </w:p>
    <w:p>
      <w:pPr>
        <w:spacing w:line="360" w:lineRule="auto" w:after="120"/>
        <w:jc w:val="both"/>
      </w:pPr>
      <w:r>
        <w:rPr>
          <w:rFonts w:ascii="Arial Narrow" w:hAnsi="Arial Narrow"/>
          <w:b w:val="0"/>
          <w:i w:val="0"/>
          <w:sz w:val="24"/>
        </w:rPr>
        <w:t xml:space="preserve">em face de </w:t>
      </w:r>
      <w:r>
        <w:rPr>
          <w:rFonts w:ascii="Arial Narrow" w:hAnsi="Arial Narrow"/>
          <w:b w:val="0"/>
          <w:i w:val="0"/>
          <w:sz w:val="24"/>
          <w:highlight w:val="yellow"/>
        </w:rPr>
        <w:t>[[NOME DA INSTITUIÇÃO FINANCEIRA]]</w:t>
      </w:r>
      <w:r>
        <w:rPr>
          <w:rFonts w:ascii="Arial Narrow" w:hAnsi="Arial Narrow"/>
          <w:b w:val="0"/>
          <w:i w:val="0"/>
          <w:sz w:val="24"/>
        </w:rPr>
        <w:t xml:space="preserve">, </w:t>
      </w:r>
      <w:r>
        <w:rPr>
          <w:rFonts w:ascii="Arial Narrow" w:hAnsi="Arial Narrow"/>
          <w:b w:val="0"/>
          <w:i w:val="0"/>
          <w:sz w:val="24"/>
          <w:highlight w:val="yellow"/>
        </w:rPr>
        <w:t>[[natureza jurídica]]</w:t>
      </w:r>
      <w:r>
        <w:rPr>
          <w:rFonts w:ascii="Arial Narrow" w:hAnsi="Arial Narrow"/>
          <w:b w:val="0"/>
          <w:i w:val="0"/>
          <w:sz w:val="24"/>
        </w:rPr>
        <w:t xml:space="preserve">, inscrita no CNPJ sob o nº </w:t>
      </w:r>
      <w:r>
        <w:rPr>
          <w:rFonts w:ascii="Arial Narrow" w:hAnsi="Arial Narrow"/>
          <w:b w:val="0"/>
          <w:i w:val="0"/>
          <w:sz w:val="24"/>
          <w:highlight w:val="yellow"/>
        </w:rPr>
        <w:t>[[CNPJ]]</w:t>
      </w:r>
      <w:r>
        <w:rPr>
          <w:rFonts w:ascii="Arial Narrow" w:hAnsi="Arial Narrow"/>
          <w:b w:val="0"/>
          <w:i w:val="0"/>
          <w:sz w:val="24"/>
        </w:rPr>
        <w:t xml:space="preserve">, com sede em </w:t>
      </w:r>
      <w:r>
        <w:rPr>
          <w:rFonts w:ascii="Arial Narrow" w:hAnsi="Arial Narrow"/>
          <w:b w:val="0"/>
          <w:i w:val="0"/>
          <w:sz w:val="24"/>
          <w:highlight w:val="yellow"/>
        </w:rPr>
        <w:t>[[ENDEREÇO]]</w:t>
      </w:r>
      <w:r>
        <w:rPr>
          <w:rFonts w:ascii="Arial Narrow" w:hAnsi="Arial Narrow"/>
          <w:b w:val="0"/>
          <w:i w:val="0"/>
          <w:sz w:val="24"/>
        </w:rPr>
        <w:t xml:space="preserve">, e agência operadora </w:t>
      </w:r>
      <w:r>
        <w:rPr>
          <w:rFonts w:ascii="Arial Narrow" w:hAnsi="Arial Narrow"/>
          <w:b w:val="0"/>
          <w:i w:val="0"/>
          <w:sz w:val="24"/>
          <w:highlight w:val="yellow"/>
        </w:rPr>
        <w:t>[[AGÊNCIA E ENDEREÇO]]</w:t>
      </w:r>
      <w:r>
        <w:rPr>
          <w:rFonts w:ascii="Arial Narrow" w:hAnsi="Arial Narrow"/>
          <w:b w:val="0"/>
          <w:i w:val="0"/>
          <w:sz w:val="24"/>
        </w:rPr>
        <w:t>, pelos fundamentos de fato e de direito a seguir expostos.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541"/>
        <w:gridCol w:w="4541"/>
      </w:tblGrid>
      <w:tr>
        <w:tc>
          <w:tcPr>
            <w:tcW w:type="dxa" w:w="9083"/>
            <w:gridSpan w:val="2"/>
            <w:shd w:val="clear" w:color="auto" w:fill="f6b26b"/>
          </w:tcPr>
          <w:p>
            <w:pPr>
              <w:spacing w:before="40" w:after="40" w:line="276" w:lineRule="auto"/>
              <w:jc w:val="center"/>
            </w:pPr>
            <w:r>
              <w:rPr>
                <w:rFonts w:ascii="Arial Narrow" w:hAnsi="Arial Narrow"/>
                <w:b/>
                <w:i w:val="0"/>
                <w:sz w:val="20"/>
              </w:rPr>
              <w:t>IDENTIFICAÇÃO DA DEMANDA</w:t>
            </w:r>
          </w:p>
        </w:tc>
      </w:tr>
      <w:tr>
        <w:tc>
          <w:tcPr>
            <w:tcW w:type="dxa" w:w="2725"/>
            <w:shd w:val="clear" w:color="auto" w:fill="f2f2f2"/>
          </w:tcPr>
          <w:p>
            <w:pPr>
              <w:spacing w:before="40" w:after="40" w:line="276" w:lineRule="auto"/>
              <w:jc w:val="left"/>
            </w:pPr>
            <w:r>
              <w:rPr>
                <w:rFonts w:ascii="Arial Narrow" w:hAnsi="Arial Narrow"/>
                <w:b/>
                <w:i w:val="0"/>
                <w:sz w:val="20"/>
              </w:rPr>
              <w:t>Operação(ões)</w:t>
            </w:r>
          </w:p>
        </w:tc>
        <w:tc>
          <w:tcPr>
            <w:tcW w:type="dxa" w:w="6358"/>
          </w:tcPr>
          <w:p>
            <w:pPr>
              <w:spacing w:before="40" w:after="40" w:line="276" w:lineRule="auto"/>
              <w:jc w:val="left"/>
            </w:pPr>
            <w:r>
              <w:rPr>
                <w:rFonts w:ascii="Arial Narrow" w:hAnsi="Arial Narrow"/>
                <w:b w:val="0"/>
                <w:i w:val="0"/>
                <w:sz w:val="20"/>
                <w:highlight w:val="yellow"/>
              </w:rPr>
              <w:t>[[espécie e nº de cada cédula]]</w:t>
            </w:r>
          </w:p>
        </w:tc>
      </w:tr>
      <w:tr>
        <w:tc>
          <w:tcPr>
            <w:tcW w:type="dxa" w:w="2725"/>
            <w:shd w:val="clear" w:color="auto" w:fill="f2f2f2"/>
          </w:tcPr>
          <w:p>
            <w:pPr>
              <w:spacing w:before="40" w:after="40" w:line="276" w:lineRule="auto"/>
              <w:jc w:val="left"/>
            </w:pPr>
            <w:r>
              <w:rPr>
                <w:rFonts w:ascii="Arial Narrow" w:hAnsi="Arial Narrow"/>
                <w:b/>
                <w:i w:val="0"/>
                <w:sz w:val="20"/>
              </w:rPr>
              <w:t>Programa e fonte de recursos</w:t>
            </w:r>
          </w:p>
        </w:tc>
        <w:tc>
          <w:tcPr>
            <w:tcW w:type="dxa" w:w="6358"/>
          </w:tcPr>
          <w:p>
            <w:pPr>
              <w:spacing w:before="40" w:after="40" w:line="276" w:lineRule="auto"/>
              <w:jc w:val="left"/>
            </w:pPr>
            <w:r>
              <w:rPr>
                <w:rFonts w:ascii="Arial Narrow" w:hAnsi="Arial Narrow"/>
                <w:b w:val="0"/>
                <w:i w:val="0"/>
                <w:sz w:val="20"/>
                <w:highlight w:val="yellow"/>
              </w:rPr>
              <w:t>[[Pronaf / Pronamp / sem programa · recursos obrigatórios / BNDES / FNO / livres]]</w:t>
            </w:r>
            <w:r>
              <w:rPr>
                <w:rFonts w:ascii="Arial Narrow" w:hAnsi="Arial Narrow"/>
                <w:b w:val="0"/>
                <w:i w:val="0"/>
                <w:sz w:val="20"/>
              </w:rPr>
              <w:t xml:space="preserve"> (conforme Quadro da cédula)</w:t>
            </w:r>
          </w:p>
        </w:tc>
      </w:tr>
      <w:tr>
        <w:tc>
          <w:tcPr>
            <w:tcW w:type="dxa" w:w="2725"/>
            <w:shd w:val="clear" w:color="auto" w:fill="f2f2f2"/>
          </w:tcPr>
          <w:p>
            <w:pPr>
              <w:spacing w:before="40" w:after="40" w:line="276" w:lineRule="auto"/>
              <w:jc w:val="left"/>
            </w:pPr>
            <w:r>
              <w:rPr>
                <w:rFonts w:ascii="Arial Narrow" w:hAnsi="Arial Narrow"/>
                <w:b/>
                <w:i w:val="0"/>
                <w:sz w:val="20"/>
              </w:rPr>
              <w:t>Vencimento(s)</w:t>
            </w:r>
          </w:p>
        </w:tc>
        <w:tc>
          <w:tcPr>
            <w:tcW w:type="dxa" w:w="6358"/>
          </w:tcPr>
          <w:p>
            <w:pPr>
              <w:spacing w:before="40" w:after="40" w:line="276" w:lineRule="auto"/>
              <w:jc w:val="left"/>
            </w:pPr>
            <w:r>
              <w:rPr>
                <w:rFonts w:ascii="Arial Narrow" w:hAnsi="Arial Narrow"/>
                <w:b w:val="0"/>
                <w:i w:val="0"/>
                <w:sz w:val="20"/>
                <w:highlight w:val="yellow"/>
              </w:rPr>
              <w:t>[[original e, se houver, prorrogado]]</w:t>
            </w:r>
          </w:p>
        </w:tc>
      </w:tr>
      <w:tr>
        <w:tc>
          <w:tcPr>
            <w:tcW w:type="dxa" w:w="2725"/>
            <w:shd w:val="clear" w:color="auto" w:fill="f2f2f2"/>
          </w:tcPr>
          <w:p>
            <w:pPr>
              <w:spacing w:before="40" w:after="40" w:line="276" w:lineRule="auto"/>
              <w:jc w:val="left"/>
            </w:pPr>
            <w:r>
              <w:rPr>
                <w:rFonts w:ascii="Arial Narrow" w:hAnsi="Arial Narrow"/>
                <w:b/>
                <w:i w:val="0"/>
                <w:sz w:val="20"/>
              </w:rPr>
              <w:t>Pedido de prorrogação ao banco</w:t>
            </w:r>
          </w:p>
        </w:tc>
        <w:tc>
          <w:tcPr>
            <w:tcW w:type="dxa" w:w="6358"/>
          </w:tcPr>
          <w:p>
            <w:pPr>
              <w:spacing w:before="40" w:after="40" w:line="276" w:lineRule="auto"/>
              <w:jc w:val="left"/>
            </w:pPr>
            <w:r>
              <w:rPr>
                <w:rFonts w:ascii="Arial Narrow" w:hAnsi="Arial Narrow"/>
                <w:b w:val="0"/>
                <w:i w:val="0"/>
                <w:sz w:val="20"/>
                <w:highlight w:val="yellow"/>
              </w:rPr>
              <w:t>[[data · meio (WhatsApp, e-mail, protocolo, AR) · se levou laudo]]</w:t>
            </w:r>
            <w:r>
              <w:rPr>
                <w:rFonts w:ascii="Arial Narrow" w:hAnsi="Arial Narrow"/>
                <w:b w:val="0"/>
                <w:i w:val="0"/>
                <w:sz w:val="20"/>
              </w:rPr>
              <w:t xml:space="preserve"> ou </w:t>
            </w:r>
            <w:r>
              <w:rPr>
                <w:rFonts w:ascii="Arial Narrow" w:hAnsi="Arial Narrow"/>
                <w:b w:val="0"/>
                <w:i w:val="0"/>
                <w:sz w:val="20"/>
                <w:highlight w:val="yellow"/>
              </w:rPr>
              <w:t>[[não houve pedido antes do vencimento]]</w:t>
            </w:r>
          </w:p>
        </w:tc>
      </w:tr>
      <w:tr>
        <w:tc>
          <w:tcPr>
            <w:tcW w:type="dxa" w:w="2725"/>
            <w:shd w:val="clear" w:color="auto" w:fill="f2f2f2"/>
          </w:tcPr>
          <w:p>
            <w:pPr>
              <w:spacing w:before="40" w:after="40" w:line="276" w:lineRule="auto"/>
              <w:jc w:val="left"/>
            </w:pPr>
            <w:r>
              <w:rPr>
                <w:rFonts w:ascii="Arial Narrow" w:hAnsi="Arial Narrow"/>
                <w:b/>
                <w:i w:val="0"/>
                <w:sz w:val="20"/>
              </w:rPr>
              <w:t>Resposta do banco</w:t>
            </w:r>
          </w:p>
        </w:tc>
        <w:tc>
          <w:tcPr>
            <w:tcW w:type="dxa" w:w="6358"/>
          </w:tcPr>
          <w:p>
            <w:pPr>
              <w:spacing w:before="40" w:after="40" w:line="276" w:lineRule="auto"/>
              <w:jc w:val="left"/>
            </w:pPr>
            <w:r>
              <w:rPr>
                <w:rFonts w:ascii="Arial Narrow" w:hAnsi="Arial Narrow"/>
                <w:b w:val="0"/>
                <w:i w:val="0"/>
                <w:sz w:val="20"/>
                <w:highlight w:val="yellow"/>
              </w:rPr>
              <w:t>[[silêncio desde (…) / negativa sem fundamentação técnica em (…) / proposta fora do MCR em (…)]]</w:t>
            </w:r>
          </w:p>
        </w:tc>
      </w:tr>
      <w:tr>
        <w:tc>
          <w:tcPr>
            <w:tcW w:type="dxa" w:w="2725"/>
            <w:shd w:val="clear" w:color="auto" w:fill="f2f2f2"/>
          </w:tcPr>
          <w:p>
            <w:pPr>
              <w:spacing w:before="40" w:after="40" w:line="276" w:lineRule="auto"/>
              <w:jc w:val="left"/>
            </w:pPr>
            <w:r>
              <w:rPr>
                <w:rFonts w:ascii="Arial Narrow" w:hAnsi="Arial Narrow"/>
                <w:b/>
                <w:i w:val="0"/>
                <w:sz w:val="20"/>
              </w:rPr>
              <w:t>Assistência técnica pactuada</w:t>
            </w:r>
          </w:p>
        </w:tc>
        <w:tc>
          <w:tcPr>
            <w:tcW w:type="dxa" w:w="6358"/>
          </w:tcPr>
          <w:p>
            <w:pPr>
              <w:spacing w:before="40" w:after="40" w:line="276" w:lineRule="auto"/>
              <w:jc w:val="left"/>
            </w:pPr>
            <w:r>
              <w:rPr>
                <w:rFonts w:ascii="Arial Narrow" w:hAnsi="Arial Narrow"/>
                <w:b w:val="0"/>
                <w:i w:val="0"/>
                <w:sz w:val="20"/>
                <w:highlight w:val="yellow"/>
              </w:rPr>
              <w:t>[[plano simples / projeto técnico / assistência em nível de imóvel · empresa (…)]]</w:t>
            </w:r>
          </w:p>
        </w:tc>
      </w:tr>
      <w:tr>
        <w:tc>
          <w:tcPr>
            <w:tcW w:type="dxa" w:w="2725"/>
            <w:shd w:val="clear" w:color="auto" w:fill="f2f2f2"/>
          </w:tcPr>
          <w:p>
            <w:pPr>
              <w:spacing w:before="40" w:after="40" w:line="276" w:lineRule="auto"/>
              <w:jc w:val="left"/>
            </w:pPr>
            <w:r>
              <w:rPr>
                <w:rFonts w:ascii="Arial Narrow" w:hAnsi="Arial Narrow"/>
                <w:b/>
                <w:i w:val="0"/>
                <w:sz w:val="20"/>
              </w:rPr>
              <w:t>Evento adverso e ato oficial</w:t>
            </w:r>
          </w:p>
        </w:tc>
        <w:tc>
          <w:tcPr>
            <w:tcW w:type="dxa" w:w="6358"/>
          </w:tcPr>
          <w:p>
            <w:pPr>
              <w:spacing w:before="40" w:after="40" w:line="276" w:lineRule="auto"/>
              <w:jc w:val="left"/>
            </w:pPr>
            <w:r>
              <w:rPr>
                <w:rFonts w:ascii="Arial Narrow" w:hAnsi="Arial Narrow"/>
                <w:b w:val="0"/>
                <w:i w:val="0"/>
                <w:sz w:val="20"/>
                <w:highlight w:val="yellow"/>
              </w:rPr>
              <w:t>[[estiagem / queda de preço / praga · Decreto nº (…)]]</w:t>
            </w:r>
          </w:p>
        </w:tc>
      </w:tr>
      <w:tr>
        <w:tc>
          <w:tcPr>
            <w:tcW w:type="dxa" w:w="2725"/>
            <w:shd w:val="clear" w:color="auto" w:fill="f2f2f2"/>
          </w:tcPr>
          <w:p>
            <w:pPr>
              <w:spacing w:before="40" w:after="40" w:line="276" w:lineRule="auto"/>
              <w:jc w:val="left"/>
            </w:pPr>
            <w:r>
              <w:rPr>
                <w:rFonts w:ascii="Arial Narrow" w:hAnsi="Arial Narrow"/>
                <w:b/>
                <w:i w:val="0"/>
                <w:sz w:val="20"/>
              </w:rPr>
              <w:t>Cobrança judicial conexa</w:t>
            </w:r>
          </w:p>
        </w:tc>
        <w:tc>
          <w:tcPr>
            <w:tcW w:type="dxa" w:w="6358"/>
          </w:tcPr>
          <w:p>
            <w:pPr>
              <w:spacing w:before="40" w:after="40" w:line="276" w:lineRule="auto"/>
              <w:jc w:val="left"/>
            </w:pPr>
            <w:r>
              <w:rPr>
                <w:rFonts w:ascii="Arial Narrow" w:hAnsi="Arial Narrow"/>
                <w:b w:val="0"/>
                <w:i w:val="0"/>
                <w:sz w:val="20"/>
                <w:highlight w:val="yellow"/>
              </w:rPr>
              <w:t>[[Execução/Monitória nº (…), Juízo (…)]]</w:t>
            </w:r>
            <w:r>
              <w:rPr>
                <w:rFonts w:ascii="Arial Narrow" w:hAnsi="Arial Narrow"/>
                <w:b w:val="0"/>
                <w:i w:val="0"/>
                <w:sz w:val="20"/>
              </w:rPr>
              <w:t xml:space="preserve"> ou </w:t>
            </w:r>
            <w:r>
              <w:rPr>
                <w:rFonts w:ascii="Arial Narrow" w:hAnsi="Arial Narrow"/>
                <w:b w:val="0"/>
                <w:i w:val="0"/>
                <w:sz w:val="20"/>
                <w:highlight w:val="yellow"/>
              </w:rPr>
              <w:t>[[não há, pesquisa no PJe por CPF e por cédula em (…)]]</w:t>
            </w:r>
          </w:p>
        </w:tc>
      </w:tr>
    </w:tbl>
    <w:p>
      <w:pPr>
        <w:spacing w:after="12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541"/>
        <w:gridCol w:w="4541"/>
      </w:tblGrid>
      <w:tr>
        <w:tc>
          <w:tcPr>
            <w:tcW w:type="dxa" w:w="9083"/>
            <w:gridSpan w:val="2"/>
            <w:shd w:val="clear" w:color="auto" w:fill="dce6f1"/>
          </w:tcPr>
          <w:p>
            <w:pPr>
              <w:spacing w:before="40" w:after="40" w:line="276" w:lineRule="auto"/>
              <w:jc w:val="center"/>
            </w:pPr>
            <w:r>
              <w:rPr>
                <w:rFonts w:ascii="Arial Narrow" w:hAnsi="Arial Narrow"/>
                <w:b/>
                <w:i w:val="0"/>
                <w:sz w:val="20"/>
              </w:rPr>
              <w:t>EM SÍNTESE</w:t>
            </w:r>
          </w:p>
        </w:tc>
      </w:tr>
      <w:tr>
        <w:tc>
          <w:tcPr>
            <w:tcW w:type="dxa" w:w="2362"/>
            <w:shd w:val="clear" w:color="auto" w:fill="f2f2f2"/>
          </w:tcPr>
          <w:p>
            <w:pPr>
              <w:spacing w:before="40" w:after="40" w:line="276" w:lineRule="auto"/>
              <w:jc w:val="left"/>
            </w:pPr>
            <w:r>
              <w:rPr>
                <w:rFonts w:ascii="Arial Narrow" w:hAnsi="Arial Narrow"/>
                <w:b/>
                <w:i w:val="0"/>
                <w:sz w:val="20"/>
              </w:rPr>
              <w:t>O que se pede</w:t>
            </w:r>
          </w:p>
        </w:tc>
        <w:tc>
          <w:tcPr>
            <w:tcW w:type="dxa" w:w="6721"/>
          </w:tcPr>
          <w:p>
            <w:pPr>
              <w:spacing w:before="40" w:after="40" w:line="276" w:lineRule="auto"/>
              <w:jc w:val="left"/>
            </w:pPr>
            <w:r>
              <w:rPr>
                <w:rFonts w:ascii="Arial Narrow" w:hAnsi="Arial Narrow"/>
                <w:b w:val="0"/>
                <w:i w:val="0"/>
                <w:sz w:val="20"/>
              </w:rPr>
              <w:t>Agora: a suspensão da exigibilidade das operações e dos efeitos da mora, com abstenção de negativação (inclusive SCR/SICOR) e de atos constritivos. Ao final: a condenação do réu a prorrogar as operações, aos mesmos encargos pactuados, no cronograma que o laudo de capacidade de pagamento demonstra.</w:t>
            </w:r>
          </w:p>
        </w:tc>
      </w:tr>
      <w:tr>
        <w:tc>
          <w:tcPr>
            <w:tcW w:type="dxa" w:w="2362"/>
            <w:shd w:val="clear" w:color="auto" w:fill="f2f2f2"/>
          </w:tcPr>
          <w:p>
            <w:pPr>
              <w:spacing w:before="40" w:after="40" w:line="276" w:lineRule="auto"/>
              <w:jc w:val="left"/>
            </w:pPr>
            <w:r>
              <w:rPr>
                <w:rFonts w:ascii="Arial Narrow" w:hAnsi="Arial Narrow"/>
                <w:b/>
                <w:i w:val="0"/>
                <w:sz w:val="20"/>
              </w:rPr>
              <w:t>Por que é devido</w:t>
            </w:r>
          </w:p>
        </w:tc>
        <w:tc>
          <w:tcPr>
            <w:tcW w:type="dxa" w:w="6721"/>
          </w:tcPr>
          <w:p>
            <w:pPr>
              <w:spacing w:before="40" w:after="40" w:line="276" w:lineRule="auto"/>
              <w:jc w:val="left"/>
            </w:pPr>
            <w:r>
              <w:rPr>
                <w:rFonts w:ascii="Arial Narrow" w:hAnsi="Arial Narrow"/>
                <w:b w:val="0"/>
                <w:i w:val="0"/>
                <w:sz w:val="20"/>
              </w:rPr>
              <w:t xml:space="preserve">O autor comprovou dificuldade temporária de reembolso causada por </w:t>
            </w:r>
            <w:r>
              <w:rPr>
                <w:rFonts w:ascii="Arial Narrow" w:hAnsi="Arial Narrow"/>
                <w:b w:val="0"/>
                <w:i w:val="0"/>
                <w:sz w:val="20"/>
                <w:highlight w:val="yellow"/>
              </w:rPr>
              <w:t>[[evento adverso]]</w:t>
            </w:r>
            <w:r>
              <w:rPr>
                <w:rFonts w:ascii="Arial Narrow" w:hAnsi="Arial Narrow"/>
                <w:b w:val="0"/>
                <w:i w:val="0"/>
                <w:sz w:val="20"/>
              </w:rPr>
              <w:t>, hipótese do MCR 2-6-4, norma editada pelo Conselho Monetário Nacional por delegação da Lei 4.829/65 (arts. 4º e 14). O alongamento de dívida originada de crédito rural não constitui faculdade da instituição financeira, mas direito do devedor (Súmula 298/STJ).</w:t>
            </w:r>
          </w:p>
        </w:tc>
      </w:tr>
      <w:tr>
        <w:tc>
          <w:tcPr>
            <w:tcW w:type="dxa" w:w="2362"/>
            <w:shd w:val="clear" w:color="auto" w:fill="f2f2f2"/>
          </w:tcPr>
          <w:p>
            <w:pPr>
              <w:spacing w:before="40" w:after="40" w:line="276" w:lineRule="auto"/>
              <w:jc w:val="left"/>
            </w:pPr>
            <w:r>
              <w:rPr>
                <w:rFonts w:ascii="Arial Narrow" w:hAnsi="Arial Narrow"/>
                <w:b/>
                <w:i w:val="0"/>
                <w:sz w:val="20"/>
              </w:rPr>
              <w:t>O que NÃO se pede</w:t>
            </w:r>
          </w:p>
        </w:tc>
        <w:tc>
          <w:tcPr>
            <w:tcW w:type="dxa" w:w="6721"/>
            <w:shd w:val="clear" w:color="auto" w:fill="ffe6e6"/>
          </w:tcPr>
          <w:p>
            <w:pPr>
              <w:spacing w:before="40" w:after="40" w:line="276" w:lineRule="auto"/>
              <w:jc w:val="left"/>
            </w:pPr>
            <w:r>
              <w:rPr>
                <w:rFonts w:ascii="Arial Narrow" w:hAnsi="Arial Narrow"/>
                <w:b w:val="0"/>
                <w:i w:val="0"/>
                <w:sz w:val="20"/>
              </w:rPr>
              <w:t>Não se pede revisão de juros ou de outros encargos, recálculo de saldo, repetição de indébito, perdão ou redução da dívida. A prorrogação do MCR 2-6-4 se faz "aos mesmos encargos financeiros pactuados no instrumento de crédito": muda o prazo, não o preço.</w:t>
            </w:r>
          </w:p>
        </w:tc>
      </w:tr>
    </w:tbl>
    <w:p>
      <w:pPr>
        <w:spacing w:after="12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541"/>
        <w:gridCol w:w="4541"/>
      </w:tblGrid>
      <w:tr>
        <w:tc>
          <w:tcPr>
            <w:tcW w:type="dxa" w:w="9083"/>
            <w:gridSpan w:val="2"/>
            <w:shd w:val="clear" w:color="auto" w:fill="f6b26b"/>
          </w:tcPr>
          <w:p>
            <w:pPr>
              <w:spacing w:before="40" w:after="40" w:line="276" w:lineRule="auto"/>
              <w:jc w:val="center"/>
            </w:pPr>
            <w:r>
              <w:rPr>
                <w:rFonts w:ascii="Arial Narrow" w:hAnsi="Arial Narrow"/>
                <w:b/>
                <w:i w:val="0"/>
                <w:sz w:val="20"/>
              </w:rPr>
              <w:t>SUMÁRIO</w:t>
            </w:r>
          </w:p>
        </w:tc>
      </w:tr>
      <w:tr>
        <w:tc>
          <w:tcPr>
            <w:tcW w:type="dxa" w:w="908"/>
            <w:shd w:val="clear" w:color="auto" w:fill="f2f2f2"/>
          </w:tcPr>
          <w:p>
            <w:pPr>
              <w:spacing w:before="40" w:after="40" w:line="276" w:lineRule="auto"/>
              <w:jc w:val="center"/>
            </w:pPr>
            <w:r>
              <w:rPr>
                <w:rFonts w:ascii="Arial Narrow" w:hAnsi="Arial Narrow"/>
                <w:b/>
                <w:i w:val="0"/>
                <w:sz w:val="20"/>
              </w:rPr>
              <w:t>I</w:t>
            </w:r>
          </w:p>
        </w:tc>
        <w:tc>
          <w:tcPr>
            <w:tcW w:type="dxa" w:w="8175"/>
          </w:tcPr>
          <w:p>
            <w:pPr>
              <w:spacing w:before="40" w:after="40" w:line="276" w:lineRule="auto"/>
              <w:jc w:val="left"/>
            </w:pPr>
            <w:r>
              <w:rPr>
                <w:rFonts w:ascii="Arial Narrow" w:hAnsi="Arial Narrow"/>
                <w:b w:val="0"/>
                <w:i w:val="0"/>
                <w:sz w:val="20"/>
              </w:rPr>
              <w:t>Da delimitação do objeto</w:t>
            </w:r>
          </w:p>
        </w:tc>
      </w:tr>
      <w:tr>
        <w:tc>
          <w:tcPr>
            <w:tcW w:type="dxa" w:w="908"/>
            <w:shd w:val="clear" w:color="auto" w:fill="f2f2f2"/>
          </w:tcPr>
          <w:p>
            <w:pPr>
              <w:spacing w:before="40" w:after="40" w:line="276" w:lineRule="auto"/>
              <w:jc w:val="center"/>
            </w:pPr>
            <w:r>
              <w:rPr>
                <w:rFonts w:ascii="Arial Narrow" w:hAnsi="Arial Narrow"/>
                <w:b/>
                <w:i w:val="0"/>
                <w:sz w:val="20"/>
              </w:rPr>
              <w:t>II</w:t>
            </w:r>
          </w:p>
        </w:tc>
        <w:tc>
          <w:tcPr>
            <w:tcW w:type="dxa" w:w="8175"/>
          </w:tcPr>
          <w:p>
            <w:pPr>
              <w:spacing w:before="40" w:after="40" w:line="276" w:lineRule="auto"/>
              <w:jc w:val="left"/>
            </w:pPr>
            <w:r>
              <w:rPr>
                <w:rFonts w:ascii="Arial Narrow" w:hAnsi="Arial Narrow"/>
                <w:b w:val="0"/>
                <w:i w:val="0"/>
                <w:sz w:val="20"/>
              </w:rPr>
              <w:t>Dos fatos</w:t>
            </w:r>
          </w:p>
        </w:tc>
      </w:tr>
      <w:tr>
        <w:tc>
          <w:tcPr>
            <w:tcW w:type="dxa" w:w="908"/>
            <w:shd w:val="clear" w:color="auto" w:fill="f2f2f2"/>
          </w:tcPr>
          <w:p>
            <w:pPr>
              <w:spacing w:before="40" w:after="40" w:line="276" w:lineRule="auto"/>
              <w:jc w:val="center"/>
            </w:pPr>
            <w:r>
              <w:rPr>
                <w:rFonts w:ascii="Arial Narrow" w:hAnsi="Arial Narrow"/>
                <w:b/>
                <w:i w:val="0"/>
                <w:sz w:val="20"/>
              </w:rPr>
              <w:t>III</w:t>
            </w:r>
          </w:p>
        </w:tc>
        <w:tc>
          <w:tcPr>
            <w:tcW w:type="dxa" w:w="8175"/>
          </w:tcPr>
          <w:p>
            <w:pPr>
              <w:spacing w:before="40" w:after="40" w:line="276" w:lineRule="auto"/>
              <w:jc w:val="left"/>
            </w:pPr>
            <w:r>
              <w:rPr>
                <w:rFonts w:ascii="Arial Narrow" w:hAnsi="Arial Narrow"/>
                <w:b w:val="0"/>
                <w:i w:val="0"/>
                <w:sz w:val="20"/>
              </w:rPr>
              <w:t>Do direito à prorrogação</w:t>
            </w:r>
          </w:p>
        </w:tc>
      </w:tr>
      <w:tr>
        <w:tc>
          <w:tcPr>
            <w:tcW w:type="dxa" w:w="908"/>
            <w:shd w:val="clear" w:color="auto" w:fill="f2f2f2"/>
          </w:tcPr>
          <w:p>
            <w:pPr>
              <w:spacing w:before="40" w:after="40" w:line="276" w:lineRule="auto"/>
              <w:jc w:val="center"/>
            </w:pPr>
            <w:r>
              <w:rPr>
                <w:rFonts w:ascii="Arial Narrow" w:hAnsi="Arial Narrow"/>
                <w:b/>
                <w:i w:val="0"/>
                <w:sz w:val="20"/>
              </w:rPr>
              <w:t>IV</w:t>
            </w:r>
          </w:p>
        </w:tc>
        <w:tc>
          <w:tcPr>
            <w:tcW w:type="dxa" w:w="8175"/>
          </w:tcPr>
          <w:p>
            <w:pPr>
              <w:spacing w:before="40" w:after="40" w:line="276" w:lineRule="auto"/>
              <w:jc w:val="left"/>
            </w:pPr>
            <w:r>
              <w:rPr>
                <w:rFonts w:ascii="Arial Narrow" w:hAnsi="Arial Narrow"/>
                <w:b w:val="0"/>
                <w:i w:val="0"/>
                <w:sz w:val="20"/>
              </w:rPr>
              <w:t>Da tutela de urgência de natureza cautelar</w:t>
            </w:r>
          </w:p>
        </w:tc>
      </w:tr>
      <w:tr>
        <w:tc>
          <w:tcPr>
            <w:tcW w:type="dxa" w:w="908"/>
            <w:shd w:val="clear" w:color="auto" w:fill="f2f2f2"/>
          </w:tcPr>
          <w:p>
            <w:pPr>
              <w:spacing w:before="40" w:after="40" w:line="276" w:lineRule="auto"/>
              <w:jc w:val="center"/>
            </w:pPr>
            <w:r>
              <w:rPr>
                <w:rFonts w:ascii="Arial Narrow" w:hAnsi="Arial Narrow"/>
                <w:b/>
                <w:i w:val="0"/>
                <w:sz w:val="20"/>
              </w:rPr>
              <w:t>V</w:t>
            </w:r>
          </w:p>
        </w:tc>
        <w:tc>
          <w:tcPr>
            <w:tcW w:type="dxa" w:w="8175"/>
          </w:tcPr>
          <w:p>
            <w:pPr>
              <w:spacing w:before="40" w:after="40" w:line="276" w:lineRule="auto"/>
              <w:jc w:val="left"/>
            </w:pPr>
            <w:r>
              <w:rPr>
                <w:rFonts w:ascii="Arial Narrow" w:hAnsi="Arial Narrow"/>
                <w:b w:val="0"/>
                <w:i w:val="0"/>
                <w:sz w:val="20"/>
              </w:rPr>
              <w:t>Da distribuição do ônus da prova e da exibição de documentos</w:t>
            </w:r>
          </w:p>
        </w:tc>
      </w:tr>
      <w:tr>
        <w:tc>
          <w:tcPr>
            <w:tcW w:type="dxa" w:w="908"/>
            <w:shd w:val="clear" w:color="auto" w:fill="f2f2f2"/>
          </w:tcPr>
          <w:p>
            <w:pPr>
              <w:spacing w:before="40" w:after="40" w:line="276" w:lineRule="auto"/>
              <w:jc w:val="center"/>
            </w:pPr>
            <w:r>
              <w:rPr>
                <w:rFonts w:ascii="Arial Narrow" w:hAnsi="Arial Narrow"/>
                <w:b/>
                <w:i w:val="0"/>
                <w:sz w:val="20"/>
              </w:rPr>
              <w:t>VI</w:t>
            </w:r>
          </w:p>
        </w:tc>
        <w:tc>
          <w:tcPr>
            <w:tcW w:type="dxa" w:w="8175"/>
          </w:tcPr>
          <w:p>
            <w:pPr>
              <w:spacing w:before="40" w:after="40" w:line="276" w:lineRule="auto"/>
              <w:jc w:val="left"/>
            </w:pPr>
            <w:r>
              <w:rPr>
                <w:rFonts w:ascii="Arial Narrow" w:hAnsi="Arial Narrow"/>
                <w:b w:val="0"/>
                <w:i w:val="0"/>
                <w:sz w:val="20"/>
              </w:rPr>
              <w:t>Da gratuidade da justiça</w:t>
            </w:r>
          </w:p>
        </w:tc>
      </w:tr>
      <w:tr>
        <w:tc>
          <w:tcPr>
            <w:tcW w:type="dxa" w:w="908"/>
            <w:shd w:val="clear" w:color="auto" w:fill="f2f2f2"/>
          </w:tcPr>
          <w:p>
            <w:pPr>
              <w:spacing w:before="40" w:after="40" w:line="276" w:lineRule="auto"/>
              <w:jc w:val="center"/>
            </w:pPr>
            <w:r>
              <w:rPr>
                <w:rFonts w:ascii="Arial Narrow" w:hAnsi="Arial Narrow"/>
                <w:b/>
                <w:i w:val="0"/>
                <w:sz w:val="20"/>
              </w:rPr>
              <w:t>VII</w:t>
            </w:r>
          </w:p>
        </w:tc>
        <w:tc>
          <w:tcPr>
            <w:tcW w:type="dxa" w:w="8175"/>
          </w:tcPr>
          <w:p>
            <w:pPr>
              <w:spacing w:before="40" w:after="40" w:line="276" w:lineRule="auto"/>
              <w:jc w:val="left"/>
            </w:pPr>
            <w:r>
              <w:rPr>
                <w:rFonts w:ascii="Arial Narrow" w:hAnsi="Arial Narrow"/>
                <w:b w:val="0"/>
                <w:i w:val="0"/>
                <w:sz w:val="20"/>
              </w:rPr>
              <w:t>Dos pedidos</w:t>
            </w:r>
          </w:p>
        </w:tc>
      </w:tr>
      <w:tr>
        <w:tc>
          <w:tcPr>
            <w:tcW w:type="dxa" w:w="908"/>
            <w:shd w:val="clear" w:color="auto" w:fill="f2f2f2"/>
          </w:tcPr>
          <w:p>
            <w:pPr>
              <w:spacing w:before="40" w:after="40" w:line="276" w:lineRule="auto"/>
              <w:jc w:val="center"/>
            </w:pPr>
            <w:r>
              <w:rPr>
                <w:rFonts w:ascii="Arial Narrow" w:hAnsi="Arial Narrow"/>
                <w:b/>
                <w:i w:val="0"/>
                <w:sz w:val="20"/>
              </w:rPr>
              <w:t>VIII</w:t>
            </w:r>
          </w:p>
        </w:tc>
        <w:tc>
          <w:tcPr>
            <w:tcW w:type="dxa" w:w="8175"/>
          </w:tcPr>
          <w:p>
            <w:pPr>
              <w:spacing w:before="40" w:after="40" w:line="276" w:lineRule="auto"/>
              <w:jc w:val="left"/>
            </w:pPr>
            <w:r>
              <w:rPr>
                <w:rFonts w:ascii="Arial Narrow" w:hAnsi="Arial Narrow"/>
                <w:b w:val="0"/>
                <w:i w:val="0"/>
                <w:sz w:val="20"/>
              </w:rPr>
              <w:t>Do valor da causa</w:t>
            </w:r>
          </w:p>
        </w:tc>
      </w:tr>
    </w:tbl>
    <w:p>
      <w:pPr>
        <w:spacing w:after="120" w:before="0" w:line="240" w:lineRule="auto"/>
      </w:pPr>
      <w:r>
        <w:rPr>
          <w:rFonts w:ascii="Arial Narrow" w:hAnsi="Arial Narrow"/>
          <w:sz w:val="2"/>
        </w:rPr>
      </w:r>
    </w:p>
    <w:p>
      <w:pPr>
        <w:spacing w:after="8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6b26b"/>
          </w:tcPr>
          <w:p>
            <w:pPr>
              <w:spacing w:before="40" w:after="40" w:line="276" w:lineRule="auto"/>
              <w:jc w:val="left"/>
            </w:pPr>
            <w:r>
              <w:rPr>
                <w:rFonts w:ascii="Arial Narrow" w:hAnsi="Arial Narrow"/>
                <w:b/>
                <w:i w:val="0"/>
                <w:sz w:val="24"/>
              </w:rPr>
              <w:t>I. DA DELIMITAÇÃO DO OBJETO</w:t>
            </w:r>
          </w:p>
        </w:tc>
      </w:tr>
    </w:tbl>
    <w:p>
      <w:pPr>
        <w:spacing w:after="80" w:before="0" w:line="240" w:lineRule="auto"/>
      </w:pPr>
      <w:r>
        <w:rPr>
          <w:rFonts w:ascii="Arial Narrow" w:hAnsi="Arial Narrow"/>
          <w:sz w:val="2"/>
        </w:rPr>
      </w:r>
    </w:p>
    <w:p>
      <w:pPr>
        <w:spacing w:line="360" w:lineRule="auto" w:after="120"/>
        <w:jc w:val="both"/>
      </w:pPr>
      <w:r>
        <w:rPr>
          <w:rFonts w:ascii="Arial Narrow" w:hAnsi="Arial Narrow"/>
          <w:b w:val="0"/>
          <w:i w:val="0"/>
          <w:sz w:val="24"/>
        </w:rPr>
        <w:t>A demanda tem dois pedidos, de naturezas distintas e complementares, deduzidos conjuntamente como autoriza o art. 308, § 1º, do CPC:</w:t>
      </w:r>
    </w:p>
    <w:p>
      <w:pPr>
        <w:spacing w:line="360" w:lineRule="auto" w:after="120"/>
        <w:jc w:val="both"/>
      </w:pPr>
      <w:r>
        <w:rPr>
          <w:rFonts w:ascii="Arial Narrow" w:hAnsi="Arial Narrow"/>
          <w:b/>
          <w:i w:val="0"/>
          <w:sz w:val="24"/>
        </w:rPr>
        <w:t xml:space="preserve">a. Pedido cautelar. </w:t>
      </w:r>
      <w:r>
        <w:rPr>
          <w:rFonts w:ascii="Arial Narrow" w:hAnsi="Arial Narrow"/>
          <w:b w:val="0"/>
          <w:i w:val="0"/>
          <w:sz w:val="24"/>
        </w:rPr>
        <w:t>Suspender a exigibilidade das operações e os efeitos da mora enquanto se discute o direito à prorrogação, impedindo negativação, cobrança e constrição das garantias. É pedido de meio: preserva o resultado útil do processo, sem antecipar o mérito.</w:t>
      </w:r>
    </w:p>
    <w:p>
      <w:pPr>
        <w:spacing w:line="360" w:lineRule="auto" w:after="120"/>
        <w:jc w:val="both"/>
      </w:pPr>
      <w:r>
        <w:rPr>
          <w:rFonts w:ascii="Arial Narrow" w:hAnsi="Arial Narrow"/>
          <w:b/>
          <w:i w:val="0"/>
          <w:sz w:val="24"/>
        </w:rPr>
        <w:t xml:space="preserve">b. Pedido principal. </w:t>
      </w:r>
      <w:r>
        <w:rPr>
          <w:rFonts w:ascii="Arial Narrow" w:hAnsi="Arial Narrow"/>
          <w:b w:val="0"/>
          <w:i w:val="0"/>
          <w:sz w:val="24"/>
        </w:rPr>
        <w:t>Condenar o réu a prorrogar as operações de crédito rural descritas no tópico II, aos mesmos encargos financeiros pactuados, com os vencimentos readequados à capacidade de pagamento demonstrada em laudo técnico (MCR 2-6-1 e 2-6-4).</w:t>
      </w:r>
    </w:p>
    <w:p>
      <w:pPr>
        <w:spacing w:line="360" w:lineRule="auto" w:after="120"/>
        <w:jc w:val="both"/>
      </w:pPr>
      <w:r>
        <w:rPr>
          <w:rFonts w:ascii="Arial Narrow" w:hAnsi="Arial Narrow"/>
          <w:b w:val="0"/>
          <w:i w:val="0"/>
          <w:sz w:val="24"/>
        </w:rPr>
        <w:t>A ação não é revisional. Não se discute a taxa de juros, a capitalização ou qualquer outro encargo, não se pede recálculo de saldo e não se pede redução da dívida: o próprio item do Manual de Crédito Rural que fundamenta o pedido determina que a prorrogação se faça "aos mesmos encargos financeiros pactuados no instrumento de crédito". O que se altera é o cronograma de reembolso. Por isso não há valor incontroverso a depositar, nem perícia contábil a produzir sobre encargos.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028"/>
        <w:gridCol w:w="3028"/>
        <w:gridCol w:w="3028"/>
      </w:tblGrid>
      <w:tr>
        <w:tc>
          <w:tcPr>
            <w:tcW w:type="dxa" w:w="9084"/>
            <w:gridSpan w:val="3"/>
            <w:shd w:val="clear" w:color="auto" w:fill="f6b26b"/>
          </w:tcPr>
          <w:p>
            <w:pPr>
              <w:spacing w:before="40" w:after="40" w:line="276" w:lineRule="auto"/>
              <w:jc w:val="center"/>
            </w:pPr>
            <w:r>
              <w:rPr>
                <w:rFonts w:ascii="Arial Narrow" w:hAnsi="Arial Narrow"/>
                <w:b/>
                <w:i w:val="0"/>
                <w:sz w:val="20"/>
              </w:rPr>
              <w:t>PRORROGAÇÃO (MCR 2-6-4) × RENEGOCIAÇÃO</w:t>
            </w:r>
          </w:p>
        </w:tc>
      </w:tr>
      <w:tr>
        <w:tc>
          <w:tcPr>
            <w:tcW w:type="dxa" w:w="2180"/>
            <w:shd w:val="clear" w:color="auto" w:fill="f2f2f2"/>
          </w:tcPr>
          <w:p>
            <w:pPr>
              <w:spacing w:before="40" w:after="40" w:line="276" w:lineRule="auto"/>
              <w:jc w:val="center"/>
            </w:pPr>
            <w:r>
              <w:rPr>
                <w:rFonts w:ascii="Arial Narrow" w:hAnsi="Arial Narrow"/>
                <w:b/>
                <w:i w:val="0"/>
                <w:sz w:val="20"/>
              </w:rPr>
              <w:t>Aspecto</w:t>
            </w:r>
          </w:p>
        </w:tc>
        <w:tc>
          <w:tcPr>
            <w:tcW w:type="dxa" w:w="3452"/>
            <w:shd w:val="clear" w:color="auto" w:fill="dce6f1"/>
          </w:tcPr>
          <w:p>
            <w:pPr>
              <w:spacing w:before="40" w:after="40" w:line="276" w:lineRule="auto"/>
              <w:jc w:val="center"/>
            </w:pPr>
            <w:r>
              <w:rPr>
                <w:rFonts w:ascii="Arial Narrow" w:hAnsi="Arial Narrow"/>
                <w:b/>
                <w:i w:val="0"/>
                <w:sz w:val="20"/>
              </w:rPr>
              <w:t>Prorrogação (o que se pede)</w:t>
            </w:r>
          </w:p>
        </w:tc>
        <w:tc>
          <w:tcPr>
            <w:tcW w:type="dxa" w:w="3452"/>
            <w:shd w:val="clear" w:color="auto" w:fill="fce4d6"/>
          </w:tcPr>
          <w:p>
            <w:pPr>
              <w:spacing w:before="40" w:after="40" w:line="276" w:lineRule="auto"/>
              <w:jc w:val="center"/>
            </w:pPr>
            <w:r>
              <w:rPr>
                <w:rFonts w:ascii="Arial Narrow" w:hAnsi="Arial Narrow"/>
                <w:b/>
                <w:i w:val="0"/>
                <w:sz w:val="20"/>
              </w:rPr>
              <w:t>Renegociação (o que não se pede)</w:t>
            </w:r>
          </w:p>
        </w:tc>
      </w:tr>
      <w:tr>
        <w:tc>
          <w:tcPr>
            <w:tcW w:type="dxa" w:w="2180"/>
            <w:shd w:val="clear" w:color="auto" w:fill="f2f2f2"/>
          </w:tcPr>
          <w:p>
            <w:pPr>
              <w:spacing w:before="40" w:after="40" w:line="276" w:lineRule="auto"/>
              <w:jc w:val="left"/>
            </w:pPr>
            <w:r>
              <w:rPr>
                <w:rFonts w:ascii="Arial Narrow" w:hAnsi="Arial Narrow"/>
                <w:b/>
                <w:i w:val="0"/>
                <w:sz w:val="20"/>
              </w:rPr>
              <w:t>Objeto</w:t>
            </w:r>
          </w:p>
        </w:tc>
        <w:tc>
          <w:tcPr>
            <w:tcW w:type="dxa" w:w="3452"/>
          </w:tcPr>
          <w:p>
            <w:pPr>
              <w:spacing w:before="40" w:after="40" w:line="276" w:lineRule="auto"/>
              <w:jc w:val="left"/>
            </w:pPr>
            <w:r>
              <w:rPr>
                <w:rFonts w:ascii="Arial Narrow" w:hAnsi="Arial Narrow"/>
                <w:b w:val="0"/>
                <w:i w:val="0"/>
                <w:sz w:val="20"/>
              </w:rPr>
              <w:t>O prazo de reembolso da mesma operação</w:t>
            </w:r>
          </w:p>
        </w:tc>
        <w:tc>
          <w:tcPr>
            <w:tcW w:type="dxa" w:w="3452"/>
          </w:tcPr>
          <w:p>
            <w:pPr>
              <w:spacing w:before="40" w:after="40" w:line="276" w:lineRule="auto"/>
              <w:jc w:val="left"/>
            </w:pPr>
            <w:r>
              <w:rPr>
                <w:rFonts w:ascii="Arial Narrow" w:hAnsi="Arial Narrow"/>
                <w:b w:val="0"/>
                <w:i w:val="0"/>
                <w:sz w:val="20"/>
              </w:rPr>
              <w:t>Novo acordo sobre a dívida</w:t>
            </w:r>
          </w:p>
        </w:tc>
      </w:tr>
      <w:tr>
        <w:tc>
          <w:tcPr>
            <w:tcW w:type="dxa" w:w="2180"/>
            <w:shd w:val="clear" w:color="auto" w:fill="f2f2f2"/>
          </w:tcPr>
          <w:p>
            <w:pPr>
              <w:spacing w:before="40" w:after="40" w:line="276" w:lineRule="auto"/>
              <w:jc w:val="left"/>
            </w:pPr>
            <w:r>
              <w:rPr>
                <w:rFonts w:ascii="Arial Narrow" w:hAnsi="Arial Narrow"/>
                <w:b/>
                <w:i w:val="0"/>
                <w:sz w:val="20"/>
              </w:rPr>
              <w:t>Encargos</w:t>
            </w:r>
          </w:p>
        </w:tc>
        <w:tc>
          <w:tcPr>
            <w:tcW w:type="dxa" w:w="3452"/>
          </w:tcPr>
          <w:p>
            <w:pPr>
              <w:spacing w:before="40" w:after="40" w:line="276" w:lineRule="auto"/>
              <w:jc w:val="left"/>
            </w:pPr>
            <w:r>
              <w:rPr>
                <w:rFonts w:ascii="Arial Narrow" w:hAnsi="Arial Narrow"/>
                <w:b w:val="0"/>
                <w:i w:val="0"/>
                <w:sz w:val="20"/>
              </w:rPr>
              <w:t>Os mesmos pactuados no instrumento (MCR 2-6-4)</w:t>
            </w:r>
          </w:p>
        </w:tc>
        <w:tc>
          <w:tcPr>
            <w:tcW w:type="dxa" w:w="3452"/>
          </w:tcPr>
          <w:p>
            <w:pPr>
              <w:spacing w:before="40" w:after="40" w:line="276" w:lineRule="auto"/>
              <w:jc w:val="left"/>
            </w:pPr>
            <w:r>
              <w:rPr>
                <w:rFonts w:ascii="Arial Narrow" w:hAnsi="Arial Narrow"/>
                <w:b w:val="0"/>
                <w:i w:val="0"/>
                <w:sz w:val="20"/>
              </w:rPr>
              <w:t>Livremente redefinidos pelas partes</w:t>
            </w:r>
          </w:p>
        </w:tc>
      </w:tr>
      <w:tr>
        <w:tc>
          <w:tcPr>
            <w:tcW w:type="dxa" w:w="2180"/>
            <w:shd w:val="clear" w:color="auto" w:fill="f2f2f2"/>
          </w:tcPr>
          <w:p>
            <w:pPr>
              <w:spacing w:before="40" w:after="40" w:line="276" w:lineRule="auto"/>
              <w:jc w:val="left"/>
            </w:pPr>
            <w:r>
              <w:rPr>
                <w:rFonts w:ascii="Arial Narrow" w:hAnsi="Arial Narrow"/>
                <w:b/>
                <w:i w:val="0"/>
                <w:sz w:val="20"/>
              </w:rPr>
              <w:t>Fundamento</w:t>
            </w:r>
          </w:p>
        </w:tc>
        <w:tc>
          <w:tcPr>
            <w:tcW w:type="dxa" w:w="3452"/>
          </w:tcPr>
          <w:p>
            <w:pPr>
              <w:spacing w:before="40" w:after="40" w:line="276" w:lineRule="auto"/>
              <w:jc w:val="left"/>
            </w:pPr>
            <w:r>
              <w:rPr>
                <w:rFonts w:ascii="Arial Narrow" w:hAnsi="Arial Narrow"/>
                <w:b w:val="0"/>
                <w:i w:val="0"/>
                <w:sz w:val="20"/>
              </w:rPr>
              <w:t>MCR 2-6-4 e Súmula 298/STJ</w:t>
            </w:r>
          </w:p>
        </w:tc>
        <w:tc>
          <w:tcPr>
            <w:tcW w:type="dxa" w:w="3452"/>
          </w:tcPr>
          <w:p>
            <w:pPr>
              <w:spacing w:before="40" w:after="40" w:line="276" w:lineRule="auto"/>
              <w:jc w:val="left"/>
            </w:pPr>
            <w:r>
              <w:rPr>
                <w:rFonts w:ascii="Arial Narrow" w:hAnsi="Arial Narrow"/>
                <w:b w:val="0"/>
                <w:i w:val="0"/>
                <w:sz w:val="20"/>
              </w:rPr>
              <w:t>Autonomia da vontade</w:t>
            </w:r>
          </w:p>
        </w:tc>
      </w:tr>
      <w:tr>
        <w:tc>
          <w:tcPr>
            <w:tcW w:type="dxa" w:w="2180"/>
            <w:shd w:val="clear" w:color="auto" w:fill="f2f2f2"/>
          </w:tcPr>
          <w:p>
            <w:pPr>
              <w:spacing w:before="40" w:after="40" w:line="276" w:lineRule="auto"/>
              <w:jc w:val="left"/>
            </w:pPr>
            <w:r>
              <w:rPr>
                <w:rFonts w:ascii="Arial Narrow" w:hAnsi="Arial Narrow"/>
                <w:b/>
                <w:i w:val="0"/>
                <w:sz w:val="20"/>
              </w:rPr>
              <w:t>Formalização</w:t>
            </w:r>
          </w:p>
        </w:tc>
        <w:tc>
          <w:tcPr>
            <w:tcW w:type="dxa" w:w="3452"/>
          </w:tcPr>
          <w:p>
            <w:pPr>
              <w:spacing w:before="40" w:after="40" w:line="276" w:lineRule="auto"/>
              <w:jc w:val="left"/>
            </w:pPr>
            <w:r>
              <w:rPr>
                <w:rFonts w:ascii="Arial Narrow" w:hAnsi="Arial Narrow"/>
                <w:b w:val="0"/>
                <w:i w:val="0"/>
                <w:sz w:val="20"/>
              </w:rPr>
              <w:t>Anotação pelo credor no título, ainda que após o vencimento original (DL 167/67, art. 62)</w:t>
            </w:r>
          </w:p>
        </w:tc>
        <w:tc>
          <w:tcPr>
            <w:tcW w:type="dxa" w:w="3452"/>
          </w:tcPr>
          <w:p>
            <w:pPr>
              <w:spacing w:before="40" w:after="40" w:line="276" w:lineRule="auto"/>
              <w:jc w:val="left"/>
            </w:pPr>
            <w:r>
              <w:rPr>
                <w:rFonts w:ascii="Arial Narrow" w:hAnsi="Arial Narrow"/>
                <w:b w:val="0"/>
                <w:i w:val="0"/>
                <w:sz w:val="20"/>
              </w:rPr>
              <w:t>Novo instrumento ou aditivo</w:t>
            </w:r>
          </w:p>
        </w:tc>
      </w:tr>
      <w:tr>
        <w:tc>
          <w:tcPr>
            <w:tcW w:type="dxa" w:w="2180"/>
            <w:shd w:val="clear" w:color="auto" w:fill="ffe6e6"/>
          </w:tcPr>
          <w:p>
            <w:pPr>
              <w:spacing w:before="40" w:after="40" w:line="276" w:lineRule="auto"/>
              <w:jc w:val="left"/>
            </w:pPr>
            <w:r>
              <w:rPr>
                <w:rFonts w:ascii="Arial Narrow" w:hAnsi="Arial Narrow"/>
                <w:b/>
                <w:i w:val="0"/>
                <w:sz w:val="20"/>
              </w:rPr>
              <w:t>CONFUSÃO A EVITAR</w:t>
            </w:r>
          </w:p>
        </w:tc>
        <w:tc>
          <w:tcPr>
            <w:tcW w:type="dxa" w:w="3452"/>
            <w:shd w:val="clear" w:color="auto" w:fill="ffe6e6"/>
          </w:tcPr>
          <w:p>
            <w:pPr>
              <w:spacing w:before="40" w:after="40" w:line="276" w:lineRule="auto"/>
              <w:jc w:val="left"/>
            </w:pPr>
            <w:r>
              <w:rPr>
                <w:rFonts w:ascii="Arial Narrow" w:hAnsi="Arial Narrow"/>
                <w:b w:val="0"/>
                <w:i/>
                <w:sz w:val="20"/>
              </w:rPr>
              <w:t>Ler o pedido de prorrogação como pedido de revisão de encargos</w:t>
            </w:r>
          </w:p>
        </w:tc>
        <w:tc>
          <w:tcPr>
            <w:tcW w:type="dxa" w:w="3452"/>
            <w:shd w:val="clear" w:color="auto" w:fill="ffe6e6"/>
          </w:tcPr>
          <w:p>
            <w:pPr>
              <w:spacing w:before="40" w:after="40" w:line="276" w:lineRule="auto"/>
              <w:jc w:val="left"/>
            </w:pPr>
            <w:r>
              <w:rPr>
                <w:rFonts w:ascii="Arial Narrow" w:hAnsi="Arial Narrow"/>
                <w:b w:val="0"/>
                <w:i/>
                <w:sz w:val="20"/>
              </w:rPr>
              <w:t>A prorrogação mantém os encargos por força do próprio MCR 2-6-4</w:t>
            </w:r>
          </w:p>
        </w:tc>
      </w:tr>
    </w:tbl>
    <w:p>
      <w:pPr>
        <w:spacing w:after="120" w:before="0" w:line="240" w:lineRule="auto"/>
      </w:pPr>
      <w:r>
        <w:rPr>
          <w:rFonts w:ascii="Arial Narrow" w:hAnsi="Arial Narrow"/>
          <w:sz w:val="2"/>
        </w:rPr>
      </w:r>
    </w:p>
    <w:p>
      <w:pPr>
        <w:spacing w:after="8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6b26b"/>
          </w:tcPr>
          <w:p>
            <w:pPr>
              <w:spacing w:before="40" w:after="40" w:line="276" w:lineRule="auto"/>
              <w:jc w:val="left"/>
            </w:pPr>
            <w:r>
              <w:rPr>
                <w:rFonts w:ascii="Arial Narrow" w:hAnsi="Arial Narrow"/>
                <w:b/>
                <w:i w:val="0"/>
                <w:sz w:val="24"/>
              </w:rPr>
              <w:t>II. DOS FATOS E DAS PROVAS</w:t>
            </w:r>
          </w:p>
        </w:tc>
      </w:tr>
    </w:tbl>
    <w:p>
      <w:pPr>
        <w:spacing w:after="80" w:before="0" w:line="240" w:lineRule="auto"/>
      </w:pPr>
      <w:r>
        <w:rPr>
          <w:rFonts w:ascii="Arial Narrow" w:hAnsi="Arial Narrow"/>
          <w:sz w:val="2"/>
        </w:rPr>
      </w:r>
    </w:p>
    <w:p>
      <w:pPr>
        <w:spacing w:line="360" w:lineRule="auto" w:after="120"/>
        <w:jc w:val="both"/>
      </w:pPr>
      <w:r>
        <w:rPr>
          <w:rFonts w:ascii="Arial Narrow" w:hAnsi="Arial Narrow"/>
          <w:b w:val="0"/>
          <w:i w:val="0"/>
          <w:sz w:val="24"/>
        </w:rPr>
        <w:t>Os fatos desta ação estão nos documentos, e por isso são apresentados pelas próprias provas: cada uma traz o recorte do documento, a transcrição do trecho relevante e o que ela demonstra. O índice abaixo resume o que está nos autos e para que serve cada documento.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271"/>
        <w:gridCol w:w="2271"/>
        <w:gridCol w:w="2271"/>
        <w:gridCol w:w="2271"/>
      </w:tblGrid>
      <w:tr>
        <w:tc>
          <w:tcPr>
            <w:tcW w:type="dxa" w:w="9082"/>
            <w:gridSpan w:val="4"/>
            <w:shd w:val="clear" w:color="auto" w:fill="f6b26b"/>
          </w:tcPr>
          <w:p>
            <w:pPr>
              <w:spacing w:before="40" w:after="40" w:line="276" w:lineRule="auto"/>
              <w:jc w:val="center"/>
            </w:pPr>
            <w:r>
              <w:rPr>
                <w:rFonts w:ascii="Arial Narrow" w:hAnsi="Arial Narrow"/>
                <w:b/>
                <w:i w:val="0"/>
                <w:sz w:val="20"/>
              </w:rPr>
              <w:t>ÍNDICE DAS PROVAS: O QUE ESTÁ NOS AUTOS E O QUE CADA DOCUMENTO DEMONSTRA</w:t>
            </w:r>
          </w:p>
        </w:tc>
      </w:tr>
      <w:tr>
        <w:tc>
          <w:tcPr>
            <w:tcW w:type="dxa" w:w="817"/>
            <w:shd w:val="clear" w:color="auto" w:fill="f2f2f2"/>
          </w:tcPr>
          <w:p>
            <w:pPr>
              <w:spacing w:before="40" w:after="40" w:line="276" w:lineRule="auto"/>
              <w:jc w:val="center"/>
            </w:pPr>
            <w:r>
              <w:rPr>
                <w:rFonts w:ascii="Arial Narrow" w:hAnsi="Arial Narrow"/>
                <w:b/>
                <w:i w:val="0"/>
                <w:sz w:val="20"/>
              </w:rPr>
              <w:t>Prova</w:t>
            </w:r>
          </w:p>
        </w:tc>
        <w:tc>
          <w:tcPr>
            <w:tcW w:type="dxa" w:w="2634"/>
            <w:shd w:val="clear" w:color="auto" w:fill="f2f2f2"/>
          </w:tcPr>
          <w:p>
            <w:pPr>
              <w:spacing w:before="40" w:after="40" w:line="276" w:lineRule="auto"/>
              <w:jc w:val="center"/>
            </w:pPr>
            <w:r>
              <w:rPr>
                <w:rFonts w:ascii="Arial Narrow" w:hAnsi="Arial Narrow"/>
                <w:b/>
                <w:i w:val="0"/>
                <w:sz w:val="20"/>
              </w:rPr>
              <w:t>Documento</w:t>
            </w:r>
          </w:p>
        </w:tc>
        <w:tc>
          <w:tcPr>
            <w:tcW w:type="dxa" w:w="3633"/>
            <w:shd w:val="clear" w:color="auto" w:fill="f2f2f2"/>
          </w:tcPr>
          <w:p>
            <w:pPr>
              <w:spacing w:before="40" w:after="40" w:line="276" w:lineRule="auto"/>
              <w:jc w:val="center"/>
            </w:pPr>
            <w:r>
              <w:rPr>
                <w:rFonts w:ascii="Arial Narrow" w:hAnsi="Arial Narrow"/>
                <w:b/>
                <w:i w:val="0"/>
                <w:sz w:val="20"/>
              </w:rPr>
              <w:t>O que demonstra</w:t>
            </w:r>
          </w:p>
        </w:tc>
        <w:tc>
          <w:tcPr>
            <w:tcW w:type="dxa" w:w="1998"/>
            <w:shd w:val="clear" w:color="auto" w:fill="f2f2f2"/>
          </w:tcPr>
          <w:p>
            <w:pPr>
              <w:spacing w:before="40" w:after="40" w:line="276" w:lineRule="auto"/>
              <w:jc w:val="center"/>
            </w:pPr>
            <w:r>
              <w:rPr>
                <w:rFonts w:ascii="Arial Narrow" w:hAnsi="Arial Narrow"/>
                <w:b/>
                <w:i w:val="0"/>
                <w:sz w:val="20"/>
              </w:rPr>
              <w:t>Requisito · tópico</w:t>
            </w:r>
          </w:p>
        </w:tc>
      </w:tr>
      <w:tr>
        <w:tc>
          <w:tcPr>
            <w:tcW w:type="dxa" w:w="817"/>
            <w:shd w:val="clear" w:color="auto" w:fill="dce6f1"/>
          </w:tcPr>
          <w:p>
            <w:pPr>
              <w:spacing w:before="40" w:after="40" w:line="276" w:lineRule="auto"/>
              <w:jc w:val="center"/>
            </w:pPr>
            <w:r>
              <w:rPr>
                <w:rFonts w:ascii="Arial Narrow" w:hAnsi="Arial Narrow"/>
                <w:b/>
                <w:i w:val="0"/>
                <w:sz w:val="20"/>
              </w:rPr>
              <w:t>01</w:t>
            </w:r>
          </w:p>
        </w:tc>
        <w:tc>
          <w:tcPr>
            <w:tcW w:type="dxa" w:w="2634"/>
          </w:tcPr>
          <w:p>
            <w:pPr>
              <w:spacing w:before="40" w:after="40" w:line="276" w:lineRule="auto"/>
              <w:jc w:val="left"/>
            </w:pPr>
            <w:r>
              <w:rPr>
                <w:rFonts w:ascii="Arial Narrow" w:hAnsi="Arial Narrow"/>
                <w:b w:val="0"/>
                <w:i w:val="0"/>
                <w:sz w:val="18"/>
              </w:rPr>
              <w:t xml:space="preserve">Cédula rural · Imagem 01,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Linha de crédito, fonte de recursos e finalidade rural da operação</w:t>
            </w:r>
          </w:p>
        </w:tc>
        <w:tc>
          <w:tcPr>
            <w:tcW w:type="dxa" w:w="1998"/>
          </w:tcPr>
          <w:p>
            <w:pPr>
              <w:spacing w:before="40" w:after="40" w:line="276" w:lineRule="auto"/>
              <w:jc w:val="left"/>
            </w:pPr>
            <w:r>
              <w:rPr>
                <w:rFonts w:ascii="Arial Narrow" w:hAnsi="Arial Narrow"/>
                <w:b w:val="0"/>
                <w:i w:val="0"/>
                <w:sz w:val="18"/>
              </w:rPr>
              <w:t>Enquadramento da linha · III.1-A e III.2</w:t>
            </w:r>
          </w:p>
        </w:tc>
      </w:tr>
      <w:tr>
        <w:tc>
          <w:tcPr>
            <w:tcW w:type="dxa" w:w="817"/>
            <w:shd w:val="clear" w:color="auto" w:fill="dce6f1"/>
          </w:tcPr>
          <w:p>
            <w:pPr>
              <w:spacing w:before="40" w:after="40" w:line="276" w:lineRule="auto"/>
              <w:jc w:val="center"/>
            </w:pPr>
            <w:r>
              <w:rPr>
                <w:rFonts w:ascii="Arial Narrow" w:hAnsi="Arial Narrow"/>
                <w:b/>
                <w:i w:val="0"/>
                <w:sz w:val="20"/>
              </w:rPr>
              <w:t>02</w:t>
            </w:r>
          </w:p>
        </w:tc>
        <w:tc>
          <w:tcPr>
            <w:tcW w:type="dxa" w:w="2634"/>
          </w:tcPr>
          <w:p>
            <w:pPr>
              <w:spacing w:before="40" w:after="40" w:line="276" w:lineRule="auto"/>
              <w:jc w:val="left"/>
            </w:pPr>
            <w:r>
              <w:rPr>
                <w:rFonts w:ascii="Arial Narrow" w:hAnsi="Arial Narrow"/>
                <w:b w:val="0"/>
                <w:i w:val="0"/>
                <w:sz w:val="18"/>
              </w:rPr>
              <w:t xml:space="preserve">Cédula rural · Imagem 02,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Data de vencimento contratada, que define se o pedido foi antes ou depois</w:t>
            </w:r>
          </w:p>
        </w:tc>
        <w:tc>
          <w:tcPr>
            <w:tcW w:type="dxa" w:w="1998"/>
          </w:tcPr>
          <w:p>
            <w:pPr>
              <w:spacing w:before="40" w:after="40" w:line="276" w:lineRule="auto"/>
              <w:jc w:val="left"/>
            </w:pPr>
            <w:r>
              <w:rPr>
                <w:rFonts w:ascii="Arial Narrow" w:hAnsi="Arial Narrow"/>
                <w:b w:val="0"/>
                <w:i w:val="0"/>
                <w:sz w:val="18"/>
              </w:rPr>
              <w:t>Data do vencimento · linha do tempo · III.2</w:t>
            </w:r>
          </w:p>
        </w:tc>
      </w:tr>
      <w:tr>
        <w:tc>
          <w:tcPr>
            <w:tcW w:type="dxa" w:w="817"/>
            <w:shd w:val="clear" w:color="auto" w:fill="dce6f1"/>
          </w:tcPr>
          <w:p>
            <w:pPr>
              <w:spacing w:before="40" w:after="40" w:line="276" w:lineRule="auto"/>
              <w:jc w:val="center"/>
            </w:pPr>
            <w:r>
              <w:rPr>
                <w:rFonts w:ascii="Arial Narrow" w:hAnsi="Arial Narrow"/>
                <w:b/>
                <w:i w:val="0"/>
                <w:sz w:val="20"/>
              </w:rPr>
              <w:t>03</w:t>
            </w:r>
          </w:p>
        </w:tc>
        <w:tc>
          <w:tcPr>
            <w:tcW w:type="dxa" w:w="2634"/>
          </w:tcPr>
          <w:p>
            <w:pPr>
              <w:spacing w:before="40" w:after="40" w:line="276" w:lineRule="auto"/>
              <w:jc w:val="left"/>
            </w:pPr>
            <w:r>
              <w:rPr>
                <w:rFonts w:ascii="Arial Narrow" w:hAnsi="Arial Narrow"/>
                <w:b w:val="0"/>
                <w:i w:val="0"/>
                <w:sz w:val="18"/>
              </w:rPr>
              <w:t xml:space="preserve">Cédula rural · Imagem 03,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Garantias reais que permanecem íntegras durante a suspensão</w:t>
            </w:r>
          </w:p>
        </w:tc>
        <w:tc>
          <w:tcPr>
            <w:tcW w:type="dxa" w:w="1998"/>
          </w:tcPr>
          <w:p>
            <w:pPr>
              <w:spacing w:before="40" w:after="40" w:line="276" w:lineRule="auto"/>
              <w:jc w:val="left"/>
            </w:pPr>
            <w:r>
              <w:rPr>
                <w:rFonts w:ascii="Arial Narrow" w:hAnsi="Arial Narrow"/>
                <w:b w:val="0"/>
                <w:i w:val="0"/>
                <w:sz w:val="18"/>
              </w:rPr>
              <w:t>Reversibilidade e caução · IV</w:t>
            </w:r>
          </w:p>
        </w:tc>
      </w:tr>
      <w:tr>
        <w:tc>
          <w:tcPr>
            <w:tcW w:type="dxa" w:w="817"/>
            <w:shd w:val="clear" w:color="auto" w:fill="dce6f1"/>
          </w:tcPr>
          <w:p>
            <w:pPr>
              <w:spacing w:before="40" w:after="40" w:line="276" w:lineRule="auto"/>
              <w:jc w:val="center"/>
            </w:pPr>
            <w:r>
              <w:rPr>
                <w:rFonts w:ascii="Arial Narrow" w:hAnsi="Arial Narrow"/>
                <w:b/>
                <w:i w:val="0"/>
                <w:sz w:val="20"/>
              </w:rPr>
              <w:t>04</w:t>
            </w:r>
          </w:p>
        </w:tc>
        <w:tc>
          <w:tcPr>
            <w:tcW w:type="dxa" w:w="2634"/>
          </w:tcPr>
          <w:p>
            <w:pPr>
              <w:spacing w:before="40" w:after="40" w:line="276" w:lineRule="auto"/>
              <w:jc w:val="left"/>
            </w:pPr>
            <w:r>
              <w:rPr>
                <w:rFonts w:ascii="Arial Narrow" w:hAnsi="Arial Narrow"/>
                <w:b w:val="0"/>
                <w:i w:val="0"/>
                <w:sz w:val="18"/>
              </w:rPr>
              <w:t xml:space="preserve">Cédula rural · Imagem 04,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Qual assistência técnica o próprio título previu</w:t>
            </w:r>
          </w:p>
        </w:tc>
        <w:tc>
          <w:tcPr>
            <w:tcW w:type="dxa" w:w="1998"/>
          </w:tcPr>
          <w:p>
            <w:pPr>
              <w:spacing w:before="40" w:after="40" w:line="276" w:lineRule="auto"/>
              <w:jc w:val="left"/>
            </w:pPr>
            <w:r>
              <w:rPr>
                <w:rFonts w:ascii="Arial Narrow" w:hAnsi="Arial Narrow"/>
                <w:b w:val="0"/>
                <w:i w:val="0"/>
                <w:sz w:val="18"/>
              </w:rPr>
              <w:t>Análise técnica e exibição · III.4 e V</w:t>
            </w:r>
          </w:p>
        </w:tc>
      </w:tr>
      <w:tr>
        <w:tc>
          <w:tcPr>
            <w:tcW w:type="dxa" w:w="817"/>
            <w:shd w:val="clear" w:color="auto" w:fill="dce6f1"/>
          </w:tcPr>
          <w:p>
            <w:pPr>
              <w:spacing w:before="40" w:after="40" w:line="276" w:lineRule="auto"/>
              <w:jc w:val="center"/>
            </w:pPr>
            <w:r>
              <w:rPr>
                <w:rFonts w:ascii="Arial Narrow" w:hAnsi="Arial Narrow"/>
                <w:b/>
                <w:i w:val="0"/>
                <w:sz w:val="20"/>
              </w:rPr>
              <w:t>05</w:t>
            </w:r>
          </w:p>
        </w:tc>
        <w:tc>
          <w:tcPr>
            <w:tcW w:type="dxa" w:w="2634"/>
          </w:tcPr>
          <w:p>
            <w:pPr>
              <w:spacing w:before="40" w:after="40" w:line="276" w:lineRule="auto"/>
              <w:jc w:val="left"/>
            </w:pPr>
            <w:r>
              <w:rPr>
                <w:rFonts w:ascii="Arial Narrow" w:hAnsi="Arial Narrow"/>
                <w:b w:val="0"/>
                <w:i w:val="0"/>
                <w:sz w:val="18"/>
              </w:rPr>
              <w:t>Aditivo / boleto de entrada · Imagem 05</w:t>
            </w:r>
          </w:p>
        </w:tc>
        <w:tc>
          <w:tcPr>
            <w:tcW w:type="dxa" w:w="3633"/>
          </w:tcPr>
          <w:p>
            <w:pPr>
              <w:spacing w:before="40" w:after="40" w:line="276" w:lineRule="auto"/>
              <w:jc w:val="left"/>
            </w:pPr>
            <w:r>
              <w:rPr>
                <w:rFonts w:ascii="Arial Narrow" w:hAnsi="Arial Narrow"/>
                <w:b w:val="0"/>
                <w:i w:val="0"/>
                <w:sz w:val="18"/>
              </w:rPr>
              <w:t>O banco já reconheceu a dificuldade e fixou novo vencimento</w:t>
            </w:r>
          </w:p>
        </w:tc>
        <w:tc>
          <w:tcPr>
            <w:tcW w:type="dxa" w:w="1998"/>
          </w:tcPr>
          <w:p>
            <w:pPr>
              <w:spacing w:before="40" w:after="40" w:line="276" w:lineRule="auto"/>
              <w:jc w:val="left"/>
            </w:pPr>
            <w:r>
              <w:rPr>
                <w:rFonts w:ascii="Arial Narrow" w:hAnsi="Arial Narrow"/>
                <w:b w:val="0"/>
                <w:i w:val="0"/>
                <w:sz w:val="18"/>
              </w:rPr>
              <w:t>Tempestividade pelo vencimento renegociado · III.2</w:t>
            </w:r>
          </w:p>
        </w:tc>
      </w:tr>
      <w:tr>
        <w:tc>
          <w:tcPr>
            <w:tcW w:type="dxa" w:w="817"/>
            <w:shd w:val="clear" w:color="auto" w:fill="dce6f1"/>
          </w:tcPr>
          <w:p>
            <w:pPr>
              <w:spacing w:before="40" w:after="40" w:line="276" w:lineRule="auto"/>
              <w:jc w:val="center"/>
            </w:pPr>
            <w:r>
              <w:rPr>
                <w:rFonts w:ascii="Arial Narrow" w:hAnsi="Arial Narrow"/>
                <w:b/>
                <w:i w:val="0"/>
                <w:sz w:val="20"/>
              </w:rPr>
              <w:t>06</w:t>
            </w:r>
          </w:p>
        </w:tc>
        <w:tc>
          <w:tcPr>
            <w:tcW w:type="dxa" w:w="2634"/>
          </w:tcPr>
          <w:p>
            <w:pPr>
              <w:spacing w:before="40" w:after="40" w:line="276" w:lineRule="auto"/>
              <w:jc w:val="left"/>
            </w:pPr>
            <w:r>
              <w:rPr>
                <w:rFonts w:ascii="Arial Narrow" w:hAnsi="Arial Narrow"/>
                <w:b w:val="0"/>
                <w:i w:val="0"/>
                <w:sz w:val="18"/>
              </w:rPr>
              <w:t xml:space="preserve">Decreto nº </w:t>
            </w:r>
            <w:r>
              <w:rPr>
                <w:rFonts w:ascii="Arial Narrow" w:hAnsi="Arial Narrow"/>
                <w:b w:val="0"/>
                <w:i w:val="0"/>
                <w:sz w:val="18"/>
                <w:highlight w:val="yellow"/>
              </w:rPr>
              <w:t>[[…]]</w:t>
            </w:r>
            <w:r>
              <w:rPr>
                <w:rFonts w:ascii="Arial Narrow" w:hAnsi="Arial Narrow"/>
                <w:b w:val="0"/>
                <w:i w:val="0"/>
                <w:sz w:val="18"/>
              </w:rPr>
              <w:t xml:space="preserve"> · Imagem 06</w:t>
            </w:r>
          </w:p>
        </w:tc>
        <w:tc>
          <w:tcPr>
            <w:tcW w:type="dxa" w:w="3633"/>
          </w:tcPr>
          <w:p>
            <w:pPr>
              <w:spacing w:before="40" w:after="40" w:line="276" w:lineRule="auto"/>
              <w:jc w:val="left"/>
            </w:pPr>
            <w:r>
              <w:rPr>
                <w:rFonts w:ascii="Arial Narrow" w:hAnsi="Arial Narrow"/>
                <w:b w:val="0"/>
                <w:i w:val="0"/>
                <w:sz w:val="18"/>
              </w:rPr>
              <w:t>Evento adverso reconhecido pelo Poder Público, com período e área</w:t>
            </w:r>
          </w:p>
        </w:tc>
        <w:tc>
          <w:tcPr>
            <w:tcW w:type="dxa" w:w="1998"/>
          </w:tcPr>
          <w:p>
            <w:pPr>
              <w:spacing w:before="40" w:after="40" w:line="276" w:lineRule="auto"/>
              <w:jc w:val="left"/>
            </w:pPr>
            <w:r>
              <w:rPr>
                <w:rFonts w:ascii="Arial Narrow" w:hAnsi="Arial Narrow"/>
                <w:b w:val="0"/>
                <w:i w:val="0"/>
                <w:sz w:val="18"/>
              </w:rPr>
              <w:t>Evento adverso oficial · MCR 2-6-4, "b" ou "c"</w:t>
            </w:r>
          </w:p>
        </w:tc>
      </w:tr>
      <w:tr>
        <w:tc>
          <w:tcPr>
            <w:tcW w:type="dxa" w:w="817"/>
            <w:shd w:val="clear" w:color="auto" w:fill="dce6f1"/>
          </w:tcPr>
          <w:p>
            <w:pPr>
              <w:spacing w:before="40" w:after="40" w:line="276" w:lineRule="auto"/>
              <w:jc w:val="center"/>
            </w:pPr>
            <w:r>
              <w:rPr>
                <w:rFonts w:ascii="Arial Narrow" w:hAnsi="Arial Narrow"/>
                <w:b/>
                <w:i w:val="0"/>
                <w:sz w:val="20"/>
              </w:rPr>
              <w:t>07</w:t>
            </w:r>
          </w:p>
        </w:tc>
        <w:tc>
          <w:tcPr>
            <w:tcW w:type="dxa" w:w="2634"/>
          </w:tcPr>
          <w:p>
            <w:pPr>
              <w:spacing w:before="40" w:after="40" w:line="276" w:lineRule="auto"/>
              <w:jc w:val="left"/>
            </w:pPr>
            <w:r>
              <w:rPr>
                <w:rFonts w:ascii="Arial Narrow" w:hAnsi="Arial Narrow"/>
                <w:b w:val="0"/>
                <w:i w:val="0"/>
                <w:sz w:val="18"/>
              </w:rPr>
              <w:t>INMET / índice de vegetação (NDVI) · Imagem 07</w:t>
            </w:r>
          </w:p>
        </w:tc>
        <w:tc>
          <w:tcPr>
            <w:tcW w:type="dxa" w:w="3633"/>
          </w:tcPr>
          <w:p>
            <w:pPr>
              <w:spacing w:before="40" w:after="40" w:line="276" w:lineRule="auto"/>
              <w:jc w:val="left"/>
            </w:pPr>
            <w:r>
              <w:rPr>
                <w:rFonts w:ascii="Arial Narrow" w:hAnsi="Arial Narrow"/>
                <w:b w:val="0"/>
                <w:i w:val="0"/>
                <w:sz w:val="18"/>
              </w:rPr>
              <w:t>Chuva, temperatura ou vigor da vegetação fora da média no período</w:t>
            </w:r>
          </w:p>
        </w:tc>
        <w:tc>
          <w:tcPr>
            <w:tcW w:type="dxa" w:w="1998"/>
          </w:tcPr>
          <w:p>
            <w:pPr>
              <w:spacing w:before="40" w:after="40" w:line="276" w:lineRule="auto"/>
              <w:jc w:val="left"/>
            </w:pPr>
            <w:r>
              <w:rPr>
                <w:rFonts w:ascii="Arial Narrow" w:hAnsi="Arial Narrow"/>
                <w:b w:val="0"/>
                <w:i w:val="0"/>
                <w:sz w:val="18"/>
              </w:rPr>
              <w:t>Intensidade do evento · III.3</w:t>
            </w:r>
          </w:p>
        </w:tc>
      </w:tr>
      <w:tr>
        <w:tc>
          <w:tcPr>
            <w:tcW w:type="dxa" w:w="817"/>
            <w:shd w:val="clear" w:color="auto" w:fill="dce6f1"/>
          </w:tcPr>
          <w:p>
            <w:pPr>
              <w:spacing w:before="40" w:after="40" w:line="276" w:lineRule="auto"/>
              <w:jc w:val="center"/>
            </w:pPr>
            <w:r>
              <w:rPr>
                <w:rFonts w:ascii="Arial Narrow" w:hAnsi="Arial Narrow"/>
                <w:b/>
                <w:i w:val="0"/>
                <w:sz w:val="20"/>
              </w:rPr>
              <w:t>08</w:t>
            </w:r>
          </w:p>
        </w:tc>
        <w:tc>
          <w:tcPr>
            <w:tcW w:type="dxa" w:w="2634"/>
          </w:tcPr>
          <w:p>
            <w:pPr>
              <w:spacing w:before="40" w:after="40" w:line="276" w:lineRule="auto"/>
              <w:jc w:val="left"/>
            </w:pPr>
            <w:r>
              <w:rPr>
                <w:rFonts w:ascii="Arial Narrow" w:hAnsi="Arial Narrow"/>
                <w:b w:val="0"/>
                <w:i w:val="0"/>
                <w:sz w:val="18"/>
              </w:rPr>
              <w:t>Cotação oficial (CEPEA/CONAB) · Imagem 08</w:t>
            </w:r>
          </w:p>
        </w:tc>
        <w:tc>
          <w:tcPr>
            <w:tcW w:type="dxa" w:w="3633"/>
          </w:tcPr>
          <w:p>
            <w:pPr>
              <w:spacing w:before="40" w:after="40" w:line="276" w:lineRule="auto"/>
              <w:jc w:val="left"/>
            </w:pPr>
            <w:r>
              <w:rPr>
                <w:rFonts w:ascii="Arial Narrow" w:hAnsi="Arial Narrow"/>
                <w:b w:val="0"/>
                <w:i w:val="0"/>
                <w:sz w:val="18"/>
              </w:rPr>
              <w:t>Queda do preço de venda entre a contratação e a comercialização</w:t>
            </w:r>
          </w:p>
        </w:tc>
        <w:tc>
          <w:tcPr>
            <w:tcW w:type="dxa" w:w="1998"/>
          </w:tcPr>
          <w:p>
            <w:pPr>
              <w:spacing w:before="40" w:after="40" w:line="276" w:lineRule="auto"/>
              <w:jc w:val="left"/>
            </w:pPr>
            <w:r>
              <w:rPr>
                <w:rFonts w:ascii="Arial Narrow" w:hAnsi="Arial Narrow"/>
                <w:b w:val="0"/>
                <w:i w:val="0"/>
                <w:sz w:val="18"/>
              </w:rPr>
              <w:t>Dificuldade de comercialização · MCR 2-6-4, "a"</w:t>
            </w:r>
          </w:p>
        </w:tc>
      </w:tr>
      <w:tr>
        <w:tc>
          <w:tcPr>
            <w:tcW w:type="dxa" w:w="817"/>
            <w:shd w:val="clear" w:color="auto" w:fill="dce6f1"/>
          </w:tcPr>
          <w:p>
            <w:pPr>
              <w:spacing w:before="40" w:after="40" w:line="276" w:lineRule="auto"/>
              <w:jc w:val="center"/>
            </w:pPr>
            <w:r>
              <w:rPr>
                <w:rFonts w:ascii="Arial Narrow" w:hAnsi="Arial Narrow"/>
                <w:b/>
                <w:i w:val="0"/>
                <w:sz w:val="20"/>
              </w:rPr>
              <w:t>09</w:t>
            </w:r>
          </w:p>
        </w:tc>
        <w:tc>
          <w:tcPr>
            <w:tcW w:type="dxa" w:w="2634"/>
          </w:tcPr>
          <w:p>
            <w:pPr>
              <w:spacing w:before="40" w:after="40" w:line="276" w:lineRule="auto"/>
              <w:jc w:val="left"/>
            </w:pPr>
            <w:r>
              <w:rPr>
                <w:rFonts w:ascii="Arial Narrow" w:hAnsi="Arial Narrow"/>
                <w:b w:val="0"/>
                <w:i w:val="0"/>
                <w:sz w:val="18"/>
              </w:rPr>
              <w:t>Fotografias com data e localização · Imagem 09</w:t>
            </w:r>
          </w:p>
        </w:tc>
        <w:tc>
          <w:tcPr>
            <w:tcW w:type="dxa" w:w="3633"/>
          </w:tcPr>
          <w:p>
            <w:pPr>
              <w:spacing w:before="40" w:after="40" w:line="276" w:lineRule="auto"/>
              <w:jc w:val="left"/>
            </w:pPr>
            <w:r>
              <w:rPr>
                <w:rFonts w:ascii="Arial Narrow" w:hAnsi="Arial Narrow"/>
                <w:b w:val="0"/>
                <w:i w:val="0"/>
                <w:sz w:val="18"/>
              </w:rPr>
              <w:t>Pastagem, lavoura ou rebanho atingidos, na própria propriedade</w:t>
            </w:r>
          </w:p>
        </w:tc>
        <w:tc>
          <w:tcPr>
            <w:tcW w:type="dxa" w:w="1998"/>
          </w:tcPr>
          <w:p>
            <w:pPr>
              <w:spacing w:before="40" w:after="40" w:line="276" w:lineRule="auto"/>
              <w:jc w:val="left"/>
            </w:pPr>
            <w:r>
              <w:rPr>
                <w:rFonts w:ascii="Arial Narrow" w:hAnsi="Arial Narrow"/>
                <w:b w:val="0"/>
                <w:i w:val="0"/>
                <w:sz w:val="18"/>
              </w:rPr>
              <w:t>Efeito concreto do evento · III.3</w:t>
            </w:r>
          </w:p>
        </w:tc>
      </w:tr>
      <w:tr>
        <w:tc>
          <w:tcPr>
            <w:tcW w:type="dxa" w:w="817"/>
            <w:shd w:val="clear" w:color="auto" w:fill="dce6f1"/>
          </w:tcPr>
          <w:p>
            <w:pPr>
              <w:spacing w:before="40" w:after="40" w:line="276" w:lineRule="auto"/>
              <w:jc w:val="center"/>
            </w:pPr>
            <w:r>
              <w:rPr>
                <w:rFonts w:ascii="Arial Narrow" w:hAnsi="Arial Narrow"/>
                <w:b/>
                <w:i w:val="0"/>
                <w:sz w:val="20"/>
              </w:rPr>
              <w:t>10</w:t>
            </w:r>
          </w:p>
        </w:tc>
        <w:tc>
          <w:tcPr>
            <w:tcW w:type="dxa" w:w="2634"/>
          </w:tcPr>
          <w:p>
            <w:pPr>
              <w:spacing w:before="40" w:after="40" w:line="276" w:lineRule="auto"/>
              <w:jc w:val="left"/>
            </w:pPr>
            <w:r>
              <w:rPr>
                <w:rFonts w:ascii="Arial Narrow" w:hAnsi="Arial Narrow"/>
                <w:b w:val="0"/>
                <w:i w:val="0"/>
                <w:sz w:val="18"/>
              </w:rPr>
              <w:t xml:space="preserve">Laudo de perda · Imagem 10,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Engenheiro agrônomo habilitado, com ART e visita à propriedade</w:t>
            </w:r>
          </w:p>
        </w:tc>
        <w:tc>
          <w:tcPr>
            <w:tcW w:type="dxa" w:w="1998"/>
          </w:tcPr>
          <w:p>
            <w:pPr>
              <w:spacing w:before="40" w:after="40" w:line="276" w:lineRule="auto"/>
              <w:jc w:val="left"/>
            </w:pPr>
            <w:r>
              <w:rPr>
                <w:rFonts w:ascii="Arial Narrow" w:hAnsi="Arial Narrow"/>
                <w:b w:val="0"/>
                <w:i w:val="0"/>
                <w:sz w:val="18"/>
              </w:rPr>
              <w:t>Idoneidade da prova técnica · arg. 7</w:t>
            </w:r>
          </w:p>
        </w:tc>
      </w:tr>
      <w:tr>
        <w:tc>
          <w:tcPr>
            <w:tcW w:type="dxa" w:w="817"/>
            <w:shd w:val="clear" w:color="auto" w:fill="dce6f1"/>
          </w:tcPr>
          <w:p>
            <w:pPr>
              <w:spacing w:before="40" w:after="40" w:line="276" w:lineRule="auto"/>
              <w:jc w:val="center"/>
            </w:pPr>
            <w:r>
              <w:rPr>
                <w:rFonts w:ascii="Arial Narrow" w:hAnsi="Arial Narrow"/>
                <w:b/>
                <w:i w:val="0"/>
                <w:sz w:val="20"/>
              </w:rPr>
              <w:t>11</w:t>
            </w:r>
          </w:p>
        </w:tc>
        <w:tc>
          <w:tcPr>
            <w:tcW w:type="dxa" w:w="2634"/>
          </w:tcPr>
          <w:p>
            <w:pPr>
              <w:spacing w:before="40" w:after="40" w:line="276" w:lineRule="auto"/>
              <w:jc w:val="left"/>
            </w:pPr>
            <w:r>
              <w:rPr>
                <w:rFonts w:ascii="Arial Narrow" w:hAnsi="Arial Narrow"/>
                <w:b w:val="0"/>
                <w:i w:val="0"/>
                <w:sz w:val="18"/>
              </w:rPr>
              <w:t xml:space="preserve">Laudo de perda · Imagem 11,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A perda medida na propriedade, safra a safra e operação a operação</w:t>
            </w:r>
          </w:p>
        </w:tc>
        <w:tc>
          <w:tcPr>
            <w:tcW w:type="dxa" w:w="1998"/>
          </w:tcPr>
          <w:p>
            <w:pPr>
              <w:spacing w:before="40" w:after="40" w:line="276" w:lineRule="auto"/>
              <w:jc w:val="left"/>
            </w:pPr>
            <w:r>
              <w:rPr>
                <w:rFonts w:ascii="Arial Narrow" w:hAnsi="Arial Narrow"/>
                <w:b w:val="0"/>
                <w:i w:val="0"/>
                <w:sz w:val="18"/>
              </w:rPr>
              <w:t>Frustração quantificada · MCR 2-6-4, "b"</w:t>
            </w:r>
          </w:p>
        </w:tc>
      </w:tr>
      <w:tr>
        <w:tc>
          <w:tcPr>
            <w:tcW w:type="dxa" w:w="817"/>
            <w:shd w:val="clear" w:color="auto" w:fill="dce6f1"/>
          </w:tcPr>
          <w:p>
            <w:pPr>
              <w:spacing w:before="40" w:after="40" w:line="276" w:lineRule="auto"/>
              <w:jc w:val="center"/>
            </w:pPr>
            <w:r>
              <w:rPr>
                <w:rFonts w:ascii="Arial Narrow" w:hAnsi="Arial Narrow"/>
                <w:b/>
                <w:i w:val="0"/>
                <w:sz w:val="20"/>
              </w:rPr>
              <w:t>12</w:t>
            </w:r>
          </w:p>
        </w:tc>
        <w:tc>
          <w:tcPr>
            <w:tcW w:type="dxa" w:w="2634"/>
          </w:tcPr>
          <w:p>
            <w:pPr>
              <w:spacing w:before="40" w:after="40" w:line="276" w:lineRule="auto"/>
              <w:jc w:val="left"/>
            </w:pPr>
            <w:r>
              <w:rPr>
                <w:rFonts w:ascii="Arial Narrow" w:hAnsi="Arial Narrow"/>
                <w:b w:val="0"/>
                <w:i w:val="0"/>
                <w:sz w:val="18"/>
              </w:rPr>
              <w:t xml:space="preserve">Laudo de perda · Imagem 12,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Percentual de redução de renda causado pelo evento adverso</w:t>
            </w:r>
          </w:p>
        </w:tc>
        <w:tc>
          <w:tcPr>
            <w:tcW w:type="dxa" w:w="1998"/>
          </w:tcPr>
          <w:p>
            <w:pPr>
              <w:spacing w:before="40" w:after="40" w:line="276" w:lineRule="auto"/>
              <w:jc w:val="left"/>
            </w:pPr>
            <w:r>
              <w:rPr>
                <w:rFonts w:ascii="Arial Narrow" w:hAnsi="Arial Narrow"/>
                <w:b w:val="0"/>
                <w:i w:val="0"/>
                <w:sz w:val="18"/>
              </w:rPr>
              <w:t>Intensidade e % de redução · MCR 2-6-12 "d" / 10-1-27 "d"</w:t>
            </w:r>
          </w:p>
        </w:tc>
      </w:tr>
      <w:tr>
        <w:tc>
          <w:tcPr>
            <w:tcW w:type="dxa" w:w="817"/>
            <w:shd w:val="clear" w:color="auto" w:fill="dce6f1"/>
          </w:tcPr>
          <w:p>
            <w:pPr>
              <w:spacing w:before="40" w:after="40" w:line="276" w:lineRule="auto"/>
              <w:jc w:val="center"/>
            </w:pPr>
            <w:r>
              <w:rPr>
                <w:rFonts w:ascii="Arial Narrow" w:hAnsi="Arial Narrow"/>
                <w:b/>
                <w:i w:val="0"/>
                <w:sz w:val="20"/>
              </w:rPr>
              <w:t>13</w:t>
            </w:r>
          </w:p>
        </w:tc>
        <w:tc>
          <w:tcPr>
            <w:tcW w:type="dxa" w:w="2634"/>
          </w:tcPr>
          <w:p>
            <w:pPr>
              <w:spacing w:before="40" w:after="40" w:line="276" w:lineRule="auto"/>
              <w:jc w:val="left"/>
            </w:pPr>
            <w:r>
              <w:rPr>
                <w:rFonts w:ascii="Arial Narrow" w:hAnsi="Arial Narrow"/>
                <w:b w:val="0"/>
                <w:i w:val="0"/>
                <w:sz w:val="18"/>
              </w:rPr>
              <w:t xml:space="preserve">Laudo de capacidade de pagamento · Imagem 13,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A renda da atividade volta a cobrir a dívida no cronograma pedido</w:t>
            </w:r>
          </w:p>
        </w:tc>
        <w:tc>
          <w:tcPr>
            <w:tcW w:type="dxa" w:w="1998"/>
          </w:tcPr>
          <w:p>
            <w:pPr>
              <w:spacing w:before="40" w:after="40" w:line="276" w:lineRule="auto"/>
              <w:jc w:val="left"/>
            </w:pPr>
            <w:r>
              <w:rPr>
                <w:rFonts w:ascii="Arial Narrow" w:hAnsi="Arial Narrow"/>
                <w:b w:val="0"/>
                <w:i w:val="0"/>
                <w:sz w:val="18"/>
              </w:rPr>
              <w:t>Dificuldade TEMPORÁRIA · MCR 2-6-4</w:t>
            </w:r>
          </w:p>
        </w:tc>
      </w:tr>
      <w:tr>
        <w:tc>
          <w:tcPr>
            <w:tcW w:type="dxa" w:w="817"/>
            <w:shd w:val="clear" w:color="auto" w:fill="dce6f1"/>
          </w:tcPr>
          <w:p>
            <w:pPr>
              <w:spacing w:before="40" w:after="40" w:line="276" w:lineRule="auto"/>
              <w:jc w:val="center"/>
            </w:pPr>
            <w:r>
              <w:rPr>
                <w:rFonts w:ascii="Arial Narrow" w:hAnsi="Arial Narrow"/>
                <w:b/>
                <w:i w:val="0"/>
                <w:sz w:val="20"/>
              </w:rPr>
              <w:t>14</w:t>
            </w:r>
          </w:p>
        </w:tc>
        <w:tc>
          <w:tcPr>
            <w:tcW w:type="dxa" w:w="2634"/>
          </w:tcPr>
          <w:p>
            <w:pPr>
              <w:spacing w:before="40" w:after="40" w:line="276" w:lineRule="auto"/>
              <w:jc w:val="left"/>
            </w:pPr>
            <w:r>
              <w:rPr>
                <w:rFonts w:ascii="Arial Narrow" w:hAnsi="Arial Narrow"/>
                <w:b w:val="0"/>
                <w:i w:val="0"/>
                <w:sz w:val="18"/>
              </w:rPr>
              <w:t xml:space="preserve">Laudo de capacidade de pagamento · Imagem 14,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Carência, número e valor das parcelas que o autor consegue pagar</w:t>
            </w:r>
          </w:p>
        </w:tc>
        <w:tc>
          <w:tcPr>
            <w:tcW w:type="dxa" w:w="1998"/>
          </w:tcPr>
          <w:p>
            <w:pPr>
              <w:spacing w:before="40" w:after="40" w:line="276" w:lineRule="auto"/>
              <w:jc w:val="left"/>
            </w:pPr>
            <w:r>
              <w:rPr>
                <w:rFonts w:ascii="Arial Narrow" w:hAnsi="Arial Narrow"/>
                <w:b w:val="0"/>
                <w:i w:val="0"/>
                <w:sz w:val="18"/>
              </w:rPr>
              <w:t>Pedido principal "h" · teto da linha</w:t>
            </w:r>
          </w:p>
        </w:tc>
      </w:tr>
      <w:tr>
        <w:tc>
          <w:tcPr>
            <w:tcW w:type="dxa" w:w="817"/>
            <w:shd w:val="clear" w:color="auto" w:fill="dce6f1"/>
          </w:tcPr>
          <w:p>
            <w:pPr>
              <w:spacing w:before="40" w:after="40" w:line="276" w:lineRule="auto"/>
              <w:jc w:val="center"/>
            </w:pPr>
            <w:r>
              <w:rPr>
                <w:rFonts w:ascii="Arial Narrow" w:hAnsi="Arial Narrow"/>
                <w:b/>
                <w:i w:val="0"/>
                <w:sz w:val="20"/>
              </w:rPr>
              <w:t>15</w:t>
            </w:r>
          </w:p>
        </w:tc>
        <w:tc>
          <w:tcPr>
            <w:tcW w:type="dxa" w:w="2634"/>
          </w:tcPr>
          <w:p>
            <w:pPr>
              <w:spacing w:before="40" w:after="40" w:line="276" w:lineRule="auto"/>
              <w:jc w:val="left"/>
            </w:pPr>
            <w:r>
              <w:rPr>
                <w:rFonts w:ascii="Arial Narrow" w:hAnsi="Arial Narrow"/>
                <w:b w:val="0"/>
                <w:i w:val="0"/>
                <w:sz w:val="18"/>
              </w:rPr>
              <w:t xml:space="preserve">Laudo de capacidade de pagamento · Imagem 15, fl. </w:t>
            </w:r>
            <w:r>
              <w:rPr>
                <w:rFonts w:ascii="Arial Narrow" w:hAnsi="Arial Narrow"/>
                <w:b w:val="0"/>
                <w:i w:val="0"/>
                <w:sz w:val="18"/>
                <w:highlight w:val="yellow"/>
              </w:rPr>
              <w:t>[[…]]</w:t>
            </w:r>
          </w:p>
        </w:tc>
        <w:tc>
          <w:tcPr>
            <w:tcW w:type="dxa" w:w="3633"/>
          </w:tcPr>
          <w:p>
            <w:pPr>
              <w:spacing w:before="40" w:after="40" w:line="276" w:lineRule="auto"/>
              <w:jc w:val="left"/>
            </w:pPr>
            <w:r>
              <w:rPr>
                <w:rFonts w:ascii="Arial Narrow" w:hAnsi="Arial Narrow"/>
                <w:b w:val="0"/>
                <w:i w:val="0"/>
                <w:sz w:val="18"/>
              </w:rPr>
              <w:t>Todas as dívidas do autor consideradas, e a conclusão de viabilidade</w:t>
            </w:r>
          </w:p>
        </w:tc>
        <w:tc>
          <w:tcPr>
            <w:tcW w:type="dxa" w:w="1998"/>
          </w:tcPr>
          <w:p>
            <w:pPr>
              <w:spacing w:before="40" w:after="40" w:line="276" w:lineRule="auto"/>
              <w:jc w:val="left"/>
            </w:pPr>
            <w:r>
              <w:rPr>
                <w:rFonts w:ascii="Arial Narrow" w:hAnsi="Arial Narrow"/>
                <w:b w:val="0"/>
                <w:i w:val="0"/>
                <w:sz w:val="18"/>
              </w:rPr>
              <w:t>Transparência do passivo · III.3</w:t>
            </w:r>
          </w:p>
        </w:tc>
      </w:tr>
      <w:tr>
        <w:tc>
          <w:tcPr>
            <w:tcW w:type="dxa" w:w="817"/>
            <w:shd w:val="clear" w:color="auto" w:fill="dce6f1"/>
          </w:tcPr>
          <w:p>
            <w:pPr>
              <w:spacing w:before="40" w:after="40" w:line="276" w:lineRule="auto"/>
              <w:jc w:val="center"/>
            </w:pPr>
            <w:r>
              <w:rPr>
                <w:rFonts w:ascii="Arial Narrow" w:hAnsi="Arial Narrow"/>
                <w:b/>
                <w:i w:val="0"/>
                <w:sz w:val="20"/>
              </w:rPr>
              <w:t>16</w:t>
            </w:r>
          </w:p>
        </w:tc>
        <w:tc>
          <w:tcPr>
            <w:tcW w:type="dxa" w:w="2634"/>
          </w:tcPr>
          <w:p>
            <w:pPr>
              <w:spacing w:before="40" w:after="40" w:line="276" w:lineRule="auto"/>
              <w:jc w:val="left"/>
            </w:pPr>
            <w:r>
              <w:rPr>
                <w:rFonts w:ascii="Arial Narrow" w:hAnsi="Arial Narrow"/>
                <w:b w:val="0"/>
                <w:i w:val="0"/>
                <w:sz w:val="18"/>
              </w:rPr>
              <w:t>Requerimento ao banco · Imagem 16</w:t>
            </w:r>
          </w:p>
        </w:tc>
        <w:tc>
          <w:tcPr>
            <w:tcW w:type="dxa" w:w="3633"/>
          </w:tcPr>
          <w:p>
            <w:pPr>
              <w:spacing w:before="40" w:after="40" w:line="276" w:lineRule="auto"/>
              <w:jc w:val="left"/>
            </w:pPr>
            <w:r>
              <w:rPr>
                <w:rFonts w:ascii="Arial Narrow" w:hAnsi="Arial Narrow"/>
                <w:b w:val="0"/>
                <w:i w:val="0"/>
                <w:sz w:val="18"/>
              </w:rPr>
              <w:t>O pedido, sua data e os laudos que o acompanharam</w:t>
            </w:r>
          </w:p>
        </w:tc>
        <w:tc>
          <w:tcPr>
            <w:tcW w:type="dxa" w:w="1998"/>
          </w:tcPr>
          <w:p>
            <w:pPr>
              <w:spacing w:before="40" w:after="40" w:line="276" w:lineRule="auto"/>
              <w:jc w:val="left"/>
            </w:pPr>
            <w:r>
              <w:rPr>
                <w:rFonts w:ascii="Arial Narrow" w:hAnsi="Arial Narrow"/>
                <w:b w:val="0"/>
                <w:i w:val="0"/>
                <w:sz w:val="18"/>
              </w:rPr>
              <w:t>Solicitação do mutuário · MCR 2-6-4 · III.2</w:t>
            </w:r>
          </w:p>
        </w:tc>
      </w:tr>
      <w:tr>
        <w:tc>
          <w:tcPr>
            <w:tcW w:type="dxa" w:w="817"/>
            <w:shd w:val="clear" w:color="auto" w:fill="dce6f1"/>
          </w:tcPr>
          <w:p>
            <w:pPr>
              <w:spacing w:before="40" w:after="40" w:line="276" w:lineRule="auto"/>
              <w:jc w:val="center"/>
            </w:pPr>
            <w:r>
              <w:rPr>
                <w:rFonts w:ascii="Arial Narrow" w:hAnsi="Arial Narrow"/>
                <w:b/>
                <w:i w:val="0"/>
                <w:sz w:val="20"/>
              </w:rPr>
              <w:t>17</w:t>
            </w:r>
          </w:p>
        </w:tc>
        <w:tc>
          <w:tcPr>
            <w:tcW w:type="dxa" w:w="2634"/>
          </w:tcPr>
          <w:p>
            <w:pPr>
              <w:spacing w:before="40" w:after="40" w:line="276" w:lineRule="auto"/>
              <w:jc w:val="left"/>
            </w:pPr>
            <w:r>
              <w:rPr>
                <w:rFonts w:ascii="Arial Narrow" w:hAnsi="Arial Narrow"/>
                <w:b w:val="0"/>
                <w:i w:val="0"/>
                <w:sz w:val="18"/>
              </w:rPr>
              <w:t>AR / confirmação de leitura / protocolo · Imagem 17</w:t>
            </w:r>
          </w:p>
        </w:tc>
        <w:tc>
          <w:tcPr>
            <w:tcW w:type="dxa" w:w="3633"/>
          </w:tcPr>
          <w:p>
            <w:pPr>
              <w:spacing w:before="40" w:after="40" w:line="276" w:lineRule="auto"/>
              <w:jc w:val="left"/>
            </w:pPr>
            <w:r>
              <w:rPr>
                <w:rFonts w:ascii="Arial Narrow" w:hAnsi="Arial Narrow"/>
                <w:b w:val="0"/>
                <w:i w:val="0"/>
                <w:sz w:val="18"/>
              </w:rPr>
              <w:t>Data do recebimento pelo banco, antes do vencimento</w:t>
            </w:r>
          </w:p>
        </w:tc>
        <w:tc>
          <w:tcPr>
            <w:tcW w:type="dxa" w:w="1998"/>
          </w:tcPr>
          <w:p>
            <w:pPr>
              <w:spacing w:before="40" w:after="40" w:line="276" w:lineRule="auto"/>
              <w:jc w:val="left"/>
            </w:pPr>
            <w:r>
              <w:rPr>
                <w:rFonts w:ascii="Arial Narrow" w:hAnsi="Arial Narrow"/>
                <w:b w:val="0"/>
                <w:i w:val="0"/>
                <w:sz w:val="18"/>
              </w:rPr>
              <w:t>Tempestividade · linha do tempo</w:t>
            </w:r>
          </w:p>
        </w:tc>
      </w:tr>
      <w:tr>
        <w:tc>
          <w:tcPr>
            <w:tcW w:type="dxa" w:w="817"/>
            <w:shd w:val="clear" w:color="auto" w:fill="dce6f1"/>
          </w:tcPr>
          <w:p>
            <w:pPr>
              <w:spacing w:before="40" w:after="40" w:line="276" w:lineRule="auto"/>
              <w:jc w:val="center"/>
            </w:pPr>
            <w:r>
              <w:rPr>
                <w:rFonts w:ascii="Arial Narrow" w:hAnsi="Arial Narrow"/>
                <w:b/>
                <w:i w:val="0"/>
                <w:sz w:val="20"/>
              </w:rPr>
              <w:t>18</w:t>
            </w:r>
          </w:p>
        </w:tc>
        <w:tc>
          <w:tcPr>
            <w:tcW w:type="dxa" w:w="2634"/>
          </w:tcPr>
          <w:p>
            <w:pPr>
              <w:spacing w:before="40" w:after="40" w:line="276" w:lineRule="auto"/>
              <w:jc w:val="left"/>
            </w:pPr>
            <w:r>
              <w:rPr>
                <w:rFonts w:ascii="Arial Narrow" w:hAnsi="Arial Narrow"/>
                <w:b w:val="0"/>
                <w:i w:val="0"/>
                <w:sz w:val="18"/>
              </w:rPr>
              <w:t>Resposta do banco / declaração de ausência de resposta · Imagem 18</w:t>
            </w:r>
          </w:p>
        </w:tc>
        <w:tc>
          <w:tcPr>
            <w:tcW w:type="dxa" w:w="3633"/>
          </w:tcPr>
          <w:p>
            <w:pPr>
              <w:spacing w:before="40" w:after="40" w:line="276" w:lineRule="auto"/>
              <w:jc w:val="left"/>
            </w:pPr>
            <w:r>
              <w:rPr>
                <w:rFonts w:ascii="Arial Narrow" w:hAnsi="Arial Narrow"/>
                <w:b w:val="0"/>
                <w:i w:val="0"/>
                <w:sz w:val="18"/>
              </w:rPr>
              <w:t>Negativa sem parecer técnico, proposta fora do MCR ou silêncio</w:t>
            </w:r>
          </w:p>
        </w:tc>
        <w:tc>
          <w:tcPr>
            <w:tcW w:type="dxa" w:w="1998"/>
          </w:tcPr>
          <w:p>
            <w:pPr>
              <w:spacing w:before="40" w:after="40" w:line="276" w:lineRule="auto"/>
              <w:jc w:val="left"/>
            </w:pPr>
            <w:r>
              <w:rPr>
                <w:rFonts w:ascii="Arial Narrow" w:hAnsi="Arial Narrow"/>
                <w:b w:val="0"/>
                <w:i w:val="0"/>
                <w:sz w:val="18"/>
              </w:rPr>
              <w:t>Negativa sem análise técnica · III.4</w:t>
            </w:r>
          </w:p>
        </w:tc>
      </w:tr>
      <w:tr>
        <w:tc>
          <w:tcPr>
            <w:tcW w:type="dxa" w:w="817"/>
            <w:shd w:val="clear" w:color="auto" w:fill="dce6f1"/>
          </w:tcPr>
          <w:p>
            <w:pPr>
              <w:spacing w:before="40" w:after="40" w:line="276" w:lineRule="auto"/>
              <w:jc w:val="center"/>
            </w:pPr>
            <w:r>
              <w:rPr>
                <w:rFonts w:ascii="Arial Narrow" w:hAnsi="Arial Narrow"/>
                <w:b/>
                <w:i w:val="0"/>
                <w:sz w:val="20"/>
              </w:rPr>
              <w:t>19</w:t>
            </w:r>
          </w:p>
        </w:tc>
        <w:tc>
          <w:tcPr>
            <w:tcW w:type="dxa" w:w="2634"/>
          </w:tcPr>
          <w:p>
            <w:pPr>
              <w:spacing w:before="40" w:after="40" w:line="276" w:lineRule="auto"/>
              <w:jc w:val="left"/>
            </w:pPr>
            <w:r>
              <w:rPr>
                <w:rFonts w:ascii="Arial Narrow" w:hAnsi="Arial Narrow"/>
                <w:b w:val="0"/>
                <w:i w:val="0"/>
                <w:sz w:val="18"/>
              </w:rPr>
              <w:t>Mensagens / e-mail · Imagem 19</w:t>
            </w:r>
          </w:p>
        </w:tc>
        <w:tc>
          <w:tcPr>
            <w:tcW w:type="dxa" w:w="3633"/>
          </w:tcPr>
          <w:p>
            <w:pPr>
              <w:spacing w:before="40" w:after="40" w:line="276" w:lineRule="auto"/>
              <w:jc w:val="left"/>
            </w:pPr>
            <w:r>
              <w:rPr>
                <w:rFonts w:ascii="Arial Narrow" w:hAnsi="Arial Narrow"/>
                <w:b w:val="0"/>
                <w:i w:val="0"/>
                <w:sz w:val="18"/>
              </w:rPr>
              <w:t>O banco sabia da dificuldade e do pedido</w:t>
            </w:r>
          </w:p>
        </w:tc>
        <w:tc>
          <w:tcPr>
            <w:tcW w:type="dxa" w:w="1998"/>
          </w:tcPr>
          <w:p>
            <w:pPr>
              <w:spacing w:before="40" w:after="40" w:line="276" w:lineRule="auto"/>
              <w:jc w:val="left"/>
            </w:pPr>
            <w:r>
              <w:rPr>
                <w:rFonts w:ascii="Arial Narrow" w:hAnsi="Arial Narrow"/>
                <w:b w:val="0"/>
                <w:i w:val="0"/>
                <w:sz w:val="18"/>
              </w:rPr>
              <w:t>Confissão extrajudicial · CPC 389 e 422, § 3º</w:t>
            </w:r>
          </w:p>
        </w:tc>
      </w:tr>
      <w:tr>
        <w:tc>
          <w:tcPr>
            <w:tcW w:type="dxa" w:w="817"/>
            <w:shd w:val="clear" w:color="auto" w:fill="dce6f1"/>
          </w:tcPr>
          <w:p>
            <w:pPr>
              <w:spacing w:before="40" w:after="40" w:line="276" w:lineRule="auto"/>
              <w:jc w:val="center"/>
            </w:pPr>
            <w:r>
              <w:rPr>
                <w:rFonts w:ascii="Arial Narrow" w:hAnsi="Arial Narrow"/>
                <w:b/>
                <w:i w:val="0"/>
                <w:sz w:val="20"/>
              </w:rPr>
              <w:t>20</w:t>
            </w:r>
          </w:p>
        </w:tc>
        <w:tc>
          <w:tcPr>
            <w:tcW w:type="dxa" w:w="2634"/>
          </w:tcPr>
          <w:p>
            <w:pPr>
              <w:spacing w:before="40" w:after="40" w:line="276" w:lineRule="auto"/>
              <w:jc w:val="left"/>
            </w:pPr>
            <w:r>
              <w:rPr>
                <w:rFonts w:ascii="Arial Narrow" w:hAnsi="Arial Narrow"/>
                <w:b w:val="0"/>
                <w:i w:val="0"/>
                <w:sz w:val="18"/>
              </w:rPr>
              <w:t>Notas fiscais / GTA · Imagem 20</w:t>
            </w:r>
          </w:p>
        </w:tc>
        <w:tc>
          <w:tcPr>
            <w:tcW w:type="dxa" w:w="3633"/>
          </w:tcPr>
          <w:p>
            <w:pPr>
              <w:spacing w:before="40" w:after="40" w:line="276" w:lineRule="auto"/>
              <w:jc w:val="left"/>
            </w:pPr>
            <w:r>
              <w:rPr>
                <w:rFonts w:ascii="Arial Narrow" w:hAnsi="Arial Narrow"/>
                <w:b w:val="0"/>
                <w:i w:val="0"/>
                <w:sz w:val="18"/>
              </w:rPr>
              <w:t>O dinheiro foi aplicado em insumos, animais ou serviços da atividade</w:t>
            </w:r>
          </w:p>
        </w:tc>
        <w:tc>
          <w:tcPr>
            <w:tcW w:type="dxa" w:w="1998"/>
          </w:tcPr>
          <w:p>
            <w:pPr>
              <w:spacing w:before="40" w:after="40" w:line="276" w:lineRule="auto"/>
              <w:jc w:val="left"/>
            </w:pPr>
            <w:r>
              <w:rPr>
                <w:rFonts w:ascii="Arial Narrow" w:hAnsi="Arial Narrow"/>
                <w:b w:val="0"/>
                <w:i w:val="0"/>
                <w:sz w:val="18"/>
              </w:rPr>
              <w:t>Destinação rural · Lei 4.829, art. 2º · III.1-A</w:t>
            </w:r>
          </w:p>
        </w:tc>
      </w:tr>
      <w:tr>
        <w:tc>
          <w:tcPr>
            <w:tcW w:type="dxa" w:w="817"/>
            <w:shd w:val="clear" w:color="auto" w:fill="dce6f1"/>
          </w:tcPr>
          <w:p>
            <w:pPr>
              <w:spacing w:before="40" w:after="40" w:line="276" w:lineRule="auto"/>
              <w:jc w:val="center"/>
            </w:pPr>
            <w:r>
              <w:rPr>
                <w:rFonts w:ascii="Arial Narrow" w:hAnsi="Arial Narrow"/>
                <w:b/>
                <w:i w:val="0"/>
                <w:sz w:val="20"/>
              </w:rPr>
              <w:t>21</w:t>
            </w:r>
          </w:p>
        </w:tc>
        <w:tc>
          <w:tcPr>
            <w:tcW w:type="dxa" w:w="2634"/>
          </w:tcPr>
          <w:p>
            <w:pPr>
              <w:spacing w:before="40" w:after="40" w:line="276" w:lineRule="auto"/>
              <w:jc w:val="left"/>
            </w:pPr>
            <w:r>
              <w:rPr>
                <w:rFonts w:ascii="Arial Narrow" w:hAnsi="Arial Narrow"/>
                <w:b w:val="0"/>
                <w:i w:val="0"/>
                <w:sz w:val="18"/>
              </w:rPr>
              <w:t>Ficha IDARON/ADERR / declaração de produção / DIRPF · Imagem 21</w:t>
            </w:r>
          </w:p>
        </w:tc>
        <w:tc>
          <w:tcPr>
            <w:tcW w:type="dxa" w:w="3633"/>
          </w:tcPr>
          <w:p>
            <w:pPr>
              <w:spacing w:before="40" w:after="40" w:line="276" w:lineRule="auto"/>
              <w:jc w:val="left"/>
            </w:pPr>
            <w:r>
              <w:rPr>
                <w:rFonts w:ascii="Arial Narrow" w:hAnsi="Arial Narrow"/>
                <w:b w:val="0"/>
                <w:i w:val="0"/>
                <w:sz w:val="18"/>
              </w:rPr>
              <w:t>Rebanho ou produção antes e depois do evento</w:t>
            </w:r>
          </w:p>
        </w:tc>
        <w:tc>
          <w:tcPr>
            <w:tcW w:type="dxa" w:w="1998"/>
          </w:tcPr>
          <w:p>
            <w:pPr>
              <w:spacing w:before="40" w:after="40" w:line="276" w:lineRule="auto"/>
              <w:jc w:val="left"/>
            </w:pPr>
            <w:r>
              <w:rPr>
                <w:rFonts w:ascii="Arial Narrow" w:hAnsi="Arial Narrow"/>
                <w:b w:val="0"/>
                <w:i w:val="0"/>
                <w:sz w:val="18"/>
              </w:rPr>
              <w:t>Atividade e queda da produção · III.3</w:t>
            </w:r>
          </w:p>
        </w:tc>
      </w:tr>
      <w:tr>
        <w:tc>
          <w:tcPr>
            <w:tcW w:type="dxa" w:w="817"/>
            <w:shd w:val="clear" w:color="auto" w:fill="dce6f1"/>
          </w:tcPr>
          <w:p>
            <w:pPr>
              <w:spacing w:before="40" w:after="40" w:line="276" w:lineRule="auto"/>
              <w:jc w:val="center"/>
            </w:pPr>
            <w:r>
              <w:rPr>
                <w:rFonts w:ascii="Arial Narrow" w:hAnsi="Arial Narrow"/>
                <w:b/>
                <w:i w:val="0"/>
                <w:sz w:val="20"/>
              </w:rPr>
              <w:t>22</w:t>
            </w:r>
          </w:p>
        </w:tc>
        <w:tc>
          <w:tcPr>
            <w:tcW w:type="dxa" w:w="2634"/>
          </w:tcPr>
          <w:p>
            <w:pPr>
              <w:spacing w:before="40" w:after="40" w:line="276" w:lineRule="auto"/>
              <w:jc w:val="left"/>
            </w:pPr>
            <w:r>
              <w:rPr>
                <w:rFonts w:ascii="Arial Narrow" w:hAnsi="Arial Narrow"/>
                <w:b w:val="0"/>
                <w:i w:val="0"/>
                <w:sz w:val="18"/>
              </w:rPr>
              <w:t>SERASA / SPC / SCR (Registrato) · Imagem 22</w:t>
            </w:r>
          </w:p>
        </w:tc>
        <w:tc>
          <w:tcPr>
            <w:tcW w:type="dxa" w:w="3633"/>
          </w:tcPr>
          <w:p>
            <w:pPr>
              <w:spacing w:before="40" w:after="40" w:line="276" w:lineRule="auto"/>
              <w:jc w:val="left"/>
            </w:pPr>
            <w:r>
              <w:rPr>
                <w:rFonts w:ascii="Arial Narrow" w:hAnsi="Arial Narrow"/>
                <w:b w:val="0"/>
                <w:i w:val="0"/>
                <w:sz w:val="18"/>
              </w:rPr>
              <w:t>Negativação datada, inclusive no SCR do Banco Central</w:t>
            </w:r>
          </w:p>
        </w:tc>
        <w:tc>
          <w:tcPr>
            <w:tcW w:type="dxa" w:w="1998"/>
          </w:tcPr>
          <w:p>
            <w:pPr>
              <w:spacing w:before="40" w:after="40" w:line="276" w:lineRule="auto"/>
              <w:jc w:val="left"/>
            </w:pPr>
            <w:r>
              <w:rPr>
                <w:rFonts w:ascii="Arial Narrow" w:hAnsi="Arial Narrow"/>
                <w:b w:val="0"/>
                <w:i w:val="0"/>
                <w:sz w:val="18"/>
              </w:rPr>
              <w:t>Perigo de dano concreto · IV</w:t>
            </w:r>
          </w:p>
        </w:tc>
      </w:tr>
      <w:tr>
        <w:tc>
          <w:tcPr>
            <w:tcW w:type="dxa" w:w="817"/>
            <w:shd w:val="clear" w:color="auto" w:fill="dce6f1"/>
          </w:tcPr>
          <w:p>
            <w:pPr>
              <w:spacing w:before="40" w:after="40" w:line="276" w:lineRule="auto"/>
              <w:jc w:val="center"/>
            </w:pPr>
            <w:r>
              <w:rPr>
                <w:rFonts w:ascii="Arial Narrow" w:hAnsi="Arial Narrow"/>
                <w:b/>
                <w:i w:val="0"/>
                <w:sz w:val="20"/>
              </w:rPr>
              <w:t>23</w:t>
            </w:r>
          </w:p>
        </w:tc>
        <w:tc>
          <w:tcPr>
            <w:tcW w:type="dxa" w:w="2634"/>
          </w:tcPr>
          <w:p>
            <w:pPr>
              <w:spacing w:before="40" w:after="40" w:line="276" w:lineRule="auto"/>
              <w:jc w:val="left"/>
            </w:pPr>
            <w:r>
              <w:rPr>
                <w:rFonts w:ascii="Arial Narrow" w:hAnsi="Arial Narrow"/>
                <w:b w:val="0"/>
                <w:i w:val="0"/>
                <w:sz w:val="18"/>
              </w:rPr>
              <w:t>Notificação de vencimento antecipado / execução / edital · Imagem 23</w:t>
            </w:r>
          </w:p>
        </w:tc>
        <w:tc>
          <w:tcPr>
            <w:tcW w:type="dxa" w:w="3633"/>
          </w:tcPr>
          <w:p>
            <w:pPr>
              <w:spacing w:before="40" w:after="40" w:line="276" w:lineRule="auto"/>
              <w:jc w:val="left"/>
            </w:pPr>
            <w:r>
              <w:rPr>
                <w:rFonts w:ascii="Arial Narrow" w:hAnsi="Arial Narrow"/>
                <w:b w:val="0"/>
                <w:i w:val="0"/>
                <w:sz w:val="18"/>
              </w:rPr>
              <w:t>Ato de cobrança com data e bem ameaçado</w:t>
            </w:r>
          </w:p>
        </w:tc>
        <w:tc>
          <w:tcPr>
            <w:tcW w:type="dxa" w:w="1998"/>
          </w:tcPr>
          <w:p>
            <w:pPr>
              <w:spacing w:before="40" w:after="40" w:line="276" w:lineRule="auto"/>
              <w:jc w:val="left"/>
            </w:pPr>
            <w:r>
              <w:rPr>
                <w:rFonts w:ascii="Arial Narrow" w:hAnsi="Arial Narrow"/>
                <w:b w:val="0"/>
                <w:i w:val="0"/>
                <w:sz w:val="18"/>
              </w:rPr>
              <w:t>Perigo datado sobre o patrimônio produtivo · IV</w:t>
            </w:r>
          </w:p>
        </w:tc>
      </w:tr>
    </w:tbl>
    <w:p>
      <w:pPr>
        <w:spacing w:after="120" w:before="0" w:line="240" w:lineRule="auto"/>
      </w:pPr>
      <w:r>
        <w:rPr>
          <w:rFonts w:ascii="Arial Narrow" w:hAnsi="Arial Narrow"/>
          <w:sz w:val="2"/>
        </w:rPr>
      </w:r>
    </w:p>
    <w:p>
      <w:pPr>
        <w:spacing w:line="360" w:lineRule="auto" w:before="160" w:after="80"/>
        <w:jc w:val="left"/>
      </w:pPr>
      <w:r>
        <w:rPr>
          <w:rFonts w:ascii="Arial Narrow" w:hAnsi="Arial Narrow"/>
          <w:b/>
          <w:i w:val="0"/>
          <w:sz w:val="24"/>
        </w:rPr>
        <w:t>II.1. O autor e as operações</w:t>
      </w:r>
    </w:p>
    <w:p>
      <w:pPr>
        <w:spacing w:line="360" w:lineRule="auto" w:after="120"/>
        <w:jc w:val="both"/>
      </w:pPr>
      <w:r>
        <w:rPr>
          <w:rFonts w:ascii="Arial Narrow" w:hAnsi="Arial Narrow"/>
          <w:b w:val="0"/>
          <w:i w:val="0"/>
          <w:sz w:val="24"/>
        </w:rPr>
        <w:t xml:space="preserve">O autor é produtor rural e explora </w:t>
      </w:r>
      <w:r>
        <w:rPr>
          <w:rFonts w:ascii="Arial Narrow" w:hAnsi="Arial Narrow"/>
          <w:b w:val="0"/>
          <w:i w:val="0"/>
          <w:sz w:val="24"/>
          <w:highlight w:val="yellow"/>
        </w:rPr>
        <w:t>[[atividade: pecuária de corte / leite / soja / café …]]</w:t>
      </w:r>
      <w:r>
        <w:rPr>
          <w:rFonts w:ascii="Arial Narrow" w:hAnsi="Arial Narrow"/>
          <w:b w:val="0"/>
          <w:i w:val="0"/>
          <w:sz w:val="24"/>
        </w:rPr>
        <w:t xml:space="preserve"> no imóvel </w:t>
      </w:r>
      <w:r>
        <w:rPr>
          <w:rFonts w:ascii="Arial Narrow" w:hAnsi="Arial Narrow"/>
          <w:b w:val="0"/>
          <w:i w:val="0"/>
          <w:sz w:val="24"/>
          <w:highlight w:val="yellow"/>
        </w:rPr>
        <w:t>[[denominação, matrícula e município]]</w:t>
      </w:r>
      <w:r>
        <w:rPr>
          <w:rFonts w:ascii="Arial Narrow" w:hAnsi="Arial Narrow"/>
          <w:b w:val="0"/>
          <w:i w:val="0"/>
          <w:sz w:val="24"/>
        </w:rPr>
        <w:t xml:space="preserve">, </w:t>
      </w:r>
      <w:r>
        <w:rPr>
          <w:rFonts w:ascii="Arial Narrow" w:hAnsi="Arial Narrow"/>
          <w:b w:val="0"/>
          <w:i w:val="0"/>
          <w:sz w:val="24"/>
          <w:highlight w:val="yellow"/>
        </w:rPr>
        <w:t>[[em regime familiar / com (…) empregados]]</w:t>
      </w:r>
      <w:r>
        <w:rPr>
          <w:rFonts w:ascii="Arial Narrow" w:hAnsi="Arial Narrow"/>
          <w:b w:val="0"/>
          <w:i w:val="0"/>
          <w:sz w:val="24"/>
        </w:rPr>
        <w:t xml:space="preserve">, sendo essa atividade </w:t>
      </w:r>
      <w:r>
        <w:rPr>
          <w:rFonts w:ascii="Arial Narrow" w:hAnsi="Arial Narrow"/>
          <w:b w:val="0"/>
          <w:i w:val="0"/>
          <w:sz w:val="24"/>
          <w:highlight w:val="yellow"/>
        </w:rPr>
        <w:t>[[sua única fonte de renda]]</w:t>
      </w:r>
      <w:r>
        <w:rPr>
          <w:rFonts w:ascii="Arial Narrow" w:hAnsi="Arial Narrow"/>
          <w:b w:val="0"/>
          <w:i w:val="0"/>
          <w:sz w:val="24"/>
        </w:rPr>
        <w:t>. As operações cuja prorrogação se pede são estas, com os dados extraídos dos próprios títulos: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14"/>
        <w:gridCol w:w="1514"/>
        <w:gridCol w:w="1514"/>
        <w:gridCol w:w="1514"/>
        <w:gridCol w:w="1514"/>
        <w:gridCol w:w="1514"/>
      </w:tblGrid>
      <w:tr>
        <w:tc>
          <w:tcPr>
            <w:tcW w:type="dxa" w:w="9083"/>
            <w:gridSpan w:val="6"/>
            <w:shd w:val="clear" w:color="auto" w:fill="f6b26b"/>
          </w:tcPr>
          <w:p>
            <w:pPr>
              <w:spacing w:before="40" w:after="40" w:line="276" w:lineRule="auto"/>
              <w:jc w:val="center"/>
            </w:pPr>
            <w:r>
              <w:rPr>
                <w:rFonts w:ascii="Arial Narrow" w:hAnsi="Arial Narrow"/>
                <w:b/>
                <w:i w:val="0"/>
                <w:sz w:val="20"/>
              </w:rPr>
              <w:t>AS OPERAÇÕES CUJA PRORROGAÇÃO SE PEDE</w:t>
            </w:r>
          </w:p>
        </w:tc>
      </w:tr>
      <w:tr>
        <w:tc>
          <w:tcPr>
            <w:tcW w:type="dxa" w:w="1726"/>
            <w:shd w:val="clear" w:color="auto" w:fill="f2f2f2"/>
          </w:tcPr>
          <w:p>
            <w:pPr>
              <w:spacing w:before="40" w:after="40" w:line="276" w:lineRule="auto"/>
              <w:jc w:val="center"/>
            </w:pPr>
            <w:r>
              <w:rPr>
                <w:rFonts w:ascii="Arial Narrow" w:hAnsi="Arial Narrow"/>
                <w:b/>
                <w:i w:val="0"/>
                <w:sz w:val="18"/>
              </w:rPr>
              <w:t>Título e nº</w:t>
            </w:r>
          </w:p>
        </w:tc>
        <w:tc>
          <w:tcPr>
            <w:tcW w:type="dxa" w:w="1907"/>
            <w:shd w:val="clear" w:color="auto" w:fill="f2f2f2"/>
          </w:tcPr>
          <w:p>
            <w:pPr>
              <w:spacing w:before="40" w:after="40" w:line="276" w:lineRule="auto"/>
              <w:jc w:val="center"/>
            </w:pPr>
            <w:r>
              <w:rPr>
                <w:rFonts w:ascii="Arial Narrow" w:hAnsi="Arial Narrow"/>
                <w:b/>
                <w:i w:val="0"/>
                <w:sz w:val="18"/>
              </w:rPr>
              <w:t>Programa e fonte</w:t>
            </w:r>
          </w:p>
        </w:tc>
        <w:tc>
          <w:tcPr>
            <w:tcW w:type="dxa" w:w="1181"/>
            <w:shd w:val="clear" w:color="auto" w:fill="f2f2f2"/>
          </w:tcPr>
          <w:p>
            <w:pPr>
              <w:spacing w:before="40" w:after="40" w:line="276" w:lineRule="auto"/>
              <w:jc w:val="center"/>
            </w:pPr>
            <w:r>
              <w:rPr>
                <w:rFonts w:ascii="Arial Narrow" w:hAnsi="Arial Narrow"/>
                <w:b/>
                <w:i w:val="0"/>
                <w:sz w:val="18"/>
              </w:rPr>
              <w:t>Valor</w:t>
            </w:r>
          </w:p>
        </w:tc>
        <w:tc>
          <w:tcPr>
            <w:tcW w:type="dxa" w:w="1181"/>
            <w:shd w:val="clear" w:color="auto" w:fill="f2f2f2"/>
          </w:tcPr>
          <w:p>
            <w:pPr>
              <w:spacing w:before="40" w:after="40" w:line="276" w:lineRule="auto"/>
              <w:jc w:val="center"/>
            </w:pPr>
            <w:r>
              <w:rPr>
                <w:rFonts w:ascii="Arial Narrow" w:hAnsi="Arial Narrow"/>
                <w:b/>
                <w:i w:val="0"/>
                <w:sz w:val="18"/>
              </w:rPr>
              <w:t>Vencimento</w:t>
            </w:r>
          </w:p>
        </w:tc>
        <w:tc>
          <w:tcPr>
            <w:tcW w:type="dxa" w:w="1544"/>
            <w:shd w:val="clear" w:color="auto" w:fill="f2f2f2"/>
          </w:tcPr>
          <w:p>
            <w:pPr>
              <w:spacing w:before="40" w:after="40" w:line="276" w:lineRule="auto"/>
              <w:jc w:val="center"/>
            </w:pPr>
            <w:r>
              <w:rPr>
                <w:rFonts w:ascii="Arial Narrow" w:hAnsi="Arial Narrow"/>
                <w:b/>
                <w:i w:val="0"/>
                <w:sz w:val="18"/>
              </w:rPr>
              <w:t>Garantias</w:t>
            </w:r>
          </w:p>
        </w:tc>
        <w:tc>
          <w:tcPr>
            <w:tcW w:type="dxa" w:w="1544"/>
            <w:shd w:val="clear" w:color="auto" w:fill="f2f2f2"/>
          </w:tcPr>
          <w:p>
            <w:pPr>
              <w:spacing w:before="40" w:after="40" w:line="276" w:lineRule="auto"/>
              <w:jc w:val="center"/>
            </w:pPr>
            <w:r>
              <w:rPr>
                <w:rFonts w:ascii="Arial Narrow" w:hAnsi="Arial Narrow"/>
                <w:b/>
                <w:i w:val="0"/>
                <w:sz w:val="18"/>
              </w:rPr>
              <w:t>Situação</w:t>
            </w:r>
          </w:p>
        </w:tc>
      </w:tr>
      <w:tr>
        <w:tc>
          <w:tcPr>
            <w:tcW w:type="dxa" w:w="1726"/>
          </w:tcPr>
          <w:p>
            <w:pPr>
              <w:spacing w:before="40" w:after="40" w:line="276" w:lineRule="auto"/>
              <w:jc w:val="left"/>
            </w:pPr>
            <w:r>
              <w:rPr>
                <w:rFonts w:ascii="Arial Narrow" w:hAnsi="Arial Narrow"/>
                <w:b w:val="0"/>
                <w:i w:val="0"/>
                <w:sz w:val="18"/>
                <w:highlight w:val="yellow"/>
              </w:rPr>
              <w:t>[[Cédula Rural (…) nº (…)]]</w:t>
            </w:r>
          </w:p>
        </w:tc>
        <w:tc>
          <w:tcPr>
            <w:tcW w:type="dxa" w:w="1907"/>
          </w:tcPr>
          <w:p>
            <w:pPr>
              <w:spacing w:before="40" w:after="40" w:line="276" w:lineRule="auto"/>
              <w:jc w:val="left"/>
            </w:pPr>
            <w:r>
              <w:rPr>
                <w:rFonts w:ascii="Arial Narrow" w:hAnsi="Arial Narrow"/>
                <w:b w:val="0"/>
                <w:i w:val="0"/>
                <w:sz w:val="18"/>
                <w:highlight w:val="yellow"/>
              </w:rPr>
              <w:t>[[PRONAF / PRONAMP / sem programa]]</w:t>
            </w:r>
          </w:p>
          <w:p>
            <w:pPr>
              <w:spacing w:before="0" w:after="40" w:line="276" w:lineRule="auto"/>
              <w:jc w:val="left"/>
            </w:pPr>
            <w:r>
              <w:rPr>
                <w:rFonts w:ascii="Arial Narrow" w:hAnsi="Arial Narrow"/>
                <w:b w:val="0"/>
                <w:i w:val="0"/>
                <w:sz w:val="18"/>
                <w:highlight w:val="yellow"/>
              </w:rPr>
              <w:t>[[fonte: obrigatórios, BNDES, FNO, livres…]]</w:t>
            </w:r>
          </w:p>
        </w:tc>
        <w:tc>
          <w:tcPr>
            <w:tcW w:type="dxa" w:w="1181"/>
          </w:tcPr>
          <w:p>
            <w:pPr>
              <w:spacing w:before="40" w:after="40" w:line="276" w:lineRule="auto"/>
              <w:jc w:val="left"/>
            </w:pPr>
            <w:r>
              <w:rPr>
                <w:rFonts w:ascii="Arial Narrow" w:hAnsi="Arial Narrow"/>
                <w:b w:val="0"/>
                <w:i w:val="0"/>
                <w:sz w:val="18"/>
              </w:rPr>
              <w:t xml:space="preserve">R$ </w:t>
            </w:r>
            <w:r>
              <w:rPr>
                <w:rFonts w:ascii="Arial Narrow" w:hAnsi="Arial Narrow"/>
                <w:b w:val="0"/>
                <w:i w:val="0"/>
                <w:sz w:val="18"/>
                <w:highlight w:val="yellow"/>
              </w:rPr>
              <w:t>[[valor]]</w:t>
            </w:r>
          </w:p>
        </w:tc>
        <w:tc>
          <w:tcPr>
            <w:tcW w:type="dxa" w:w="1181"/>
          </w:tcPr>
          <w:p>
            <w:pPr>
              <w:spacing w:before="40" w:after="40" w:line="276" w:lineRule="auto"/>
              <w:jc w:val="left"/>
            </w:pPr>
            <w:r>
              <w:rPr>
                <w:rFonts w:ascii="Arial Narrow" w:hAnsi="Arial Narrow"/>
                <w:b w:val="0"/>
                <w:i w:val="0"/>
                <w:sz w:val="18"/>
                <w:highlight w:val="yellow"/>
              </w:rPr>
              <w:t>[[dd/mm/aaaa]]</w:t>
            </w:r>
          </w:p>
        </w:tc>
        <w:tc>
          <w:tcPr>
            <w:tcW w:type="dxa" w:w="1544"/>
          </w:tcPr>
          <w:p>
            <w:pPr>
              <w:spacing w:before="40" w:after="40" w:line="276" w:lineRule="auto"/>
              <w:jc w:val="left"/>
            </w:pPr>
            <w:r>
              <w:rPr>
                <w:rFonts w:ascii="Arial Narrow" w:hAnsi="Arial Narrow"/>
                <w:b w:val="0"/>
                <w:i w:val="0"/>
                <w:sz w:val="18"/>
                <w:highlight w:val="yellow"/>
              </w:rPr>
              <w:t>[[penhor / hipoteca / aval]]</w:t>
            </w:r>
          </w:p>
        </w:tc>
        <w:tc>
          <w:tcPr>
            <w:tcW w:type="dxa" w:w="1544"/>
          </w:tcPr>
          <w:p>
            <w:pPr>
              <w:spacing w:before="40" w:after="40" w:line="276" w:lineRule="auto"/>
              <w:jc w:val="left"/>
            </w:pPr>
            <w:r>
              <w:rPr>
                <w:rFonts w:ascii="Arial Narrow" w:hAnsi="Arial Narrow"/>
                <w:b w:val="0"/>
                <w:i w:val="0"/>
                <w:sz w:val="18"/>
                <w:highlight w:val="yellow"/>
              </w:rPr>
              <w:t>[[em dia / vencida em …]]</w:t>
            </w:r>
          </w:p>
        </w:tc>
      </w:tr>
      <w:tr>
        <w:tc>
          <w:tcPr>
            <w:tcW w:type="dxa" w:w="1726"/>
          </w:tcPr>
          <w:p>
            <w:pPr>
              <w:spacing w:before="40" w:after="40" w:line="276" w:lineRule="auto"/>
              <w:jc w:val="left"/>
            </w:pPr>
            <w:r>
              <w:rPr>
                <w:rFonts w:ascii="Arial Narrow" w:hAnsi="Arial Narrow"/>
                <w:b w:val="0"/>
                <w:i w:val="0"/>
                <w:sz w:val="18"/>
                <w:highlight w:val="yellow"/>
              </w:rPr>
              <w:t>[[repetir uma linha por operação]]</w:t>
            </w:r>
          </w:p>
        </w:tc>
        <w:tc>
          <w:tcPr>
            <w:tcW w:type="dxa" w:w="1907"/>
          </w:tcPr>
          <w:p>
            <w:pPr>
              <w:spacing w:before="40" w:after="40" w:line="276" w:lineRule="auto"/>
              <w:jc w:val="left"/>
            </w:pPr>
          </w:p>
        </w:tc>
        <w:tc>
          <w:tcPr>
            <w:tcW w:type="dxa" w:w="1181"/>
          </w:tcPr>
          <w:p>
            <w:pPr>
              <w:spacing w:before="40" w:after="40" w:line="276" w:lineRule="auto"/>
              <w:jc w:val="left"/>
            </w:pPr>
          </w:p>
        </w:tc>
        <w:tc>
          <w:tcPr>
            <w:tcW w:type="dxa" w:w="1181"/>
          </w:tcPr>
          <w:p>
            <w:pPr>
              <w:spacing w:before="40" w:after="40" w:line="276" w:lineRule="auto"/>
              <w:jc w:val="left"/>
            </w:pPr>
          </w:p>
        </w:tc>
        <w:tc>
          <w:tcPr>
            <w:tcW w:type="dxa" w:w="1544"/>
          </w:tcPr>
          <w:p>
            <w:pPr>
              <w:spacing w:before="40" w:after="40" w:line="276" w:lineRule="auto"/>
              <w:jc w:val="left"/>
            </w:pPr>
          </w:p>
        </w:tc>
        <w:tc>
          <w:tcPr>
            <w:tcW w:type="dxa" w:w="1544"/>
          </w:tcPr>
          <w:p>
            <w:pPr>
              <w:spacing w:before="40" w:after="40" w:line="276" w:lineRule="auto"/>
              <w:jc w:val="left"/>
            </w:pPr>
          </w:p>
        </w:tc>
      </w:tr>
    </w:tbl>
    <w:p>
      <w:pPr>
        <w:spacing w:after="120" w:before="0" w:line="240" w:lineRule="auto"/>
      </w:pPr>
      <w:r>
        <w:rPr>
          <w:rFonts w:ascii="Arial Narrow" w:hAnsi="Arial Narrow"/>
          <w:sz w:val="2"/>
        </w:rPr>
      </w:r>
    </w:p>
    <w:p>
      <w:pPr>
        <w:spacing w:line="276" w:lineRule="auto" w:after="120"/>
        <w:jc w:val="both"/>
      </w:pPr>
      <w:r>
        <w:rPr>
          <w:rFonts w:ascii="Arial Narrow" w:hAnsi="Arial Narrow"/>
          <w:sz w:val="20"/>
          <w:highlight w:val="yellow"/>
        </w:rPr>
        <w:t>[PENDENTE] Preencher programa, fonte de recursos e vencimento LENDO O QUADRO DA CÉDULA. Nunca estimar. Se a operação já foi prorrogada administrativamente antes (pagamento de entrada, aditivo), registrar o vencimento original E o prorrogado e trazer o documento: a prorrogação anterior mostra que o próprio banco reconheceu a dificuldade, e, se foi feita depois do vencimento, que ele mesmo prorrogou fora do prazo.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01  ·  A CÉDULA: PROGRAMA, FONTE DE RECURSOS E FINALIDADE</w:t>
            </w:r>
          </w:p>
          <w:p>
            <w:pPr>
              <w:spacing w:after="40"/>
            </w:pPr>
            <w:r>
              <w:rPr>
                <w:rFonts w:ascii="Arial Narrow" w:hAnsi="Arial Narrow"/>
                <w:b w:val="0"/>
                <w:i w:val="0"/>
                <w:sz w:val="18"/>
              </w:rPr>
              <w:t xml:space="preserve">Cédula rural · Imagem 01, fl. </w:t>
            </w:r>
            <w:r>
              <w:rPr>
                <w:rFonts w:ascii="Arial Narrow" w:hAnsi="Arial Narrow"/>
                <w:b w:val="0"/>
                <w:i w:val="0"/>
                <w:sz w:val="18"/>
                <w:highlight w:val="yellow"/>
              </w:rPr>
              <w:t>[[…]]</w:t>
            </w:r>
            <w:r>
              <w:rPr>
                <w:rFonts w:ascii="Arial Narrow" w:hAnsi="Arial Narrow"/>
                <w:b w:val="0"/>
                <w:i w:val="0"/>
                <w:sz w:val="18"/>
              </w:rPr>
              <w:t xml:space="preserve">   ·   Enquadramento da linha · III.1-A e III.2</w:t>
            </w:r>
          </w:p>
        </w:tc>
      </w:tr>
      <w:tr>
        <w:tc>
          <w:tcPr>
            <w:tcW w:type="dxa" w:w="9083"/>
          </w:tcPr>
          <w:p>
            <w:pPr>
              <w:spacing w:before="160" w:after="160"/>
              <w:jc w:val="center"/>
            </w:pPr>
            <w:r>
              <w:rPr>
                <w:rFonts w:ascii="Arial Narrow" w:hAnsi="Arial Narrow"/>
                <w:b/>
                <w:sz w:val="20"/>
                <w:highlight w:val="yellow"/>
              </w:rPr>
              <w:t>[[INSERIR PRINT 01: recortar: faixa de largura total com os quadros de composição do crédito e de destinação (programa, fonte de recursos, finalidade, atividade); grifar em amarelo: "PRONAMP"; "PRONAF"; "Custeio"; "Investimento"; "OBRIGATÓRIOS";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01: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A operação é crédito rural pela literalidade do título: programa </w:t>
            </w:r>
            <w:r>
              <w:rPr>
                <w:rFonts w:ascii="Arial Narrow" w:hAnsi="Arial Narrow"/>
                <w:b w:val="0"/>
                <w:i w:val="0"/>
                <w:sz w:val="20"/>
                <w:highlight w:val="yellow"/>
              </w:rPr>
              <w:t>[[…]]</w:t>
            </w:r>
            <w:r>
              <w:rPr>
                <w:rFonts w:ascii="Arial Narrow" w:hAnsi="Arial Narrow"/>
                <w:b w:val="0"/>
                <w:i w:val="0"/>
                <w:sz w:val="20"/>
              </w:rPr>
              <w:t xml:space="preserve">, recursos </w:t>
            </w:r>
            <w:r>
              <w:rPr>
                <w:rFonts w:ascii="Arial Narrow" w:hAnsi="Arial Narrow"/>
                <w:b w:val="0"/>
                <w:i w:val="0"/>
                <w:sz w:val="20"/>
                <w:highlight w:val="yellow"/>
              </w:rPr>
              <w:t>[[…]]</w:t>
            </w:r>
            <w:r>
              <w:rPr>
                <w:rFonts w:ascii="Arial Narrow" w:hAnsi="Arial Narrow"/>
                <w:b w:val="0"/>
                <w:i w:val="0"/>
                <w:sz w:val="20"/>
              </w:rPr>
              <w:t xml:space="preserve">, finalidade </w:t>
            </w:r>
            <w:r>
              <w:rPr>
                <w:rFonts w:ascii="Arial Narrow" w:hAnsi="Arial Narrow"/>
                <w:b w:val="0"/>
                <w:i w:val="0"/>
                <w:sz w:val="20"/>
                <w:highlight w:val="yellow"/>
              </w:rPr>
              <w:t>[[…]]</w:t>
            </w:r>
            <w:r>
              <w:rPr>
                <w:rFonts w:ascii="Arial Narrow" w:hAnsi="Arial Narrow"/>
                <w:b w:val="0"/>
                <w:i w:val="0"/>
                <w:sz w:val="20"/>
              </w:rPr>
              <w:t>. É esse enquadramento que define o regime de prorrogação aplicável (tópico III.2) e afasta a tese de crédito comum.</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02  ·  O VENCIMENTO E O CRONOGRAMA DE REEMBOLSO</w:t>
            </w:r>
          </w:p>
          <w:p>
            <w:pPr>
              <w:spacing w:after="40"/>
            </w:pPr>
            <w:r>
              <w:rPr>
                <w:rFonts w:ascii="Arial Narrow" w:hAnsi="Arial Narrow"/>
                <w:b w:val="0"/>
                <w:i w:val="0"/>
                <w:sz w:val="18"/>
              </w:rPr>
              <w:t xml:space="preserve">Cédula rural · Imagem 02, fl. </w:t>
            </w:r>
            <w:r>
              <w:rPr>
                <w:rFonts w:ascii="Arial Narrow" w:hAnsi="Arial Narrow"/>
                <w:b w:val="0"/>
                <w:i w:val="0"/>
                <w:sz w:val="18"/>
                <w:highlight w:val="yellow"/>
              </w:rPr>
              <w:t>[[…]]</w:t>
            </w:r>
            <w:r>
              <w:rPr>
                <w:rFonts w:ascii="Arial Narrow" w:hAnsi="Arial Narrow"/>
                <w:b w:val="0"/>
                <w:i w:val="0"/>
                <w:sz w:val="18"/>
              </w:rPr>
              <w:t xml:space="preserve">   ·   Data do vencimento · linha do tempo · III.2</w:t>
            </w:r>
          </w:p>
        </w:tc>
      </w:tr>
      <w:tr>
        <w:tc>
          <w:tcPr>
            <w:tcW w:type="dxa" w:w="9083"/>
          </w:tcPr>
          <w:p>
            <w:pPr>
              <w:spacing w:before="160" w:after="160"/>
              <w:jc w:val="center"/>
            </w:pPr>
            <w:r>
              <w:rPr>
                <w:rFonts w:ascii="Arial Narrow" w:hAnsi="Arial Narrow"/>
                <w:b/>
                <w:sz w:val="20"/>
                <w:highlight w:val="yellow"/>
              </w:rPr>
              <w:t>[[INSERIR PRINT 02: recortar: quadro do cronograma de reembolso e campo de vencimento; grifar em amarelo: "VENCIMENTO";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02: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vencimento contratado é </w:t>
            </w:r>
            <w:r>
              <w:rPr>
                <w:rFonts w:ascii="Arial Narrow" w:hAnsi="Arial Narrow"/>
                <w:b w:val="0"/>
                <w:i w:val="0"/>
                <w:sz w:val="20"/>
                <w:highlight w:val="yellow"/>
              </w:rPr>
              <w:t>[[dd/mm/aaaa]]</w:t>
            </w:r>
            <w:r>
              <w:rPr>
                <w:rFonts w:ascii="Arial Narrow" w:hAnsi="Arial Narrow"/>
                <w:b w:val="0"/>
                <w:i w:val="0"/>
                <w:sz w:val="20"/>
              </w:rPr>
              <w:t xml:space="preserve">. É a data de referência da linha do tempo: o pedido de prorrogação (Provas 16 e 17) foi feito </w:t>
            </w:r>
            <w:r>
              <w:rPr>
                <w:rFonts w:ascii="Arial Narrow" w:hAnsi="Arial Narrow"/>
                <w:b w:val="0"/>
                <w:i w:val="0"/>
                <w:sz w:val="20"/>
                <w:highlight w:val="yellow"/>
              </w:rPr>
              <w:t>[[antes / depois]]</w:t>
            </w:r>
            <w:r>
              <w:rPr>
                <w:rFonts w:ascii="Arial Narrow" w:hAnsi="Arial Narrow"/>
                <w:b w:val="0"/>
                <w:i w:val="0"/>
                <w:sz w:val="20"/>
              </w:rPr>
              <w:t xml:space="preserve"> dela.</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03  ·  AS GARANTIAS QUE CONTINUAM PROTEGENDO O BANCO</w:t>
            </w:r>
          </w:p>
          <w:p>
            <w:pPr>
              <w:spacing w:after="40"/>
            </w:pPr>
            <w:r>
              <w:rPr>
                <w:rFonts w:ascii="Arial Narrow" w:hAnsi="Arial Narrow"/>
                <w:b w:val="0"/>
                <w:i w:val="0"/>
                <w:sz w:val="18"/>
              </w:rPr>
              <w:t xml:space="preserve">Cédula rural · Imagem 03, fl. </w:t>
            </w:r>
            <w:r>
              <w:rPr>
                <w:rFonts w:ascii="Arial Narrow" w:hAnsi="Arial Narrow"/>
                <w:b w:val="0"/>
                <w:i w:val="0"/>
                <w:sz w:val="18"/>
                <w:highlight w:val="yellow"/>
              </w:rPr>
              <w:t>[[…]]</w:t>
            </w:r>
            <w:r>
              <w:rPr>
                <w:rFonts w:ascii="Arial Narrow" w:hAnsi="Arial Narrow"/>
                <w:b w:val="0"/>
                <w:i w:val="0"/>
                <w:sz w:val="18"/>
              </w:rPr>
              <w:t xml:space="preserve">   ·   Reversibilidade e caução · IV</w:t>
            </w:r>
          </w:p>
        </w:tc>
      </w:tr>
      <w:tr>
        <w:tc>
          <w:tcPr>
            <w:tcW w:type="dxa" w:w="9083"/>
          </w:tcPr>
          <w:p>
            <w:pPr>
              <w:spacing w:before="160" w:after="160"/>
              <w:jc w:val="center"/>
            </w:pPr>
            <w:r>
              <w:rPr>
                <w:rFonts w:ascii="Arial Narrow" w:hAnsi="Arial Narrow"/>
                <w:b/>
                <w:sz w:val="20"/>
                <w:highlight w:val="yellow"/>
              </w:rPr>
              <w:t>[[INSERIR PRINT 03: recortar: quadro de garantias com espécie, bem e valor; grifar em amarelo: "Penhor"; "Hipoteca"; "TOTAL GARANTIDO";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03: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crédito do réu está garantido por </w:t>
            </w:r>
            <w:r>
              <w:rPr>
                <w:rFonts w:ascii="Arial Narrow" w:hAnsi="Arial Narrow"/>
                <w:b w:val="0"/>
                <w:i w:val="0"/>
                <w:sz w:val="20"/>
                <w:highlight w:val="yellow"/>
              </w:rPr>
              <w:t>[[penhor de (…) e hipoteca de (…)]]</w:t>
            </w:r>
            <w:r>
              <w:rPr>
                <w:rFonts w:ascii="Arial Narrow" w:hAnsi="Arial Narrow"/>
                <w:b w:val="0"/>
                <w:i w:val="0"/>
                <w:sz w:val="20"/>
              </w:rPr>
              <w:t xml:space="preserve">, no total de R$ </w:t>
            </w:r>
            <w:r>
              <w:rPr>
                <w:rFonts w:ascii="Arial Narrow" w:hAnsi="Arial Narrow"/>
                <w:b w:val="0"/>
                <w:i w:val="0"/>
                <w:sz w:val="20"/>
                <w:highlight w:val="yellow"/>
              </w:rPr>
              <w:t>[[…]]</w:t>
            </w:r>
            <w:r>
              <w:rPr>
                <w:rFonts w:ascii="Arial Narrow" w:hAnsi="Arial Narrow"/>
                <w:b w:val="0"/>
                <w:i w:val="0"/>
                <w:sz w:val="20"/>
              </w:rPr>
              <w:t>. A suspensão da exigibilidade não atinge essas garantias: a medida é reversível e dispensa caução (art. 300, § 1º, do CPC).</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04  ·  A ASSISTÊNCIA TÉCNICA PACTUADA</w:t>
            </w:r>
          </w:p>
          <w:p>
            <w:pPr>
              <w:spacing w:after="40"/>
            </w:pPr>
            <w:r>
              <w:rPr>
                <w:rFonts w:ascii="Arial Narrow" w:hAnsi="Arial Narrow"/>
                <w:b w:val="0"/>
                <w:i w:val="0"/>
                <w:sz w:val="18"/>
              </w:rPr>
              <w:t xml:space="preserve">Cédula rural · Imagem 04, fl. </w:t>
            </w:r>
            <w:r>
              <w:rPr>
                <w:rFonts w:ascii="Arial Narrow" w:hAnsi="Arial Narrow"/>
                <w:b w:val="0"/>
                <w:i w:val="0"/>
                <w:sz w:val="18"/>
                <w:highlight w:val="yellow"/>
              </w:rPr>
              <w:t>[[…]]</w:t>
            </w:r>
            <w:r>
              <w:rPr>
                <w:rFonts w:ascii="Arial Narrow" w:hAnsi="Arial Narrow"/>
                <w:b w:val="0"/>
                <w:i w:val="0"/>
                <w:sz w:val="18"/>
              </w:rPr>
              <w:t xml:space="preserve">   ·   Análise técnica e exibição · III.4 e V</w:t>
            </w:r>
          </w:p>
        </w:tc>
      </w:tr>
      <w:tr>
        <w:tc>
          <w:tcPr>
            <w:tcW w:type="dxa" w:w="9083"/>
          </w:tcPr>
          <w:p>
            <w:pPr>
              <w:spacing w:before="160" w:after="160"/>
              <w:jc w:val="center"/>
            </w:pPr>
            <w:r>
              <w:rPr>
                <w:rFonts w:ascii="Arial Narrow" w:hAnsi="Arial Narrow"/>
                <w:b/>
                <w:sz w:val="20"/>
                <w:highlight w:val="yellow"/>
              </w:rPr>
              <w:t>[[INSERIR PRINT 04: recortar: campo de assistência técnica (plano simples, projeto técnico, nível de imóvel, empresa); grifar em amarelo: "Plano Simples"; "Projeto Técnico"; "Nível de Imóvel";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04: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título prevê </w:t>
            </w:r>
            <w:r>
              <w:rPr>
                <w:rFonts w:ascii="Arial Narrow" w:hAnsi="Arial Narrow"/>
                <w:b w:val="0"/>
                <w:i w:val="0"/>
                <w:sz w:val="20"/>
                <w:highlight w:val="yellow"/>
              </w:rPr>
              <w:t>[[plano simples / projeto técnico / assistência em nível de imóvel]]</w:t>
            </w:r>
            <w:r>
              <w:rPr>
                <w:rFonts w:ascii="Arial Narrow" w:hAnsi="Arial Narrow"/>
                <w:b w:val="0"/>
                <w:i w:val="0"/>
                <w:sz w:val="20"/>
              </w:rPr>
              <w:t xml:space="preserve"> a cargo de </w:t>
            </w:r>
            <w:r>
              <w:rPr>
                <w:rFonts w:ascii="Arial Narrow" w:hAnsi="Arial Narrow"/>
                <w:b w:val="0"/>
                <w:i w:val="0"/>
                <w:sz w:val="20"/>
                <w:highlight w:val="yellow"/>
              </w:rPr>
              <w:t>[[empresa]]</w:t>
            </w:r>
            <w:r>
              <w:rPr>
                <w:rFonts w:ascii="Arial Narrow" w:hAnsi="Arial Narrow"/>
                <w:b w:val="0"/>
                <w:i w:val="0"/>
                <w:sz w:val="20"/>
              </w:rPr>
              <w:t>. É esse o documento técnico que o réu tem de exibir, ou declarar inexistente (tópico V).</w:t>
            </w:r>
          </w:p>
        </w:tc>
      </w:tr>
    </w:tbl>
    <w:p>
      <w:pPr>
        <w:spacing w:after="160" w:before="0" w:line="240" w:lineRule="auto"/>
      </w:pPr>
      <w:r>
        <w:rPr>
          <w:rFonts w:ascii="Arial Narrow" w:hAnsi="Arial Narrow"/>
          <w:sz w:val="2"/>
        </w:rPr>
      </w:r>
    </w:p>
    <w:p>
      <w:pPr>
        <w:spacing w:line="276" w:lineRule="auto" w:after="120"/>
        <w:jc w:val="both"/>
      </w:pPr>
      <w:r>
        <w:rPr>
          <w:rFonts w:ascii="Arial Narrow" w:hAnsi="Arial Narrow"/>
          <w:sz w:val="20"/>
          <w:highlight w:val="yellow"/>
        </w:rPr>
        <w:t>[PENDENTE] PROVA 05 só entra se houve prorrogação ou renegociação administrativa anterior (aditivo, boleto de entrada, novo vencimento). Não havendo, apague o bloco e a linha do índice de provas.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05  ·  A PRORROGAÇÃO ANTERIOR CONCEDIDA PELO PRÓPRIO BANCO</w:t>
            </w:r>
          </w:p>
          <w:p>
            <w:pPr>
              <w:spacing w:after="40"/>
            </w:pPr>
            <w:r>
              <w:rPr>
                <w:rFonts w:ascii="Arial Narrow" w:hAnsi="Arial Narrow"/>
                <w:b w:val="0"/>
                <w:i w:val="0"/>
                <w:sz w:val="18"/>
              </w:rPr>
              <w:t>Aditivo / boleto de entrada · Imagem 05   ·   Tempestividade pelo vencimento renegociado · III.2</w:t>
            </w:r>
          </w:p>
        </w:tc>
      </w:tr>
      <w:tr>
        <w:tc>
          <w:tcPr>
            <w:tcW w:type="dxa" w:w="9083"/>
          </w:tcPr>
          <w:p>
            <w:pPr>
              <w:spacing w:before="160" w:after="160"/>
              <w:jc w:val="center"/>
            </w:pPr>
            <w:r>
              <w:rPr>
                <w:rFonts w:ascii="Arial Narrow" w:hAnsi="Arial Narrow"/>
                <w:b/>
                <w:sz w:val="20"/>
                <w:highlight w:val="yellow"/>
              </w:rPr>
              <w:t>[[INSERIR PRINT 05: recortar: campo do novo vencimento e data do pagamento ou da assinatura; grifar em amarelo: "vencimento"; "prorrogação";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05: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Em </w:t>
            </w:r>
            <w:r>
              <w:rPr>
                <w:rFonts w:ascii="Arial Narrow" w:hAnsi="Arial Narrow"/>
                <w:b w:val="0"/>
                <w:i w:val="0"/>
                <w:sz w:val="20"/>
                <w:highlight w:val="yellow"/>
              </w:rPr>
              <w:t>[[data]]</w:t>
            </w:r>
            <w:r>
              <w:rPr>
                <w:rFonts w:ascii="Arial Narrow" w:hAnsi="Arial Narrow"/>
                <w:b w:val="0"/>
                <w:i w:val="0"/>
                <w:sz w:val="20"/>
              </w:rPr>
              <w:t xml:space="preserve">, o próprio réu prorrogou a operação para </w:t>
            </w:r>
            <w:r>
              <w:rPr>
                <w:rFonts w:ascii="Arial Narrow" w:hAnsi="Arial Narrow"/>
                <w:b w:val="0"/>
                <w:i w:val="0"/>
                <w:sz w:val="20"/>
                <w:highlight w:val="yellow"/>
              </w:rPr>
              <w:t>[[novo vencimento]]</w:t>
            </w:r>
            <w:r>
              <w:rPr>
                <w:rFonts w:ascii="Arial Narrow" w:hAnsi="Arial Narrow"/>
                <w:b w:val="0"/>
                <w:i w:val="0"/>
                <w:sz w:val="20"/>
              </w:rPr>
              <w:t xml:space="preserve">, </w:t>
            </w:r>
            <w:r>
              <w:rPr>
                <w:rFonts w:ascii="Arial Narrow" w:hAnsi="Arial Narrow"/>
                <w:b w:val="0"/>
                <w:i w:val="0"/>
                <w:sz w:val="20"/>
                <w:highlight w:val="yellow"/>
              </w:rPr>
              <w:t>[[inclusive depois do vencimento original]]</w:t>
            </w:r>
            <w:r>
              <w:rPr>
                <w:rFonts w:ascii="Arial Narrow" w:hAnsi="Arial Narrow"/>
                <w:b w:val="0"/>
                <w:i w:val="0"/>
                <w:sz w:val="20"/>
              </w:rPr>
              <w:t>. A dificuldade foi reconhecida pelo credor, e a tempestividade se mede pelo vencimento renegociado.</w:t>
            </w:r>
          </w:p>
        </w:tc>
      </w:tr>
    </w:tbl>
    <w:p>
      <w:pPr>
        <w:spacing w:after="160" w:before="0" w:line="240" w:lineRule="auto"/>
      </w:pPr>
      <w:r>
        <w:rPr>
          <w:rFonts w:ascii="Arial Narrow" w:hAnsi="Arial Narrow"/>
          <w:sz w:val="2"/>
        </w:rPr>
      </w:r>
    </w:p>
    <w:p>
      <w:pPr>
        <w:spacing w:line="360" w:lineRule="auto" w:before="160" w:after="80"/>
        <w:jc w:val="left"/>
      </w:pPr>
      <w:r>
        <w:rPr>
          <w:rFonts w:ascii="Arial Narrow" w:hAnsi="Arial Narrow"/>
          <w:b/>
          <w:i w:val="0"/>
          <w:sz w:val="24"/>
        </w:rPr>
        <w:t>II.2. O evento adverso</w:t>
      </w:r>
    </w:p>
    <w:p>
      <w:pPr>
        <w:spacing w:line="360" w:lineRule="auto" w:after="120"/>
        <w:jc w:val="both"/>
      </w:pPr>
      <w:r>
        <w:rPr>
          <w:rFonts w:ascii="Arial Narrow" w:hAnsi="Arial Narrow"/>
          <w:b w:val="0"/>
          <w:i w:val="0"/>
          <w:sz w:val="24"/>
        </w:rPr>
        <w:t xml:space="preserve">Em </w:t>
      </w:r>
      <w:r>
        <w:rPr>
          <w:rFonts w:ascii="Arial Narrow" w:hAnsi="Arial Narrow"/>
          <w:b w:val="0"/>
          <w:i w:val="0"/>
          <w:sz w:val="24"/>
          <w:highlight w:val="yellow"/>
        </w:rPr>
        <w:t>[[período]]</w:t>
      </w:r>
      <w:r>
        <w:rPr>
          <w:rFonts w:ascii="Arial Narrow" w:hAnsi="Arial Narrow"/>
          <w:b w:val="0"/>
          <w:i w:val="0"/>
          <w:sz w:val="24"/>
        </w:rPr>
        <w:t xml:space="preserve">, a atividade foi atingida por </w:t>
      </w:r>
      <w:r>
        <w:rPr>
          <w:rFonts w:ascii="Arial Narrow" w:hAnsi="Arial Narrow"/>
          <w:b w:val="0"/>
          <w:i w:val="0"/>
          <w:sz w:val="24"/>
          <w:highlight w:val="yellow"/>
        </w:rPr>
        <w:t>[[evento: estiagem severa / queda do preço da arroba / praga (…)]]</w:t>
      </w:r>
      <w:r>
        <w:rPr>
          <w:rFonts w:ascii="Arial Narrow" w:hAnsi="Arial Narrow"/>
          <w:b w:val="0"/>
          <w:i w:val="0"/>
          <w:sz w:val="24"/>
        </w:rPr>
        <w:t>. O evento é oficial, medido por fonte pública e visível na propriedade do autor:</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06  ·  O DECRETO QUE RECONHECEU A SITUAÇÃO DE EMERGÊNCIA</w:t>
            </w:r>
          </w:p>
          <w:p>
            <w:pPr>
              <w:spacing w:after="40"/>
            </w:pPr>
            <w:r>
              <w:rPr>
                <w:rFonts w:ascii="Arial Narrow" w:hAnsi="Arial Narrow"/>
                <w:b w:val="0"/>
                <w:i w:val="0"/>
                <w:sz w:val="18"/>
              </w:rPr>
              <w:t xml:space="preserve">Decreto nº </w:t>
            </w:r>
            <w:r>
              <w:rPr>
                <w:rFonts w:ascii="Arial Narrow" w:hAnsi="Arial Narrow"/>
                <w:b w:val="0"/>
                <w:i w:val="0"/>
                <w:sz w:val="18"/>
                <w:highlight w:val="yellow"/>
              </w:rPr>
              <w:t>[[…]]</w:t>
            </w:r>
            <w:r>
              <w:rPr>
                <w:rFonts w:ascii="Arial Narrow" w:hAnsi="Arial Narrow"/>
                <w:b w:val="0"/>
                <w:i w:val="0"/>
                <w:sz w:val="18"/>
              </w:rPr>
              <w:t xml:space="preserve"> · Imagem 06   ·   Evento adverso oficial · MCR 2-6-4, "b" ou "c"</w:t>
            </w:r>
          </w:p>
        </w:tc>
      </w:tr>
      <w:tr>
        <w:tc>
          <w:tcPr>
            <w:tcW w:type="dxa" w:w="9083"/>
          </w:tcPr>
          <w:p>
            <w:pPr>
              <w:spacing w:before="160" w:after="160"/>
              <w:jc w:val="center"/>
            </w:pPr>
            <w:r>
              <w:rPr>
                <w:rFonts w:ascii="Arial Narrow" w:hAnsi="Arial Narrow"/>
                <w:b/>
                <w:sz w:val="20"/>
                <w:highlight w:val="yellow"/>
              </w:rPr>
              <w:t>[[INSERIR PRINT 06: recortar: ementa e artigo que declara a emergência, com data e municípios abrangidos; grifar em amarelo: "situação de emergência"; "estiagem";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06: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Poder Público declarou situação de emergência por </w:t>
            </w:r>
            <w:r>
              <w:rPr>
                <w:rFonts w:ascii="Arial Narrow" w:hAnsi="Arial Narrow"/>
                <w:b w:val="0"/>
                <w:i w:val="0"/>
                <w:sz w:val="20"/>
                <w:highlight w:val="yellow"/>
              </w:rPr>
              <w:t>[[evento]]</w:t>
            </w:r>
            <w:r>
              <w:rPr>
                <w:rFonts w:ascii="Arial Narrow" w:hAnsi="Arial Narrow"/>
                <w:b w:val="0"/>
                <w:i w:val="0"/>
                <w:sz w:val="20"/>
              </w:rPr>
              <w:t xml:space="preserve"> em </w:t>
            </w:r>
            <w:r>
              <w:rPr>
                <w:rFonts w:ascii="Arial Narrow" w:hAnsi="Arial Narrow"/>
                <w:b w:val="0"/>
                <w:i w:val="0"/>
                <w:sz w:val="20"/>
                <w:highlight w:val="yellow"/>
              </w:rPr>
              <w:t>[[área]]</w:t>
            </w:r>
            <w:r>
              <w:rPr>
                <w:rFonts w:ascii="Arial Narrow" w:hAnsi="Arial Narrow"/>
                <w:b w:val="0"/>
                <w:i w:val="0"/>
                <w:sz w:val="20"/>
              </w:rPr>
              <w:t xml:space="preserve">, de </w:t>
            </w:r>
            <w:r>
              <w:rPr>
                <w:rFonts w:ascii="Arial Narrow" w:hAnsi="Arial Narrow"/>
                <w:b w:val="0"/>
                <w:i w:val="0"/>
                <w:sz w:val="20"/>
                <w:highlight w:val="yellow"/>
              </w:rPr>
              <w:t>[[…]]</w:t>
            </w:r>
            <w:r>
              <w:rPr>
                <w:rFonts w:ascii="Arial Narrow" w:hAnsi="Arial Narrow"/>
                <w:b w:val="0"/>
                <w:i w:val="0"/>
                <w:sz w:val="20"/>
              </w:rPr>
              <w:t xml:space="preserve"> a </w:t>
            </w:r>
            <w:r>
              <w:rPr>
                <w:rFonts w:ascii="Arial Narrow" w:hAnsi="Arial Narrow"/>
                <w:b w:val="0"/>
                <w:i w:val="0"/>
                <w:sz w:val="20"/>
                <w:highlight w:val="yellow"/>
              </w:rPr>
              <w:t>[[…]]</w:t>
            </w:r>
            <w:r>
              <w:rPr>
                <w:rFonts w:ascii="Arial Narrow" w:hAnsi="Arial Narrow"/>
                <w:b w:val="0"/>
                <w:i w:val="0"/>
                <w:sz w:val="20"/>
              </w:rPr>
              <w:t>. Fato notório (art. 374, I, do CPC), com teor e vigência comprovados (art. 376).</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07  ·  A MEDIÇÃO OFICIAL DO EVENTO</w:t>
            </w:r>
          </w:p>
          <w:p>
            <w:pPr>
              <w:spacing w:after="40"/>
            </w:pPr>
            <w:r>
              <w:rPr>
                <w:rFonts w:ascii="Arial Narrow" w:hAnsi="Arial Narrow"/>
                <w:b w:val="0"/>
                <w:i w:val="0"/>
                <w:sz w:val="18"/>
              </w:rPr>
              <w:t>INMET / índice de vegetação (NDVI) · Imagem 07   ·   Intensidade do evento · III.3</w:t>
            </w:r>
          </w:p>
        </w:tc>
      </w:tr>
      <w:tr>
        <w:tc>
          <w:tcPr>
            <w:tcW w:type="dxa" w:w="9083"/>
          </w:tcPr>
          <w:p>
            <w:pPr>
              <w:spacing w:before="160" w:after="160"/>
              <w:jc w:val="center"/>
            </w:pPr>
            <w:r>
              <w:rPr>
                <w:rFonts w:ascii="Arial Narrow" w:hAnsi="Arial Narrow"/>
                <w:b/>
                <w:sz w:val="20"/>
                <w:highlight w:val="yellow"/>
              </w:rPr>
              <w:t>[[INSERIR PRINT 07: recortar: gráfico ou tabela da estação mais próxima (ou mapa NDVI) com o período e a média histórica; grifar em amarelo: "precipitação"; "média";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07: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A precipitação em </w:t>
            </w:r>
            <w:r>
              <w:rPr>
                <w:rFonts w:ascii="Arial Narrow" w:hAnsi="Arial Narrow"/>
                <w:b w:val="0"/>
                <w:i w:val="0"/>
                <w:sz w:val="20"/>
                <w:highlight w:val="yellow"/>
              </w:rPr>
              <w:t>[[período]]</w:t>
            </w:r>
            <w:r>
              <w:rPr>
                <w:rFonts w:ascii="Arial Narrow" w:hAnsi="Arial Narrow"/>
                <w:b w:val="0"/>
                <w:i w:val="0"/>
                <w:sz w:val="20"/>
              </w:rPr>
              <w:t xml:space="preserve"> foi de </w:t>
            </w:r>
            <w:r>
              <w:rPr>
                <w:rFonts w:ascii="Arial Narrow" w:hAnsi="Arial Narrow"/>
                <w:b w:val="0"/>
                <w:i w:val="0"/>
                <w:sz w:val="20"/>
                <w:highlight w:val="yellow"/>
              </w:rPr>
              <w:t>[[… mm]]</w:t>
            </w:r>
            <w:r>
              <w:rPr>
                <w:rFonts w:ascii="Arial Narrow" w:hAnsi="Arial Narrow"/>
                <w:b w:val="0"/>
                <w:i w:val="0"/>
                <w:sz w:val="20"/>
              </w:rPr>
              <w:t xml:space="preserve">, contra média de </w:t>
            </w:r>
            <w:r>
              <w:rPr>
                <w:rFonts w:ascii="Arial Narrow" w:hAnsi="Arial Narrow"/>
                <w:b w:val="0"/>
                <w:i w:val="0"/>
                <w:sz w:val="20"/>
                <w:highlight w:val="yellow"/>
              </w:rPr>
              <w:t>[[… mm]]</w:t>
            </w:r>
            <w:r>
              <w:rPr>
                <w:rFonts w:ascii="Arial Narrow" w:hAnsi="Arial Narrow"/>
                <w:b w:val="0"/>
                <w:i w:val="0"/>
                <w:sz w:val="20"/>
              </w:rPr>
              <w:t>. É prova que não vem do autor e corrobora o laudo — o reforço que faltou nas decisões que chamaram o laudo de unilateral.</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08  ·  A QUEDA DO PREÇO DO PRODUTO</w:t>
            </w:r>
          </w:p>
          <w:p>
            <w:pPr>
              <w:spacing w:after="40"/>
            </w:pPr>
            <w:r>
              <w:rPr>
                <w:rFonts w:ascii="Arial Narrow" w:hAnsi="Arial Narrow"/>
                <w:b w:val="0"/>
                <w:i w:val="0"/>
                <w:sz w:val="18"/>
              </w:rPr>
              <w:t>Cotação oficial (CEPEA/CONAB) · Imagem 08   ·   Dificuldade de comercialização · MCR 2-6-4, "a"</w:t>
            </w:r>
          </w:p>
        </w:tc>
      </w:tr>
      <w:tr>
        <w:tc>
          <w:tcPr>
            <w:tcW w:type="dxa" w:w="9083"/>
          </w:tcPr>
          <w:p>
            <w:pPr>
              <w:spacing w:before="160" w:after="160"/>
              <w:jc w:val="center"/>
            </w:pPr>
            <w:r>
              <w:rPr>
                <w:rFonts w:ascii="Arial Narrow" w:hAnsi="Arial Narrow"/>
                <w:b/>
                <w:sz w:val="20"/>
                <w:highlight w:val="yellow"/>
              </w:rPr>
              <w:t>[[INSERIR PRINT 08: recortar: série de preços com o valor na contratação e no período de venda; grifar em amarelo: "R$";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08: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preço de </w:t>
            </w:r>
            <w:r>
              <w:rPr>
                <w:rFonts w:ascii="Arial Narrow" w:hAnsi="Arial Narrow"/>
                <w:b w:val="0"/>
                <w:i w:val="0"/>
                <w:sz w:val="20"/>
                <w:highlight w:val="yellow"/>
              </w:rPr>
              <w:t>[[produto]]</w:t>
            </w:r>
            <w:r>
              <w:rPr>
                <w:rFonts w:ascii="Arial Narrow" w:hAnsi="Arial Narrow"/>
                <w:b w:val="0"/>
                <w:i w:val="0"/>
                <w:sz w:val="20"/>
              </w:rPr>
              <w:t xml:space="preserve"> caiu de R$ </w:t>
            </w:r>
            <w:r>
              <w:rPr>
                <w:rFonts w:ascii="Arial Narrow" w:hAnsi="Arial Narrow"/>
                <w:b w:val="0"/>
                <w:i w:val="0"/>
                <w:sz w:val="20"/>
                <w:highlight w:val="yellow"/>
              </w:rPr>
              <w:t>[[…]]</w:t>
            </w:r>
            <w:r>
              <w:rPr>
                <w:rFonts w:ascii="Arial Narrow" w:hAnsi="Arial Narrow"/>
                <w:b w:val="0"/>
                <w:i w:val="0"/>
                <w:sz w:val="20"/>
              </w:rPr>
              <w:t xml:space="preserve"> em </w:t>
            </w:r>
            <w:r>
              <w:rPr>
                <w:rFonts w:ascii="Arial Narrow" w:hAnsi="Arial Narrow"/>
                <w:b w:val="0"/>
                <w:i w:val="0"/>
                <w:sz w:val="20"/>
                <w:highlight w:val="yellow"/>
              </w:rPr>
              <w:t>[[data]]</w:t>
            </w:r>
            <w:r>
              <w:rPr>
                <w:rFonts w:ascii="Arial Narrow" w:hAnsi="Arial Narrow"/>
                <w:b w:val="0"/>
                <w:i w:val="0"/>
                <w:sz w:val="20"/>
              </w:rPr>
              <w:t xml:space="preserve"> para R$ </w:t>
            </w:r>
            <w:r>
              <w:rPr>
                <w:rFonts w:ascii="Arial Narrow" w:hAnsi="Arial Narrow"/>
                <w:b w:val="0"/>
                <w:i w:val="0"/>
                <w:sz w:val="20"/>
                <w:highlight w:val="yellow"/>
              </w:rPr>
              <w:t>[[…]]</w:t>
            </w:r>
            <w:r>
              <w:rPr>
                <w:rFonts w:ascii="Arial Narrow" w:hAnsi="Arial Narrow"/>
                <w:b w:val="0"/>
                <w:i w:val="0"/>
                <w:sz w:val="20"/>
              </w:rPr>
              <w:t xml:space="preserve"> em </w:t>
            </w:r>
            <w:r>
              <w:rPr>
                <w:rFonts w:ascii="Arial Narrow" w:hAnsi="Arial Narrow"/>
                <w:b w:val="0"/>
                <w:i w:val="0"/>
                <w:sz w:val="20"/>
                <w:highlight w:val="yellow"/>
              </w:rPr>
              <w:t>[[data]]</w:t>
            </w:r>
            <w:r>
              <w:rPr>
                <w:rFonts w:ascii="Arial Narrow" w:hAnsi="Arial Narrow"/>
                <w:b w:val="0"/>
                <w:i w:val="0"/>
                <w:sz w:val="20"/>
              </w:rPr>
              <w:t xml:space="preserve">, queda de </w:t>
            </w:r>
            <w:r>
              <w:rPr>
                <w:rFonts w:ascii="Arial Narrow" w:hAnsi="Arial Narrow"/>
                <w:b w:val="0"/>
                <w:i w:val="0"/>
                <w:sz w:val="20"/>
                <w:highlight w:val="yellow"/>
              </w:rPr>
              <w:t>[[…%]]</w:t>
            </w:r>
            <w:r>
              <w:rPr>
                <w:rFonts w:ascii="Arial Narrow" w:hAnsi="Arial Narrow"/>
                <w:b w:val="0"/>
                <w:i w:val="0"/>
                <w:sz w:val="20"/>
              </w:rPr>
              <w:t>: dificuldade de comercialização, hipótese da alínea "a" do MCR 2-6-4.</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09  ·  O EVENTO NA PROPRIEDADE DO AUTOR</w:t>
            </w:r>
          </w:p>
          <w:p>
            <w:pPr>
              <w:spacing w:after="40"/>
            </w:pPr>
            <w:r>
              <w:rPr>
                <w:rFonts w:ascii="Arial Narrow" w:hAnsi="Arial Narrow"/>
                <w:b w:val="0"/>
                <w:i w:val="0"/>
                <w:sz w:val="18"/>
              </w:rPr>
              <w:t>Fotografias com data e localização · Imagem 09   ·   Efeito concreto do evento · III.3</w:t>
            </w:r>
          </w:p>
        </w:tc>
      </w:tr>
      <w:tr>
        <w:tc>
          <w:tcPr>
            <w:tcW w:type="dxa" w:w="9083"/>
          </w:tcPr>
          <w:p>
            <w:pPr>
              <w:spacing w:before="160" w:after="160"/>
              <w:jc w:val="center"/>
            </w:pPr>
            <w:r>
              <w:rPr>
                <w:rFonts w:ascii="Arial Narrow" w:hAnsi="Arial Narrow"/>
                <w:b/>
                <w:sz w:val="20"/>
                <w:highlight w:val="yellow"/>
              </w:rPr>
              <w:t>[[INSERIR PRINT 09: recortar: uma a três fotos com data e coordenadas visíveis (metadado ou carimbo), sem edição; legenda ACIMA da imagem: Imagem NN, documento, folha]]</w:t>
            </w:r>
          </w:p>
        </w:tc>
      </w:tr>
      <w:tr>
        <w:tc>
          <w:tcPr>
            <w:tcW w:type="dxa" w:w="9083"/>
            <w:shd w:val="clear" w:color="auto" w:fill="f2f2f2"/>
          </w:tcPr>
          <w:p>
            <w:pPr>
              <w:spacing w:before="40" w:after="40" w:line="276" w:lineRule="auto"/>
              <w:jc w:val="left"/>
            </w:pPr>
            <w:r>
              <w:rPr>
                <w:rFonts w:ascii="Arial Narrow" w:hAnsi="Arial Narrow"/>
                <w:b/>
                <w:i w:val="0"/>
                <w:sz w:val="18"/>
              </w:rPr>
              <w:t>DESCRIÇÃO OBJETIVA DO QUE A FOTO MOSTRA</w:t>
            </w:r>
          </w:p>
          <w:p>
            <w:pPr>
              <w:spacing w:after="80"/>
              <w:jc w:val="both"/>
            </w:pPr>
            <w:r>
              <w:rPr>
                <w:rFonts w:ascii="Arial Narrow" w:hAnsi="Arial Narrow"/>
                <w:i/>
                <w:sz w:val="20"/>
                <w:highlight w:val="yellow"/>
              </w:rPr>
              <w:t>[[TEXTO DO PRINT 09: data, local/coordenadas e o que a foto mostra, sem adjetivo]]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As fotos de </w:t>
            </w:r>
            <w:r>
              <w:rPr>
                <w:rFonts w:ascii="Arial Narrow" w:hAnsi="Arial Narrow"/>
                <w:b w:val="0"/>
                <w:i w:val="0"/>
                <w:sz w:val="20"/>
                <w:highlight w:val="yellow"/>
              </w:rPr>
              <w:t>[[data]]</w:t>
            </w:r>
            <w:r>
              <w:rPr>
                <w:rFonts w:ascii="Arial Narrow" w:hAnsi="Arial Narrow"/>
                <w:b w:val="0"/>
                <w:i w:val="0"/>
                <w:sz w:val="20"/>
              </w:rPr>
              <w:t xml:space="preserve">, na propriedade </w:t>
            </w:r>
            <w:r>
              <w:rPr>
                <w:rFonts w:ascii="Arial Narrow" w:hAnsi="Arial Narrow"/>
                <w:b w:val="0"/>
                <w:i w:val="0"/>
                <w:sz w:val="20"/>
                <w:highlight w:val="yellow"/>
              </w:rPr>
              <w:t>[[…]]</w:t>
            </w:r>
            <w:r>
              <w:rPr>
                <w:rFonts w:ascii="Arial Narrow" w:hAnsi="Arial Narrow"/>
                <w:b w:val="0"/>
                <w:i w:val="0"/>
                <w:sz w:val="20"/>
              </w:rPr>
              <w:t xml:space="preserve">, mostram </w:t>
            </w:r>
            <w:r>
              <w:rPr>
                <w:rFonts w:ascii="Arial Narrow" w:hAnsi="Arial Narrow"/>
                <w:b w:val="0"/>
                <w:i w:val="0"/>
                <w:sz w:val="20"/>
                <w:highlight w:val="yellow"/>
              </w:rPr>
              <w:t>[[pasto seco / lavoura perdida / rebanho magro]]</w:t>
            </w:r>
            <w:r>
              <w:rPr>
                <w:rFonts w:ascii="Arial Narrow" w:hAnsi="Arial Narrow"/>
                <w:b w:val="0"/>
                <w:i w:val="0"/>
                <w:sz w:val="20"/>
              </w:rPr>
              <w:t>: o evento oficial atingiu a atividade do autor.</w:t>
            </w:r>
          </w:p>
        </w:tc>
      </w:tr>
    </w:tbl>
    <w:p>
      <w:pPr>
        <w:spacing w:after="160" w:before="0" w:line="240" w:lineRule="auto"/>
      </w:pPr>
      <w:r>
        <w:rPr>
          <w:rFonts w:ascii="Arial Narrow" w:hAnsi="Arial Narrow"/>
          <w:sz w:val="2"/>
        </w:rPr>
      </w:r>
    </w:p>
    <w:p>
      <w:pPr>
        <w:spacing w:line="360" w:lineRule="auto" w:before="160" w:after="80"/>
        <w:jc w:val="left"/>
      </w:pPr>
      <w:r>
        <w:rPr>
          <w:rFonts w:ascii="Arial Narrow" w:hAnsi="Arial Narrow"/>
          <w:b/>
          <w:i w:val="0"/>
          <w:sz w:val="24"/>
        </w:rPr>
        <w:t>II.3. O laudo de perda</w:t>
      </w:r>
    </w:p>
    <w:p>
      <w:pPr>
        <w:spacing w:line="360" w:lineRule="auto" w:after="120"/>
        <w:jc w:val="both"/>
      </w:pPr>
      <w:r>
        <w:rPr>
          <w:rFonts w:ascii="Arial Narrow" w:hAnsi="Arial Narrow"/>
          <w:b w:val="0"/>
          <w:i w:val="0"/>
          <w:sz w:val="24"/>
        </w:rPr>
        <w:t>A perda na propriedade foi apurada por profissional habilitado, com visita ao local e números da própria atividade, operação por operação: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10  ·  QUEM ASSINA O LAUDO: HABILITAÇÃO, ART E VISITA</w:t>
            </w:r>
          </w:p>
          <w:p>
            <w:pPr>
              <w:spacing w:after="40"/>
            </w:pPr>
            <w:r>
              <w:rPr>
                <w:rFonts w:ascii="Arial Narrow" w:hAnsi="Arial Narrow"/>
                <w:b w:val="0"/>
                <w:i w:val="0"/>
                <w:sz w:val="18"/>
              </w:rPr>
              <w:t xml:space="preserve">Laudo de perda · Imagem 10, fl. </w:t>
            </w:r>
            <w:r>
              <w:rPr>
                <w:rFonts w:ascii="Arial Narrow" w:hAnsi="Arial Narrow"/>
                <w:b w:val="0"/>
                <w:i w:val="0"/>
                <w:sz w:val="18"/>
                <w:highlight w:val="yellow"/>
              </w:rPr>
              <w:t>[[…]]</w:t>
            </w:r>
            <w:r>
              <w:rPr>
                <w:rFonts w:ascii="Arial Narrow" w:hAnsi="Arial Narrow"/>
                <w:b w:val="0"/>
                <w:i w:val="0"/>
                <w:sz w:val="18"/>
              </w:rPr>
              <w:t xml:space="preserve">   ·   Idoneidade da prova técnica · arg. 7</w:t>
            </w:r>
          </w:p>
        </w:tc>
      </w:tr>
      <w:tr>
        <w:tc>
          <w:tcPr>
            <w:tcW w:type="dxa" w:w="9083"/>
          </w:tcPr>
          <w:p>
            <w:pPr>
              <w:spacing w:before="160" w:after="160"/>
              <w:jc w:val="center"/>
            </w:pPr>
            <w:r>
              <w:rPr>
                <w:rFonts w:ascii="Arial Narrow" w:hAnsi="Arial Narrow"/>
                <w:b/>
                <w:sz w:val="20"/>
                <w:highlight w:val="yellow"/>
              </w:rPr>
              <w:t>[[INSERIR PRINT 10: recortar: identificação do responsável técnico, número de registro, ART e data da vistoria; grifar em amarelo: "ART"; "CREA"; "vistoria";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10: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laudo é de </w:t>
            </w:r>
            <w:r>
              <w:rPr>
                <w:rFonts w:ascii="Arial Narrow" w:hAnsi="Arial Narrow"/>
                <w:b w:val="0"/>
                <w:i w:val="0"/>
                <w:sz w:val="20"/>
                <w:highlight w:val="yellow"/>
              </w:rPr>
              <w:t>[[nome]]</w:t>
            </w:r>
            <w:r>
              <w:rPr>
                <w:rFonts w:ascii="Arial Narrow" w:hAnsi="Arial Narrow"/>
                <w:b w:val="0"/>
                <w:i w:val="0"/>
                <w:sz w:val="20"/>
              </w:rPr>
              <w:t xml:space="preserve">, engenheiro agrônomo, CREA </w:t>
            </w:r>
            <w:r>
              <w:rPr>
                <w:rFonts w:ascii="Arial Narrow" w:hAnsi="Arial Narrow"/>
                <w:b w:val="0"/>
                <w:i w:val="0"/>
                <w:sz w:val="20"/>
                <w:highlight w:val="yellow"/>
              </w:rPr>
              <w:t>[[…]]</w:t>
            </w:r>
            <w:r>
              <w:rPr>
                <w:rFonts w:ascii="Arial Narrow" w:hAnsi="Arial Narrow"/>
                <w:b w:val="0"/>
                <w:i w:val="0"/>
                <w:sz w:val="20"/>
              </w:rPr>
              <w:t xml:space="preserve">, ART </w:t>
            </w:r>
            <w:r>
              <w:rPr>
                <w:rFonts w:ascii="Arial Narrow" w:hAnsi="Arial Narrow"/>
                <w:b w:val="0"/>
                <w:i w:val="0"/>
                <w:sz w:val="20"/>
                <w:highlight w:val="yellow"/>
              </w:rPr>
              <w:t>[[…]]</w:t>
            </w:r>
            <w:r>
              <w:rPr>
                <w:rFonts w:ascii="Arial Narrow" w:hAnsi="Arial Narrow"/>
                <w:b w:val="0"/>
                <w:i w:val="0"/>
                <w:sz w:val="20"/>
              </w:rPr>
              <w:t xml:space="preserve">, com visita à propriedade em </w:t>
            </w:r>
            <w:r>
              <w:rPr>
                <w:rFonts w:ascii="Arial Narrow" w:hAnsi="Arial Narrow"/>
                <w:b w:val="0"/>
                <w:i w:val="0"/>
                <w:sz w:val="20"/>
                <w:highlight w:val="yellow"/>
              </w:rPr>
              <w:t>[[data]]</w:t>
            </w:r>
            <w:r>
              <w:rPr>
                <w:rFonts w:ascii="Arial Narrow" w:hAnsi="Arial Narrow"/>
                <w:b w:val="0"/>
                <w:i w:val="0"/>
                <w:sz w:val="20"/>
              </w:rPr>
              <w:t>: prova técnica idônea para a cognição sumária.</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11  ·  PRODUÇÃO ESPERADA × OBTIDA, POR SAFRA E POR OPERAÇÃO</w:t>
            </w:r>
          </w:p>
          <w:p>
            <w:pPr>
              <w:spacing w:after="40"/>
            </w:pPr>
            <w:r>
              <w:rPr>
                <w:rFonts w:ascii="Arial Narrow" w:hAnsi="Arial Narrow"/>
                <w:b w:val="0"/>
                <w:i w:val="0"/>
                <w:sz w:val="18"/>
              </w:rPr>
              <w:t xml:space="preserve">Laudo de perda · Imagem 11, fl. </w:t>
            </w:r>
            <w:r>
              <w:rPr>
                <w:rFonts w:ascii="Arial Narrow" w:hAnsi="Arial Narrow"/>
                <w:b w:val="0"/>
                <w:i w:val="0"/>
                <w:sz w:val="18"/>
                <w:highlight w:val="yellow"/>
              </w:rPr>
              <w:t>[[…]]</w:t>
            </w:r>
            <w:r>
              <w:rPr>
                <w:rFonts w:ascii="Arial Narrow" w:hAnsi="Arial Narrow"/>
                <w:b w:val="0"/>
                <w:i w:val="0"/>
                <w:sz w:val="18"/>
              </w:rPr>
              <w:t xml:space="preserve">   ·   Frustração quantificada · MCR 2-6-4, "b"</w:t>
            </w:r>
          </w:p>
        </w:tc>
      </w:tr>
      <w:tr>
        <w:tc>
          <w:tcPr>
            <w:tcW w:type="dxa" w:w="9083"/>
          </w:tcPr>
          <w:p>
            <w:pPr>
              <w:spacing w:before="160" w:after="160"/>
              <w:jc w:val="center"/>
            </w:pPr>
            <w:r>
              <w:rPr>
                <w:rFonts w:ascii="Arial Narrow" w:hAnsi="Arial Narrow"/>
                <w:b/>
                <w:sz w:val="20"/>
                <w:highlight w:val="yellow"/>
              </w:rPr>
              <w:t>[[INSERIR PRINT 11: recortar: quadro comparativo de produção ou receita esperada e obtida; grifar em amarelo: "esperada"; "obtida"; "perda";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11: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A produção esperada era </w:t>
            </w:r>
            <w:r>
              <w:rPr>
                <w:rFonts w:ascii="Arial Narrow" w:hAnsi="Arial Narrow"/>
                <w:b w:val="0"/>
                <w:i w:val="0"/>
                <w:sz w:val="20"/>
                <w:highlight w:val="yellow"/>
              </w:rPr>
              <w:t>[[…]]</w:t>
            </w:r>
            <w:r>
              <w:rPr>
                <w:rFonts w:ascii="Arial Narrow" w:hAnsi="Arial Narrow"/>
                <w:b w:val="0"/>
                <w:i w:val="0"/>
                <w:sz w:val="20"/>
              </w:rPr>
              <w:t xml:space="preserve"> e a obtida foi </w:t>
            </w:r>
            <w:r>
              <w:rPr>
                <w:rFonts w:ascii="Arial Narrow" w:hAnsi="Arial Narrow"/>
                <w:b w:val="0"/>
                <w:i w:val="0"/>
                <w:sz w:val="20"/>
                <w:highlight w:val="yellow"/>
              </w:rPr>
              <w:t>[[…]]</w:t>
            </w:r>
            <w:r>
              <w:rPr>
                <w:rFonts w:ascii="Arial Narrow" w:hAnsi="Arial Narrow"/>
                <w:b w:val="0"/>
                <w:i w:val="0"/>
                <w:sz w:val="20"/>
              </w:rPr>
              <w:t xml:space="preserve">, perda de </w:t>
            </w:r>
            <w:r>
              <w:rPr>
                <w:rFonts w:ascii="Arial Narrow" w:hAnsi="Arial Narrow"/>
                <w:b w:val="0"/>
                <w:i w:val="0"/>
                <w:sz w:val="20"/>
                <w:highlight w:val="yellow"/>
              </w:rPr>
              <w:t>[[…%]]</w:t>
            </w:r>
            <w:r>
              <w:rPr>
                <w:rFonts w:ascii="Arial Narrow" w:hAnsi="Arial Narrow"/>
                <w:b w:val="0"/>
                <w:i w:val="0"/>
                <w:sz w:val="20"/>
              </w:rPr>
              <w:t xml:space="preserve"> em </w:t>
            </w:r>
            <w:r>
              <w:rPr>
                <w:rFonts w:ascii="Arial Narrow" w:hAnsi="Arial Narrow"/>
                <w:b w:val="0"/>
                <w:i w:val="0"/>
                <w:sz w:val="20"/>
                <w:highlight w:val="yellow"/>
              </w:rPr>
              <w:t>[[safra/operação]]</w:t>
            </w:r>
            <w:r>
              <w:rPr>
                <w:rFonts w:ascii="Arial Narrow" w:hAnsi="Arial Narrow"/>
                <w:b w:val="0"/>
                <w:i w:val="0"/>
                <w:sz w:val="20"/>
              </w:rPr>
              <w:t>. Individualizado por operação, é o dado que as decisões desfavoráveis disseram faltar.</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12  ·  REDUÇÃO DE RENDA E NEXO COM O EVENTO</w:t>
            </w:r>
          </w:p>
          <w:p>
            <w:pPr>
              <w:spacing w:after="40"/>
            </w:pPr>
            <w:r>
              <w:rPr>
                <w:rFonts w:ascii="Arial Narrow" w:hAnsi="Arial Narrow"/>
                <w:b w:val="0"/>
                <w:i w:val="0"/>
                <w:sz w:val="18"/>
              </w:rPr>
              <w:t xml:space="preserve">Laudo de perda · Imagem 12, fl. </w:t>
            </w:r>
            <w:r>
              <w:rPr>
                <w:rFonts w:ascii="Arial Narrow" w:hAnsi="Arial Narrow"/>
                <w:b w:val="0"/>
                <w:i w:val="0"/>
                <w:sz w:val="18"/>
                <w:highlight w:val="yellow"/>
              </w:rPr>
              <w:t>[[…]]</w:t>
            </w:r>
            <w:r>
              <w:rPr>
                <w:rFonts w:ascii="Arial Narrow" w:hAnsi="Arial Narrow"/>
                <w:b w:val="0"/>
                <w:i w:val="0"/>
                <w:sz w:val="18"/>
              </w:rPr>
              <w:t xml:space="preserve">   ·   Intensidade e % de redução · MCR 2-6-12 "d" / 10-1-27 "d"</w:t>
            </w:r>
          </w:p>
        </w:tc>
      </w:tr>
      <w:tr>
        <w:tc>
          <w:tcPr>
            <w:tcW w:type="dxa" w:w="9083"/>
          </w:tcPr>
          <w:p>
            <w:pPr>
              <w:spacing w:before="160" w:after="160"/>
              <w:jc w:val="center"/>
            </w:pPr>
            <w:r>
              <w:rPr>
                <w:rFonts w:ascii="Arial Narrow" w:hAnsi="Arial Narrow"/>
                <w:b/>
                <w:sz w:val="20"/>
                <w:highlight w:val="yellow"/>
              </w:rPr>
              <w:t>[[INSERIR PRINT 12: recortar: conclusão do laudo com o percentual de redução de renda e a causa; grifar em amarelo: "redução"; "renda";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12: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laudo conclui por redução de </w:t>
            </w:r>
            <w:r>
              <w:rPr>
                <w:rFonts w:ascii="Arial Narrow" w:hAnsi="Arial Narrow"/>
                <w:b w:val="0"/>
                <w:i w:val="0"/>
                <w:sz w:val="20"/>
                <w:highlight w:val="yellow"/>
              </w:rPr>
              <w:t>[[…%]]</w:t>
            </w:r>
            <w:r>
              <w:rPr>
                <w:rFonts w:ascii="Arial Narrow" w:hAnsi="Arial Narrow"/>
                <w:b w:val="0"/>
                <w:i w:val="0"/>
                <w:sz w:val="20"/>
              </w:rPr>
              <w:t xml:space="preserve"> da renda esperada, causada por </w:t>
            </w:r>
            <w:r>
              <w:rPr>
                <w:rFonts w:ascii="Arial Narrow" w:hAnsi="Arial Narrow"/>
                <w:b w:val="0"/>
                <w:i w:val="0"/>
                <w:sz w:val="20"/>
                <w:highlight w:val="yellow"/>
              </w:rPr>
              <w:t>[[evento]]</w:t>
            </w:r>
            <w:r>
              <w:rPr>
                <w:rFonts w:ascii="Arial Narrow" w:hAnsi="Arial Narrow"/>
                <w:b w:val="0"/>
                <w:i w:val="0"/>
                <w:sz w:val="20"/>
              </w:rPr>
              <w:t xml:space="preserve">, com recuperação estimada em </w:t>
            </w:r>
            <w:r>
              <w:rPr>
                <w:rFonts w:ascii="Arial Narrow" w:hAnsi="Arial Narrow"/>
                <w:b w:val="0"/>
                <w:i w:val="0"/>
                <w:sz w:val="20"/>
                <w:highlight w:val="yellow"/>
              </w:rPr>
              <w:t>[[…]]</w:t>
            </w:r>
            <w:r>
              <w:rPr>
                <w:rFonts w:ascii="Arial Narrow" w:hAnsi="Arial Narrow"/>
                <w:b w:val="0"/>
                <w:i w:val="0"/>
                <w:sz w:val="20"/>
              </w:rPr>
              <w:t>: exatamente as informações técnicas que o MCR manda apresentar ao banco.</w:t>
            </w:r>
          </w:p>
        </w:tc>
      </w:tr>
    </w:tbl>
    <w:p>
      <w:pPr>
        <w:spacing w:after="160" w:before="0" w:line="240" w:lineRule="auto"/>
      </w:pPr>
      <w:r>
        <w:rPr>
          <w:rFonts w:ascii="Arial Narrow" w:hAnsi="Arial Narrow"/>
          <w:sz w:val="2"/>
        </w:rPr>
      </w:r>
    </w:p>
    <w:p>
      <w:pPr>
        <w:spacing w:line="360" w:lineRule="auto" w:before="160" w:after="80"/>
        <w:jc w:val="left"/>
      </w:pPr>
      <w:r>
        <w:rPr>
          <w:rFonts w:ascii="Arial Narrow" w:hAnsi="Arial Narrow"/>
          <w:b/>
          <w:i w:val="0"/>
          <w:sz w:val="24"/>
        </w:rPr>
        <w:t>II.4. A capacidade de pagamento</w:t>
      </w:r>
    </w:p>
    <w:p>
      <w:pPr>
        <w:spacing w:line="360" w:lineRule="auto" w:after="120"/>
        <w:jc w:val="both"/>
      </w:pPr>
      <w:r>
        <w:rPr>
          <w:rFonts w:ascii="Arial Narrow" w:hAnsi="Arial Narrow"/>
          <w:b w:val="0"/>
          <w:i w:val="0"/>
          <w:sz w:val="24"/>
        </w:rPr>
        <w:t>A dificuldade é temporária. O laudo de capacidade de pagamento demonstra em que cronograma a dívida volta a ser paga, considerado todo o endividamento do autor:</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13  ·  O FLUXO DE CAIXA PROJETADO</w:t>
            </w:r>
          </w:p>
          <w:p>
            <w:pPr>
              <w:spacing w:after="40"/>
            </w:pPr>
            <w:r>
              <w:rPr>
                <w:rFonts w:ascii="Arial Narrow" w:hAnsi="Arial Narrow"/>
                <w:b w:val="0"/>
                <w:i w:val="0"/>
                <w:sz w:val="18"/>
              </w:rPr>
              <w:t xml:space="preserve">Laudo de capacidade de pagamento · Imagem 13, fl. </w:t>
            </w:r>
            <w:r>
              <w:rPr>
                <w:rFonts w:ascii="Arial Narrow" w:hAnsi="Arial Narrow"/>
                <w:b w:val="0"/>
                <w:i w:val="0"/>
                <w:sz w:val="18"/>
                <w:highlight w:val="yellow"/>
              </w:rPr>
              <w:t>[[…]]</w:t>
            </w:r>
            <w:r>
              <w:rPr>
                <w:rFonts w:ascii="Arial Narrow" w:hAnsi="Arial Narrow"/>
                <w:b w:val="0"/>
                <w:i w:val="0"/>
                <w:sz w:val="18"/>
              </w:rPr>
              <w:t xml:space="preserve">   ·   Dificuldade TEMPORÁRIA · MCR 2-6-4</w:t>
            </w:r>
          </w:p>
        </w:tc>
      </w:tr>
      <w:tr>
        <w:tc>
          <w:tcPr>
            <w:tcW w:type="dxa" w:w="9083"/>
          </w:tcPr>
          <w:p>
            <w:pPr>
              <w:spacing w:before="160" w:after="160"/>
              <w:jc w:val="center"/>
            </w:pPr>
            <w:r>
              <w:rPr>
                <w:rFonts w:ascii="Arial Narrow" w:hAnsi="Arial Narrow"/>
                <w:b/>
                <w:sz w:val="20"/>
                <w:highlight w:val="yellow"/>
              </w:rPr>
              <w:t>[[INSERIR PRINT 13: recortar: tabela de receitas, custos e saldo disponível por ano; grifar em amarelo: "saldo"; "disponível";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13: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A projeção mostra saldo disponível de R$ </w:t>
            </w:r>
            <w:r>
              <w:rPr>
                <w:rFonts w:ascii="Arial Narrow" w:hAnsi="Arial Narrow"/>
                <w:b w:val="0"/>
                <w:i w:val="0"/>
                <w:sz w:val="20"/>
                <w:highlight w:val="yellow"/>
              </w:rPr>
              <w:t>[[…]]</w:t>
            </w:r>
            <w:r>
              <w:rPr>
                <w:rFonts w:ascii="Arial Narrow" w:hAnsi="Arial Narrow"/>
                <w:b w:val="0"/>
                <w:i w:val="0"/>
                <w:sz w:val="20"/>
              </w:rPr>
              <w:t xml:space="preserve"> a partir de </w:t>
            </w:r>
            <w:r>
              <w:rPr>
                <w:rFonts w:ascii="Arial Narrow" w:hAnsi="Arial Narrow"/>
                <w:b w:val="0"/>
                <w:i w:val="0"/>
                <w:sz w:val="20"/>
                <w:highlight w:val="yellow"/>
              </w:rPr>
              <w:t>[[ano]]</w:t>
            </w:r>
            <w:r>
              <w:rPr>
                <w:rFonts w:ascii="Arial Narrow" w:hAnsi="Arial Narrow"/>
                <w:b w:val="0"/>
                <w:i w:val="0"/>
                <w:sz w:val="20"/>
              </w:rPr>
              <w:t>: a dificuldade é temporária, e não insolvência estrutural.</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14  ·  O CRONOGRAMA PROPOSTO: CARÊNCIA E PARCELAS</w:t>
            </w:r>
          </w:p>
          <w:p>
            <w:pPr>
              <w:spacing w:after="40"/>
            </w:pPr>
            <w:r>
              <w:rPr>
                <w:rFonts w:ascii="Arial Narrow" w:hAnsi="Arial Narrow"/>
                <w:b w:val="0"/>
                <w:i w:val="0"/>
                <w:sz w:val="18"/>
              </w:rPr>
              <w:t xml:space="preserve">Laudo de capacidade de pagamento · Imagem 14, fl. </w:t>
            </w:r>
            <w:r>
              <w:rPr>
                <w:rFonts w:ascii="Arial Narrow" w:hAnsi="Arial Narrow"/>
                <w:b w:val="0"/>
                <w:i w:val="0"/>
                <w:sz w:val="18"/>
                <w:highlight w:val="yellow"/>
              </w:rPr>
              <w:t>[[…]]</w:t>
            </w:r>
            <w:r>
              <w:rPr>
                <w:rFonts w:ascii="Arial Narrow" w:hAnsi="Arial Narrow"/>
                <w:b w:val="0"/>
                <w:i w:val="0"/>
                <w:sz w:val="18"/>
              </w:rPr>
              <w:t xml:space="preserve">   ·   Pedido principal "h" · teto da linha</w:t>
            </w:r>
          </w:p>
        </w:tc>
      </w:tr>
      <w:tr>
        <w:tc>
          <w:tcPr>
            <w:tcW w:type="dxa" w:w="9083"/>
          </w:tcPr>
          <w:p>
            <w:pPr>
              <w:spacing w:before="160" w:after="160"/>
              <w:jc w:val="center"/>
            </w:pPr>
            <w:r>
              <w:rPr>
                <w:rFonts w:ascii="Arial Narrow" w:hAnsi="Arial Narrow"/>
                <w:b/>
                <w:sz w:val="20"/>
                <w:highlight w:val="yellow"/>
              </w:rPr>
              <w:t>[[INSERIR PRINT 14: recortar: quadro do cronograma de amortização; grifar em amarelo: "carência"; "parcela";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14: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laudo propõe carência de </w:t>
            </w:r>
            <w:r>
              <w:rPr>
                <w:rFonts w:ascii="Arial Narrow" w:hAnsi="Arial Narrow"/>
                <w:b w:val="0"/>
                <w:i w:val="0"/>
                <w:sz w:val="20"/>
                <w:highlight w:val="yellow"/>
              </w:rPr>
              <w:t>[[…]]</w:t>
            </w:r>
            <w:r>
              <w:rPr>
                <w:rFonts w:ascii="Arial Narrow" w:hAnsi="Arial Narrow"/>
                <w:b w:val="0"/>
                <w:i w:val="0"/>
                <w:sz w:val="20"/>
              </w:rPr>
              <w:t xml:space="preserve"> e </w:t>
            </w:r>
            <w:r>
              <w:rPr>
                <w:rFonts w:ascii="Arial Narrow" w:hAnsi="Arial Narrow"/>
                <w:b w:val="0"/>
                <w:i w:val="0"/>
                <w:sz w:val="20"/>
                <w:highlight w:val="yellow"/>
              </w:rPr>
              <w:t>[[…]]</w:t>
            </w:r>
            <w:r>
              <w:rPr>
                <w:rFonts w:ascii="Arial Narrow" w:hAnsi="Arial Narrow"/>
                <w:b w:val="0"/>
                <w:i w:val="0"/>
                <w:sz w:val="20"/>
              </w:rPr>
              <w:t xml:space="preserve"> parcelas de R$ </w:t>
            </w:r>
            <w:r>
              <w:rPr>
                <w:rFonts w:ascii="Arial Narrow" w:hAnsi="Arial Narrow"/>
                <w:b w:val="0"/>
                <w:i w:val="0"/>
                <w:sz w:val="20"/>
                <w:highlight w:val="yellow"/>
              </w:rPr>
              <w:t>[[…]]</w:t>
            </w:r>
            <w:r>
              <w:rPr>
                <w:rFonts w:ascii="Arial Narrow" w:hAnsi="Arial Narrow"/>
                <w:b w:val="0"/>
                <w:i w:val="0"/>
                <w:sz w:val="20"/>
              </w:rPr>
              <w:t xml:space="preserve">, dentro do limite do MCR para a linha </w:t>
            </w:r>
            <w:r>
              <w:rPr>
                <w:rFonts w:ascii="Arial Narrow" w:hAnsi="Arial Narrow"/>
                <w:b w:val="0"/>
                <w:i w:val="0"/>
                <w:sz w:val="20"/>
                <w:highlight w:val="yellow"/>
              </w:rPr>
              <w:t>[[…]]</w:t>
            </w:r>
            <w:r>
              <w:rPr>
                <w:rFonts w:ascii="Arial Narrow" w:hAnsi="Arial Narrow"/>
                <w:b w:val="0"/>
                <w:i w:val="0"/>
                <w:sz w:val="20"/>
              </w:rPr>
              <w:t>. É o cronograma do pedido "h".</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15  ·  O ENDIVIDAMENTO TOTAL DECLARADO E A CONCLUSÃO DE VIABILIDADE</w:t>
            </w:r>
          </w:p>
          <w:p>
            <w:pPr>
              <w:spacing w:after="40"/>
            </w:pPr>
            <w:r>
              <w:rPr>
                <w:rFonts w:ascii="Arial Narrow" w:hAnsi="Arial Narrow"/>
                <w:b w:val="0"/>
                <w:i w:val="0"/>
                <w:sz w:val="18"/>
              </w:rPr>
              <w:t xml:space="preserve">Laudo de capacidade de pagamento · Imagem 15, fl. </w:t>
            </w:r>
            <w:r>
              <w:rPr>
                <w:rFonts w:ascii="Arial Narrow" w:hAnsi="Arial Narrow"/>
                <w:b w:val="0"/>
                <w:i w:val="0"/>
                <w:sz w:val="18"/>
                <w:highlight w:val="yellow"/>
              </w:rPr>
              <w:t>[[…]]</w:t>
            </w:r>
            <w:r>
              <w:rPr>
                <w:rFonts w:ascii="Arial Narrow" w:hAnsi="Arial Narrow"/>
                <w:b w:val="0"/>
                <w:i w:val="0"/>
                <w:sz w:val="18"/>
              </w:rPr>
              <w:t xml:space="preserve">   ·   Transparência do passivo · III.3</w:t>
            </w:r>
          </w:p>
        </w:tc>
      </w:tr>
      <w:tr>
        <w:tc>
          <w:tcPr>
            <w:tcW w:type="dxa" w:w="9083"/>
          </w:tcPr>
          <w:p>
            <w:pPr>
              <w:spacing w:before="160" w:after="160"/>
              <w:jc w:val="center"/>
            </w:pPr>
            <w:r>
              <w:rPr>
                <w:rFonts w:ascii="Arial Narrow" w:hAnsi="Arial Narrow"/>
                <w:b/>
                <w:sz w:val="20"/>
                <w:highlight w:val="yellow"/>
              </w:rPr>
              <w:t>[[INSERIR PRINT 15: recortar: quadro do endividamento total e parágrafo de conclusão; grifar em amarelo: "endividamento"; "capacidade de pagamento";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15: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laudo considera todo o passivo do autor, R$ </w:t>
            </w:r>
            <w:r>
              <w:rPr>
                <w:rFonts w:ascii="Arial Narrow" w:hAnsi="Arial Narrow"/>
                <w:b w:val="0"/>
                <w:i w:val="0"/>
                <w:sz w:val="20"/>
                <w:highlight w:val="yellow"/>
              </w:rPr>
              <w:t>[[…]]</w:t>
            </w:r>
            <w:r>
              <w:rPr>
                <w:rFonts w:ascii="Arial Narrow" w:hAnsi="Arial Narrow"/>
                <w:b w:val="0"/>
                <w:i w:val="0"/>
                <w:sz w:val="20"/>
              </w:rPr>
              <w:t xml:space="preserve"> em </w:t>
            </w:r>
            <w:r>
              <w:rPr>
                <w:rFonts w:ascii="Arial Narrow" w:hAnsi="Arial Narrow"/>
                <w:b w:val="0"/>
                <w:i w:val="0"/>
                <w:sz w:val="20"/>
                <w:highlight w:val="yellow"/>
              </w:rPr>
              <w:t>[[…]]</w:t>
            </w:r>
            <w:r>
              <w:rPr>
                <w:rFonts w:ascii="Arial Narrow" w:hAnsi="Arial Narrow"/>
                <w:b w:val="0"/>
                <w:i w:val="0"/>
                <w:sz w:val="20"/>
              </w:rPr>
              <w:t xml:space="preserve"> credores, e ainda assim conclui pela viabilidade do cronograma. Endividamento escondido derrubou tutelas; declarado, reforça a credibilidade.</w:t>
            </w:r>
          </w:p>
        </w:tc>
      </w:tr>
    </w:tbl>
    <w:p>
      <w:pPr>
        <w:spacing w:after="160" w:before="0" w:line="240" w:lineRule="auto"/>
      </w:pPr>
      <w:r>
        <w:rPr>
          <w:rFonts w:ascii="Arial Narrow" w:hAnsi="Arial Narrow"/>
          <w:sz w:val="2"/>
        </w:rPr>
      </w:r>
    </w:p>
    <w:p>
      <w:pPr>
        <w:spacing w:line="360" w:lineRule="auto" w:before="160" w:after="80"/>
        <w:jc w:val="left"/>
      </w:pPr>
      <w:r>
        <w:rPr>
          <w:rFonts w:ascii="Arial Narrow" w:hAnsi="Arial Narrow"/>
          <w:b/>
          <w:i w:val="0"/>
          <w:sz w:val="24"/>
        </w:rPr>
        <w:t>II.5. O pedido de prorrogação ao banco e a resposta</w:t>
      </w:r>
    </w:p>
    <w:p>
      <w:pPr>
        <w:spacing w:line="360" w:lineRule="auto" w:after="120"/>
        <w:jc w:val="both"/>
      </w:pPr>
      <w:r>
        <w:rPr>
          <w:rFonts w:ascii="Arial Narrow" w:hAnsi="Arial Narrow"/>
          <w:b w:val="0"/>
          <w:i w:val="0"/>
          <w:sz w:val="24"/>
        </w:rPr>
        <w:t xml:space="preserve">Em </w:t>
      </w:r>
      <w:r>
        <w:rPr>
          <w:rFonts w:ascii="Arial Narrow" w:hAnsi="Arial Narrow"/>
          <w:b w:val="0"/>
          <w:i w:val="0"/>
          <w:sz w:val="24"/>
          <w:highlight w:val="yellow"/>
        </w:rPr>
        <w:t>[[data]]</w:t>
      </w:r>
      <w:r>
        <w:rPr>
          <w:rFonts w:ascii="Arial Narrow" w:hAnsi="Arial Narrow"/>
          <w:b w:val="0"/>
          <w:i w:val="0"/>
          <w:sz w:val="24"/>
        </w:rPr>
        <w:t xml:space="preserve">, </w:t>
      </w:r>
      <w:r>
        <w:rPr>
          <w:rFonts w:ascii="Arial Narrow" w:hAnsi="Arial Narrow"/>
          <w:b w:val="0"/>
          <w:i w:val="0"/>
          <w:sz w:val="24"/>
          <w:highlight w:val="yellow"/>
        </w:rPr>
        <w:t>[[antes do vencimento de (…)]]</w:t>
      </w:r>
      <w:r>
        <w:rPr>
          <w:rFonts w:ascii="Arial Narrow" w:hAnsi="Arial Narrow"/>
          <w:b w:val="0"/>
          <w:i w:val="0"/>
          <w:sz w:val="24"/>
        </w:rPr>
        <w:t xml:space="preserve">, o autor pediu ao réu, por escrito, a prorrogação das operações, com os dois laudos anexos. </w:t>
      </w:r>
      <w:r>
        <w:rPr>
          <w:rFonts w:ascii="Arial Narrow" w:hAnsi="Arial Narrow"/>
          <w:b w:val="0"/>
          <w:i w:val="0"/>
          <w:sz w:val="24"/>
          <w:highlight w:val="yellow"/>
        </w:rPr>
        <w:t>[[O réu não respondeu / negou sem análise técnica / ofereceu (…), proposta que não observa o MCR]]</w:t>
      </w:r>
      <w:r>
        <w:rPr>
          <w:rFonts w:ascii="Arial Narrow" w:hAnsi="Arial Narrow"/>
          <w:b w:val="0"/>
          <w:i w:val="0"/>
          <w:sz w:val="24"/>
        </w:rPr>
        <w: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16  ·  O PEDIDO ESCRITO DE PRORROGAÇÃO, COM OS LAUDOS ANEXOS</w:t>
            </w:r>
          </w:p>
          <w:p>
            <w:pPr>
              <w:spacing w:after="40"/>
            </w:pPr>
            <w:r>
              <w:rPr>
                <w:rFonts w:ascii="Arial Narrow" w:hAnsi="Arial Narrow"/>
                <w:b w:val="0"/>
                <w:i w:val="0"/>
                <w:sz w:val="18"/>
              </w:rPr>
              <w:t>Requerimento ao banco · Imagem 16   ·   Solicitação do mutuário · MCR 2-6-4 · III.2</w:t>
            </w:r>
          </w:p>
        </w:tc>
      </w:tr>
      <w:tr>
        <w:tc>
          <w:tcPr>
            <w:tcW w:type="dxa" w:w="9083"/>
          </w:tcPr>
          <w:p>
            <w:pPr>
              <w:spacing w:before="160" w:after="160"/>
              <w:jc w:val="center"/>
            </w:pPr>
            <w:r>
              <w:rPr>
                <w:rFonts w:ascii="Arial Narrow" w:hAnsi="Arial Narrow"/>
                <w:b/>
                <w:sz w:val="20"/>
                <w:highlight w:val="yellow"/>
              </w:rPr>
              <w:t>[[INSERIR PRINT 16: recortar: cabeçalho com data e destinatário, o parágrafo do pedido e a lista de anexos; grifar em amarelo: "prorrogação"; "laudo"; "anexo";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16: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Em </w:t>
            </w:r>
            <w:r>
              <w:rPr>
                <w:rFonts w:ascii="Arial Narrow" w:hAnsi="Arial Narrow"/>
                <w:b w:val="0"/>
                <w:i w:val="0"/>
                <w:sz w:val="20"/>
                <w:highlight w:val="yellow"/>
              </w:rPr>
              <w:t>[[data]]</w:t>
            </w:r>
            <w:r>
              <w:rPr>
                <w:rFonts w:ascii="Arial Narrow" w:hAnsi="Arial Narrow"/>
                <w:b w:val="0"/>
                <w:i w:val="0"/>
                <w:sz w:val="20"/>
              </w:rPr>
              <w:t xml:space="preserve">, o autor pediu por escrito a prorrogação das operações </w:t>
            </w:r>
            <w:r>
              <w:rPr>
                <w:rFonts w:ascii="Arial Narrow" w:hAnsi="Arial Narrow"/>
                <w:b w:val="0"/>
                <w:i w:val="0"/>
                <w:sz w:val="20"/>
                <w:highlight w:val="yellow"/>
              </w:rPr>
              <w:t>[[nº]]</w:t>
            </w:r>
            <w:r>
              <w:rPr>
                <w:rFonts w:ascii="Arial Narrow" w:hAnsi="Arial Narrow"/>
                <w:b w:val="0"/>
                <w:i w:val="0"/>
                <w:sz w:val="20"/>
              </w:rPr>
              <w:t>, anexando os laudos de perda e de capacidade de pagamento. O banco teve diante de si tudo o que o MCR exige para decidir.</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17  ·  A PROVA DE QUE O BANCO RECEBEU</w:t>
            </w:r>
          </w:p>
          <w:p>
            <w:pPr>
              <w:spacing w:after="40"/>
            </w:pPr>
            <w:r>
              <w:rPr>
                <w:rFonts w:ascii="Arial Narrow" w:hAnsi="Arial Narrow"/>
                <w:b w:val="0"/>
                <w:i w:val="0"/>
                <w:sz w:val="18"/>
              </w:rPr>
              <w:t>AR / confirmação de leitura / protocolo · Imagem 17   ·   Tempestividade · linha do tempo</w:t>
            </w:r>
          </w:p>
        </w:tc>
      </w:tr>
      <w:tr>
        <w:tc>
          <w:tcPr>
            <w:tcW w:type="dxa" w:w="9083"/>
          </w:tcPr>
          <w:p>
            <w:pPr>
              <w:spacing w:before="160" w:after="160"/>
              <w:jc w:val="center"/>
            </w:pPr>
            <w:r>
              <w:rPr>
                <w:rFonts w:ascii="Arial Narrow" w:hAnsi="Arial Narrow"/>
                <w:b/>
                <w:sz w:val="20"/>
                <w:highlight w:val="yellow"/>
              </w:rPr>
              <w:t>[[INSERIR PRINT 17: recortar: data e assinatura do AR, confirmação de leitura do e-mail ou carimbo de protocolo; grifar em amarelo: "recebido"; "data";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17: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réu recebeu o pedido em </w:t>
            </w:r>
            <w:r>
              <w:rPr>
                <w:rFonts w:ascii="Arial Narrow" w:hAnsi="Arial Narrow"/>
                <w:b w:val="0"/>
                <w:i w:val="0"/>
                <w:sz w:val="20"/>
                <w:highlight w:val="yellow"/>
              </w:rPr>
              <w:t>[[data]]</w:t>
            </w:r>
            <w:r>
              <w:rPr>
                <w:rFonts w:ascii="Arial Narrow" w:hAnsi="Arial Narrow"/>
                <w:b w:val="0"/>
                <w:i w:val="0"/>
                <w:sz w:val="20"/>
              </w:rPr>
              <w:t xml:space="preserve">, </w:t>
            </w:r>
            <w:r>
              <w:rPr>
                <w:rFonts w:ascii="Arial Narrow" w:hAnsi="Arial Narrow"/>
                <w:b w:val="0"/>
                <w:i w:val="0"/>
                <w:sz w:val="20"/>
                <w:highlight w:val="yellow"/>
              </w:rPr>
              <w:t>[[… dias]]</w:t>
            </w:r>
            <w:r>
              <w:rPr>
                <w:rFonts w:ascii="Arial Narrow" w:hAnsi="Arial Narrow"/>
                <w:b w:val="0"/>
                <w:i w:val="0"/>
                <w:sz w:val="20"/>
              </w:rPr>
              <w:t xml:space="preserve"> antes do vencimento de </w:t>
            </w:r>
            <w:r>
              <w:rPr>
                <w:rFonts w:ascii="Arial Narrow" w:hAnsi="Arial Narrow"/>
                <w:b w:val="0"/>
                <w:i w:val="0"/>
                <w:sz w:val="20"/>
                <w:highlight w:val="yellow"/>
              </w:rPr>
              <w:t>[[data]]</w:t>
            </w:r>
            <w:r>
              <w:rPr>
                <w:rFonts w:ascii="Arial Narrow" w:hAnsi="Arial Narrow"/>
                <w:b w:val="0"/>
                <w:i w:val="0"/>
                <w:sz w:val="20"/>
              </w:rPr>
              <w:t>. Pedido sem prova de recebimento foi desconsiderado nas decisões lidas.</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18  ·  A RESPOSTA DO BANCO, OU O SILÊNCIO</w:t>
            </w:r>
          </w:p>
          <w:p>
            <w:pPr>
              <w:spacing w:after="40"/>
            </w:pPr>
            <w:r>
              <w:rPr>
                <w:rFonts w:ascii="Arial Narrow" w:hAnsi="Arial Narrow"/>
                <w:b w:val="0"/>
                <w:i w:val="0"/>
                <w:sz w:val="18"/>
              </w:rPr>
              <w:t>Resposta do banco / declaração de ausência de resposta · Imagem 18   ·   Negativa sem análise técnica · III.4</w:t>
            </w:r>
          </w:p>
        </w:tc>
      </w:tr>
      <w:tr>
        <w:tc>
          <w:tcPr>
            <w:tcW w:type="dxa" w:w="9083"/>
          </w:tcPr>
          <w:p>
            <w:pPr>
              <w:spacing w:before="160" w:after="160"/>
              <w:jc w:val="center"/>
            </w:pPr>
            <w:r>
              <w:rPr>
                <w:rFonts w:ascii="Arial Narrow" w:hAnsi="Arial Narrow"/>
                <w:b/>
                <w:sz w:val="20"/>
                <w:highlight w:val="yellow"/>
              </w:rPr>
              <w:t>[[INSERIR PRINT 18: recortar: a resposta inteira com data e assinante; se houve silêncio, o registro de reiteração sem resposta; grifar em amarelo: "indeferido"; "entrada"; "política";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18: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highlight w:val="yellow"/>
              </w:rPr>
              <w:t>[[Em (…), o réu negou por manifestação de (…), sem parecer técnico / exigiu entrada de (…)%, o que não é prorrogação / não respondeu até hoje, apesar da reiteração de (…)]]</w:t>
            </w:r>
            <w:r>
              <w:rPr>
                <w:rFonts w:ascii="Arial Narrow" w:hAnsi="Arial Narrow"/>
                <w:b w:val="0"/>
                <w:i w:val="0"/>
                <w:sz w:val="20"/>
              </w:rPr>
              <w:t>. Não houve a análise que o MCR 2-6-4 impõe ao banco.</w:t>
            </w:r>
          </w:p>
        </w:tc>
      </w:tr>
    </w:tbl>
    <w:p>
      <w:pPr>
        <w:spacing w:after="160" w:before="0" w:line="240" w:lineRule="auto"/>
      </w:pPr>
      <w:r>
        <w:rPr>
          <w:rFonts w:ascii="Arial Narrow" w:hAnsi="Arial Narrow"/>
          <w:sz w:val="2"/>
        </w:rPr>
      </w:r>
    </w:p>
    <w:p>
      <w:pPr>
        <w:spacing w:line="276" w:lineRule="auto" w:after="120"/>
        <w:jc w:val="both"/>
      </w:pPr>
      <w:r>
        <w:rPr>
          <w:rFonts w:ascii="Arial Narrow" w:hAnsi="Arial Narrow"/>
          <w:sz w:val="20"/>
          <w:highlight w:val="yellow"/>
        </w:rPr>
        <w:t>[PENDENTE] PROVA 19 só entra se houver conversa com o gerente ou assessor agro (WhatsApp, e-mail, áudio transcrito). Não havendo, apague o bloco e a linha do índice de provas.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19  ·  A CONVERSA COM O GERENTE (REFORÇO)</w:t>
            </w:r>
          </w:p>
          <w:p>
            <w:pPr>
              <w:spacing w:after="40"/>
            </w:pPr>
            <w:r>
              <w:rPr>
                <w:rFonts w:ascii="Arial Narrow" w:hAnsi="Arial Narrow"/>
                <w:b w:val="0"/>
                <w:i w:val="0"/>
                <w:sz w:val="18"/>
              </w:rPr>
              <w:t>Mensagens / e-mail · Imagem 19   ·   Confissão extrajudicial · CPC 389 e 422, § 3º</w:t>
            </w:r>
          </w:p>
        </w:tc>
      </w:tr>
      <w:tr>
        <w:tc>
          <w:tcPr>
            <w:tcW w:type="dxa" w:w="9083"/>
          </w:tcPr>
          <w:p>
            <w:pPr>
              <w:spacing w:before="160" w:after="160"/>
              <w:jc w:val="center"/>
            </w:pPr>
            <w:r>
              <w:rPr>
                <w:rFonts w:ascii="Arial Narrow" w:hAnsi="Arial Narrow"/>
                <w:b/>
                <w:sz w:val="20"/>
                <w:highlight w:val="yellow"/>
              </w:rPr>
              <w:t>[[INSERIR PRINT 19: recortar: a conversa com número/identificação do gerente, datas e horas visíveis; grifar em amarelo: "prorrogação"; "sistema"; "não";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19: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Em </w:t>
            </w:r>
            <w:r>
              <w:rPr>
                <w:rFonts w:ascii="Arial Narrow" w:hAnsi="Arial Narrow"/>
                <w:b w:val="0"/>
                <w:i w:val="0"/>
                <w:sz w:val="20"/>
                <w:highlight w:val="yellow"/>
              </w:rPr>
              <w:t>[[data]]</w:t>
            </w:r>
            <w:r>
              <w:rPr>
                <w:rFonts w:ascii="Arial Narrow" w:hAnsi="Arial Narrow"/>
                <w:b w:val="0"/>
                <w:i w:val="0"/>
                <w:sz w:val="20"/>
              </w:rPr>
              <w:t xml:space="preserve">, o gerente </w:t>
            </w:r>
            <w:r>
              <w:rPr>
                <w:rFonts w:ascii="Arial Narrow" w:hAnsi="Arial Narrow"/>
                <w:b w:val="0"/>
                <w:i w:val="0"/>
                <w:sz w:val="20"/>
                <w:highlight w:val="yellow"/>
              </w:rPr>
              <w:t>[[nome]]</w:t>
            </w:r>
            <w:r>
              <w:rPr>
                <w:rFonts w:ascii="Arial Narrow" w:hAnsi="Arial Narrow"/>
                <w:b w:val="0"/>
                <w:i w:val="0"/>
                <w:sz w:val="20"/>
              </w:rPr>
              <w:t xml:space="preserve"> </w:t>
            </w:r>
            <w:r>
              <w:rPr>
                <w:rFonts w:ascii="Arial Narrow" w:hAnsi="Arial Narrow"/>
                <w:b w:val="0"/>
                <w:i w:val="0"/>
                <w:sz w:val="20"/>
                <w:highlight w:val="yellow"/>
              </w:rPr>
              <w:t>[[reconheceu o pedido / informou que (…)]]</w:t>
            </w:r>
            <w:r>
              <w:rPr>
                <w:rFonts w:ascii="Arial Narrow" w:hAnsi="Arial Narrow"/>
                <w:b w:val="0"/>
                <w:i w:val="0"/>
                <w:sz w:val="20"/>
              </w:rPr>
              <w:t>. É reforço do pedido escrito, não substituto dele.</w:t>
            </w:r>
          </w:p>
        </w:tc>
      </w:tr>
    </w:tbl>
    <w:p>
      <w:pPr>
        <w:spacing w:after="160" w:before="0" w:line="240" w:lineRule="auto"/>
      </w:pPr>
      <w:r>
        <w:rPr>
          <w:rFonts w:ascii="Arial Narrow" w:hAnsi="Arial Narrow"/>
          <w:sz w:val="2"/>
        </w:rPr>
      </w:r>
    </w:p>
    <w:p>
      <w:pPr>
        <w:spacing w:line="360" w:lineRule="auto" w:after="120"/>
        <w:jc w:val="both"/>
      </w:pPr>
      <w:r>
        <w:rPr>
          <w:rFonts w:ascii="Arial Narrow" w:hAnsi="Arial Narrow"/>
          <w:b w:val="0"/>
          <w:i w:val="0"/>
          <w:sz w:val="24"/>
        </w:rPr>
        <w:t>Mensagem eletrônica impressa é meio de prova (art. 422, § 3º, do CPC), e as partes podem empregar todos os meios legais e moralmente legítimos para provar os fatos (art. 369 do CPC).</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ce4d6"/>
          </w:tcPr>
          <w:p>
            <w:pPr>
              <w:spacing w:before="40" w:after="40" w:line="276" w:lineRule="auto"/>
              <w:jc w:val="center"/>
            </w:pPr>
            <w:r>
              <w:rPr>
                <w:rFonts w:ascii="Arial Narrow" w:hAnsi="Arial Narrow"/>
                <w:b/>
                <w:i w:val="0"/>
                <w:color w:val="C55A11"/>
                <w:sz w:val="18"/>
              </w:rPr>
              <w:t>OUTRO TRIBUNAL · JURISPRUDÊNCIA PERSUASIVA</w:t>
            </w:r>
          </w:p>
        </w:tc>
      </w:tr>
    </w:tbl>
    <w:p>
      <w:pPr>
        <w:spacing w:line="276" w:lineRule="auto" w:before="80" w:after="40"/>
        <w:ind w:left="2268"/>
        <w:jc w:val="both"/>
      </w:pPr>
      <w:r>
        <w:rPr>
          <w:rFonts w:ascii="Arial Narrow" w:hAnsi="Arial Narrow"/>
          <w:b w:val="0"/>
          <w:i/>
          <w:sz w:val="20"/>
        </w:rPr>
        <w:t>3. O requerimento administrativo prévio, formalizado por WhatsApp, e-mail, notificação extrajudicial e protocolo dos formulários do banco antes do vencimento, seguido do silêncio da instituição, reforça a probabilidade do direito (Súmula 298/STJ e MCR 2.6.4).</w:t>
      </w:r>
    </w:p>
    <w:p>
      <w:pPr>
        <w:spacing w:line="276" w:lineRule="auto" w:after="160"/>
        <w:jc w:val="center"/>
      </w:pPr>
      <w:r>
        <w:rPr>
          <w:rFonts w:ascii="Arial Narrow" w:hAnsi="Arial Narrow"/>
          <w:b/>
          <w:i/>
          <w:sz w:val="20"/>
        </w:rPr>
        <w:t xml:space="preserve">TJMT, AI 1024124-42.2026.8.11.0000, Rel. Des. Hélio Nishiyama, 2ª Câmara de Direito Privado, j. 04/06/2026 </w:t>
      </w:r>
      <w:r>
        <w:rPr>
          <w:rFonts w:ascii="Arial Narrow" w:hAnsi="Arial Narrow"/>
          <w:b/>
          <w:i/>
          <w:sz w:val="20"/>
          <w:highlight w:val="yellow"/>
        </w:rPr>
        <w:t>[[conferir inteiro teor e data de publicação antes do protocolo]]</w:t>
      </w:r>
    </w:p>
    <w:p>
      <w:pPr>
        <w:spacing w:line="276" w:lineRule="auto" w:after="120"/>
        <w:jc w:val="both"/>
      </w:pPr>
      <w:r>
        <w:rPr>
          <w:rFonts w:ascii="Arial Narrow" w:hAnsi="Arial Narrow"/>
          <w:sz w:val="20"/>
          <w:highlight w:val="yellow"/>
        </w:rPr>
        <w:t>[PENDENTE] PROVA DO PEDIDO POR QUALQUER MEIO (devolutiva da GJ de 08/08/2026). Antes de escrever este tópico, verifique com o cliente e com o setor de documentos: mensagens e áudios de WhatsApp com gerente ou assessor agro; e-mails; protocolos e senhas de atendimento na agência; AR de notificação; registro de comparecimento; testemunha que acompanhou o cliente; ata notarial das conversas. Adapte a narrativa ao que existe e junte TODOS os registros com data. Mensagem do gerente que admite o fato contra o banco é confissão extrajudicial (art. 389 do CPC). Se não houver registro nenhum, NÃO afirme que houve pedido: use o caminho B do tópico III.2. ATENÇÃO (diagnóstico de 13/09/2026): nas decisões lidas, o pedido que sustentou a tutela foi o ESCRITO, com os laudos anexos e prova de recebimento (AR, confirmação de leitura, protocolo); pedido verbal, só por WhatsApp ou sem laudo anexo foi rejeitado no TJRO. Registro informal entra como reforço, não como o pedido. Laudo datado DEPOIS do pedido também derrubou tutela.</w:t>
      </w:r>
    </w:p>
    <w:p>
      <w:pPr>
        <w:spacing w:line="360" w:lineRule="auto" w:before="160" w:after="80"/>
        <w:jc w:val="left"/>
      </w:pPr>
      <w:r>
        <w:rPr>
          <w:rFonts w:ascii="Arial Narrow" w:hAnsi="Arial Narrow"/>
          <w:b/>
          <w:i w:val="0"/>
          <w:sz w:val="24"/>
        </w:rPr>
        <w:t>II.6. A aplicação do crédito e a produção</w:t>
      </w:r>
    </w:p>
    <w:p>
      <w:pPr>
        <w:spacing w:line="360" w:lineRule="auto" w:after="120"/>
        <w:jc w:val="both"/>
      </w:pPr>
      <w:r>
        <w:rPr>
          <w:rFonts w:ascii="Arial Narrow" w:hAnsi="Arial Narrow"/>
          <w:b w:val="0"/>
          <w:i w:val="0"/>
          <w:sz w:val="24"/>
        </w:rPr>
        <w:t>O crédito foi aplicado na atividade rural, e a queda da produção está registrada em documento de órgão público: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20  ·  A APLICAÇÃO DO CRÉDITO NA ATIVIDADE</w:t>
            </w:r>
          </w:p>
          <w:p>
            <w:pPr>
              <w:spacing w:after="40"/>
            </w:pPr>
            <w:r>
              <w:rPr>
                <w:rFonts w:ascii="Arial Narrow" w:hAnsi="Arial Narrow"/>
                <w:b w:val="0"/>
                <w:i w:val="0"/>
                <w:sz w:val="18"/>
              </w:rPr>
              <w:t>Notas fiscais / GTA · Imagem 20   ·   Destinação rural · Lei 4.829, art. 2º · III.1-A</w:t>
            </w:r>
          </w:p>
        </w:tc>
      </w:tr>
      <w:tr>
        <w:tc>
          <w:tcPr>
            <w:tcW w:type="dxa" w:w="9083"/>
          </w:tcPr>
          <w:p>
            <w:pPr>
              <w:spacing w:before="160" w:after="160"/>
              <w:jc w:val="center"/>
            </w:pPr>
            <w:r>
              <w:rPr>
                <w:rFonts w:ascii="Arial Narrow" w:hAnsi="Arial Narrow"/>
                <w:b/>
                <w:sz w:val="20"/>
                <w:highlight w:val="yellow"/>
              </w:rPr>
              <w:t>[[INSERIR PRINT 20: recortar: as notas fiscais principais, com data, emitente, produto e valor; grifar em amarelo: "Valor"; "Descrição";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20: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crédito foi aplicado em </w:t>
            </w:r>
            <w:r>
              <w:rPr>
                <w:rFonts w:ascii="Arial Narrow" w:hAnsi="Arial Narrow"/>
                <w:b w:val="0"/>
                <w:i w:val="0"/>
                <w:sz w:val="20"/>
                <w:highlight w:val="yellow"/>
              </w:rPr>
              <w:t>[[insumos/animais]]</w:t>
            </w:r>
            <w:r>
              <w:rPr>
                <w:rFonts w:ascii="Arial Narrow" w:hAnsi="Arial Narrow"/>
                <w:b w:val="0"/>
                <w:i w:val="0"/>
                <w:sz w:val="20"/>
              </w:rPr>
              <w:t xml:space="preserve"> no valor de R$ </w:t>
            </w:r>
            <w:r>
              <w:rPr>
                <w:rFonts w:ascii="Arial Narrow" w:hAnsi="Arial Narrow"/>
                <w:b w:val="0"/>
                <w:i w:val="0"/>
                <w:sz w:val="20"/>
                <w:highlight w:val="yellow"/>
              </w:rPr>
              <w:t>[[…]]</w:t>
            </w:r>
            <w:r>
              <w:rPr>
                <w:rFonts w:ascii="Arial Narrow" w:hAnsi="Arial Narrow"/>
                <w:b w:val="0"/>
                <w:i w:val="0"/>
                <w:sz w:val="20"/>
              </w:rPr>
              <w:t xml:space="preserve">, em </w:t>
            </w:r>
            <w:r>
              <w:rPr>
                <w:rFonts w:ascii="Arial Narrow" w:hAnsi="Arial Narrow"/>
                <w:b w:val="0"/>
                <w:i w:val="0"/>
                <w:sz w:val="20"/>
                <w:highlight w:val="yellow"/>
              </w:rPr>
              <w:t>[[datas]]</w:t>
            </w:r>
            <w:r>
              <w:rPr>
                <w:rFonts w:ascii="Arial Narrow" w:hAnsi="Arial Narrow"/>
                <w:b w:val="0"/>
                <w:i w:val="0"/>
                <w:sz w:val="20"/>
              </w:rPr>
              <w:t>: destinação rural comprovada, que responde à tese de crédito comum ou de recursos próprios.</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21  ·  A PRODUÇÃO E SUA EVOLUÇÃO</w:t>
            </w:r>
          </w:p>
          <w:p>
            <w:pPr>
              <w:spacing w:after="40"/>
            </w:pPr>
            <w:r>
              <w:rPr>
                <w:rFonts w:ascii="Arial Narrow" w:hAnsi="Arial Narrow"/>
                <w:b w:val="0"/>
                <w:i w:val="0"/>
                <w:sz w:val="18"/>
              </w:rPr>
              <w:t>Ficha IDARON/ADERR / declaração de produção / DIRPF · Imagem 21   ·   Atividade e queda da produção · III.3</w:t>
            </w:r>
          </w:p>
        </w:tc>
      </w:tr>
      <w:tr>
        <w:tc>
          <w:tcPr>
            <w:tcW w:type="dxa" w:w="9083"/>
          </w:tcPr>
          <w:p>
            <w:pPr>
              <w:spacing w:before="160" w:after="160"/>
              <w:jc w:val="center"/>
            </w:pPr>
            <w:r>
              <w:rPr>
                <w:rFonts w:ascii="Arial Narrow" w:hAnsi="Arial Narrow"/>
                <w:b/>
                <w:sz w:val="20"/>
                <w:highlight w:val="yellow"/>
              </w:rPr>
              <w:t>[[INSERIR PRINT 21: recortar: saldo de rebanho ou produção declarada em dois períodos; grifar em amarelo: "saldo"; "total";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21: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O rebanho/produção passou de </w:t>
            </w:r>
            <w:r>
              <w:rPr>
                <w:rFonts w:ascii="Arial Narrow" w:hAnsi="Arial Narrow"/>
                <w:b w:val="0"/>
                <w:i w:val="0"/>
                <w:sz w:val="20"/>
                <w:highlight w:val="yellow"/>
              </w:rPr>
              <w:t>[[…]]</w:t>
            </w:r>
            <w:r>
              <w:rPr>
                <w:rFonts w:ascii="Arial Narrow" w:hAnsi="Arial Narrow"/>
                <w:b w:val="0"/>
                <w:i w:val="0"/>
                <w:sz w:val="20"/>
              </w:rPr>
              <w:t xml:space="preserve"> em </w:t>
            </w:r>
            <w:r>
              <w:rPr>
                <w:rFonts w:ascii="Arial Narrow" w:hAnsi="Arial Narrow"/>
                <w:b w:val="0"/>
                <w:i w:val="0"/>
                <w:sz w:val="20"/>
                <w:highlight w:val="yellow"/>
              </w:rPr>
              <w:t>[[data]]</w:t>
            </w:r>
            <w:r>
              <w:rPr>
                <w:rFonts w:ascii="Arial Narrow" w:hAnsi="Arial Narrow"/>
                <w:b w:val="0"/>
                <w:i w:val="0"/>
                <w:sz w:val="20"/>
              </w:rPr>
              <w:t xml:space="preserve"> para </w:t>
            </w:r>
            <w:r>
              <w:rPr>
                <w:rFonts w:ascii="Arial Narrow" w:hAnsi="Arial Narrow"/>
                <w:b w:val="0"/>
                <w:i w:val="0"/>
                <w:sz w:val="20"/>
                <w:highlight w:val="yellow"/>
              </w:rPr>
              <w:t>[[…]]</w:t>
            </w:r>
            <w:r>
              <w:rPr>
                <w:rFonts w:ascii="Arial Narrow" w:hAnsi="Arial Narrow"/>
                <w:b w:val="0"/>
                <w:i w:val="0"/>
                <w:sz w:val="20"/>
              </w:rPr>
              <w:t xml:space="preserve"> em </w:t>
            </w:r>
            <w:r>
              <w:rPr>
                <w:rFonts w:ascii="Arial Narrow" w:hAnsi="Arial Narrow"/>
                <w:b w:val="0"/>
                <w:i w:val="0"/>
                <w:sz w:val="20"/>
                <w:highlight w:val="yellow"/>
              </w:rPr>
              <w:t>[[data]]</w:t>
            </w:r>
            <w:r>
              <w:rPr>
                <w:rFonts w:ascii="Arial Narrow" w:hAnsi="Arial Narrow"/>
                <w:b w:val="0"/>
                <w:i w:val="0"/>
                <w:sz w:val="20"/>
              </w:rPr>
              <w:t>: documento de órgão público que confirma o laudo.</w:t>
            </w:r>
          </w:p>
        </w:tc>
      </w:tr>
    </w:tbl>
    <w:p>
      <w:pPr>
        <w:spacing w:after="160" w:before="0" w:line="240" w:lineRule="auto"/>
      </w:pPr>
      <w:r>
        <w:rPr>
          <w:rFonts w:ascii="Arial Narrow" w:hAnsi="Arial Narrow"/>
          <w:sz w:val="2"/>
        </w:rPr>
      </w:r>
    </w:p>
    <w:p>
      <w:pPr>
        <w:spacing w:line="360" w:lineRule="auto" w:before="160" w:after="80"/>
        <w:jc w:val="left"/>
      </w:pPr>
      <w:r>
        <w:rPr>
          <w:rFonts w:ascii="Arial Narrow" w:hAnsi="Arial Narrow"/>
          <w:b/>
          <w:i w:val="0"/>
          <w:sz w:val="24"/>
        </w:rPr>
        <w:t>II.7. A ameaça concreta</w:t>
      </w:r>
    </w:p>
    <w:p>
      <w:pPr>
        <w:spacing w:line="360" w:lineRule="auto" w:after="120"/>
        <w:jc w:val="both"/>
      </w:pPr>
      <w:r>
        <w:rPr>
          <w:rFonts w:ascii="Arial Narrow" w:hAnsi="Arial Narrow"/>
          <w:b w:val="0"/>
          <w:i w:val="0"/>
          <w:sz w:val="24"/>
        </w:rPr>
        <w:t>O dano não é hipotético: o réu já adotou, ou anunciou com data, as medidas abaixo: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22  ·  A RESTRIÇÃO CADASTRAL JÁ LANÇADA OU ANUNCIADA</w:t>
            </w:r>
          </w:p>
          <w:p>
            <w:pPr>
              <w:spacing w:after="40"/>
            </w:pPr>
            <w:r>
              <w:rPr>
                <w:rFonts w:ascii="Arial Narrow" w:hAnsi="Arial Narrow"/>
                <w:b w:val="0"/>
                <w:i w:val="0"/>
                <w:sz w:val="18"/>
              </w:rPr>
              <w:t>SERASA / SPC / SCR (Registrato) · Imagem 22   ·   Perigo de dano concreto · IV</w:t>
            </w:r>
          </w:p>
        </w:tc>
      </w:tr>
      <w:tr>
        <w:tc>
          <w:tcPr>
            <w:tcW w:type="dxa" w:w="9083"/>
          </w:tcPr>
          <w:p>
            <w:pPr>
              <w:spacing w:before="160" w:after="160"/>
              <w:jc w:val="center"/>
            </w:pPr>
            <w:r>
              <w:rPr>
                <w:rFonts w:ascii="Arial Narrow" w:hAnsi="Arial Narrow"/>
                <w:b/>
                <w:sz w:val="20"/>
                <w:highlight w:val="yellow"/>
              </w:rPr>
              <w:t>[[INSERIR PRINT 22: recortar: a anotação com credor, valor e data; grifar em amarelo: "data"; "valor";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22: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rPr>
              <w:t xml:space="preserve">Em </w:t>
            </w:r>
            <w:r>
              <w:rPr>
                <w:rFonts w:ascii="Arial Narrow" w:hAnsi="Arial Narrow"/>
                <w:b w:val="0"/>
                <w:i w:val="0"/>
                <w:sz w:val="20"/>
                <w:highlight w:val="yellow"/>
              </w:rPr>
              <w:t>[[data]]</w:t>
            </w:r>
            <w:r>
              <w:rPr>
                <w:rFonts w:ascii="Arial Narrow" w:hAnsi="Arial Narrow"/>
                <w:b w:val="0"/>
                <w:i w:val="0"/>
                <w:sz w:val="20"/>
              </w:rPr>
              <w:t xml:space="preserve">, o réu </w:t>
            </w:r>
            <w:r>
              <w:rPr>
                <w:rFonts w:ascii="Arial Narrow" w:hAnsi="Arial Narrow"/>
                <w:b w:val="0"/>
                <w:i w:val="0"/>
                <w:sz w:val="20"/>
                <w:highlight w:val="yellow"/>
              </w:rPr>
              <w:t>[[incluiu / anunciou a inclusão de]]</w:t>
            </w:r>
            <w:r>
              <w:rPr>
                <w:rFonts w:ascii="Arial Narrow" w:hAnsi="Arial Narrow"/>
                <w:b w:val="0"/>
                <w:i w:val="0"/>
                <w:sz w:val="20"/>
              </w:rPr>
              <w:t xml:space="preserve"> o nome do autor em </w:t>
            </w:r>
            <w:r>
              <w:rPr>
                <w:rFonts w:ascii="Arial Narrow" w:hAnsi="Arial Narrow"/>
                <w:b w:val="0"/>
                <w:i w:val="0"/>
                <w:sz w:val="20"/>
                <w:highlight w:val="yellow"/>
              </w:rPr>
              <w:t>[[cadastro]]</w:t>
            </w:r>
            <w:r>
              <w:rPr>
                <w:rFonts w:ascii="Arial Narrow" w:hAnsi="Arial Narrow"/>
                <w:b w:val="0"/>
                <w:i w:val="0"/>
                <w:sz w:val="20"/>
              </w:rPr>
              <w:t>, o que fecha o crédito do próximo ciclo.</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12" w:color="2e5d9c"/>
          <w:left w:val="single" w:sz="12" w:color="2e5d9c"/>
          <w:bottom w:val="single" w:sz="12" w:color="2e5d9c"/>
          <w:right w:val="single" w:sz="12" w:color="2e5d9c"/>
          <w:insideH w:val="single" w:sz="12" w:color="2e5d9c"/>
          <w:insideV w:val="single" w:sz="12" w:color="2e5d9c"/>
        </w:tblBorders>
      </w:tblPr>
      <w:tblGrid>
        <w:gridCol w:w="9083"/>
      </w:tblGrid>
      <w:tr>
        <w:tc>
          <w:tcPr>
            <w:tcW w:type="dxa" w:w="9083"/>
            <w:shd w:val="clear" w:color="auto" w:fill="dce6f1"/>
          </w:tcPr>
          <w:p>
            <w:pPr>
              <w:spacing w:before="40" w:after="40" w:line="276" w:lineRule="auto"/>
              <w:jc w:val="left"/>
            </w:pPr>
            <w:r>
              <w:rPr>
                <w:rFonts w:ascii="Arial Narrow" w:hAnsi="Arial Narrow"/>
                <w:b/>
                <w:i w:val="0"/>
                <w:color w:val="2E5D9C"/>
                <w:sz w:val="20"/>
              </w:rPr>
              <w:t>PROVA 23  ·  A COBRANÇA, A EXECUÇÃO OU O LEILÃO</w:t>
            </w:r>
          </w:p>
          <w:p>
            <w:pPr>
              <w:spacing w:after="40"/>
            </w:pPr>
            <w:r>
              <w:rPr>
                <w:rFonts w:ascii="Arial Narrow" w:hAnsi="Arial Narrow"/>
                <w:b w:val="0"/>
                <w:i w:val="0"/>
                <w:sz w:val="18"/>
              </w:rPr>
              <w:t>Notificação de vencimento antecipado / execução / edital · Imagem 23   ·   Perigo datado sobre o patrimônio produtivo · IV</w:t>
            </w:r>
          </w:p>
        </w:tc>
      </w:tr>
      <w:tr>
        <w:tc>
          <w:tcPr>
            <w:tcW w:type="dxa" w:w="9083"/>
          </w:tcPr>
          <w:p>
            <w:pPr>
              <w:spacing w:before="160" w:after="160"/>
              <w:jc w:val="center"/>
            </w:pPr>
            <w:r>
              <w:rPr>
                <w:rFonts w:ascii="Arial Narrow" w:hAnsi="Arial Narrow"/>
                <w:b/>
                <w:sz w:val="20"/>
                <w:highlight w:val="yellow"/>
              </w:rPr>
              <w:t>[[INSERIR PRINT 23: recortar: o ato com número, data e bens atingidos; grifar em amarelo: "data"; "penhora"; "leilão"; legenda ACIMA da imagem: Imagem NN, documento, folha e (grifo nosso)]]</w:t>
            </w:r>
          </w:p>
        </w:tc>
      </w:tr>
      <w:tr>
        <w:tc>
          <w:tcPr>
            <w:tcW w:type="dxa" w:w="9083"/>
            <w:shd w:val="clear" w:color="auto" w:fill="f2f2f2"/>
          </w:tcPr>
          <w:p>
            <w:pPr>
              <w:spacing w:before="40" w:after="40" w:line="276" w:lineRule="auto"/>
              <w:jc w:val="left"/>
            </w:pPr>
            <w:r>
              <w:rPr>
                <w:rFonts w:ascii="Arial Narrow" w:hAnsi="Arial Narrow"/>
                <w:b/>
                <w:i w:val="0"/>
                <w:sz w:val="18"/>
              </w:rPr>
              <w:t>TRANSCRIÇÃO DO TRECHO GRIFADO</w:t>
            </w:r>
          </w:p>
          <w:p>
            <w:pPr>
              <w:spacing w:after="80"/>
              <w:jc w:val="both"/>
            </w:pPr>
            <w:r>
              <w:rPr>
                <w:rFonts w:ascii="Arial Narrow" w:hAnsi="Arial Narrow"/>
                <w:i/>
                <w:sz w:val="20"/>
                <w:highlight w:val="yellow"/>
              </w:rPr>
              <w:t>[[TEXTO DO PRINT 23: transcrever literalmente o trecho grifado, sem corte que altere o sentido]]</w:t>
            </w:r>
          </w:p>
        </w:tc>
      </w:tr>
      <w:tr>
        <w:tc>
          <w:tcPr>
            <w:tcW w:type="dxa" w:w="9083"/>
            <w:shd w:val="clear" w:color="auto" w:fill="fff2cc"/>
          </w:tcPr>
          <w:p>
            <w:pPr>
              <w:spacing w:before="40" w:after="40" w:line="276" w:lineRule="auto"/>
              <w:jc w:val="left"/>
            </w:pPr>
            <w:r>
              <w:rPr>
                <w:rFonts w:ascii="Arial Narrow" w:hAnsi="Arial Narrow"/>
                <w:b/>
                <w:i w:val="0"/>
                <w:sz w:val="18"/>
              </w:rPr>
              <w:t>O QUE ESTA PROVA DEMONSTRA</w:t>
            </w:r>
          </w:p>
          <w:p>
            <w:pPr>
              <w:spacing w:after="80"/>
              <w:jc w:val="both"/>
            </w:pPr>
            <w:r>
              <w:rPr>
                <w:rFonts w:ascii="Arial Narrow" w:hAnsi="Arial Narrow"/>
                <w:b w:val="0"/>
                <w:i w:val="0"/>
                <w:sz w:val="20"/>
                <w:highlight w:val="yellow"/>
              </w:rPr>
              <w:t>[[Em (…), o réu ajuizou a execução nº (…) / designou leilão para (…) / notificou o vencimento antecipado]]</w:t>
            </w:r>
            <w:r>
              <w:rPr>
                <w:rFonts w:ascii="Arial Narrow" w:hAnsi="Arial Narrow"/>
                <w:b w:val="0"/>
                <w:i w:val="0"/>
                <w:sz w:val="20"/>
              </w:rPr>
              <w:t xml:space="preserve">, atingindo </w:t>
            </w:r>
            <w:r>
              <w:rPr>
                <w:rFonts w:ascii="Arial Narrow" w:hAnsi="Arial Narrow"/>
                <w:b w:val="0"/>
                <w:i w:val="0"/>
                <w:sz w:val="20"/>
                <w:highlight w:val="yellow"/>
              </w:rPr>
              <w:t>[[bem]]</w:t>
            </w:r>
            <w:r>
              <w:rPr>
                <w:rFonts w:ascii="Arial Narrow" w:hAnsi="Arial Narrow"/>
                <w:b w:val="0"/>
                <w:i w:val="0"/>
                <w:sz w:val="20"/>
              </w:rPr>
              <w:t>, que é o próprio instrumento da produção.</w:t>
            </w:r>
          </w:p>
        </w:tc>
      </w:tr>
    </w:tbl>
    <w:p>
      <w:pPr>
        <w:spacing w:after="16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271"/>
        <w:gridCol w:w="2271"/>
        <w:gridCol w:w="2271"/>
        <w:gridCol w:w="2271"/>
      </w:tblGrid>
      <w:tr>
        <w:tc>
          <w:tcPr>
            <w:tcW w:type="dxa" w:w="9083"/>
            <w:gridSpan w:val="4"/>
            <w:shd w:val="clear" w:color="auto" w:fill="f6b26b"/>
          </w:tcPr>
          <w:p>
            <w:pPr>
              <w:spacing w:before="40" w:after="40" w:line="276" w:lineRule="auto"/>
              <w:jc w:val="center"/>
            </w:pPr>
            <w:r>
              <w:rPr>
                <w:rFonts w:ascii="Arial Narrow" w:hAnsi="Arial Narrow"/>
                <w:b/>
                <w:i w:val="0"/>
                <w:sz w:val="20"/>
              </w:rPr>
              <w:t>LINHA DO TEMPO: O PEDIDO E O VENCIMENTO</w:t>
            </w:r>
          </w:p>
        </w:tc>
      </w:tr>
      <w:tr>
        <w:tc>
          <w:tcPr>
            <w:tcW w:type="dxa" w:w="1362"/>
            <w:shd w:val="clear" w:color="auto" w:fill="f2f2f2"/>
          </w:tcPr>
          <w:p>
            <w:pPr>
              <w:spacing w:before="40" w:after="40" w:line="276" w:lineRule="auto"/>
              <w:jc w:val="center"/>
            </w:pPr>
            <w:r>
              <w:rPr>
                <w:rFonts w:ascii="Arial Narrow" w:hAnsi="Arial Narrow"/>
                <w:b/>
                <w:i w:val="0"/>
                <w:sz w:val="20"/>
              </w:rPr>
              <w:t>Data</w:t>
            </w:r>
          </w:p>
        </w:tc>
        <w:tc>
          <w:tcPr>
            <w:tcW w:type="dxa" w:w="4087"/>
            <w:shd w:val="clear" w:color="auto" w:fill="f2f2f2"/>
          </w:tcPr>
          <w:p>
            <w:pPr>
              <w:spacing w:before="40" w:after="40" w:line="276" w:lineRule="auto"/>
              <w:jc w:val="center"/>
            </w:pPr>
            <w:r>
              <w:rPr>
                <w:rFonts w:ascii="Arial Narrow" w:hAnsi="Arial Narrow"/>
                <w:b/>
                <w:i w:val="0"/>
                <w:sz w:val="20"/>
              </w:rPr>
              <w:t>Evento</w:t>
            </w:r>
          </w:p>
        </w:tc>
        <w:tc>
          <w:tcPr>
            <w:tcW w:type="dxa" w:w="1817"/>
            <w:shd w:val="clear" w:color="auto" w:fill="f2f2f2"/>
          </w:tcPr>
          <w:p>
            <w:pPr>
              <w:spacing w:before="40" w:after="40" w:line="276" w:lineRule="auto"/>
              <w:jc w:val="center"/>
            </w:pPr>
            <w:r>
              <w:rPr>
                <w:rFonts w:ascii="Arial Narrow" w:hAnsi="Arial Narrow"/>
                <w:b/>
                <w:i w:val="0"/>
                <w:sz w:val="20"/>
              </w:rPr>
              <w:t>Fase contratual</w:t>
            </w:r>
          </w:p>
        </w:tc>
        <w:tc>
          <w:tcPr>
            <w:tcW w:type="dxa" w:w="1817"/>
            <w:shd w:val="clear" w:color="auto" w:fill="f2f2f2"/>
          </w:tcPr>
          <w:p>
            <w:pPr>
              <w:spacing w:before="40" w:after="40" w:line="276" w:lineRule="auto"/>
              <w:jc w:val="center"/>
            </w:pPr>
            <w:r>
              <w:rPr>
                <w:rFonts w:ascii="Arial Narrow" w:hAnsi="Arial Narrow"/>
                <w:b/>
                <w:i w:val="0"/>
                <w:sz w:val="20"/>
              </w:rPr>
              <w:t>Documento</w:t>
            </w:r>
          </w:p>
        </w:tc>
      </w:tr>
      <w:tr>
        <w:tc>
          <w:tcPr>
            <w:tcW w:type="dxa" w:w="1362"/>
          </w:tcPr>
          <w:p>
            <w:pPr>
              <w:spacing w:before="40" w:after="40" w:line="276" w:lineRule="auto"/>
              <w:jc w:val="center"/>
            </w:pPr>
            <w:r>
              <w:rPr>
                <w:rFonts w:ascii="Arial Narrow" w:hAnsi="Arial Narrow"/>
                <w:b w:val="0"/>
                <w:i w:val="0"/>
                <w:sz w:val="20"/>
                <w:highlight w:val="yellow"/>
              </w:rPr>
              <w:t>[[dd/mm/aaaa]]</w:t>
            </w:r>
          </w:p>
        </w:tc>
        <w:tc>
          <w:tcPr>
            <w:tcW w:type="dxa" w:w="4087"/>
          </w:tcPr>
          <w:p>
            <w:pPr>
              <w:spacing w:before="40" w:after="40" w:line="276" w:lineRule="auto"/>
              <w:jc w:val="left"/>
            </w:pPr>
            <w:r>
              <w:rPr>
                <w:rFonts w:ascii="Arial Narrow" w:hAnsi="Arial Narrow"/>
                <w:b w:val="0"/>
                <w:i w:val="0"/>
                <w:sz w:val="20"/>
              </w:rPr>
              <w:t xml:space="preserve">Emissão da cédula </w:t>
            </w:r>
            <w:r>
              <w:rPr>
                <w:rFonts w:ascii="Arial Narrow" w:hAnsi="Arial Narrow"/>
                <w:b w:val="0"/>
                <w:i w:val="0"/>
                <w:sz w:val="20"/>
                <w:highlight w:val="yellow"/>
              </w:rPr>
              <w:t>[[nº]]</w:t>
            </w:r>
          </w:p>
        </w:tc>
        <w:tc>
          <w:tcPr>
            <w:tcW w:type="dxa" w:w="1817"/>
            <w:shd w:val="clear" w:color="auto" w:fill="e2efda"/>
          </w:tcPr>
          <w:p>
            <w:pPr>
              <w:spacing w:before="40" w:after="40" w:line="276" w:lineRule="auto"/>
              <w:jc w:val="center"/>
            </w:pPr>
            <w:r>
              <w:rPr>
                <w:rFonts w:ascii="Arial Narrow" w:hAnsi="Arial Narrow"/>
                <w:b/>
                <w:i w:val="0"/>
                <w:sz w:val="18"/>
              </w:rPr>
              <w:t>ANTES DO VENCIMENTO</w:t>
            </w:r>
          </w:p>
        </w:tc>
        <w:tc>
          <w:tcPr>
            <w:tcW w:type="dxa" w:w="1817"/>
          </w:tcPr>
          <w:p>
            <w:pPr>
              <w:spacing w:before="40" w:after="40" w:line="276" w:lineRule="auto"/>
              <w:jc w:val="center"/>
            </w:pPr>
            <w:r>
              <w:rPr>
                <w:rFonts w:ascii="Arial Narrow" w:hAnsi="Arial Narrow"/>
                <w:b w:val="0"/>
                <w:i w:val="0"/>
                <w:sz w:val="18"/>
              </w:rPr>
              <w:t>Prova 01</w:t>
            </w:r>
          </w:p>
        </w:tc>
      </w:tr>
      <w:tr>
        <w:tc>
          <w:tcPr>
            <w:tcW w:type="dxa" w:w="1362"/>
          </w:tcPr>
          <w:p>
            <w:pPr>
              <w:spacing w:before="40" w:after="40" w:line="276" w:lineRule="auto"/>
              <w:jc w:val="center"/>
            </w:pPr>
            <w:r>
              <w:rPr>
                <w:rFonts w:ascii="Arial Narrow" w:hAnsi="Arial Narrow"/>
                <w:b w:val="0"/>
                <w:i w:val="0"/>
                <w:sz w:val="20"/>
                <w:highlight w:val="yellow"/>
              </w:rPr>
              <w:t>[[dd/mm/aaaa]]</w:t>
            </w:r>
          </w:p>
        </w:tc>
        <w:tc>
          <w:tcPr>
            <w:tcW w:type="dxa" w:w="4087"/>
          </w:tcPr>
          <w:p>
            <w:pPr>
              <w:spacing w:before="40" w:after="40" w:line="276" w:lineRule="auto"/>
              <w:jc w:val="left"/>
            </w:pPr>
            <w:r>
              <w:rPr>
                <w:rFonts w:ascii="Arial Narrow" w:hAnsi="Arial Narrow"/>
                <w:b w:val="0"/>
                <w:i w:val="0"/>
                <w:sz w:val="20"/>
              </w:rPr>
              <w:t xml:space="preserve">Evento adverso: </w:t>
            </w:r>
            <w:r>
              <w:rPr>
                <w:rFonts w:ascii="Arial Narrow" w:hAnsi="Arial Narrow"/>
                <w:b w:val="0"/>
                <w:i w:val="0"/>
                <w:sz w:val="20"/>
                <w:highlight w:val="yellow"/>
              </w:rPr>
              <w:t>[[descrever]]</w:t>
            </w:r>
            <w:r>
              <w:rPr>
                <w:rFonts w:ascii="Arial Narrow" w:hAnsi="Arial Narrow"/>
                <w:b w:val="0"/>
                <w:i w:val="0"/>
                <w:sz w:val="20"/>
              </w:rPr>
              <w:t xml:space="preserve"> · decreto de emergência </w:t>
            </w:r>
            <w:r>
              <w:rPr>
                <w:rFonts w:ascii="Arial Narrow" w:hAnsi="Arial Narrow"/>
                <w:b w:val="0"/>
                <w:i w:val="0"/>
                <w:sz w:val="20"/>
                <w:highlight w:val="yellow"/>
              </w:rPr>
              <w:t>[[nº]]</w:t>
            </w:r>
          </w:p>
        </w:tc>
        <w:tc>
          <w:tcPr>
            <w:tcW w:type="dxa" w:w="1817"/>
            <w:shd w:val="clear" w:color="auto" w:fill="e2efda"/>
          </w:tcPr>
          <w:p>
            <w:pPr>
              <w:spacing w:before="40" w:after="40" w:line="276" w:lineRule="auto"/>
              <w:jc w:val="center"/>
            </w:pPr>
            <w:r>
              <w:rPr>
                <w:rFonts w:ascii="Arial Narrow" w:hAnsi="Arial Narrow"/>
                <w:b/>
                <w:i w:val="0"/>
                <w:sz w:val="18"/>
              </w:rPr>
              <w:t>ANTES DO VENCIMENTO</w:t>
            </w:r>
          </w:p>
        </w:tc>
        <w:tc>
          <w:tcPr>
            <w:tcW w:type="dxa" w:w="1817"/>
          </w:tcPr>
          <w:p>
            <w:pPr>
              <w:spacing w:before="40" w:after="40" w:line="276" w:lineRule="auto"/>
              <w:jc w:val="center"/>
            </w:pPr>
            <w:r>
              <w:rPr>
                <w:rFonts w:ascii="Arial Narrow" w:hAnsi="Arial Narrow"/>
                <w:b w:val="0"/>
                <w:i w:val="0"/>
                <w:sz w:val="18"/>
              </w:rPr>
              <w:t>Provas 06 e 07</w:t>
            </w:r>
          </w:p>
        </w:tc>
      </w:tr>
      <w:tr>
        <w:tc>
          <w:tcPr>
            <w:tcW w:type="dxa" w:w="1362"/>
          </w:tcPr>
          <w:p>
            <w:pPr>
              <w:spacing w:before="40" w:after="40" w:line="276" w:lineRule="auto"/>
              <w:jc w:val="center"/>
            </w:pPr>
            <w:r>
              <w:rPr>
                <w:rFonts w:ascii="Arial Narrow" w:hAnsi="Arial Narrow"/>
                <w:b w:val="0"/>
                <w:i w:val="0"/>
                <w:sz w:val="20"/>
                <w:highlight w:val="yellow"/>
              </w:rPr>
              <w:t>[[dd/mm/aaaa]]</w:t>
            </w:r>
          </w:p>
        </w:tc>
        <w:tc>
          <w:tcPr>
            <w:tcW w:type="dxa" w:w="4087"/>
          </w:tcPr>
          <w:p>
            <w:pPr>
              <w:spacing w:before="40" w:after="40" w:line="276" w:lineRule="auto"/>
              <w:jc w:val="left"/>
            </w:pPr>
            <w:r>
              <w:rPr>
                <w:rFonts w:ascii="Arial Narrow" w:hAnsi="Arial Narrow"/>
                <w:b w:val="0"/>
                <w:i w:val="0"/>
                <w:sz w:val="20"/>
              </w:rPr>
              <w:t>Laudos de perda e de capacidade de pagamento</w:t>
            </w:r>
          </w:p>
        </w:tc>
        <w:tc>
          <w:tcPr>
            <w:tcW w:type="dxa" w:w="1817"/>
            <w:shd w:val="clear" w:color="auto" w:fill="e2efda"/>
          </w:tcPr>
          <w:p>
            <w:pPr>
              <w:spacing w:before="40" w:after="40" w:line="276" w:lineRule="auto"/>
              <w:jc w:val="center"/>
            </w:pPr>
            <w:r>
              <w:rPr>
                <w:rFonts w:ascii="Arial Narrow" w:hAnsi="Arial Narrow"/>
                <w:b/>
                <w:i w:val="0"/>
                <w:sz w:val="18"/>
              </w:rPr>
              <w:t>ANTES DO VENCIMENTO</w:t>
            </w:r>
          </w:p>
        </w:tc>
        <w:tc>
          <w:tcPr>
            <w:tcW w:type="dxa" w:w="1817"/>
          </w:tcPr>
          <w:p>
            <w:pPr>
              <w:spacing w:before="40" w:after="40" w:line="276" w:lineRule="auto"/>
              <w:jc w:val="center"/>
            </w:pPr>
            <w:r>
              <w:rPr>
                <w:rFonts w:ascii="Arial Narrow" w:hAnsi="Arial Narrow"/>
                <w:b w:val="0"/>
                <w:i w:val="0"/>
                <w:sz w:val="18"/>
              </w:rPr>
              <w:t>Provas 10 e 13</w:t>
            </w:r>
          </w:p>
        </w:tc>
      </w:tr>
      <w:tr>
        <w:tc>
          <w:tcPr>
            <w:tcW w:type="dxa" w:w="1362"/>
          </w:tcPr>
          <w:p>
            <w:pPr>
              <w:spacing w:before="40" w:after="40" w:line="276" w:lineRule="auto"/>
              <w:jc w:val="center"/>
            </w:pPr>
            <w:r>
              <w:rPr>
                <w:rFonts w:ascii="Arial Narrow" w:hAnsi="Arial Narrow"/>
                <w:b w:val="0"/>
                <w:i w:val="0"/>
                <w:sz w:val="20"/>
                <w:highlight w:val="yellow"/>
              </w:rPr>
              <w:t>[[dd/mm/aaaa]]</w:t>
            </w:r>
          </w:p>
        </w:tc>
        <w:tc>
          <w:tcPr>
            <w:tcW w:type="dxa" w:w="4087"/>
          </w:tcPr>
          <w:p>
            <w:pPr>
              <w:spacing w:before="40" w:after="40" w:line="276" w:lineRule="auto"/>
              <w:jc w:val="left"/>
            </w:pPr>
            <w:r>
              <w:rPr>
                <w:rFonts w:ascii="Arial Narrow" w:hAnsi="Arial Narrow"/>
                <w:b w:val="0"/>
                <w:i w:val="0"/>
                <w:sz w:val="20"/>
              </w:rPr>
              <w:t>Pedido escrito de prorrogação, com os laudos anexos</w:t>
            </w:r>
          </w:p>
        </w:tc>
        <w:tc>
          <w:tcPr>
            <w:tcW w:type="dxa" w:w="1817"/>
            <w:shd w:val="clear" w:color="auto" w:fill="e2efda"/>
          </w:tcPr>
          <w:p>
            <w:pPr>
              <w:spacing w:before="40" w:after="40" w:line="276" w:lineRule="auto"/>
              <w:jc w:val="center"/>
            </w:pPr>
            <w:r>
              <w:rPr>
                <w:rFonts w:ascii="Arial Narrow" w:hAnsi="Arial Narrow"/>
                <w:b/>
                <w:i w:val="0"/>
                <w:sz w:val="18"/>
              </w:rPr>
              <w:t>ANTES DO VENCIMENTO</w:t>
            </w:r>
          </w:p>
        </w:tc>
        <w:tc>
          <w:tcPr>
            <w:tcW w:type="dxa" w:w="1817"/>
          </w:tcPr>
          <w:p>
            <w:pPr>
              <w:spacing w:before="40" w:after="40" w:line="276" w:lineRule="auto"/>
              <w:jc w:val="center"/>
            </w:pPr>
            <w:r>
              <w:rPr>
                <w:rFonts w:ascii="Arial Narrow" w:hAnsi="Arial Narrow"/>
                <w:b w:val="0"/>
                <w:i w:val="0"/>
                <w:sz w:val="18"/>
              </w:rPr>
              <w:t>Prova 16</w:t>
            </w:r>
          </w:p>
        </w:tc>
      </w:tr>
      <w:tr>
        <w:tc>
          <w:tcPr>
            <w:tcW w:type="dxa" w:w="1362"/>
          </w:tcPr>
          <w:p>
            <w:pPr>
              <w:spacing w:before="40" w:after="40" w:line="276" w:lineRule="auto"/>
              <w:jc w:val="center"/>
            </w:pPr>
            <w:r>
              <w:rPr>
                <w:rFonts w:ascii="Arial Narrow" w:hAnsi="Arial Narrow"/>
                <w:b w:val="0"/>
                <w:i w:val="0"/>
                <w:sz w:val="20"/>
                <w:highlight w:val="yellow"/>
              </w:rPr>
              <w:t>[[dd/mm/aaaa]]</w:t>
            </w:r>
          </w:p>
        </w:tc>
        <w:tc>
          <w:tcPr>
            <w:tcW w:type="dxa" w:w="4087"/>
          </w:tcPr>
          <w:p>
            <w:pPr>
              <w:spacing w:before="40" w:after="40" w:line="276" w:lineRule="auto"/>
              <w:jc w:val="left"/>
            </w:pPr>
            <w:r>
              <w:rPr>
                <w:rFonts w:ascii="Arial Narrow" w:hAnsi="Arial Narrow"/>
                <w:b w:val="0"/>
                <w:i w:val="0"/>
                <w:sz w:val="20"/>
              </w:rPr>
              <w:t>Recebimento do pedido pelo banco</w:t>
            </w:r>
          </w:p>
        </w:tc>
        <w:tc>
          <w:tcPr>
            <w:tcW w:type="dxa" w:w="1817"/>
            <w:shd w:val="clear" w:color="auto" w:fill="e2efda"/>
          </w:tcPr>
          <w:p>
            <w:pPr>
              <w:spacing w:before="40" w:after="40" w:line="276" w:lineRule="auto"/>
              <w:jc w:val="center"/>
            </w:pPr>
            <w:r>
              <w:rPr>
                <w:rFonts w:ascii="Arial Narrow" w:hAnsi="Arial Narrow"/>
                <w:b/>
                <w:i w:val="0"/>
                <w:sz w:val="18"/>
              </w:rPr>
              <w:t>ANTES DO VENCIMENTO</w:t>
            </w:r>
          </w:p>
        </w:tc>
        <w:tc>
          <w:tcPr>
            <w:tcW w:type="dxa" w:w="1817"/>
          </w:tcPr>
          <w:p>
            <w:pPr>
              <w:spacing w:before="40" w:after="40" w:line="276" w:lineRule="auto"/>
              <w:jc w:val="center"/>
            </w:pPr>
            <w:r>
              <w:rPr>
                <w:rFonts w:ascii="Arial Narrow" w:hAnsi="Arial Narrow"/>
                <w:b w:val="0"/>
                <w:i w:val="0"/>
                <w:sz w:val="18"/>
              </w:rPr>
              <w:t>Prova 17</w:t>
            </w:r>
          </w:p>
        </w:tc>
      </w:tr>
      <w:tr>
        <w:tc>
          <w:tcPr>
            <w:tcW w:type="dxa" w:w="1362"/>
          </w:tcPr>
          <w:p>
            <w:pPr>
              <w:spacing w:before="40" w:after="40" w:line="276" w:lineRule="auto"/>
              <w:jc w:val="center"/>
            </w:pPr>
            <w:r>
              <w:rPr>
                <w:rFonts w:ascii="Arial Narrow" w:hAnsi="Arial Narrow"/>
                <w:b w:val="0"/>
                <w:i w:val="0"/>
                <w:sz w:val="20"/>
                <w:highlight w:val="yellow"/>
              </w:rPr>
              <w:t>[[dd/mm/aaaa]]</w:t>
            </w:r>
          </w:p>
        </w:tc>
        <w:tc>
          <w:tcPr>
            <w:tcW w:type="dxa" w:w="4087"/>
          </w:tcPr>
          <w:p>
            <w:pPr>
              <w:spacing w:before="40" w:after="40" w:line="276" w:lineRule="auto"/>
              <w:jc w:val="left"/>
            </w:pPr>
            <w:r>
              <w:rPr>
                <w:rFonts w:ascii="Arial Narrow" w:hAnsi="Arial Narrow"/>
                <w:b w:val="0"/>
                <w:i w:val="0"/>
                <w:sz w:val="20"/>
              </w:rPr>
              <w:t xml:space="preserve">Vencimento da operação </w:t>
            </w:r>
            <w:r>
              <w:rPr>
                <w:rFonts w:ascii="Arial Narrow" w:hAnsi="Arial Narrow"/>
                <w:b w:val="0"/>
                <w:i w:val="0"/>
                <w:sz w:val="20"/>
                <w:highlight w:val="yellow"/>
              </w:rPr>
              <w:t>[[original / prorrogado]]</w:t>
            </w:r>
          </w:p>
        </w:tc>
        <w:tc>
          <w:tcPr>
            <w:tcW w:type="dxa" w:w="1817"/>
            <w:shd w:val="clear" w:color="auto" w:fill="fce4d6"/>
          </w:tcPr>
          <w:p>
            <w:pPr>
              <w:spacing w:before="40" w:after="40" w:line="276" w:lineRule="auto"/>
              <w:jc w:val="center"/>
            </w:pPr>
            <w:r>
              <w:rPr>
                <w:rFonts w:ascii="Arial Narrow" w:hAnsi="Arial Narrow"/>
                <w:b/>
                <w:i w:val="0"/>
                <w:sz w:val="18"/>
              </w:rPr>
              <w:t>APÓS O VENCIMENTO</w:t>
            </w:r>
          </w:p>
        </w:tc>
        <w:tc>
          <w:tcPr>
            <w:tcW w:type="dxa" w:w="1817"/>
          </w:tcPr>
          <w:p>
            <w:pPr>
              <w:spacing w:before="40" w:after="40" w:line="276" w:lineRule="auto"/>
              <w:jc w:val="center"/>
            </w:pPr>
            <w:r>
              <w:rPr>
                <w:rFonts w:ascii="Arial Narrow" w:hAnsi="Arial Narrow"/>
                <w:b w:val="0"/>
                <w:i w:val="0"/>
                <w:sz w:val="18"/>
              </w:rPr>
              <w:t>Provas 02 e 05</w:t>
            </w:r>
          </w:p>
        </w:tc>
      </w:tr>
      <w:tr>
        <w:tc>
          <w:tcPr>
            <w:tcW w:type="dxa" w:w="1362"/>
          </w:tcPr>
          <w:p>
            <w:pPr>
              <w:spacing w:before="40" w:after="40" w:line="276" w:lineRule="auto"/>
              <w:jc w:val="center"/>
            </w:pPr>
            <w:r>
              <w:rPr>
                <w:rFonts w:ascii="Arial Narrow" w:hAnsi="Arial Narrow"/>
                <w:b w:val="0"/>
                <w:i w:val="0"/>
                <w:sz w:val="20"/>
                <w:highlight w:val="yellow"/>
              </w:rPr>
              <w:t>[[dd/mm/aaaa]]</w:t>
            </w:r>
          </w:p>
        </w:tc>
        <w:tc>
          <w:tcPr>
            <w:tcW w:type="dxa" w:w="4087"/>
          </w:tcPr>
          <w:p>
            <w:pPr>
              <w:spacing w:before="40" w:after="40" w:line="276" w:lineRule="auto"/>
              <w:jc w:val="left"/>
            </w:pPr>
            <w:r>
              <w:rPr>
                <w:rFonts w:ascii="Arial Narrow" w:hAnsi="Arial Narrow"/>
                <w:b w:val="0"/>
                <w:i w:val="0"/>
                <w:sz w:val="20"/>
                <w:highlight w:val="yellow"/>
              </w:rPr>
              <w:t>[[Silêncio / negativa / negativação / execução]]</w:t>
            </w:r>
          </w:p>
        </w:tc>
        <w:tc>
          <w:tcPr>
            <w:tcW w:type="dxa" w:w="1817"/>
            <w:shd w:val="clear" w:color="auto" w:fill="fce4d6"/>
          </w:tcPr>
          <w:p>
            <w:pPr>
              <w:spacing w:before="40" w:after="40" w:line="276" w:lineRule="auto"/>
              <w:jc w:val="center"/>
            </w:pPr>
            <w:r>
              <w:rPr>
                <w:rFonts w:ascii="Arial Narrow" w:hAnsi="Arial Narrow"/>
                <w:b/>
                <w:i w:val="0"/>
                <w:sz w:val="18"/>
              </w:rPr>
              <w:t>APÓS O VENCIMENTO</w:t>
            </w:r>
          </w:p>
        </w:tc>
        <w:tc>
          <w:tcPr>
            <w:tcW w:type="dxa" w:w="1817"/>
          </w:tcPr>
          <w:p>
            <w:pPr>
              <w:spacing w:before="40" w:after="40" w:line="276" w:lineRule="auto"/>
              <w:jc w:val="center"/>
            </w:pPr>
            <w:r>
              <w:rPr>
                <w:rFonts w:ascii="Arial Narrow" w:hAnsi="Arial Narrow"/>
                <w:b w:val="0"/>
                <w:i w:val="0"/>
                <w:sz w:val="18"/>
              </w:rPr>
              <w:t>Provas 18, 22 e 23</w:t>
            </w:r>
          </w:p>
        </w:tc>
      </w:tr>
    </w:tbl>
    <w:p>
      <w:pPr>
        <w:spacing w:after="120" w:before="0" w:line="240" w:lineRule="auto"/>
      </w:pPr>
      <w:r>
        <w:rPr>
          <w:rFonts w:ascii="Arial Narrow" w:hAnsi="Arial Narrow"/>
          <w:sz w:val="2"/>
        </w:rPr>
      </w:r>
    </w:p>
    <w:p>
      <w:pPr>
        <w:spacing w:line="276" w:lineRule="auto" w:after="120"/>
        <w:jc w:val="both"/>
      </w:pPr>
      <w:r>
        <w:rPr>
          <w:rFonts w:ascii="Arial Narrow" w:hAnsi="Arial Narrow"/>
          <w:sz w:val="20"/>
          <w:highlight w:val="yellow"/>
        </w:rPr>
        <w:t>[PENDENTE] Coloque cada evento na coluna certa: a fase é definida pela data do VENCIMENTO. Data que não puder ser conferida em documento sai da tabela. Nunca escreva "pedido tempestivo" ou "antes do vencimento" sem as duas datas nesta tabela.</w:t>
      </w:r>
    </w:p>
    <w:p>
      <w:pPr>
        <w:spacing w:after="8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6b26b"/>
          </w:tcPr>
          <w:p>
            <w:pPr>
              <w:spacing w:before="40" w:after="40" w:line="276" w:lineRule="auto"/>
              <w:jc w:val="left"/>
            </w:pPr>
            <w:r>
              <w:rPr>
                <w:rFonts w:ascii="Arial Narrow" w:hAnsi="Arial Narrow"/>
                <w:b/>
                <w:i w:val="0"/>
                <w:sz w:val="24"/>
              </w:rPr>
              <w:t>III. DO DIREITO À PRORROGAÇÃO</w:t>
            </w:r>
          </w:p>
        </w:tc>
      </w:tr>
    </w:tbl>
    <w:p>
      <w:pPr>
        <w:spacing w:after="80" w:before="0" w:line="240" w:lineRule="auto"/>
      </w:pPr>
      <w:r>
        <w:rPr>
          <w:rFonts w:ascii="Arial Narrow" w:hAnsi="Arial Narrow"/>
          <w:sz w:val="2"/>
        </w:rPr>
      </w:r>
    </w:p>
    <w:p>
      <w:pPr>
        <w:spacing w:line="360" w:lineRule="auto" w:before="160" w:after="80"/>
        <w:jc w:val="left"/>
      </w:pPr>
      <w:r>
        <w:rPr>
          <w:rFonts w:ascii="Arial Narrow" w:hAnsi="Arial Narrow"/>
          <w:b/>
          <w:i w:val="0"/>
          <w:sz w:val="24"/>
        </w:rPr>
        <w:t>III.1. A fonte normativa do direito</w:t>
      </w:r>
    </w:p>
    <w:p>
      <w:pPr>
        <w:spacing w:line="360" w:lineRule="auto" w:after="120"/>
        <w:jc w:val="both"/>
      </w:pPr>
      <w:r>
        <w:rPr>
          <w:rFonts w:ascii="Arial Narrow" w:hAnsi="Arial Narrow"/>
          <w:b/>
          <w:i w:val="0"/>
          <w:sz w:val="24"/>
        </w:rPr>
        <w:t xml:space="preserve">1. A lei delegou ao Conselho Monetário Nacional as condições do crédito rural. </w:t>
      </w:r>
      <w:r>
        <w:rPr>
          <w:rFonts w:ascii="Arial Narrow" w:hAnsi="Arial Narrow"/>
          <w:b w:val="0"/>
          <w:i w:val="0"/>
          <w:sz w:val="24"/>
        </w:rPr>
        <w:t>A Lei 4.829/65 atribuiu ao Conselho Monetário Nacional a disciplina do crédito rural e a edição, com exclusividade, de suas normas operativas (art. 4º), e determinou que "os têrmos, prazos, juros e demais condições das operações de crédito rural, sob quaisquer de suas modalidades, serão estabelecidos pelo Conselho Monetário Nacional" (art. 14). O Manual de Crédito Rural consolida essas normas. Quando o MCR disciplina o prazo e a prorrogação da operação, portanto, não expede recomendação ao mercado: exerce competência normativa conferida por lei federal.</w:t>
      </w:r>
    </w:p>
    <w:p>
      <w:pPr>
        <w:spacing w:line="360" w:lineRule="auto" w:after="120"/>
        <w:jc w:val="both"/>
      </w:pPr>
      <w:r>
        <w:rPr>
          <w:rFonts w:ascii="Arial Narrow" w:hAnsi="Arial Narrow"/>
          <w:b/>
          <w:i w:val="0"/>
          <w:sz w:val="24"/>
        </w:rPr>
        <w:t xml:space="preserve">2. O MCR prevê a prorrogação quando há dificuldade temporária de reembolso. </w:t>
      </w:r>
      <w:r>
        <w:rPr>
          <w:rFonts w:ascii="Arial Narrow" w:hAnsi="Arial Narrow"/>
          <w:b w:val="0"/>
          <w:i w:val="0"/>
          <w:sz w:val="24"/>
        </w:rPr>
        <w:t>O item 2-6-4 do Manual dispõe: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2e5d9c"/>
          <w:left w:val="single" w:sz="4" w:color="2e5d9c"/>
          <w:bottom w:val="single" w:sz="4" w:color="2e5d9c"/>
          <w:right w:val="single" w:sz="4" w:color="2e5d9c"/>
          <w:insideH w:val="single" w:sz="4" w:color="2e5d9c"/>
          <w:insideV w:val="single" w:sz="4" w:color="2e5d9c"/>
        </w:tblBorders>
      </w:tblPr>
      <w:tblGrid>
        <w:gridCol w:w="9083"/>
      </w:tblGrid>
      <w:tr>
        <w:tc>
          <w:tcPr>
            <w:tcW w:type="dxa" w:w="9083"/>
            <w:shd w:val="clear" w:color="auto" w:fill="dce6f1"/>
          </w:tcPr>
          <w:p>
            <w:pPr>
              <w:spacing w:before="40" w:after="40" w:line="276" w:lineRule="auto"/>
              <w:jc w:val="center"/>
            </w:pPr>
            <w:r>
              <w:rPr>
                <w:rFonts w:ascii="Arial Narrow" w:hAnsi="Arial Narrow"/>
                <w:b/>
                <w:i w:val="0"/>
                <w:color w:val="2E5D9C"/>
                <w:sz w:val="18"/>
              </w:rPr>
              <w:t>MANUAL DE CRÉDITO RURAL · NORMA DO CONSELHO MONETÁRIO NACIONAL</w:t>
            </w:r>
          </w:p>
        </w:tc>
      </w:tr>
    </w:tbl>
    <w:p>
      <w:pPr>
        <w:spacing w:line="276" w:lineRule="auto" w:before="80" w:after="40"/>
        <w:ind w:left="2268"/>
        <w:jc w:val="both"/>
      </w:pPr>
      <w:r>
        <w:rPr>
          <w:rFonts w:ascii="Arial Narrow" w:hAnsi="Arial Narrow"/>
          <w:b w:val="0"/>
          <w:i/>
          <w:sz w:val="20"/>
          <w:highlight w:val="yellow"/>
        </w:rPr>
        <w:t>[[TRANSCREVER A REDAÇÃO DO MCR 2-6-4 VIGENTE NA DATA DO PEDIDO. Redação atual (MCR nº 758): "Fica a instituição financeira autorizada, por sua conveniência e decisão, mediante solicitação do mutuário, a prorrogar a dívida referente à operação de crédito rural, aos mesmos encargos financeiros pactuados no instrumento de crédito, desde que o mutuário comprove a dificuldade temporária para reembolso do crédito em razão de uma ou mais entre as situações abaixo e que a instituição financeira ateste a necessidade de prorrogação e demonstre a capacidade de pagamento do mutuário: a) dificuldade de comercialização dos produtos; b) frustração de safras, por fatores adversos; c) eventuais ocorrências prejudiciais ao desenvolvimento das explorações; d) dificuldades no fluxo de caixa do mutuário, devido ao impacto acumulado de perdas de safra decorrentes de eventos climáticos adversos em safras anteriores, que gerem aumento do endividamento no Sistema Nacional de Crédito Rural - SNCR e impossibilitem o reembolso integral das operações de crédito rural." Para pedido anterior a 17/07/2026, buscar a atualização da época no site do Banco Central.]]</w:t>
      </w:r>
    </w:p>
    <w:p>
      <w:pPr>
        <w:spacing w:line="276" w:lineRule="auto" w:after="160"/>
        <w:jc w:val="center"/>
      </w:pPr>
      <w:r>
        <w:rPr>
          <w:rFonts w:ascii="Arial Narrow" w:hAnsi="Arial Narrow"/>
          <w:b/>
          <w:i/>
          <w:sz w:val="20"/>
        </w:rPr>
        <w:t>MCR 2-6-4 (</w:t>
      </w:r>
      <w:r>
        <w:rPr>
          <w:rFonts w:ascii="Arial Narrow" w:hAnsi="Arial Narrow"/>
          <w:b/>
          <w:i/>
          <w:sz w:val="20"/>
          <w:highlight w:val="yellow"/>
        </w:rPr>
        <w:t>[[atualização nº (…), vigente em (…)]]</w:t>
      </w:r>
      <w:r>
        <w:rPr>
          <w:rFonts w:ascii="Arial Narrow" w:hAnsi="Arial Narrow"/>
          <w:b/>
          <w:i/>
          <w:sz w:val="20"/>
        </w:rPr>
        <w:t>)</w:t>
      </w:r>
    </w:p>
    <w:p>
      <w:pPr>
        <w:spacing w:line="360" w:lineRule="auto" w:after="120"/>
        <w:jc w:val="both"/>
      </w:pPr>
      <w:r>
        <w:rPr>
          <w:rFonts w:ascii="Arial Narrow" w:hAnsi="Arial Narrow"/>
          <w:b w:val="0"/>
          <w:i w:val="0"/>
          <w:sz w:val="24"/>
        </w:rPr>
        <w:t>Três leituras do texto decidem a causa. Primeira: os requisitos das alíneas são alternativos, porque basta "uma ou mais entre as situações abaixo". Segunda: ao mutuário cabe comprovar a dificuldade temporária e a situação que a causou; atestar a necessidade e demonstrar a capacidade de pagamento é tarefa que o texto atribui à instituição financeira, e não ao produtor. Terceira: a prorrogação se faz aos mesmos encargos, o que confirma que o objeto é o prazo.</w:t>
      </w:r>
    </w:p>
    <w:p>
      <w:pPr>
        <w:spacing w:line="360" w:lineRule="auto" w:after="120"/>
        <w:jc w:val="both"/>
      </w:pPr>
      <w:r>
        <w:rPr>
          <w:rFonts w:ascii="Arial Narrow" w:hAnsi="Arial Narrow"/>
          <w:b/>
          <w:i w:val="0"/>
          <w:sz w:val="24"/>
        </w:rPr>
        <w:t xml:space="preserve">3. Não é faculdade do banco: é direito do devedor. </w:t>
      </w:r>
      <w:r>
        <w:rPr>
          <w:rFonts w:ascii="Arial Narrow" w:hAnsi="Arial Narrow"/>
          <w:b w:val="0"/>
          <w:i w:val="0"/>
          <w:sz w:val="24"/>
        </w:rPr>
        <w:t>O Superior Tribunal de Justiça consolidou o entendimento: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2e5d9c"/>
          <w:left w:val="single" w:sz="4" w:color="2e5d9c"/>
          <w:bottom w:val="single" w:sz="4" w:color="2e5d9c"/>
          <w:right w:val="single" w:sz="4" w:color="2e5d9c"/>
          <w:insideH w:val="single" w:sz="4" w:color="2e5d9c"/>
          <w:insideV w:val="single" w:sz="4" w:color="2e5d9c"/>
        </w:tblBorders>
      </w:tblPr>
      <w:tblGrid>
        <w:gridCol w:w="9083"/>
      </w:tblGrid>
      <w:tr>
        <w:tc>
          <w:tcPr>
            <w:tcW w:type="dxa" w:w="9083"/>
            <w:shd w:val="clear" w:color="auto" w:fill="dce6f1"/>
          </w:tcPr>
          <w:p>
            <w:pPr>
              <w:spacing w:before="40" w:after="40" w:line="276" w:lineRule="auto"/>
              <w:jc w:val="center"/>
            </w:pPr>
            <w:r>
              <w:rPr>
                <w:rFonts w:ascii="Arial Narrow" w:hAnsi="Arial Narrow"/>
                <w:b/>
                <w:i w:val="0"/>
                <w:color w:val="2E5D9C"/>
                <w:sz w:val="18"/>
              </w:rPr>
              <w:t>SÚMULA</w:t>
            </w:r>
          </w:p>
        </w:tc>
      </w:tr>
    </w:tbl>
    <w:p>
      <w:pPr>
        <w:spacing w:line="276" w:lineRule="auto" w:before="80" w:after="40"/>
        <w:ind w:left="2268"/>
        <w:jc w:val="both"/>
      </w:pPr>
      <w:r>
        <w:rPr>
          <w:rFonts w:ascii="Arial Narrow" w:hAnsi="Arial Narrow"/>
          <w:b w:val="0"/>
          <w:i/>
          <w:sz w:val="20"/>
        </w:rPr>
        <w:t>O alongamento de dívida originada de crédito rural não constitui faculdade da instituição financeira, mas, direito do devedor nos termos da lei.</w:t>
      </w:r>
    </w:p>
    <w:p>
      <w:pPr>
        <w:spacing w:line="276" w:lineRule="auto" w:after="160"/>
        <w:jc w:val="center"/>
      </w:pPr>
      <w:r>
        <w:rPr>
          <w:rFonts w:ascii="Arial Narrow" w:hAnsi="Arial Narrow"/>
          <w:b/>
          <w:i/>
          <w:sz w:val="20"/>
        </w:rPr>
        <w:t>STJ, Súmula 298</w:t>
      </w:r>
    </w:p>
    <w:p>
      <w:pPr>
        <w:spacing w:line="276" w:lineRule="auto" w:after="120"/>
        <w:jc w:val="both"/>
      </w:pPr>
      <w:r>
        <w:rPr>
          <w:rFonts w:ascii="Arial Narrow" w:hAnsi="Arial Narrow"/>
          <w:sz w:val="20"/>
          <w:highlight w:val="yellow"/>
        </w:rPr>
        <w:t>[PENDENTE] SE O PEDIDO FOR POSTERIOR A 17/07/2026 (redação com "por sua conveniência e decisão"), manter o parágrafo abaixo. SE FOR ANTERIOR, apagá-lo e registrar que a redação vigente na data do fato não continha a expressão.</w:t>
      </w:r>
    </w:p>
    <w:p>
      <w:pPr>
        <w:spacing w:line="360" w:lineRule="auto" w:after="120"/>
        <w:jc w:val="both"/>
      </w:pPr>
      <w:r>
        <w:rPr>
          <w:rFonts w:ascii="Arial Narrow" w:hAnsi="Arial Narrow"/>
          <w:b w:val="0"/>
          <w:i w:val="0"/>
          <w:sz w:val="24"/>
        </w:rPr>
        <w:t>A expressão "por sua conveniência e decisão", introduzida na redação atual do item, não converte o direito em liberalidade. A decisão do banco continua vinculada aos requisitos que o mesmo item enumera: se o mutuário comprova a dificuldade temporária e a situação adversa, a instituição só pode negar demonstrando, com análise técnica, que a prorrogação não é necessária ou que falta capacidade de pagamento, porque é ela quem deve atestar uma e demonstrar a outra. Decisão que nega sem essa análise excede manifestamente o fim econômico e social do direito que a norma confere ao credor, o que configura ato ilícito (art. 187 do Código Civil), e viola o dever de probidade e boa-fé na execução do contrato (art. 422 do Código Civil).</w:t>
      </w:r>
    </w:p>
    <w:p>
      <w:pPr>
        <w:spacing w:line="360" w:lineRule="auto" w:after="120"/>
        <w:jc w:val="both"/>
      </w:pPr>
      <w:r>
        <w:rPr>
          <w:rFonts w:ascii="Arial Narrow" w:hAnsi="Arial Narrow"/>
          <w:b w:val="0"/>
          <w:i w:val="0"/>
          <w:sz w:val="24"/>
        </w:rPr>
        <w:t xml:space="preserve">Aplicando a súmula, os tribunais têm afirmado que "o alongamento do prazo independe da vontade da instituição financeira, sendo necessário apenas o atendimento das condições previstas no Manual de Crédito Rural" (TRF-4, AC 5002286-98.2021.4.04.7106/RS, Rel. Des. Federal Vânia Hack de Almeida, 3ª Turma, j. 07/03/2023) </w:t>
      </w:r>
      <w:r>
        <w:rPr>
          <w:rFonts w:ascii="Arial Narrow" w:hAnsi="Arial Narrow"/>
          <w:b w:val="0"/>
          <w:i w:val="0"/>
          <w:sz w:val="24"/>
          <w:highlight w:val="yellow"/>
        </w:rPr>
        <w:t>[[conferir inteiro teor]]</w:t>
      </w:r>
      <w:r>
        <w:rPr>
          <w:rFonts w:ascii="Arial Narrow" w:hAnsi="Arial Narrow"/>
          <w:b w:val="0"/>
          <w:i w:val="0"/>
          <w:sz w:val="24"/>
        </w:rPr>
        <w:t>.</w:t>
      </w:r>
    </w:p>
    <w:p>
      <w:pPr>
        <w:spacing w:line="276" w:lineRule="auto" w:after="120"/>
        <w:jc w:val="both"/>
      </w:pPr>
      <w:r>
        <w:rPr>
          <w:rFonts w:ascii="Arial Narrow" w:hAnsi="Arial Narrow"/>
          <w:sz w:val="20"/>
          <w:highlight w:val="yellow"/>
        </w:rPr>
        <w:t>[PENDENTE] ALERTA AO ADVOGADO — JURISPRUDÊNCIA. (1) Os julgados deste modelo foram selecionados por automação: CONFIRA cada um no inteiro teor (número, câmara, relator, data e o trecho citado) antes do protocolo — na montagem, a conferência corrigiu um relator atribuído errado e achou câmara divergente entre acórdão e autuação. (2) ALIMENTE com jurisprudência LOCAL: julgado do TJRO (ou do TRF1, se a ré for a CEF), de preferência da câmara ou do gabinete sorteado, e troque a tarja "TJRO · tribunal de origem" por "persuasiva" se a ação correr na Justiça Federal. (3) Confira no vault (01 - MAGISTRADOS) o perfil recente do gabinete: o 2º grau do TJRO foi o terreno mais difícil do diagnóstico de 13/09/2026.</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ce4d6"/>
          </w:tcPr>
          <w:p>
            <w:pPr>
              <w:spacing w:before="40" w:after="40" w:line="276" w:lineRule="auto"/>
              <w:jc w:val="center"/>
            </w:pPr>
            <w:r>
              <w:rPr>
                <w:rFonts w:ascii="Arial Narrow" w:hAnsi="Arial Narrow"/>
                <w:b/>
                <w:i w:val="0"/>
                <w:color w:val="C55A11"/>
                <w:sz w:val="18"/>
              </w:rPr>
              <w:t>TJRO · TRIBUNAL DE ORIGEM</w:t>
            </w:r>
          </w:p>
        </w:tc>
      </w:tr>
    </w:tbl>
    <w:p>
      <w:pPr>
        <w:spacing w:line="276" w:lineRule="auto" w:before="80" w:after="40"/>
        <w:ind w:left="2268"/>
        <w:jc w:val="both"/>
      </w:pPr>
      <w:r>
        <w:rPr>
          <w:rFonts w:ascii="Arial Narrow" w:hAnsi="Arial Narrow"/>
          <w:b w:val="0"/>
          <w:i/>
          <w:sz w:val="20"/>
        </w:rPr>
        <w:t>Na presença dos requisitos legais, o alongamento da dívida rural é direito subjetivo do devedor, independentemente de anuência do agente financeiro ou de discricionariedade bancária, devendo o termo inicial do novo vencimento ser fixado conforme a data de vencimento original do contrato, observando a Súmula 298/STJ e o Manual de Crédito Rural.</w:t>
      </w:r>
    </w:p>
    <w:p>
      <w:pPr>
        <w:spacing w:line="276" w:lineRule="auto" w:after="160"/>
        <w:jc w:val="center"/>
      </w:pPr>
      <w:r>
        <w:rPr>
          <w:rFonts w:ascii="Arial Narrow" w:hAnsi="Arial Narrow"/>
          <w:b/>
          <w:i/>
          <w:sz w:val="20"/>
        </w:rPr>
        <w:t xml:space="preserve">TJRO, Apelação Cível [nº omitido], Rel. Desa. Inês Moreira da Costa, sessão de 29/04/2026, tese de julgamento </w:t>
      </w:r>
      <w:r>
        <w:rPr>
          <w:rFonts w:ascii="Arial Narrow" w:hAnsi="Arial Narrow"/>
          <w:b/>
          <w:i/>
          <w:sz w:val="20"/>
          <w:highlight w:val="yellow"/>
        </w:rPr>
        <w:t>[[conferir câmara e publicação]]</w:t>
      </w:r>
    </w:p>
    <w:p>
      <w:pPr>
        <w:spacing w:line="360" w:lineRule="auto" w:before="160" w:after="80"/>
        <w:jc w:val="left"/>
      </w:pPr>
      <w:r>
        <w:rPr>
          <w:rFonts w:ascii="Arial Narrow" w:hAnsi="Arial Narrow"/>
          <w:b/>
          <w:i w:val="0"/>
          <w:sz w:val="24"/>
        </w:rPr>
        <w:t>III.1-A. A natureza rural da operação (só se o título for CCB, CPR ou houver recursos livres)</w:t>
      </w:r>
    </w:p>
    <w:p>
      <w:pPr>
        <w:spacing w:line="276" w:lineRule="auto" w:after="120"/>
        <w:jc w:val="both"/>
      </w:pPr>
      <w:r>
        <w:rPr>
          <w:rFonts w:ascii="Arial Narrow" w:hAnsi="Arial Narrow"/>
          <w:sz w:val="20"/>
          <w:highlight w:val="yellow"/>
        </w:rPr>
        <w:t>[PENDENTE] CCB comercial e "recursos próprios / não controlados" somaram 17 das 61 derrotas do diagnóstico. Se o título for Cédula de Crédito Rural com recursos controlados e programa indicado no Quadro, APAGUE este subtópico: a natureza rural consta da própria literalidade do título. Se ficar, junte a prova da destinação: notas fiscais de insumos e animais, extratos com a aplicação, declaração de produção.</w:t>
      </w:r>
    </w:p>
    <w:p>
      <w:pPr>
        <w:spacing w:line="360" w:lineRule="auto" w:after="120"/>
        <w:jc w:val="both"/>
      </w:pPr>
      <w:r>
        <w:rPr>
          <w:rFonts w:ascii="Arial Narrow" w:hAnsi="Arial Narrow"/>
          <w:b/>
          <w:i w:val="0"/>
          <w:sz w:val="24"/>
        </w:rPr>
        <w:t xml:space="preserve">3-A. A natureza rural decorre da destinação do crédito, e não do nome do título. </w:t>
      </w:r>
      <w:r>
        <w:rPr>
          <w:rFonts w:ascii="Arial Narrow" w:hAnsi="Arial Narrow"/>
          <w:b w:val="0"/>
          <w:i w:val="0"/>
          <w:sz w:val="24"/>
        </w:rPr>
        <w:t xml:space="preserve">A lei define crédito rural pela aplicação: é "o suprimento de recursos financeiros por entidades públicas e estabelecimentos de crédito particulares a produtores rurais ou a suas cooperativas para aplicação exclusiva em atividades que se enquadrem nos objetivos indicados na legislação em vigor" (Lei 4.829/65, art. 2º). Os recursos foram integralmente aplicados em </w:t>
      </w:r>
      <w:r>
        <w:rPr>
          <w:rFonts w:ascii="Arial Narrow" w:hAnsi="Arial Narrow"/>
          <w:b w:val="0"/>
          <w:i w:val="0"/>
          <w:sz w:val="24"/>
          <w:highlight w:val="yellow"/>
        </w:rPr>
        <w:t>[[finalidade: aquisição de bovinos / custeio da lavoura de (…)]]</w:t>
      </w:r>
      <w:r>
        <w:rPr>
          <w:rFonts w:ascii="Arial Narrow" w:hAnsi="Arial Narrow"/>
          <w:b w:val="0"/>
          <w:i w:val="0"/>
          <w:sz w:val="24"/>
        </w:rPr>
        <w:t>, como provam as notas fiscais e o registro da produção (Provas 20 e 21).</w:t>
      </w:r>
    </w:p>
    <w:p>
      <w:pPr>
        <w:spacing w:line="360" w:lineRule="auto" w:after="120"/>
        <w:jc w:val="both"/>
      </w:pPr>
      <w:r>
        <w:rPr>
          <w:rFonts w:ascii="Arial Narrow" w:hAnsi="Arial Narrow"/>
          <w:b/>
          <w:i w:val="0"/>
          <w:sz w:val="24"/>
        </w:rPr>
        <w:t xml:space="preserve">3-B. Recursos próprios do banco também são fonte de crédito rural. </w:t>
      </w:r>
      <w:r>
        <w:rPr>
          <w:rFonts w:ascii="Arial Narrow" w:hAnsi="Arial Narrow"/>
          <w:b w:val="0"/>
          <w:i w:val="0"/>
          <w:sz w:val="24"/>
        </w:rPr>
        <w:t>O próprio Manual classifica como fonte do crédito rural os recursos "livres", definidos como os "provenientes das captações não sujeitas ao direcionamento, ou próprios da instituição financeira aplicados em crédito rural" (MCR 6-1-1, "a", II), e dispõe que, "seja qual for a origem dos recursos, sua aplicação só é considerada crédito rural quando observadas a legislação aplicável ao crédito rural e as normas estabelecidas neste manual" (MCR 6-1-10). A origem do dinheiro não retira a operação do regime do crédito rural: o que a define é a aplicação na atividade rural, observadas as normas do Manual, entre elas o item 2-6-4.</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ce4d6"/>
          </w:tcPr>
          <w:p>
            <w:pPr>
              <w:spacing w:before="40" w:after="40" w:line="276" w:lineRule="auto"/>
              <w:jc w:val="center"/>
            </w:pPr>
            <w:r>
              <w:rPr>
                <w:rFonts w:ascii="Arial Narrow" w:hAnsi="Arial Narrow"/>
                <w:b/>
                <w:i w:val="0"/>
                <w:color w:val="C55A11"/>
                <w:sz w:val="18"/>
              </w:rPr>
              <w:t>OUTRO TRIBUNAL · JURISPRUDÊNCIA PERSUASIVA</w:t>
            </w:r>
          </w:p>
        </w:tc>
      </w:tr>
    </w:tbl>
    <w:p>
      <w:pPr>
        <w:spacing w:line="276" w:lineRule="auto" w:before="80" w:after="40"/>
        <w:ind w:left="2268"/>
        <w:jc w:val="both"/>
      </w:pPr>
      <w:r>
        <w:rPr>
          <w:rFonts w:ascii="Arial Narrow" w:hAnsi="Arial Narrow"/>
          <w:b w:val="0"/>
          <w:i/>
          <w:sz w:val="20"/>
        </w:rPr>
        <w:t>3. A formalização do contrato por meio de Cédula de Crédito Bancário não descaracteriza, por si só, a natureza rural da operação, desde que comprovada a destinação dos recursos a atividades agropecuárias, nos termos do art. 2º da Lei nº 4.829/1965 e do Manual de Crédito Rural.</w:t>
      </w:r>
    </w:p>
    <w:p>
      <w:pPr>
        <w:spacing w:line="276" w:lineRule="auto" w:after="160"/>
        <w:jc w:val="center"/>
      </w:pPr>
      <w:r>
        <w:rPr>
          <w:rFonts w:ascii="Arial Narrow" w:hAnsi="Arial Narrow"/>
          <w:b/>
          <w:i/>
          <w:sz w:val="20"/>
        </w:rPr>
        <w:t xml:space="preserve">TJMT, AI 1027855-80.2025.8.11.0000, Rel. Des.ª Anglizey Solivan de Oliveira, 4ª Câmara de Direito Privado, j. 09/10/2025 </w:t>
      </w:r>
      <w:r>
        <w:rPr>
          <w:rFonts w:ascii="Arial Narrow" w:hAnsi="Arial Narrow"/>
          <w:b/>
          <w:i/>
          <w:sz w:val="20"/>
          <w:highlight w:val="yellow"/>
        </w:rPr>
        <w:t>[[conferir inteiro teor e data de publicação antes do protocolo]]</w:t>
      </w:r>
    </w:p>
    <w:p>
      <w:pPr>
        <w:spacing w:line="360" w:lineRule="auto" w:before="160" w:after="80"/>
        <w:jc w:val="left"/>
      </w:pPr>
      <w:r>
        <w:rPr>
          <w:rFonts w:ascii="Arial Narrow" w:hAnsi="Arial Narrow"/>
          <w:b/>
          <w:i w:val="0"/>
          <w:sz w:val="24"/>
        </w:rPr>
        <w:t>III.2. O pedido ao banco e o vencimento</w:t>
      </w:r>
    </w:p>
    <w:p>
      <w:pPr>
        <w:spacing w:line="276" w:lineRule="auto" w:after="120"/>
        <w:jc w:val="both"/>
      </w:pPr>
      <w:r>
        <w:rPr>
          <w:rFonts w:ascii="Arial Narrow" w:hAnsi="Arial Narrow"/>
          <w:sz w:val="20"/>
          <w:highlight w:val="yellow"/>
        </w:rPr>
        <w:t>[PENDENTE] ESCOLHA UM CAMINHO E APAGUE O OUTRO. Caminho A: houve pedido ao banco ANTES do vencimento, com prova datada. Caminho B: o pedido veio depois do vencimento ou não houve pedido. Na dúvida sobre a data, use o B: ele não depende da data e é o que se sustenta até o STJ.</w:t>
      </w:r>
    </w:p>
    <w:p>
      <w:pPr>
        <w:spacing w:line="360" w:lineRule="auto" w:before="160" w:after="80"/>
        <w:jc w:val="left"/>
      </w:pPr>
      <w:r>
        <w:rPr>
          <w:rFonts w:ascii="Arial Narrow" w:hAnsi="Arial Narrow"/>
          <w:b/>
          <w:i w:val="0"/>
          <w:sz w:val="24"/>
        </w:rPr>
        <w:t>Caminho A: o pedido foi feito antes do vencimento</w:t>
      </w:r>
    </w:p>
    <w:p>
      <w:pPr>
        <w:spacing w:line="360" w:lineRule="auto" w:after="120"/>
        <w:jc w:val="both"/>
      </w:pPr>
      <w:r>
        <w:rPr>
          <w:rFonts w:ascii="Arial Narrow" w:hAnsi="Arial Narrow"/>
          <w:b/>
          <w:i w:val="0"/>
          <w:sz w:val="24"/>
        </w:rPr>
        <w:t xml:space="preserve">4-A. A solicitação do mutuário existiu e foi tempestiva. </w:t>
      </w:r>
      <w:r>
        <w:rPr>
          <w:rFonts w:ascii="Arial Narrow" w:hAnsi="Arial Narrow"/>
          <w:b w:val="0"/>
          <w:i w:val="0"/>
          <w:sz w:val="24"/>
        </w:rPr>
        <w:t xml:space="preserve">Em </w:t>
      </w:r>
      <w:r>
        <w:rPr>
          <w:rFonts w:ascii="Arial Narrow" w:hAnsi="Arial Narrow"/>
          <w:b w:val="0"/>
          <w:i w:val="0"/>
          <w:sz w:val="24"/>
          <w:highlight w:val="yellow"/>
        </w:rPr>
        <w:t>[[data]]</w:t>
      </w:r>
      <w:r>
        <w:rPr>
          <w:rFonts w:ascii="Arial Narrow" w:hAnsi="Arial Narrow"/>
          <w:b w:val="0"/>
          <w:i w:val="0"/>
          <w:sz w:val="24"/>
        </w:rPr>
        <w:t xml:space="preserve">, antes do vencimento de </w:t>
      </w:r>
      <w:r>
        <w:rPr>
          <w:rFonts w:ascii="Arial Narrow" w:hAnsi="Arial Narrow"/>
          <w:b w:val="0"/>
          <w:i w:val="0"/>
          <w:sz w:val="24"/>
          <w:highlight w:val="yellow"/>
        </w:rPr>
        <w:t>[[data]]</w:t>
      </w:r>
      <w:r>
        <w:rPr>
          <w:rFonts w:ascii="Arial Narrow" w:hAnsi="Arial Narrow"/>
          <w:b w:val="0"/>
          <w:i w:val="0"/>
          <w:sz w:val="24"/>
        </w:rPr>
        <w:t xml:space="preserve">, o autor pediu a prorrogação por </w:t>
      </w:r>
      <w:r>
        <w:rPr>
          <w:rFonts w:ascii="Arial Narrow" w:hAnsi="Arial Narrow"/>
          <w:b w:val="0"/>
          <w:i w:val="0"/>
          <w:sz w:val="24"/>
          <w:highlight w:val="yellow"/>
        </w:rPr>
        <w:t>[[meio]]</w:t>
      </w:r>
      <w:r>
        <w:rPr>
          <w:rFonts w:ascii="Arial Narrow" w:hAnsi="Arial Narrow"/>
          <w:b w:val="0"/>
          <w:i w:val="0"/>
          <w:sz w:val="24"/>
        </w:rPr>
        <w:t xml:space="preserve"> (tópico II.3), acompanhada de </w:t>
      </w:r>
      <w:r>
        <w:rPr>
          <w:rFonts w:ascii="Arial Narrow" w:hAnsi="Arial Narrow"/>
          <w:b w:val="0"/>
          <w:i w:val="0"/>
          <w:sz w:val="24"/>
          <w:highlight w:val="yellow"/>
        </w:rPr>
        <w:t>[[laudos]]</w:t>
      </w:r>
      <w:r>
        <w:rPr>
          <w:rFonts w:ascii="Arial Narrow" w:hAnsi="Arial Narrow"/>
          <w:b w:val="0"/>
          <w:i w:val="0"/>
          <w:sz w:val="24"/>
        </w:rPr>
        <w:t>, contendo as informações técnicas que a norma manda apresentar: a situação que gerou a dificuldade, sua intensidade, o percentual de redução de renda e o tempo estimado de recuperação (</w:t>
      </w:r>
      <w:r>
        <w:rPr>
          <w:rFonts w:ascii="Arial Narrow" w:hAnsi="Arial Narrow"/>
          <w:b w:val="0"/>
          <w:i w:val="0"/>
          <w:sz w:val="24"/>
          <w:highlight w:val="yellow"/>
        </w:rPr>
        <w:t>[[MCR 2-6-12, "d" / MCR 10-1-27, "d" / MCR 11-1-4, "i"]]</w:t>
      </w:r>
      <w:r>
        <w:rPr>
          <w:rFonts w:ascii="Arial Narrow" w:hAnsi="Arial Narrow"/>
          <w:b w:val="0"/>
          <w:i w:val="0"/>
          <w:sz w:val="24"/>
        </w:rPr>
        <w:t>). O banco teve diante de si, antes do vencimento, tudo o que o MCR exige para decidir.</w:t>
      </w:r>
    </w:p>
    <w:p>
      <w:pPr>
        <w:spacing w:line="360" w:lineRule="auto" w:after="120"/>
        <w:jc w:val="both"/>
      </w:pPr>
      <w:r>
        <w:rPr>
          <w:rFonts w:ascii="Arial Narrow" w:hAnsi="Arial Narrow"/>
          <w:b/>
          <w:i w:val="0"/>
          <w:sz w:val="24"/>
        </w:rPr>
        <w:t xml:space="preserve">5-A. O silêncio do banco não é neutro. </w:t>
      </w:r>
      <w:r>
        <w:rPr>
          <w:rFonts w:ascii="Arial Narrow" w:hAnsi="Arial Narrow"/>
          <w:b w:val="0"/>
          <w:i w:val="0"/>
          <w:sz w:val="24"/>
        </w:rPr>
        <w:t xml:space="preserve">Recebido o pedido instruído, o réu </w:t>
      </w:r>
      <w:r>
        <w:rPr>
          <w:rFonts w:ascii="Arial Narrow" w:hAnsi="Arial Narrow"/>
          <w:b w:val="0"/>
          <w:i w:val="0"/>
          <w:sz w:val="24"/>
          <w:highlight w:val="yellow"/>
        </w:rPr>
        <w:t>[[não respondeu / respondeu sem análise técnica]]</w:t>
      </w:r>
      <w:r>
        <w:rPr>
          <w:rFonts w:ascii="Arial Narrow" w:hAnsi="Arial Narrow"/>
          <w:b w:val="0"/>
          <w:i w:val="0"/>
          <w:sz w:val="24"/>
        </w:rPr>
        <w:t>. Deixou de atestar a desnecessidade ou de demonstrar a falta de capacidade de pagamento, que eram ônus seus pelo texto do MCR 2-6-4, e com isso deixou de exercer, na via administrativa, o contraditório sobre o laudo que lhe foi apresentado. Não pode agora qualificar como unilateral a prova técnica que recebeu e não impugnou.</w:t>
      </w:r>
    </w:p>
    <w:p>
      <w:pPr>
        <w:spacing w:line="360" w:lineRule="auto" w:before="160" w:after="80"/>
        <w:jc w:val="left"/>
      </w:pPr>
      <w:r>
        <w:rPr>
          <w:rFonts w:ascii="Arial Narrow" w:hAnsi="Arial Narrow"/>
          <w:b/>
          <w:i w:val="0"/>
          <w:sz w:val="24"/>
        </w:rPr>
        <w:t>Caminho B: o pedido foi feito após o vencimento, ou não houve pedido</w:t>
      </w:r>
    </w:p>
    <w:p>
      <w:pPr>
        <w:spacing w:line="360" w:lineRule="auto" w:after="120"/>
        <w:jc w:val="both"/>
      </w:pPr>
      <w:r>
        <w:rPr>
          <w:rFonts w:ascii="Arial Narrow" w:hAnsi="Arial Narrow"/>
          <w:b/>
          <w:i w:val="0"/>
          <w:sz w:val="24"/>
        </w:rPr>
        <w:t xml:space="preserve">4-B. A exigência de pedido antes do vencimento não é regra geral do crédito rural. </w:t>
      </w:r>
      <w:r>
        <w:rPr>
          <w:rFonts w:ascii="Arial Narrow" w:hAnsi="Arial Narrow"/>
          <w:b w:val="0"/>
          <w:i w:val="0"/>
          <w:sz w:val="24"/>
        </w:rPr>
        <w:t xml:space="preserve">O MCR só a escreve para linhas determinadas e com vigência datada: custeio do Pronamp e dos demais produtores (MCR 2-6-12, "e", incluído pela Res. CMN 5.220/2025) e investimento com recursos subvencionados pelo Tesouro (MCR 11-1-4, "h"). No Pronaf, o próprio Manual admite o pedido em até 30, 60 ou 120 dias após o vencimento da prestação, conforme a fonte (MCR 10-1-27, "f", Res. CMN 5.122/2024). E o item 2-6-4, regime geral, não fixa prazo algum para a solicitação. </w:t>
      </w:r>
      <w:r>
        <w:rPr>
          <w:rFonts w:ascii="Arial Narrow" w:hAnsi="Arial Narrow"/>
          <w:b w:val="0"/>
          <w:i w:val="0"/>
          <w:sz w:val="24"/>
          <w:highlight w:val="yellow"/>
        </w:rPr>
        <w:t>[[A operação do autor é (…), com recursos (…): indicar o regime aplicável.]]</w:t>
      </w:r>
    </w:p>
    <w:p>
      <w:pPr>
        <w:spacing w:line="360" w:lineRule="auto" w:after="120"/>
        <w:jc w:val="both"/>
      </w:pPr>
      <w:r>
        <w:rPr>
          <w:rFonts w:ascii="Arial Narrow" w:hAnsi="Arial Narrow"/>
          <w:b/>
          <w:i w:val="0"/>
          <w:sz w:val="24"/>
        </w:rPr>
        <w:t xml:space="preserve">5-B. A lei federal admite a prorrogação depois do vencimento original. </w:t>
      </w:r>
      <w:r>
        <w:rPr>
          <w:rFonts w:ascii="Arial Narrow" w:hAnsi="Arial Narrow"/>
          <w:b w:val="0"/>
          <w:i w:val="0"/>
          <w:sz w:val="24"/>
        </w:rPr>
        <w:t>O Decreto-Lei 167/67, com a redação da Lei 14.421/2022, dispõe: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2e5d9c"/>
          <w:left w:val="single" w:sz="4" w:color="2e5d9c"/>
          <w:bottom w:val="single" w:sz="4" w:color="2e5d9c"/>
          <w:right w:val="single" w:sz="4" w:color="2e5d9c"/>
          <w:insideH w:val="single" w:sz="4" w:color="2e5d9c"/>
          <w:insideV w:val="single" w:sz="4" w:color="2e5d9c"/>
        </w:tblBorders>
      </w:tblPr>
      <w:tblGrid>
        <w:gridCol w:w="9083"/>
      </w:tblGrid>
      <w:tr>
        <w:tc>
          <w:tcPr>
            <w:tcW w:type="dxa" w:w="9083"/>
            <w:shd w:val="clear" w:color="auto" w:fill="dce6f1"/>
          </w:tcPr>
          <w:p>
            <w:pPr>
              <w:spacing w:before="40" w:after="40" w:line="276" w:lineRule="auto"/>
              <w:jc w:val="center"/>
            </w:pPr>
            <w:r>
              <w:rPr>
                <w:rFonts w:ascii="Arial Narrow" w:hAnsi="Arial Narrow"/>
                <w:b/>
                <w:i w:val="0"/>
                <w:color w:val="2E5D9C"/>
                <w:sz w:val="18"/>
              </w:rPr>
              <w:t>LEI FEDERAL</w:t>
            </w:r>
          </w:p>
        </w:tc>
      </w:tr>
    </w:tbl>
    <w:p>
      <w:pPr>
        <w:spacing w:line="276" w:lineRule="auto" w:before="80" w:after="40"/>
        <w:ind w:left="2268"/>
        <w:jc w:val="both"/>
      </w:pPr>
      <w:r>
        <w:rPr>
          <w:rFonts w:ascii="Arial Narrow" w:hAnsi="Arial Narrow"/>
          <w:b w:val="0"/>
          <w:i/>
          <w:sz w:val="20"/>
        </w:rPr>
        <w:t>Art. 62. Nas prorrogações de que trata o art. 13 deste Decreto-Lei, ainda que efetuadas após o vencimento original da operação, ficam dispensadas a lavratura de termo aditivo e a assinatura do emitente, bastando, para todos os efeitos, a anotação pelo credor no instrumento de crédito, salvo nas hipóteses estabelecidas pelo poder público.</w:t>
      </w:r>
    </w:p>
    <w:p>
      <w:pPr>
        <w:spacing w:line="276" w:lineRule="auto" w:after="160"/>
        <w:jc w:val="center"/>
      </w:pPr>
      <w:r>
        <w:rPr>
          <w:rFonts w:ascii="Arial Narrow" w:hAnsi="Arial Narrow"/>
          <w:b/>
          <w:i/>
          <w:sz w:val="20"/>
        </w:rPr>
        <w:t>Decreto-Lei 167/1967, art. 62 (redação dada pela Lei 14.421/2022)</w:t>
      </w:r>
    </w:p>
    <w:p>
      <w:pPr>
        <w:spacing w:line="360" w:lineRule="auto" w:after="120"/>
        <w:jc w:val="both"/>
      </w:pPr>
      <w:r>
        <w:rPr>
          <w:rFonts w:ascii="Arial Narrow" w:hAnsi="Arial Narrow"/>
          <w:b w:val="0"/>
          <w:i w:val="0"/>
          <w:sz w:val="24"/>
        </w:rPr>
        <w:t>Se a lei regula a forma da prorrogação efetuada após o vencimento original, a afirmação de que "não se prorroga dívida vencida" não encontra apoio no ordenamento. O vencimento sem pedido anterior pode, quando muito, deslocar o regime da renegociação dentro do próprio Manual (MCR 2-6-12, "g", que remete ao MCR 2-6-7 a 2-6-9, e MCR 10-1-27, "j" e "k"); não extingue o direito, e em nenhum desses itens a norma autoriza o banco a recusar a prorrogação apenas porque o pedido veio depois.</w:t>
      </w:r>
    </w:p>
    <w:p>
      <w:pPr>
        <w:spacing w:line="360" w:lineRule="auto" w:before="160" w:after="80"/>
        <w:jc w:val="left"/>
      </w:pPr>
      <w:r>
        <w:rPr>
          <w:rFonts w:ascii="Arial Narrow" w:hAnsi="Arial Narrow"/>
          <w:b/>
          <w:i w:val="0"/>
          <w:sz w:val="24"/>
        </w:rPr>
        <w:t>Em qualquer dos caminhos</w:t>
      </w:r>
    </w:p>
    <w:p>
      <w:pPr>
        <w:spacing w:line="360" w:lineRule="auto" w:after="120"/>
        <w:jc w:val="both"/>
      </w:pPr>
      <w:r>
        <w:rPr>
          <w:rFonts w:ascii="Arial Narrow" w:hAnsi="Arial Narrow"/>
          <w:b/>
          <w:i w:val="0"/>
          <w:sz w:val="24"/>
        </w:rPr>
        <w:t xml:space="preserve">6. O interesse de agir não depende de requerimento administrativo prévio. </w:t>
      </w:r>
      <w:r>
        <w:rPr>
          <w:rFonts w:ascii="Arial Narrow" w:hAnsi="Arial Narrow"/>
          <w:b w:val="0"/>
          <w:i w:val="0"/>
          <w:sz w:val="24"/>
        </w:rPr>
        <w:t xml:space="preserve">Para postular em juízo basta ter interesse e legitimidade (art. 17 do CPC). O interesse do autor está demonstrado pela resistência concreta do réu: </w:t>
      </w:r>
      <w:r>
        <w:rPr>
          <w:rFonts w:ascii="Arial Narrow" w:hAnsi="Arial Narrow"/>
          <w:b w:val="0"/>
          <w:i w:val="0"/>
          <w:sz w:val="24"/>
          <w:highlight w:val="yellow"/>
        </w:rPr>
        <w:t>[[a cobrança das parcelas nos vencimentos originais / a negativação em (…) / o ajuizamento da execução nº (…) / a ausência de resposta ao pedido]]</w:t>
      </w:r>
      <w:r>
        <w:rPr>
          <w:rFonts w:ascii="Arial Narrow" w:hAnsi="Arial Narrow"/>
          <w:b w:val="0"/>
          <w:i w:val="0"/>
          <w:sz w:val="24"/>
        </w:rPr>
        <w:t>. Condicionar o acesso ao Judiciário a um pedido que nenhuma lei impõe como pressuposto da ação seria criar requisito que o legislador não criou.</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ce4d6"/>
          </w:tcPr>
          <w:p>
            <w:pPr>
              <w:spacing w:before="40" w:after="40" w:line="276" w:lineRule="auto"/>
              <w:jc w:val="center"/>
            </w:pPr>
            <w:r>
              <w:rPr>
                <w:rFonts w:ascii="Arial Narrow" w:hAnsi="Arial Narrow"/>
                <w:b/>
                <w:i w:val="0"/>
                <w:color w:val="C55A11"/>
                <w:sz w:val="18"/>
              </w:rPr>
              <w:t>OUTRO TRIBUNAL · JURISPRUDÊNCIA PERSUASIVA</w:t>
            </w:r>
          </w:p>
        </w:tc>
      </w:tr>
    </w:tbl>
    <w:p>
      <w:pPr>
        <w:spacing w:line="276" w:lineRule="auto" w:before="80" w:after="40"/>
        <w:ind w:left="2268"/>
        <w:jc w:val="both"/>
      </w:pPr>
      <w:r>
        <w:rPr>
          <w:rFonts w:ascii="Arial Narrow" w:hAnsi="Arial Narrow"/>
          <w:b w:val="0"/>
          <w:i/>
          <w:sz w:val="20"/>
        </w:rPr>
        <w:t>2) A comprovação pelo autor de que houve prévio requerimento administrativo para alongamento da dívida, bem como de sua situação de adimplência junto à instituição demandada, não constitui, a princípio, condição de procedibilidade para o ajuizamento de ação pela qual se busca o alongamento de dívida rural (...) 4) A observância ou não das condições estabelecidas pelo Banco Central do Brasil - BACEN (...) constitui questão a ser resolvida na seara meritória (...).</w:t>
      </w:r>
    </w:p>
    <w:p>
      <w:pPr>
        <w:spacing w:line="276" w:lineRule="auto" w:after="160"/>
        <w:jc w:val="center"/>
      </w:pPr>
      <w:r>
        <w:rPr>
          <w:rFonts w:ascii="Arial Narrow" w:hAnsi="Arial Narrow"/>
          <w:b/>
          <w:i/>
          <w:sz w:val="20"/>
        </w:rPr>
        <w:t xml:space="preserve">TJES, AI 0000102-51.2020.8.08.0057, Rel. Des.ª Eliana Junqueira Munhos Ferreira, 3ª Câmara Cível, j. 02/02/2021, publ. 12/02/2021, que aplica o REsp 1.531.676/MG (STJ, 3ª Turma, Rel. Min.ª Nancy Andrighi) </w:t>
      </w:r>
      <w:r>
        <w:rPr>
          <w:rFonts w:ascii="Arial Narrow" w:hAnsi="Arial Narrow"/>
          <w:b/>
          <w:i/>
          <w:sz w:val="20"/>
          <w:highlight w:val="yellow"/>
        </w:rPr>
        <w:t>[[conferir inteiro teor e data de publicação antes do protocolo]]</w:t>
      </w:r>
    </w:p>
    <w:p>
      <w:pPr>
        <w:spacing w:line="360" w:lineRule="auto" w:after="120"/>
        <w:jc w:val="both"/>
      </w:pPr>
      <w:r>
        <w:rPr>
          <w:rFonts w:ascii="Arial Narrow" w:hAnsi="Arial Narrow"/>
          <w:b w:val="0"/>
          <w:i w:val="0"/>
          <w:sz w:val="24"/>
        </w:rPr>
        <w:t xml:space="preserve">No mesmo sentido, reconhecendo o interesse de agir e a negativa implícita do banco diante de notificação e laudos enviados por e-mail e carta com AR: TJPR, Apelação Cível 0006568-19.2024.8.16.0083, Rel. Des. Carlos Mansur Arida, 5ª Câmara Cível, j. 21/05/2025 </w:t>
      </w:r>
      <w:r>
        <w:rPr>
          <w:rFonts w:ascii="Arial Narrow" w:hAnsi="Arial Narrow"/>
          <w:b w:val="0"/>
          <w:i w:val="0"/>
          <w:sz w:val="24"/>
          <w:highlight w:val="yellow"/>
        </w:rPr>
        <w:t>[[conferir inteiro teor]]</w:t>
      </w:r>
      <w:r>
        <w:rPr>
          <w:rFonts w:ascii="Arial Narrow" w:hAnsi="Arial Narrow"/>
          <w:b w:val="0"/>
          <w:i w:val="0"/>
          <w:sz w:val="24"/>
        </w:rPr>
        <w:t>.</w:t>
      </w:r>
    </w:p>
    <w:p>
      <w:pPr>
        <w:spacing w:line="360" w:lineRule="auto" w:after="120"/>
        <w:jc w:val="both"/>
      </w:pPr>
      <w:r>
        <w:rPr>
          <w:rFonts w:ascii="Arial Narrow" w:hAnsi="Arial Narrow"/>
          <w:b w:val="0"/>
          <w:i w:val="0"/>
          <w:sz w:val="24"/>
          <w:highlight w:val="yellow"/>
        </w:rPr>
        <w:t>[[Se a operação já foi prorrogada antes, administrativamente, manter:]]</w:t>
      </w:r>
      <w:r>
        <w:rPr>
          <w:rFonts w:ascii="Arial Narrow" w:hAnsi="Arial Narrow"/>
          <w:b w:val="0"/>
          <w:i w:val="0"/>
          <w:sz w:val="24"/>
        </w:rPr>
        <w:t xml:space="preserve"> a tempestividade se mede pelo vencimento da obrigação prorrogada, e não pelo da original (TJMT, AI 1010134-81.2026.8.11.0000, Rel. Des. Luiz Octávio Oliveira Saboia Ribeiro, 5ª Câmara de Direito Privado, j. 02/06/2026: "Tempestivo o requerimento de prorrogação aferido pelo vencimento da obrigação renegociada, e não da originária") </w:t>
      </w:r>
      <w:r>
        <w:rPr>
          <w:rFonts w:ascii="Arial Narrow" w:hAnsi="Arial Narrow"/>
          <w:b w:val="0"/>
          <w:i w:val="0"/>
          <w:sz w:val="24"/>
          <w:highlight w:val="yellow"/>
        </w:rPr>
        <w:t>[[conferir inteiro teor]]</w:t>
      </w:r>
      <w:r>
        <w:rPr>
          <w:rFonts w:ascii="Arial Narrow" w:hAnsi="Arial Narrow"/>
          <w:b w:val="0"/>
          <w:i w:val="0"/>
          <w:sz w:val="24"/>
        </w:rPr>
        <w:t>.</w:t>
      </w:r>
    </w:p>
    <w:p>
      <w:pPr>
        <w:spacing w:line="360" w:lineRule="auto" w:before="160" w:after="80"/>
        <w:jc w:val="left"/>
      </w:pPr>
      <w:r>
        <w:rPr>
          <w:rFonts w:ascii="Arial Narrow" w:hAnsi="Arial Narrow"/>
          <w:b/>
          <w:i w:val="0"/>
          <w:sz w:val="24"/>
        </w:rPr>
        <w:t>III.3. Os requisitos materiais estão provados</w:t>
      </w:r>
    </w:p>
    <w:p>
      <w:pPr>
        <w:spacing w:line="360" w:lineRule="auto" w:after="120"/>
        <w:jc w:val="both"/>
      </w:pPr>
      <w:r>
        <w:rPr>
          <w:rFonts w:ascii="Arial Narrow" w:hAnsi="Arial Narrow"/>
          <w:b w:val="0"/>
          <w:i w:val="0"/>
          <w:sz w:val="24"/>
        </w:rPr>
        <w:t>O quadro abaixo confronta cada exigência do MCR 2-6-4 com a prova que a satisfaz:</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028"/>
        <w:gridCol w:w="3028"/>
        <w:gridCol w:w="3028"/>
      </w:tblGrid>
      <w:tr>
        <w:tc>
          <w:tcPr>
            <w:tcW w:type="dxa" w:w="9082"/>
            <w:gridSpan w:val="3"/>
            <w:shd w:val="clear" w:color="auto" w:fill="f6b26b"/>
          </w:tcPr>
          <w:p>
            <w:pPr>
              <w:spacing w:before="40" w:after="40" w:line="276" w:lineRule="auto"/>
              <w:jc w:val="center"/>
            </w:pPr>
            <w:r>
              <w:rPr>
                <w:rFonts w:ascii="Arial Narrow" w:hAnsi="Arial Narrow"/>
                <w:b/>
                <w:i w:val="0"/>
                <w:sz w:val="20"/>
              </w:rPr>
              <w:t>O QUE O MCR 2-6-4 EXIGE DO MUTUÁRIO E ONDE ESTÁ A PROVA</w:t>
            </w:r>
          </w:p>
        </w:tc>
      </w:tr>
      <w:tr>
        <w:tc>
          <w:tcPr>
            <w:tcW w:type="dxa" w:w="2997"/>
            <w:shd w:val="clear" w:color="auto" w:fill="f2f2f2"/>
          </w:tcPr>
          <w:p>
            <w:pPr>
              <w:spacing w:before="40" w:after="40" w:line="276" w:lineRule="auto"/>
              <w:jc w:val="center"/>
            </w:pPr>
            <w:r>
              <w:rPr>
                <w:rFonts w:ascii="Arial Narrow" w:hAnsi="Arial Narrow"/>
                <w:b/>
                <w:i w:val="0"/>
                <w:sz w:val="20"/>
              </w:rPr>
              <w:t>Exigência</w:t>
            </w:r>
          </w:p>
        </w:tc>
        <w:tc>
          <w:tcPr>
            <w:tcW w:type="dxa" w:w="4723"/>
            <w:shd w:val="clear" w:color="auto" w:fill="f2f2f2"/>
          </w:tcPr>
          <w:p>
            <w:pPr>
              <w:spacing w:before="40" w:after="40" w:line="276" w:lineRule="auto"/>
              <w:jc w:val="center"/>
            </w:pPr>
            <w:r>
              <w:rPr>
                <w:rFonts w:ascii="Arial Narrow" w:hAnsi="Arial Narrow"/>
                <w:b/>
                <w:i w:val="0"/>
                <w:sz w:val="20"/>
              </w:rPr>
              <w:t>Prova nos autos</w:t>
            </w:r>
          </w:p>
        </w:tc>
        <w:tc>
          <w:tcPr>
            <w:tcW w:type="dxa" w:w="1362"/>
            <w:shd w:val="clear" w:color="auto" w:fill="f2f2f2"/>
          </w:tcPr>
          <w:p>
            <w:pPr>
              <w:spacing w:before="40" w:after="40" w:line="276" w:lineRule="auto"/>
              <w:jc w:val="center"/>
            </w:pPr>
            <w:r>
              <w:rPr>
                <w:rFonts w:ascii="Arial Narrow" w:hAnsi="Arial Narrow"/>
                <w:b/>
                <w:i w:val="0"/>
                <w:sz w:val="20"/>
              </w:rPr>
              <w:t>Documento</w:t>
            </w:r>
          </w:p>
        </w:tc>
      </w:tr>
      <w:tr>
        <w:tc>
          <w:tcPr>
            <w:tcW w:type="dxa" w:w="2997"/>
            <w:shd w:val="clear" w:color="auto" w:fill="dce6f1"/>
          </w:tcPr>
          <w:p>
            <w:pPr>
              <w:spacing w:before="40" w:after="40" w:line="276" w:lineRule="auto"/>
              <w:jc w:val="left"/>
            </w:pPr>
            <w:r>
              <w:rPr>
                <w:rFonts w:ascii="Arial Narrow" w:hAnsi="Arial Narrow"/>
                <w:b/>
                <w:i w:val="0"/>
                <w:sz w:val="20"/>
              </w:rPr>
              <w:t>Dificuldade TEMPORÁRIA para reembolso</w:t>
            </w:r>
          </w:p>
        </w:tc>
        <w:tc>
          <w:tcPr>
            <w:tcW w:type="dxa" w:w="4723"/>
          </w:tcPr>
          <w:p>
            <w:pPr>
              <w:spacing w:before="40" w:after="40" w:line="276" w:lineRule="auto"/>
              <w:jc w:val="left"/>
            </w:pPr>
            <w:r>
              <w:rPr>
                <w:rFonts w:ascii="Arial Narrow" w:hAnsi="Arial Narrow"/>
                <w:b w:val="0"/>
                <w:i w:val="0"/>
                <w:sz w:val="20"/>
                <w:highlight w:val="yellow"/>
              </w:rPr>
              <w:t>[[Laudo de capacidade de pagamento: renda projetada que volta a cobrir a dívida em (…) safras]]</w:t>
            </w:r>
          </w:p>
        </w:tc>
        <w:tc>
          <w:tcPr>
            <w:tcW w:type="dxa" w:w="1362"/>
          </w:tcPr>
          <w:p>
            <w:pPr>
              <w:spacing w:before="40" w:after="40" w:line="276" w:lineRule="auto"/>
              <w:jc w:val="center"/>
            </w:pPr>
            <w:r>
              <w:rPr>
                <w:rFonts w:ascii="Arial Narrow" w:hAnsi="Arial Narrow"/>
                <w:b w:val="0"/>
                <w:i w:val="0"/>
                <w:sz w:val="20"/>
              </w:rPr>
              <w:t>Provas 13 a 15</w:t>
            </w:r>
          </w:p>
        </w:tc>
      </w:tr>
      <w:tr>
        <w:tc>
          <w:tcPr>
            <w:tcW w:type="dxa" w:w="2997"/>
            <w:shd w:val="clear" w:color="auto" w:fill="dce6f1"/>
          </w:tcPr>
          <w:p>
            <w:pPr>
              <w:spacing w:before="40" w:after="40" w:line="276" w:lineRule="auto"/>
              <w:jc w:val="left"/>
            </w:pPr>
            <w:r>
              <w:rPr>
                <w:rFonts w:ascii="Arial Narrow" w:hAnsi="Arial Narrow"/>
                <w:b/>
                <w:i w:val="0"/>
                <w:sz w:val="20"/>
              </w:rPr>
              <w:t>Ao menos UMA das situações das alíneas "a" a "d"</w:t>
            </w:r>
          </w:p>
        </w:tc>
        <w:tc>
          <w:tcPr>
            <w:tcW w:type="dxa" w:w="4723"/>
          </w:tcPr>
          <w:p>
            <w:pPr>
              <w:spacing w:before="40" w:after="40" w:line="276" w:lineRule="auto"/>
              <w:jc w:val="left"/>
            </w:pPr>
            <w:r>
              <w:rPr>
                <w:rFonts w:ascii="Arial Narrow" w:hAnsi="Arial Narrow"/>
                <w:b w:val="0"/>
                <w:i w:val="0"/>
                <w:sz w:val="20"/>
                <w:highlight w:val="yellow"/>
              </w:rPr>
              <w:t>[[alínea (…): frustração de safra / dificuldade de comercialização / ocorrência prejudicial / fluxo de caixa com perdas acumuladas]]</w:t>
            </w:r>
          </w:p>
        </w:tc>
        <w:tc>
          <w:tcPr>
            <w:tcW w:type="dxa" w:w="1362"/>
          </w:tcPr>
          <w:p>
            <w:pPr>
              <w:spacing w:before="40" w:after="40" w:line="276" w:lineRule="auto"/>
              <w:jc w:val="center"/>
            </w:pPr>
            <w:r>
              <w:rPr>
                <w:rFonts w:ascii="Arial Narrow" w:hAnsi="Arial Narrow"/>
                <w:b w:val="0"/>
                <w:i w:val="0"/>
                <w:sz w:val="20"/>
              </w:rPr>
              <w:t>Provas 08 e 11</w:t>
            </w:r>
          </w:p>
        </w:tc>
      </w:tr>
      <w:tr>
        <w:tc>
          <w:tcPr>
            <w:tcW w:type="dxa" w:w="2997"/>
            <w:shd w:val="clear" w:color="auto" w:fill="dce6f1"/>
          </w:tcPr>
          <w:p>
            <w:pPr>
              <w:spacing w:before="40" w:after="40" w:line="276" w:lineRule="auto"/>
              <w:jc w:val="left"/>
            </w:pPr>
            <w:r>
              <w:rPr>
                <w:rFonts w:ascii="Arial Narrow" w:hAnsi="Arial Narrow"/>
                <w:b/>
                <w:i w:val="0"/>
                <w:sz w:val="20"/>
              </w:rPr>
              <w:t>Evento adverso e sua intensidade</w:t>
            </w:r>
          </w:p>
        </w:tc>
        <w:tc>
          <w:tcPr>
            <w:tcW w:type="dxa" w:w="4723"/>
          </w:tcPr>
          <w:p>
            <w:pPr>
              <w:spacing w:before="40" w:after="40" w:line="276" w:lineRule="auto"/>
              <w:jc w:val="left"/>
            </w:pPr>
            <w:r>
              <w:rPr>
                <w:rFonts w:ascii="Arial Narrow" w:hAnsi="Arial Narrow"/>
                <w:b w:val="0"/>
                <w:i w:val="0"/>
                <w:sz w:val="20"/>
                <w:highlight w:val="yellow"/>
              </w:rPr>
              <w:t>[[Decreto de emergência nº (…), medição oficial e fotos da propriedade]]</w:t>
            </w:r>
          </w:p>
        </w:tc>
        <w:tc>
          <w:tcPr>
            <w:tcW w:type="dxa" w:w="1362"/>
          </w:tcPr>
          <w:p>
            <w:pPr>
              <w:spacing w:before="40" w:after="40" w:line="276" w:lineRule="auto"/>
              <w:jc w:val="center"/>
            </w:pPr>
            <w:r>
              <w:rPr>
                <w:rFonts w:ascii="Arial Narrow" w:hAnsi="Arial Narrow"/>
                <w:b w:val="0"/>
                <w:i w:val="0"/>
                <w:sz w:val="20"/>
              </w:rPr>
              <w:t>Provas 06, 07 e 09</w:t>
            </w:r>
          </w:p>
        </w:tc>
      </w:tr>
      <w:tr>
        <w:tc>
          <w:tcPr>
            <w:tcW w:type="dxa" w:w="2997"/>
            <w:shd w:val="clear" w:color="auto" w:fill="dce6f1"/>
          </w:tcPr>
          <w:p>
            <w:pPr>
              <w:spacing w:before="40" w:after="40" w:line="276" w:lineRule="auto"/>
              <w:jc w:val="left"/>
            </w:pPr>
            <w:r>
              <w:rPr>
                <w:rFonts w:ascii="Arial Narrow" w:hAnsi="Arial Narrow"/>
                <w:b/>
                <w:i w:val="0"/>
                <w:sz w:val="20"/>
              </w:rPr>
              <w:t>Percentual de redução de renda e tempo de recuperação</w:t>
            </w:r>
          </w:p>
        </w:tc>
        <w:tc>
          <w:tcPr>
            <w:tcW w:type="dxa" w:w="4723"/>
          </w:tcPr>
          <w:p>
            <w:pPr>
              <w:spacing w:before="40" w:after="40" w:line="276" w:lineRule="auto"/>
              <w:jc w:val="left"/>
            </w:pPr>
            <w:r>
              <w:rPr>
                <w:rFonts w:ascii="Arial Narrow" w:hAnsi="Arial Narrow"/>
                <w:b w:val="0"/>
                <w:i w:val="0"/>
                <w:sz w:val="20"/>
                <w:highlight w:val="yellow"/>
              </w:rPr>
              <w:t>[[Laudo: redução de (…)% e recuperação estimada em (…)]]</w:t>
            </w:r>
          </w:p>
        </w:tc>
        <w:tc>
          <w:tcPr>
            <w:tcW w:type="dxa" w:w="1362"/>
          </w:tcPr>
          <w:p>
            <w:pPr>
              <w:spacing w:before="40" w:after="40" w:line="276" w:lineRule="auto"/>
              <w:jc w:val="center"/>
            </w:pPr>
            <w:r>
              <w:rPr>
                <w:rFonts w:ascii="Arial Narrow" w:hAnsi="Arial Narrow"/>
                <w:b w:val="0"/>
                <w:i w:val="0"/>
                <w:sz w:val="20"/>
              </w:rPr>
              <w:t>Prova 12</w:t>
            </w:r>
          </w:p>
        </w:tc>
      </w:tr>
      <w:tr>
        <w:tc>
          <w:tcPr>
            <w:tcW w:type="dxa" w:w="2997"/>
            <w:shd w:val="clear" w:color="auto" w:fill="dce6f1"/>
          </w:tcPr>
          <w:p>
            <w:pPr>
              <w:spacing w:before="40" w:after="40" w:line="276" w:lineRule="auto"/>
              <w:jc w:val="left"/>
            </w:pPr>
            <w:r>
              <w:rPr>
                <w:rFonts w:ascii="Arial Narrow" w:hAnsi="Arial Narrow"/>
                <w:b/>
                <w:i w:val="0"/>
                <w:sz w:val="20"/>
              </w:rPr>
              <w:t>Solicitação do mutuário</w:t>
            </w:r>
          </w:p>
        </w:tc>
        <w:tc>
          <w:tcPr>
            <w:tcW w:type="dxa" w:w="4723"/>
          </w:tcPr>
          <w:p>
            <w:pPr>
              <w:spacing w:before="40" w:after="40" w:line="276" w:lineRule="auto"/>
              <w:jc w:val="left"/>
            </w:pPr>
            <w:r>
              <w:rPr>
                <w:rFonts w:ascii="Arial Narrow" w:hAnsi="Arial Narrow"/>
                <w:b w:val="0"/>
                <w:i w:val="0"/>
                <w:sz w:val="20"/>
                <w:highlight w:val="yellow"/>
              </w:rPr>
              <w:t>[[Pedido escrito de (…), recebido pelo banco em (…); ou tópico III.2, caminho B]]</w:t>
            </w:r>
          </w:p>
        </w:tc>
        <w:tc>
          <w:tcPr>
            <w:tcW w:type="dxa" w:w="1362"/>
          </w:tcPr>
          <w:p>
            <w:pPr>
              <w:spacing w:before="40" w:after="40" w:line="276" w:lineRule="auto"/>
              <w:jc w:val="center"/>
            </w:pPr>
            <w:r>
              <w:rPr>
                <w:rFonts w:ascii="Arial Narrow" w:hAnsi="Arial Narrow"/>
                <w:b w:val="0"/>
                <w:i w:val="0"/>
                <w:sz w:val="20"/>
              </w:rPr>
              <w:t>Provas 16 e 17</w:t>
            </w:r>
          </w:p>
        </w:tc>
      </w:tr>
    </w:tbl>
    <w:p>
      <w:pPr>
        <w:spacing w:after="120" w:before="0" w:line="240" w:lineRule="auto"/>
      </w:pPr>
      <w:r>
        <w:rPr>
          <w:rFonts w:ascii="Arial Narrow" w:hAnsi="Arial Narrow"/>
          <w:sz w:val="2"/>
        </w:rPr>
      </w:r>
    </w:p>
    <w:p>
      <w:pPr>
        <w:spacing w:line="360" w:lineRule="auto" w:after="120"/>
        <w:jc w:val="both"/>
      </w:pPr>
      <w:r>
        <w:rPr>
          <w:rFonts w:ascii="Arial Narrow" w:hAnsi="Arial Narrow"/>
          <w:b w:val="0"/>
          <w:i w:val="0"/>
          <w:sz w:val="24"/>
        </w:rPr>
        <w:t xml:space="preserve">A estiagem de </w:t>
      </w:r>
      <w:r>
        <w:rPr>
          <w:rFonts w:ascii="Arial Narrow" w:hAnsi="Arial Narrow"/>
          <w:b w:val="0"/>
          <w:i w:val="0"/>
          <w:sz w:val="24"/>
          <w:highlight w:val="yellow"/>
        </w:rPr>
        <w:t>[[período]]</w:t>
      </w:r>
      <w:r>
        <w:rPr>
          <w:rFonts w:ascii="Arial Narrow" w:hAnsi="Arial Narrow"/>
          <w:b w:val="0"/>
          <w:i w:val="0"/>
          <w:sz w:val="24"/>
        </w:rPr>
        <w:t xml:space="preserve"> é fato notório, que não depende de prova (art. 374, I, do CPC), e foi declarada oficialmente pelo </w:t>
      </w:r>
      <w:r>
        <w:rPr>
          <w:rFonts w:ascii="Arial Narrow" w:hAnsi="Arial Narrow"/>
          <w:b w:val="0"/>
          <w:i w:val="0"/>
          <w:sz w:val="24"/>
          <w:highlight w:val="yellow"/>
        </w:rPr>
        <w:t>[[Decreto nº (…)]]</w:t>
      </w:r>
      <w:r>
        <w:rPr>
          <w:rFonts w:ascii="Arial Narrow" w:hAnsi="Arial Narrow"/>
          <w:b w:val="0"/>
          <w:i w:val="0"/>
          <w:sz w:val="24"/>
        </w:rPr>
        <w:t xml:space="preserve">, cujo teor e vigência se comprovam pelo documento juntado (art. 376 do CPC). O laudo técnico abrange </w:t>
      </w:r>
      <w:r>
        <w:rPr>
          <w:rFonts w:ascii="Arial Narrow" w:hAnsi="Arial Narrow"/>
          <w:b w:val="0"/>
          <w:i w:val="0"/>
          <w:sz w:val="24"/>
          <w:highlight w:val="yellow"/>
        </w:rPr>
        <w:t>[[as operações vencidas e as vincendas]]</w:t>
      </w:r>
      <w:r>
        <w:rPr>
          <w:rFonts w:ascii="Arial Narrow" w:hAnsi="Arial Narrow"/>
          <w:b w:val="0"/>
          <w:i w:val="0"/>
          <w:sz w:val="24"/>
        </w:rPr>
        <w:t xml:space="preserve"> e projeta a capacidade de pagamento no cronograma pedido.</w:t>
      </w:r>
    </w:p>
    <w:p>
      <w:pPr>
        <w:spacing w:line="360" w:lineRule="auto" w:after="120"/>
        <w:jc w:val="both"/>
      </w:pPr>
      <w:r>
        <w:rPr>
          <w:rFonts w:ascii="Arial Narrow" w:hAnsi="Arial Narrow"/>
          <w:b/>
          <w:i w:val="0"/>
          <w:sz w:val="24"/>
        </w:rPr>
        <w:t xml:space="preserve">7. O laudo não é "unilateral" no sentido que o afastaria. </w:t>
      </w:r>
      <w:r>
        <w:rPr>
          <w:rFonts w:ascii="Arial Narrow" w:hAnsi="Arial Narrow"/>
          <w:b w:val="0"/>
          <w:i w:val="0"/>
          <w:sz w:val="24"/>
        </w:rPr>
        <w:t xml:space="preserve">O laudo foi elaborado por </w:t>
      </w:r>
      <w:r>
        <w:rPr>
          <w:rFonts w:ascii="Arial Narrow" w:hAnsi="Arial Narrow"/>
          <w:b w:val="0"/>
          <w:i w:val="0"/>
          <w:sz w:val="24"/>
          <w:highlight w:val="yellow"/>
        </w:rPr>
        <w:t>[[engenheiro agrônomo, CREA nº (…), ART nº (…)]]</w:t>
      </w:r>
      <w:r>
        <w:rPr>
          <w:rFonts w:ascii="Arial Narrow" w:hAnsi="Arial Narrow"/>
          <w:b w:val="0"/>
          <w:i w:val="0"/>
          <w:sz w:val="24"/>
        </w:rPr>
        <w:t xml:space="preserve">, com visita à propriedade em </w:t>
      </w:r>
      <w:r>
        <w:rPr>
          <w:rFonts w:ascii="Arial Narrow" w:hAnsi="Arial Narrow"/>
          <w:b w:val="0"/>
          <w:i w:val="0"/>
          <w:sz w:val="24"/>
          <w:highlight w:val="yellow"/>
        </w:rPr>
        <w:t>[[data]]</w:t>
      </w:r>
      <w:r>
        <w:rPr>
          <w:rFonts w:ascii="Arial Narrow" w:hAnsi="Arial Narrow"/>
          <w:b w:val="0"/>
          <w:i w:val="0"/>
          <w:sz w:val="24"/>
        </w:rPr>
        <w:t xml:space="preserve">, e quantifica, com dados da própria atividade do autor, a perda de </w:t>
      </w:r>
      <w:r>
        <w:rPr>
          <w:rFonts w:ascii="Arial Narrow" w:hAnsi="Arial Narrow"/>
          <w:b w:val="0"/>
          <w:i w:val="0"/>
          <w:sz w:val="24"/>
          <w:highlight w:val="yellow"/>
        </w:rPr>
        <w:t>[[(…)%]]</w:t>
      </w:r>
      <w:r>
        <w:rPr>
          <w:rFonts w:ascii="Arial Narrow" w:hAnsi="Arial Narrow"/>
          <w:b w:val="0"/>
          <w:i w:val="0"/>
          <w:sz w:val="24"/>
        </w:rPr>
        <w:t xml:space="preserve">, a renda projetada e o cronograma de </w:t>
      </w:r>
      <w:r>
        <w:rPr>
          <w:rFonts w:ascii="Arial Narrow" w:hAnsi="Arial Narrow"/>
          <w:b w:val="0"/>
          <w:i w:val="0"/>
          <w:sz w:val="24"/>
          <w:highlight w:val="yellow"/>
        </w:rPr>
        <w:t>[[carência de (…) e (…) parcelas]]</w:t>
      </w:r>
      <w:r>
        <w:rPr>
          <w:rFonts w:ascii="Arial Narrow" w:hAnsi="Arial Narrow"/>
          <w:b w:val="0"/>
          <w:i w:val="0"/>
          <w:sz w:val="24"/>
        </w:rPr>
        <w:t xml:space="preserve"> em que a dívida volta a ser paga. </w:t>
      </w:r>
      <w:r>
        <w:rPr>
          <w:rFonts w:ascii="Arial Narrow" w:hAnsi="Arial Narrow"/>
          <w:b w:val="0"/>
          <w:i w:val="0"/>
          <w:sz w:val="24"/>
          <w:highlight w:val="yellow"/>
        </w:rPr>
        <w:t>[[Foi enviado ao réu em (…), junto com o pedido de prorrogação, e não recebeu impugnação técnica: o contraditório foi oferecido na via administrativa e não exercido.]]</w:t>
      </w:r>
      <w:r>
        <w:rPr>
          <w:rFonts w:ascii="Arial Narrow" w:hAnsi="Arial Narrow"/>
          <w:b w:val="0"/>
          <w:i w:val="0"/>
          <w:sz w:val="24"/>
        </w:rPr>
        <w:t xml:space="preserve"> É corroborado por prova que não vem do autor: </w:t>
      </w:r>
      <w:r>
        <w:rPr>
          <w:rFonts w:ascii="Arial Narrow" w:hAnsi="Arial Narrow"/>
          <w:b w:val="0"/>
          <w:i w:val="0"/>
          <w:sz w:val="24"/>
          <w:highlight w:val="yellow"/>
        </w:rPr>
        <w:t>[[decreto de emergência nº (…); certidão/laudo da ADERR, EMATER ou IDARON; cotação oficial da arroba em (…)]]</w:t>
      </w:r>
      <w:r>
        <w:rPr>
          <w:rFonts w:ascii="Arial Narrow" w:hAnsi="Arial Narrow"/>
          <w:b w:val="0"/>
          <w:i w:val="0"/>
          <w:sz w:val="24"/>
        </w:rPr>
        <w:t>. Em cognição sumária, basta a probabilidade do direito (art. 300 do CPC); a certeza é tarefa da instrução.</w:t>
      </w:r>
    </w:p>
    <w:p>
      <w:pPr>
        <w:spacing w:line="360" w:lineRule="auto" w:after="120"/>
        <w:jc w:val="both"/>
      </w:pPr>
      <w:r>
        <w:rPr>
          <w:rFonts w:ascii="Arial Narrow" w:hAnsi="Arial Narrow"/>
          <w:b/>
          <w:i w:val="0"/>
          <w:sz w:val="24"/>
        </w:rPr>
        <w:t xml:space="preserve">8. Não se trata de risco ordinário do negócio. </w:t>
      </w:r>
      <w:r>
        <w:rPr>
          <w:rFonts w:ascii="Arial Narrow" w:hAnsi="Arial Narrow"/>
          <w:b w:val="0"/>
          <w:i w:val="0"/>
          <w:sz w:val="24"/>
        </w:rPr>
        <w:t xml:space="preserve">O próprio MCR 2-6-4 elege a frustração de safra "por fatores adversos", a dificuldade de comercialização e as "ocorrências prejudiciais ao desenvolvimento das explorações" como causas de prorrogação: a norma do crédito rural já decidiu que esses eventos não são risco que o produtor suporta sozinho. A intensidade do evento no caso concreto está oficialmente reconhecida pelo </w:t>
      </w:r>
      <w:r>
        <w:rPr>
          <w:rFonts w:ascii="Arial Narrow" w:hAnsi="Arial Narrow"/>
          <w:b w:val="0"/>
          <w:i w:val="0"/>
          <w:sz w:val="24"/>
          <w:highlight w:val="yellow"/>
        </w:rPr>
        <w:t>[[Decreto nº (…)]]</w:t>
      </w:r>
      <w:r>
        <w:rPr>
          <w:rFonts w:ascii="Arial Narrow" w:hAnsi="Arial Narrow"/>
          <w:b w:val="0"/>
          <w:i w:val="0"/>
          <w:sz w:val="24"/>
        </w:rPr>
        <w:t xml:space="preserve"> e quantificada no laudo.</w:t>
      </w:r>
    </w:p>
    <w:p>
      <w:pPr>
        <w:spacing w:line="276" w:lineRule="auto" w:after="120"/>
        <w:jc w:val="both"/>
      </w:pPr>
      <w:r>
        <w:rPr>
          <w:rFonts w:ascii="Arial Narrow" w:hAnsi="Arial Narrow"/>
          <w:sz w:val="20"/>
          <w:highlight w:val="yellow"/>
        </w:rPr>
        <w:t>[PENDENTE] Laudo unilateral ou insuficiente foi o motivo de 31 das 61 derrotas do diagnóstico. Não protocole sem: ART; visita à propriedade; números DA PROPRIEDADE (não só da região); capacidade de pagamento com carência, número de parcelas e forma de amortização (laudo "sem prazo, parcelas e forma de amortização" foi rejeitado); ao menos uma prova pública que o corrobore. E, pelo que as decisões das referências do agro mostram: laudo de perda POR OPERAÇÃO E POR SAFRA (esperado × obtido); números COERENTES entre o laudo de perda e o de capacidade (divergência de receita entre os dois derrubou tutela); corroboração externa (INMET/CEMADEN, NDVI, DIRPF, notas fiscais, balanços); endividamento global DECLARADO, não escondido; se houve operação nova contratada já na crise, enfrente o ponto antes do banco.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083"/>
      </w:tblGrid>
      <w:tr>
        <w:tc>
          <w:tcPr>
            <w:tcW w:type="dxa" w:w="9083"/>
            <w:shd w:val="clear" w:color="auto" w:fill="f6b26b"/>
          </w:tcPr>
          <w:p>
            <w:pPr>
              <w:spacing w:before="40" w:after="40" w:line="276" w:lineRule="auto"/>
              <w:jc w:val="center"/>
            </w:pPr>
            <w:r>
              <w:rPr>
                <w:rFonts w:ascii="Arial Narrow" w:hAnsi="Arial Narrow"/>
                <w:b/>
                <w:i w:val="0"/>
                <w:sz w:val="20"/>
              </w:rPr>
              <w:t>O QUE CABE AO RÉU DEMONSTRAR PARA NEGAR A PRORROGAÇÃO</w:t>
            </w:r>
          </w:p>
        </w:tc>
      </w:tr>
      <w:tr>
        <w:tc>
          <w:tcPr>
            <w:tcW w:type="dxa" w:w="9083"/>
          </w:tcPr>
          <w:p>
            <w:pPr>
              <w:spacing w:before="40" w:after="40" w:line="276" w:lineRule="auto"/>
              <w:jc w:val="left"/>
            </w:pPr>
            <w:r>
              <w:rPr>
                <w:rFonts w:ascii="Arial Narrow" w:hAnsi="Arial Narrow"/>
                <w:b w:val="0"/>
                <w:i w:val="0"/>
                <w:sz w:val="20"/>
              </w:rPr>
              <w:t>•  Demonstrar, com análise técnica, que a dificuldade de reembolso do autor não é temporária ou que nenhuma das situações das alíneas do MCR 2-6-4 ocorreu.</w:t>
            </w:r>
          </w:p>
        </w:tc>
      </w:tr>
      <w:tr>
        <w:tc>
          <w:tcPr>
            <w:tcW w:type="dxa" w:w="9083"/>
          </w:tcPr>
          <w:p>
            <w:pPr>
              <w:spacing w:before="40" w:after="40" w:line="276" w:lineRule="auto"/>
              <w:jc w:val="left"/>
            </w:pPr>
            <w:r>
              <w:rPr>
                <w:rFonts w:ascii="Arial Narrow" w:hAnsi="Arial Narrow"/>
                <w:b w:val="0"/>
                <w:i w:val="0"/>
                <w:sz w:val="20"/>
              </w:rPr>
              <w:t>•  Demonstrar que o autor não terá capacidade de pagamento no cronograma prorrogado: é a instituição que deve demonstrá-la, nos termos do próprio item.</w:t>
            </w:r>
          </w:p>
        </w:tc>
      </w:tr>
      <w:tr>
        <w:tc>
          <w:tcPr>
            <w:tcW w:type="dxa" w:w="9083"/>
          </w:tcPr>
          <w:p>
            <w:pPr>
              <w:spacing w:before="40" w:after="40" w:line="276" w:lineRule="auto"/>
              <w:jc w:val="left"/>
            </w:pPr>
            <w:r>
              <w:rPr>
                <w:rFonts w:ascii="Arial Narrow" w:hAnsi="Arial Narrow"/>
                <w:b w:val="0"/>
                <w:i w:val="0"/>
                <w:sz w:val="20"/>
              </w:rPr>
              <w:t>•  Afirmar genericamente que a prorrogação é "faculdade" ou que "a política interna não permite" não enfrenta a Súmula 298/STJ nem os requisitos do MCR, e decisão que acolha esse argumento sem distinção fundamentada deixa de seguir enunciado de súmula invocado pela parte (art. 489, § 1º, VI, do CPC).</w:t>
            </w:r>
          </w:p>
        </w:tc>
      </w:tr>
    </w:tbl>
    <w:p>
      <w:pPr>
        <w:spacing w:after="12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ce4d6"/>
          </w:tcPr>
          <w:p>
            <w:pPr>
              <w:spacing w:before="40" w:after="40" w:line="276" w:lineRule="auto"/>
              <w:jc w:val="center"/>
            </w:pPr>
            <w:r>
              <w:rPr>
                <w:rFonts w:ascii="Arial Narrow" w:hAnsi="Arial Narrow"/>
                <w:b/>
                <w:i w:val="0"/>
                <w:color w:val="C55A11"/>
                <w:sz w:val="18"/>
              </w:rPr>
              <w:t>TJRO · TRIBUNAL DE ORIGEM</w:t>
            </w:r>
          </w:p>
        </w:tc>
      </w:tr>
    </w:tbl>
    <w:p>
      <w:pPr>
        <w:spacing w:line="276" w:lineRule="auto" w:before="80" w:after="40"/>
        <w:ind w:left="2268"/>
        <w:jc w:val="both"/>
      </w:pPr>
      <w:r>
        <w:rPr>
          <w:rFonts w:ascii="Arial Narrow" w:hAnsi="Arial Narrow"/>
          <w:b w:val="0"/>
          <w:i/>
          <w:sz w:val="20"/>
        </w:rPr>
        <w:t>Os laudos técnicos juntados Laudo de Frustração de Safra e Laudo de Capacidade de Pagamento são específicos, individualizados e elaborados por profissional habilitado, demonstrando queda drástica do preço da arroba, aumento de custos, quebra produtiva e comprometimento severo da receita. A alegação genérica do Banco não afasta os dados técnicos apresentados, o que afasta o cerceamento de defesa.</w:t>
      </w:r>
    </w:p>
    <w:p>
      <w:pPr>
        <w:spacing w:line="276" w:lineRule="auto" w:after="160"/>
        <w:jc w:val="center"/>
      </w:pPr>
      <w:r>
        <w:rPr>
          <w:rFonts w:ascii="Arial Narrow" w:hAnsi="Arial Narrow"/>
          <w:b/>
          <w:i/>
          <w:sz w:val="20"/>
        </w:rPr>
        <w:t xml:space="preserve">TJRO, Apelação Cível [nº omitido], Rel. Juiz Jorge Gurgel de Amaral, sessão eletrônica de 09 a 12/12/2025, unânime </w:t>
      </w:r>
      <w:r>
        <w:rPr>
          <w:rFonts w:ascii="Arial Narrow" w:hAnsi="Arial Narrow"/>
          <w:b/>
          <w:i/>
          <w:sz w:val="20"/>
          <w:highlight w:val="yellow"/>
        </w:rPr>
        <w:t>[[conferir câmara: não consta do texto publicado]]</w:t>
      </w:r>
    </w:p>
    <w:p>
      <w:pPr>
        <w:spacing w:line="360" w:lineRule="auto" w:after="120"/>
        <w:jc w:val="both"/>
      </w:pPr>
      <w:r>
        <w:rPr>
          <w:rFonts w:ascii="Arial Narrow" w:hAnsi="Arial Narrow"/>
          <w:b w:val="0"/>
          <w:i w:val="0"/>
          <w:sz w:val="24"/>
        </w:rPr>
        <w:t xml:space="preserve">No mesmo sentido, admitindo o laudo particular em cognição sumária "ainda que a referida prova tenha sido produzida de forma unilateral": TJPR, AI 0024107-19.2025.8.16.0000, 16ª Câmara Cível, j. 16/07/2025 </w:t>
      </w:r>
      <w:r>
        <w:rPr>
          <w:rFonts w:ascii="Arial Narrow" w:hAnsi="Arial Narrow"/>
          <w:b w:val="0"/>
          <w:i w:val="0"/>
          <w:sz w:val="24"/>
          <w:highlight w:val="yellow"/>
        </w:rPr>
        <w:t>[[conferir inteiro teor]]</w:t>
      </w:r>
      <w:r>
        <w:rPr>
          <w:rFonts w:ascii="Arial Narrow" w:hAnsi="Arial Narrow"/>
          <w:b w:val="0"/>
          <w:i w:val="0"/>
          <w:sz w:val="24"/>
        </w:rPr>
        <w:t>.</w:t>
      </w:r>
    </w:p>
    <w:p>
      <w:pPr>
        <w:spacing w:line="360" w:lineRule="auto" w:before="160" w:after="80"/>
        <w:jc w:val="left"/>
      </w:pPr>
      <w:r>
        <w:rPr>
          <w:rFonts w:ascii="Arial Narrow" w:hAnsi="Arial Narrow"/>
          <w:b/>
          <w:i w:val="0"/>
          <w:sz w:val="24"/>
        </w:rPr>
        <w:t>III.4. A análise técnica que o banco devia fazer: assistência técnica e fiscalização</w:t>
      </w:r>
    </w:p>
    <w:p>
      <w:pPr>
        <w:spacing w:line="360" w:lineRule="auto" w:after="120"/>
        <w:jc w:val="both"/>
      </w:pPr>
      <w:r>
        <w:rPr>
          <w:rFonts w:ascii="Arial Narrow" w:hAnsi="Arial Narrow"/>
          <w:b/>
          <w:i w:val="0"/>
          <w:sz w:val="24"/>
        </w:rPr>
        <w:t xml:space="preserve">9. O banco é obrigado a manter análise técnica do crédito rural. </w:t>
      </w:r>
      <w:r>
        <w:rPr>
          <w:rFonts w:ascii="Arial Narrow" w:hAnsi="Arial Narrow"/>
          <w:b w:val="0"/>
          <w:i w:val="0"/>
          <w:sz w:val="24"/>
        </w:rPr>
        <w:t>Para atuar em crédito rural, a instituição financeira deve "manter serviços de assessoramento técnico em nível de carteira, à sua conta exclusiva, visando à adequada administração do crédito rural, bem como assegurar a prestação de assistência técnica em nível de imóvel ou empresa, quando devida" (MCR 1-1-1, "c"). É também "responsável pelo monitoramento e pela fiscalização das operações de crédito rural", com "o necessário registro das verificações realizadas" (MCR 2-7-1, "a" e "d"). A fiscalização pelo financiador é exigência essencial da operação desde a lei (Lei 4.829/65, art. 10, III; Lei 8.171/91, art. 50, II).</w:t>
      </w:r>
    </w:p>
    <w:p>
      <w:pPr>
        <w:spacing w:line="360" w:lineRule="auto" w:after="120"/>
        <w:jc w:val="both"/>
      </w:pPr>
      <w:r>
        <w:rPr>
          <w:rFonts w:ascii="Arial Narrow" w:hAnsi="Arial Narrow"/>
          <w:b/>
          <w:i w:val="0"/>
          <w:sz w:val="24"/>
        </w:rPr>
        <w:t xml:space="preserve">10. A assistência técnica registra justamente os eventos que fundamentam a prorrogação. </w:t>
      </w:r>
      <w:r>
        <w:rPr>
          <w:rFonts w:ascii="Arial Narrow" w:hAnsi="Arial Narrow"/>
          <w:b w:val="0"/>
          <w:i w:val="0"/>
          <w:sz w:val="24"/>
        </w:rPr>
        <w:t xml:space="preserve">Quando há assistência técnica, o prestador "deve manter permanente acompanhamento do empreendimento, fornecendo laudos à instituição financeira, em até 15 (quinze) dias da visita", com registro, entre outros, de "eventos prejudiciais à produção" (MCR 1-3-5, "e"). No caso, a cédula prevê </w:t>
      </w:r>
      <w:r>
        <w:rPr>
          <w:rFonts w:ascii="Arial Narrow" w:hAnsi="Arial Narrow"/>
          <w:b w:val="0"/>
          <w:i w:val="0"/>
          <w:sz w:val="24"/>
          <w:highlight w:val="yellow"/>
        </w:rPr>
        <w:t>[[plano simples / projeto técnico / assistência técnica em nível de imóvel]]</w:t>
      </w:r>
      <w:r>
        <w:rPr>
          <w:rFonts w:ascii="Arial Narrow" w:hAnsi="Arial Narrow"/>
          <w:b w:val="0"/>
          <w:i w:val="0"/>
          <w:sz w:val="24"/>
        </w:rPr>
        <w:t xml:space="preserve"> a cargo de </w:t>
      </w:r>
      <w:r>
        <w:rPr>
          <w:rFonts w:ascii="Arial Narrow" w:hAnsi="Arial Narrow"/>
          <w:b w:val="0"/>
          <w:i w:val="0"/>
          <w:sz w:val="24"/>
          <w:highlight w:val="yellow"/>
        </w:rPr>
        <w:t>[[empresa]]</w:t>
      </w:r>
      <w:r>
        <w:rPr>
          <w:rFonts w:ascii="Arial Narrow" w:hAnsi="Arial Narrow"/>
          <w:b w:val="0"/>
          <w:i w:val="0"/>
          <w:sz w:val="24"/>
        </w:rPr>
        <w:t xml:space="preserve"> (Prova 04).</w:t>
      </w:r>
    </w:p>
    <w:p>
      <w:pPr>
        <w:spacing w:line="360" w:lineRule="auto" w:after="120"/>
        <w:jc w:val="both"/>
      </w:pPr>
      <w:r>
        <w:rPr>
          <w:rFonts w:ascii="Arial Narrow" w:hAnsi="Arial Narrow"/>
          <w:b/>
          <w:i w:val="0"/>
          <w:sz w:val="24"/>
        </w:rPr>
        <w:t xml:space="preserve">11. A negativa sem análise técnica não é decisão fundamentada. </w:t>
      </w:r>
      <w:r>
        <w:rPr>
          <w:rFonts w:ascii="Arial Narrow" w:hAnsi="Arial Narrow"/>
          <w:b w:val="0"/>
          <w:i w:val="0"/>
          <w:sz w:val="24"/>
        </w:rPr>
        <w:t xml:space="preserve">O MCR condiciona a negativa à demonstração, pela instituição, de que a prorrogação é desnecessária ou de que falta capacidade de pagamento. Essa demonstração é técnica e depende dos registros de acompanhamento e fiscalização que o banco é obrigado a manter. Se </w:t>
      </w:r>
      <w:r>
        <w:rPr>
          <w:rFonts w:ascii="Arial Narrow" w:hAnsi="Arial Narrow"/>
          <w:b w:val="0"/>
          <w:i w:val="0"/>
          <w:sz w:val="24"/>
          <w:highlight w:val="yellow"/>
        </w:rPr>
        <w:t>[[o réu não respondeu / negou por manifestação de gerente ou setor administrativo, sem parecer técnico]]</w:t>
      </w:r>
      <w:r>
        <w:rPr>
          <w:rFonts w:ascii="Arial Narrow" w:hAnsi="Arial Narrow"/>
          <w:b w:val="0"/>
          <w:i w:val="0"/>
          <w:sz w:val="24"/>
        </w:rPr>
        <w:t>, não houve a análise que a norma exige. Ou os registros existem, e devem vir aos autos; ou não existem, e o banco descumpriu o dever de fiscalização e não tem base técnica para contrariar o laudo do autor.</w:t>
      </w:r>
    </w:p>
    <w:p>
      <w:pPr>
        <w:spacing w:line="360" w:lineRule="auto" w:after="120"/>
        <w:jc w:val="both"/>
      </w:pPr>
      <w:r>
        <w:rPr>
          <w:rFonts w:ascii="Arial Narrow" w:hAnsi="Arial Narrow"/>
          <w:b w:val="0"/>
          <w:i w:val="0"/>
          <w:sz w:val="24"/>
        </w:rPr>
        <w:t>Daí o requerimento, que se formula de forma específica (tópico V e pedido "f"): que o réu exiba o parecer ou a análise técnica que embasou a resposta ao pedido de prorrogação, os laudos de assistência técnica e os registros de fiscalização da operação, ou declare expressamente, no mesmo prazo, que tais documentos não existem.</w:t>
      </w:r>
    </w:p>
    <w:p>
      <w:pPr>
        <w:spacing w:line="276" w:lineRule="auto" w:after="120"/>
        <w:jc w:val="both"/>
      </w:pPr>
      <w:r>
        <w:rPr>
          <w:rFonts w:ascii="Arial Narrow" w:hAnsi="Arial Narrow"/>
          <w:sz w:val="20"/>
          <w:highlight w:val="yellow"/>
        </w:rPr>
        <w:t>[PENDENTE] Ajustar ao que a cédula diz sobre assistência técnica. Plano simples: pedir o plano e o Orçamento de Aplicação da proposta de crédito. Projeto técnico: pedir o projeto e os laudos do MCR 1-3-5. Assistência em nível de imóvel: pedir os laudos de visita. Sem assistência: manter só a fiscalização (MCR 2-7-1) e o assessoramento de carteira (MCR 1-1-1, "c"). Não afirmar falha de assistência técnica como causa autônoma: essa é outra ação.</w:t>
      </w:r>
    </w:p>
    <w:p>
      <w:pPr>
        <w:spacing w:line="360" w:lineRule="auto" w:before="160" w:after="80"/>
        <w:jc w:val="left"/>
      </w:pPr>
      <w:r>
        <w:rPr>
          <w:rFonts w:ascii="Arial Narrow" w:hAnsi="Arial Narrow"/>
          <w:b/>
          <w:i w:val="0"/>
          <w:sz w:val="24"/>
        </w:rPr>
        <w:t>III.5. A mora</w:t>
      </w:r>
    </w:p>
    <w:p>
      <w:pPr>
        <w:spacing w:line="360" w:lineRule="auto" w:after="120"/>
        <w:jc w:val="both"/>
      </w:pPr>
      <w:r>
        <w:rPr>
          <w:rFonts w:ascii="Arial Narrow" w:hAnsi="Arial Narrow"/>
          <w:b w:val="0"/>
          <w:i w:val="0"/>
          <w:sz w:val="24"/>
        </w:rPr>
        <w:t xml:space="preserve">"Não havendo fato ou omissão imputável ao devedor, não incorre este em mora" (art. 396 do Código Civil). O atraso decorre de </w:t>
      </w:r>
      <w:r>
        <w:rPr>
          <w:rFonts w:ascii="Arial Narrow" w:hAnsi="Arial Narrow"/>
          <w:b w:val="0"/>
          <w:i w:val="0"/>
          <w:sz w:val="24"/>
          <w:highlight w:val="yellow"/>
        </w:rPr>
        <w:t>[[evento adverso]]</w:t>
      </w:r>
      <w:r>
        <w:rPr>
          <w:rFonts w:ascii="Arial Narrow" w:hAnsi="Arial Narrow"/>
          <w:b w:val="0"/>
          <w:i w:val="0"/>
          <w:sz w:val="24"/>
        </w:rPr>
        <w:t xml:space="preserve">, hipótese que a norma do crédito rural considera causa de prorrogação, e não de conduta do autor, que </w:t>
      </w:r>
      <w:r>
        <w:rPr>
          <w:rFonts w:ascii="Arial Narrow" w:hAnsi="Arial Narrow"/>
          <w:b w:val="0"/>
          <w:i w:val="0"/>
          <w:sz w:val="24"/>
          <w:highlight w:val="yellow"/>
        </w:rPr>
        <w:t>[[pediu a prorrogação em (…) / buscou o banco em (…)]]</w:t>
      </w:r>
      <w:r>
        <w:rPr>
          <w:rFonts w:ascii="Arial Narrow" w:hAnsi="Arial Narrow"/>
          <w:b w:val="0"/>
          <w:i w:val="0"/>
          <w:sz w:val="24"/>
        </w:rPr>
        <w:t>. Reconhecido o direito à prorrogação, as parcelas não eram exigíveis nos vencimentos originais, e não há mora a sustentar encargos moratórios, negativação ou constrição.</w:t>
      </w:r>
    </w:p>
    <w:p>
      <w:pPr>
        <w:spacing w:after="8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6b26b"/>
          </w:tcPr>
          <w:p>
            <w:pPr>
              <w:spacing w:before="40" w:after="40" w:line="276" w:lineRule="auto"/>
              <w:jc w:val="left"/>
            </w:pPr>
            <w:r>
              <w:rPr>
                <w:rFonts w:ascii="Arial Narrow" w:hAnsi="Arial Narrow"/>
                <w:b/>
                <w:i w:val="0"/>
                <w:sz w:val="24"/>
              </w:rPr>
              <w:t>IV. DA TUTELA DE URGÊNCIA DE NATUREZA CAUTELAR</w:t>
            </w:r>
          </w:p>
        </w:tc>
      </w:tr>
    </w:tbl>
    <w:p>
      <w:pPr>
        <w:spacing w:after="80" w:before="0" w:line="240" w:lineRule="auto"/>
      </w:pPr>
      <w:r>
        <w:rPr>
          <w:rFonts w:ascii="Arial Narrow" w:hAnsi="Arial Narrow"/>
          <w:sz w:val="2"/>
        </w:rPr>
      </w:r>
    </w:p>
    <w:p>
      <w:pPr>
        <w:spacing w:line="360" w:lineRule="auto" w:after="120"/>
        <w:jc w:val="both"/>
      </w:pPr>
      <w:r>
        <w:rPr>
          <w:rFonts w:ascii="Arial Narrow" w:hAnsi="Arial Narrow"/>
          <w:b w:val="0"/>
          <w:i w:val="0"/>
          <w:sz w:val="24"/>
        </w:rPr>
        <w:t>A tutela de urgência será concedida quando houver elementos que evidenciem a probabilidade do direito e o perigo de dano ou o risco ao resultado útil do processo (art. 300 do CPC), e a de natureza cautelar pode ser efetivada por "qualquer outra medida idônea para asseguração do direito" (art. 301 do CPC). O que se pede agora não é a prorrogação, e sim a preservação das condições para que ela seja útil ao final.</w:t>
      </w:r>
    </w:p>
    <w:p>
      <w:pPr>
        <w:spacing w:line="360" w:lineRule="auto" w:after="120"/>
        <w:jc w:val="both"/>
      </w:pPr>
      <w:r>
        <w:rPr>
          <w:rFonts w:ascii="Arial Narrow" w:hAnsi="Arial Narrow"/>
          <w:b/>
          <w:i w:val="0"/>
          <w:sz w:val="24"/>
        </w:rPr>
        <w:t xml:space="preserve">12. Probabilidade do direito. </w:t>
      </w:r>
      <w:r>
        <w:rPr>
          <w:rFonts w:ascii="Arial Narrow" w:hAnsi="Arial Narrow"/>
          <w:b w:val="0"/>
          <w:i w:val="0"/>
          <w:sz w:val="24"/>
        </w:rPr>
        <w:t>Está documentada: laudos (Provas 10 a 15), decreto e medição oficial (Provas 06 e 07), pedido escrito recebido pelo banco (Provas 16 e 17) e o quadro do tópico III.3, que confronta cada requisito do MCR 2-6-4 com a prova. O direito invocado tem enunciado de súmula do STJ (Súmula 298). A tutela de urgência exige probabilidade, não certeza: remeter o pedido à instrução porque a prova "depende de contraditório" é exigir, na liminar, a cognição exauriente que só a sentença faz.</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ce4d6"/>
          </w:tcPr>
          <w:p>
            <w:pPr>
              <w:spacing w:before="40" w:after="40" w:line="276" w:lineRule="auto"/>
              <w:jc w:val="center"/>
            </w:pPr>
            <w:r>
              <w:rPr>
                <w:rFonts w:ascii="Arial Narrow" w:hAnsi="Arial Narrow"/>
                <w:b/>
                <w:i w:val="0"/>
                <w:color w:val="C55A11"/>
                <w:sz w:val="18"/>
              </w:rPr>
              <w:t>OUTRO TRIBUNAL · JURISPRUDÊNCIA PERSUASIVA</w:t>
            </w:r>
          </w:p>
        </w:tc>
      </w:tr>
    </w:tbl>
    <w:p>
      <w:pPr>
        <w:spacing w:line="276" w:lineRule="auto" w:before="80" w:after="40"/>
        <w:ind w:left="2268"/>
        <w:jc w:val="both"/>
      </w:pPr>
      <w:r>
        <w:rPr>
          <w:rFonts w:ascii="Arial Narrow" w:hAnsi="Arial Narrow"/>
          <w:b w:val="0"/>
          <w:i/>
          <w:sz w:val="20"/>
        </w:rPr>
        <w:t>1. Incorre em erro de premissa a decisão que, para deferir tutela de urgência, exige demonstração robusta e aprofundamento probatório típicos de cognição exauriente, quando o art. 300 do CPC reclama apenas probabilidade do direito e perigo de dano, não certeza. 2. Laudo pericial, declarações fiscais e requerimento administrativo previamente formulado e negado constituem conjunto suficiente para a cognição sumária.</w:t>
      </w:r>
    </w:p>
    <w:p>
      <w:pPr>
        <w:spacing w:line="276" w:lineRule="auto" w:after="160"/>
        <w:jc w:val="center"/>
      </w:pPr>
      <w:r>
        <w:rPr>
          <w:rFonts w:ascii="Arial Narrow" w:hAnsi="Arial Narrow"/>
          <w:b/>
          <w:i/>
          <w:sz w:val="20"/>
        </w:rPr>
        <w:t xml:space="preserve">TJDFT, AI 0724412-74.2026.8.07.0000, Rel. Des. Rômulo de Araújo Mendes, Turma Cível, j. 09/06/2026 </w:t>
      </w:r>
      <w:r>
        <w:rPr>
          <w:rFonts w:ascii="Arial Narrow" w:hAnsi="Arial Narrow"/>
          <w:b/>
          <w:i/>
          <w:sz w:val="20"/>
          <w:highlight w:val="yellow"/>
        </w:rPr>
        <w:t>[[conferir inteiro teor e data de publicação antes do protocolo]]</w:t>
      </w:r>
    </w:p>
    <w:p>
      <w:pPr>
        <w:spacing w:line="360" w:lineRule="auto" w:after="120"/>
        <w:jc w:val="both"/>
      </w:pPr>
      <w:r>
        <w:rPr>
          <w:rFonts w:ascii="Arial Narrow" w:hAnsi="Arial Narrow"/>
          <w:b/>
          <w:i w:val="0"/>
          <w:sz w:val="24"/>
        </w:rPr>
        <w:t xml:space="preserve">13. Perigo de dano concreto e individualizado. </w:t>
      </w:r>
      <w:r>
        <w:rPr>
          <w:rFonts w:ascii="Arial Narrow" w:hAnsi="Arial Narrow"/>
          <w:b w:val="0"/>
          <w:i w:val="0"/>
          <w:sz w:val="24"/>
        </w:rPr>
        <w:t xml:space="preserve">O autor explora </w:t>
      </w:r>
      <w:r>
        <w:rPr>
          <w:rFonts w:ascii="Arial Narrow" w:hAnsi="Arial Narrow"/>
          <w:b w:val="0"/>
          <w:i w:val="0"/>
          <w:sz w:val="24"/>
          <w:highlight w:val="yellow"/>
        </w:rPr>
        <w:t>[[atividade]]</w:t>
      </w:r>
      <w:r>
        <w:rPr>
          <w:rFonts w:ascii="Arial Narrow" w:hAnsi="Arial Narrow"/>
          <w:b w:val="0"/>
          <w:i w:val="0"/>
          <w:sz w:val="24"/>
        </w:rPr>
        <w:t xml:space="preserve"> e depende de crédito a cada ciclo para </w:t>
      </w:r>
      <w:r>
        <w:rPr>
          <w:rFonts w:ascii="Arial Narrow" w:hAnsi="Arial Narrow"/>
          <w:b w:val="0"/>
          <w:i w:val="0"/>
          <w:sz w:val="24"/>
          <w:highlight w:val="yellow"/>
        </w:rPr>
        <w:t>[[insumos do ciclo: sal mineral, vacinas, ração / sementes, fertilizantes]]</w:t>
      </w:r>
      <w:r>
        <w:rPr>
          <w:rFonts w:ascii="Arial Narrow" w:hAnsi="Arial Narrow"/>
          <w:b w:val="0"/>
          <w:i w:val="0"/>
          <w:sz w:val="24"/>
        </w:rPr>
        <w:t xml:space="preserve"> na janela de </w:t>
      </w:r>
      <w:r>
        <w:rPr>
          <w:rFonts w:ascii="Arial Narrow" w:hAnsi="Arial Narrow"/>
          <w:b w:val="0"/>
          <w:i w:val="0"/>
          <w:sz w:val="24"/>
          <w:highlight w:val="yellow"/>
        </w:rPr>
        <w:t>[[período]]</w:t>
      </w:r>
      <w:r>
        <w:rPr>
          <w:rFonts w:ascii="Arial Narrow" w:hAnsi="Arial Narrow"/>
          <w:b w:val="0"/>
          <w:i w:val="0"/>
          <w:sz w:val="24"/>
        </w:rPr>
        <w:t xml:space="preserve">, que não se repete dentro do mesmo ciclo. A negativação, inclusive no Sistema de Informações de Crédito do Banco Central (SCR), fecha esse crédito; sem ele, </w:t>
      </w:r>
      <w:r>
        <w:rPr>
          <w:rFonts w:ascii="Arial Narrow" w:hAnsi="Arial Narrow"/>
          <w:b w:val="0"/>
          <w:i w:val="0"/>
          <w:sz w:val="24"/>
          <w:highlight w:val="yellow"/>
        </w:rPr>
        <w:t>[[consequência física: perda de peso e venda antecipada do rebanho / perda da safra]]</w:t>
      </w:r>
      <w:r>
        <w:rPr>
          <w:rFonts w:ascii="Arial Narrow" w:hAnsi="Arial Narrow"/>
          <w:b w:val="0"/>
          <w:i w:val="0"/>
          <w:sz w:val="24"/>
        </w:rPr>
        <w:t xml:space="preserve">, exatamente no período em que a receita seria necessária para pagar. </w:t>
      </w:r>
      <w:r>
        <w:rPr>
          <w:rFonts w:ascii="Arial Narrow" w:hAnsi="Arial Narrow"/>
          <w:b w:val="0"/>
          <w:i w:val="0"/>
          <w:sz w:val="24"/>
          <w:highlight w:val="yellow"/>
        </w:rPr>
        <w:t>[[Há ainda a ameaça concreta de (…): execução nº (…), leilão marcado para (…), consolidação da propriedade]]</w:t>
      </w:r>
      <w:r>
        <w:rPr>
          <w:rFonts w:ascii="Arial Narrow" w:hAnsi="Arial Narrow"/>
          <w:b w:val="0"/>
          <w:i w:val="0"/>
          <w:sz w:val="24"/>
        </w:rPr>
        <w:t xml:space="preserve">. As garantias da operação são </w:t>
      </w:r>
      <w:r>
        <w:rPr>
          <w:rFonts w:ascii="Arial Narrow" w:hAnsi="Arial Narrow"/>
          <w:b w:val="0"/>
          <w:i w:val="0"/>
          <w:sz w:val="24"/>
          <w:highlight w:val="yellow"/>
        </w:rPr>
        <w:t>[[penhor de (…) e hipoteca de (…)]]</w:t>
      </w:r>
      <w:r>
        <w:rPr>
          <w:rFonts w:ascii="Arial Narrow" w:hAnsi="Arial Narrow"/>
          <w:b w:val="0"/>
          <w:i w:val="0"/>
          <w:sz w:val="24"/>
        </w:rPr>
        <w:t>, que não são reserva patrimonial: são o próprio instrumento da produção.</w:t>
      </w:r>
    </w:p>
    <w:p>
      <w:pPr>
        <w:spacing w:line="276" w:lineRule="auto" w:after="120"/>
        <w:jc w:val="both"/>
      </w:pPr>
      <w:r>
        <w:rPr>
          <w:rFonts w:ascii="Arial Narrow" w:hAnsi="Arial Narrow"/>
          <w:sz w:val="20"/>
          <w:highlight w:val="yellow"/>
        </w:rPr>
        <w:t>[PENDENTE] Tutela genérica é indeferida (checklist da GJ, Bloco 5). Substituir TODOS os campos por fatos deste cliente: qual atividade, qual insumo, qual janela, qual consequência física, quais bens, qual ameaça datada.</w:t>
      </w:r>
    </w:p>
    <w:p>
      <w:pPr>
        <w:spacing w:line="360" w:lineRule="auto" w:after="120"/>
        <w:jc w:val="both"/>
      </w:pPr>
      <w:r>
        <w:rPr>
          <w:rFonts w:ascii="Arial Narrow" w:hAnsi="Arial Narrow"/>
          <w:b/>
          <w:i w:val="0"/>
          <w:sz w:val="24"/>
        </w:rPr>
        <w:t xml:space="preserve">14. Reversibilidade. </w:t>
      </w:r>
      <w:r>
        <w:rPr>
          <w:rFonts w:ascii="Arial Narrow" w:hAnsi="Arial Narrow"/>
          <w:b w:val="0"/>
          <w:i w:val="0"/>
          <w:sz w:val="24"/>
        </w:rPr>
        <w:t xml:space="preserve">A medida apenas suspende a exigibilidade e os efeitos da mora enquanto se discute o direito; as garantias permanecem íntegras e, se o pedido for julgado improcedente, o réu retoma a cobrança. Irreversível é o dano do outro lado: </w:t>
      </w:r>
      <w:r>
        <w:rPr>
          <w:rFonts w:ascii="Arial Narrow" w:hAnsi="Arial Narrow"/>
          <w:b w:val="0"/>
          <w:i w:val="0"/>
          <w:sz w:val="24"/>
          <w:highlight w:val="yellow"/>
        </w:rPr>
        <w:t>[[rebanho vendido, safra perdida, imóvel arrematado]]</w:t>
      </w:r>
      <w:r>
        <w:rPr>
          <w:rFonts w:ascii="Arial Narrow" w:hAnsi="Arial Narrow"/>
          <w:b w:val="0"/>
          <w:i w:val="0"/>
          <w:sz w:val="24"/>
        </w:rPr>
        <w:t>.</w:t>
      </w:r>
    </w:p>
    <w:p>
      <w:pPr>
        <w:spacing w:line="360" w:lineRule="auto" w:after="120"/>
        <w:jc w:val="both"/>
      </w:pPr>
      <w:r>
        <w:rPr>
          <w:rFonts w:ascii="Arial Narrow" w:hAnsi="Arial Narrow"/>
          <w:b/>
          <w:i w:val="0"/>
          <w:sz w:val="24"/>
        </w:rPr>
        <w:t xml:space="preserve">15. Caução. </w:t>
      </w:r>
      <w:r>
        <w:rPr>
          <w:rFonts w:ascii="Arial Narrow" w:hAnsi="Arial Narrow"/>
          <w:b w:val="0"/>
          <w:i w:val="0"/>
          <w:sz w:val="24"/>
        </w:rPr>
        <w:t xml:space="preserve">O juiz pode dispensar a caução "se a parte economicamente hipossuficiente não puder oferecê-la" (art. 300, § 1º, do CPC). É o caso do autor, cuja incapacidade temporária de pagamento é o próprio objeto da ação. De todo modo, o crédito do réu continua garantido por </w:t>
      </w:r>
      <w:r>
        <w:rPr>
          <w:rFonts w:ascii="Arial Narrow" w:hAnsi="Arial Narrow"/>
          <w:b w:val="0"/>
          <w:i w:val="0"/>
          <w:sz w:val="24"/>
          <w:highlight w:val="yellow"/>
        </w:rPr>
        <w:t>[[penhor e hipoteca cedulares]]</w:t>
      </w:r>
      <w:r>
        <w:rPr>
          <w:rFonts w:ascii="Arial Narrow" w:hAnsi="Arial Narrow"/>
          <w:b w:val="0"/>
          <w:i w:val="0"/>
          <w:sz w:val="24"/>
        </w:rPr>
        <w:t>, que a medida não atinge.</w:t>
      </w:r>
    </w:p>
    <w:p>
      <w:pPr>
        <w:spacing w:line="360" w:lineRule="auto" w:after="120"/>
        <w:jc w:val="both"/>
      </w:pPr>
      <w:r>
        <w:rPr>
          <w:rFonts w:ascii="Arial Narrow" w:hAnsi="Arial Narrow"/>
          <w:b/>
          <w:i w:val="0"/>
          <w:sz w:val="24"/>
        </w:rPr>
        <w:t xml:space="preserve">16. Justificação prévia, se houver dúvida. </w:t>
      </w:r>
      <w:r>
        <w:rPr>
          <w:rFonts w:ascii="Arial Narrow" w:hAnsi="Arial Narrow"/>
          <w:b w:val="0"/>
          <w:i w:val="0"/>
          <w:sz w:val="24"/>
        </w:rPr>
        <w:t>A tutela de urgência pode ser concedida liminarmente ou após justificação prévia (art. 300, § 2º, do CPC). Se Vossa Excelência não tiver elementos suficientes para decidir de plano, requer-se que designe a audiência de justificação antes de decidir, com a oitiva do responsável técnico pelo laudo e do preposto do réu.</w:t>
      </w:r>
    </w:p>
    <w:p>
      <w:pPr>
        <w:spacing w:line="360" w:lineRule="auto" w:after="120"/>
        <w:jc w:val="both"/>
      </w:pPr>
      <w:r>
        <w:rPr>
          <w:rFonts w:ascii="Arial Narrow" w:hAnsi="Arial Narrow"/>
          <w:b/>
          <w:i w:val="0"/>
          <w:sz w:val="24"/>
        </w:rPr>
        <w:t xml:space="preserve">17. Cobrança judicial conexa. </w:t>
      </w:r>
      <w:r>
        <w:rPr>
          <w:rFonts w:ascii="Arial Narrow" w:hAnsi="Arial Narrow"/>
          <w:b w:val="0"/>
          <w:i w:val="0"/>
          <w:sz w:val="24"/>
          <w:highlight w:val="yellow"/>
        </w:rPr>
        <w:t>[[Se houver execução ou monitória sobre as mesmas operações: a sentença daquela ação depende da declaração sobre a exigibilidade que é objeto desta, o que impõe a suspensão (art. 313, V, "a", do CPC), pelo prazo máximo de um ano (art. 313, § 4º). Se não houver, apagar este item.]]</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ce4d6"/>
          </w:tcPr>
          <w:p>
            <w:pPr>
              <w:spacing w:before="40" w:after="40" w:line="276" w:lineRule="auto"/>
              <w:jc w:val="center"/>
            </w:pPr>
            <w:r>
              <w:rPr>
                <w:rFonts w:ascii="Arial Narrow" w:hAnsi="Arial Narrow"/>
                <w:b/>
                <w:i w:val="0"/>
                <w:color w:val="C55A11"/>
                <w:sz w:val="18"/>
              </w:rPr>
              <w:t>TJRO · TRIBUNAL DE ORIGEM</w:t>
            </w:r>
          </w:p>
        </w:tc>
      </w:tr>
    </w:tbl>
    <w:p>
      <w:pPr>
        <w:spacing w:line="276" w:lineRule="auto" w:before="80" w:after="40"/>
        <w:ind w:left="2268"/>
        <w:jc w:val="both"/>
      </w:pPr>
      <w:r>
        <w:rPr>
          <w:rFonts w:ascii="Arial Narrow" w:hAnsi="Arial Narrow"/>
          <w:b w:val="0"/>
          <w:i/>
          <w:sz w:val="20"/>
        </w:rPr>
        <w:t>A documentação anexada ao recurso, notadamente o laudo técnico, indica frustração relevante da atividade pecuária por fatores externos e imprevisíveis, especialmente a desvalorização expressiva do preço da arroba bovina, o que compromete a capacidade financeira do agravante. A Súmula 298 do STJ reconhece o direito ao alongamento da dívida rural quando presentes os requisitos legais, sendo indevida a negativa unilateral da instituição financeira. Embora a verificação definitiva do direito postulado dependa de instrução probatória, a análise em sede de cognição sumária permite concluir pela existência de probabilidade do direito e de risco de dano irreparável (...).</w:t>
      </w:r>
    </w:p>
    <w:p>
      <w:pPr>
        <w:spacing w:line="276" w:lineRule="auto" w:after="160"/>
        <w:jc w:val="center"/>
      </w:pPr>
      <w:r>
        <w:rPr>
          <w:rFonts w:ascii="Arial Narrow" w:hAnsi="Arial Narrow"/>
          <w:b/>
          <w:i/>
          <w:sz w:val="20"/>
        </w:rPr>
        <w:t xml:space="preserve">TJRO, Agravo de Instrumento [nº omitido], Rel. Des. Isaias Fonseca Moraes, j. 10/10/2025, recurso parcialmente provido </w:t>
      </w:r>
      <w:r>
        <w:rPr>
          <w:rFonts w:ascii="Arial Narrow" w:hAnsi="Arial Narrow"/>
          <w:b/>
          <w:i/>
          <w:sz w:val="20"/>
          <w:highlight w:val="yellow"/>
        </w:rPr>
        <w:t>[[conferir câmara: 2ª no acórdão, 3ª na autuação do PJe]]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2e5d9c"/>
          <w:left w:val="single" w:sz="4" w:color="2e5d9c"/>
          <w:bottom w:val="single" w:sz="4" w:color="2e5d9c"/>
          <w:right w:val="single" w:sz="4" w:color="2e5d9c"/>
          <w:insideH w:val="single" w:sz="4" w:color="2e5d9c"/>
          <w:insideV w:val="single" w:sz="4" w:color="2e5d9c"/>
        </w:tblBorders>
      </w:tblPr>
      <w:tblGrid>
        <w:gridCol w:w="9083"/>
      </w:tblGrid>
      <w:tr>
        <w:tc>
          <w:tcPr>
            <w:tcW w:type="dxa" w:w="9083"/>
            <w:shd w:val="clear" w:color="auto" w:fill="dce6f1"/>
          </w:tcPr>
          <w:p>
            <w:pPr>
              <w:spacing w:before="40" w:after="40" w:line="276" w:lineRule="auto"/>
              <w:jc w:val="center"/>
            </w:pPr>
            <w:r>
              <w:rPr>
                <w:rFonts w:ascii="Arial Narrow" w:hAnsi="Arial Narrow"/>
                <w:b/>
                <w:i w:val="0"/>
                <w:color w:val="2E5D9C"/>
                <w:sz w:val="18"/>
              </w:rPr>
              <w:t>SUPERIOR TRIBUNAL DE JUSTIÇA</w:t>
            </w:r>
          </w:p>
        </w:tc>
      </w:tr>
    </w:tbl>
    <w:p>
      <w:pPr>
        <w:spacing w:line="276" w:lineRule="auto" w:before="80" w:after="40"/>
        <w:ind w:left="2268"/>
        <w:jc w:val="both"/>
      </w:pPr>
      <w:r>
        <w:rPr>
          <w:rFonts w:ascii="Arial Narrow" w:hAnsi="Arial Narrow"/>
          <w:b w:val="0"/>
          <w:i/>
          <w:sz w:val="20"/>
        </w:rPr>
        <w:t>1.- Suspensa a exigibilidade do crédito por norma legal que faculta o alongamento da dívida rural, não subsiste a mora. 2. Por conseguinte, ausente a mora do devedor, inviável a inscrição ou a manutenção de seu nome nos cadastros de inadimplentes.</w:t>
      </w:r>
    </w:p>
    <w:p>
      <w:pPr>
        <w:spacing w:line="276" w:lineRule="auto" w:after="160"/>
        <w:jc w:val="center"/>
      </w:pPr>
      <w:r>
        <w:rPr>
          <w:rFonts w:ascii="Arial Narrow" w:hAnsi="Arial Narrow"/>
          <w:b/>
          <w:i/>
          <w:sz w:val="20"/>
        </w:rPr>
        <w:t xml:space="preserve">STJ, AgInt no REsp 1.590.413/SE, Rel. Min.ª Maria Isabel Gallotti, 4ª Turma, j. 14/02/2017, DJe 21/02/2017 </w:t>
      </w:r>
      <w:r>
        <w:rPr>
          <w:rFonts w:ascii="Arial Narrow" w:hAnsi="Arial Narrow"/>
          <w:b/>
          <w:i/>
          <w:sz w:val="20"/>
          <w:highlight w:val="yellow"/>
        </w:rPr>
        <w:t>[[conferir inteiro teor e data de publicação antes do protocolo]]</w:t>
      </w:r>
    </w:p>
    <w:p>
      <w:pPr>
        <w:spacing w:line="360" w:lineRule="auto" w:after="120"/>
        <w:jc w:val="both"/>
      </w:pPr>
      <w:r>
        <w:rPr>
          <w:rFonts w:ascii="Arial Narrow" w:hAnsi="Arial Narrow"/>
          <w:b w:val="0"/>
          <w:i w:val="0"/>
          <w:sz w:val="24"/>
        </w:rPr>
        <w:t xml:space="preserve">No mesmo sentido: "encontrando-se pendente de julgamento o litígio instaurado entre as partes acerca do alongamento do débito, não se justifica o registro do nome do devedor no CADIN ou qualquer outro órgão cadastral de proteção ao crédito" (STJ, AgRg no REsp 1.228.968/PI, Rel. Min. Sidnei Beneti, 3ª Turma, DJe 17/06/2013) </w:t>
      </w:r>
      <w:r>
        <w:rPr>
          <w:rFonts w:ascii="Arial Narrow" w:hAnsi="Arial Narrow"/>
          <w:b w:val="0"/>
          <w:i w:val="0"/>
          <w:sz w:val="24"/>
          <w:highlight w:val="yellow"/>
        </w:rPr>
        <w:t>[[conferir inteiro teor]]</w:t>
      </w:r>
      <w:r>
        <w:rPr>
          <w:rFonts w:ascii="Arial Narrow" w:hAnsi="Arial Narrow"/>
          <w:b w:val="0"/>
          <w:i w:val="0"/>
          <w:sz w:val="24"/>
        </w:rPr>
        <w:t>.</w:t>
      </w:r>
    </w:p>
    <w:p>
      <w:pPr>
        <w:spacing w:line="276" w:lineRule="auto" w:after="120"/>
        <w:jc w:val="both"/>
      </w:pPr>
      <w:r>
        <w:rPr>
          <w:rFonts w:ascii="Arial Narrow" w:hAnsi="Arial Narrow"/>
          <w:sz w:val="20"/>
          <w:highlight w:val="yellow"/>
        </w:rPr>
        <w:t>[PENDENTE] Há decisão (TJMT, AI 1010134-81.2026.8.11.0000) que limita a liminar de prorrogação a 180 dias, prorrogáveis. Se o juízo seguir essa linha, pedir expressamente a prorrogação da medida antes do termo final, com a demonstração de que a causa persiste.</w:t>
      </w:r>
    </w:p>
    <w:p>
      <w:pPr>
        <w:spacing w:line="360" w:lineRule="auto" w:before="160" w:after="80"/>
        <w:jc w:val="left"/>
      </w:pPr>
      <w:r>
        <w:rPr>
          <w:rFonts w:ascii="Arial Narrow" w:hAnsi="Arial Narrow"/>
          <w:b/>
          <w:i w:val="0"/>
          <w:sz w:val="24"/>
        </w:rPr>
        <w:t>IV.1. Variante: tutela antecipada, só quando a evidência for plena</w:t>
      </w:r>
    </w:p>
    <w:p>
      <w:pPr>
        <w:spacing w:line="276" w:lineRule="auto" w:after="120"/>
        <w:jc w:val="both"/>
      </w:pPr>
      <w:r>
        <w:rPr>
          <w:rFonts w:ascii="Arial Narrow" w:hAnsi="Arial Narrow"/>
          <w:sz w:val="20"/>
          <w:highlight w:val="yellow"/>
        </w:rPr>
        <w:t>[PENDENTE] REGRA DO MODELO: a tutela CAUTELAR é a principal, porque o produtor precisa continuar produzindo e ela pede só os meios (suspender exigibilidade, mora, negativação e constrição), sem antecipar o mérito. Use a variante abaixo SOMENTE quando probabilidade do direito E perigo de dano estiverem evidentes nos documentos (pedido datado antes do vencimento, laudo com ART, decreto oficial, silêncio ou negativa sem análise técnica, ameaça datada). Nesse caso, mantenha a cautelar e acrescente este pedido; caso contrário, apague este subtópico.</w:t>
      </w:r>
    </w:p>
    <w:p>
      <w:pPr>
        <w:spacing w:line="360" w:lineRule="auto" w:after="120"/>
        <w:jc w:val="both"/>
      </w:pPr>
      <w:r>
        <w:rPr>
          <w:rFonts w:ascii="Arial Narrow" w:hAnsi="Arial Narrow"/>
          <w:b/>
          <w:i w:val="0"/>
          <w:sz w:val="24"/>
        </w:rPr>
        <w:t xml:space="preserve">18. Antecipação dos efeitos da prorrogação. </w:t>
      </w:r>
      <w:r>
        <w:rPr>
          <w:rFonts w:ascii="Arial Narrow" w:hAnsi="Arial Narrow"/>
          <w:b w:val="0"/>
          <w:i w:val="0"/>
          <w:sz w:val="24"/>
        </w:rPr>
        <w:t xml:space="preserve">Presentes, de forma evidente, a probabilidade do direito e o perigo de dano, requer-se ainda a antecipação dos efeitos da tutela final, para que as parcelas das operações </w:t>
      </w:r>
      <w:r>
        <w:rPr>
          <w:rFonts w:ascii="Arial Narrow" w:hAnsi="Arial Narrow"/>
          <w:b w:val="0"/>
          <w:i w:val="0"/>
          <w:sz w:val="24"/>
          <w:highlight w:val="yellow"/>
        </w:rPr>
        <w:t>[[nº]]</w:t>
      </w:r>
      <w:r>
        <w:rPr>
          <w:rFonts w:ascii="Arial Narrow" w:hAnsi="Arial Narrow"/>
          <w:b w:val="0"/>
          <w:i w:val="0"/>
          <w:sz w:val="24"/>
        </w:rPr>
        <w:t xml:space="preserve"> passem a vencer, provisoriamente, no cronograma do laudo de capacidade de pagamento, até o julgamento. A medida não é irreversível (art. 300, § 3º, do CPC): apenas desloca vencimentos, mantidos os encargos e as garantias, e, revogada, restabelece-se o cronograma original.</w:t>
      </w:r>
    </w:p>
    <w:p>
      <w:pPr>
        <w:spacing w:after="8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6b26b"/>
          </w:tcPr>
          <w:p>
            <w:pPr>
              <w:spacing w:before="40" w:after="40" w:line="276" w:lineRule="auto"/>
              <w:jc w:val="left"/>
            </w:pPr>
            <w:r>
              <w:rPr>
                <w:rFonts w:ascii="Arial Narrow" w:hAnsi="Arial Narrow"/>
                <w:b/>
                <w:i w:val="0"/>
                <w:sz w:val="24"/>
              </w:rPr>
              <w:t>V. DA DISTRIBUIÇÃO DO ÔNUS DA PROVA E DA EXIBIÇÃO DE DOCUMENTOS</w:t>
            </w:r>
          </w:p>
        </w:tc>
      </w:tr>
    </w:tbl>
    <w:p>
      <w:pPr>
        <w:spacing w:after="80" w:before="0" w:line="240" w:lineRule="auto"/>
      </w:pPr>
      <w:r>
        <w:rPr>
          <w:rFonts w:ascii="Arial Narrow" w:hAnsi="Arial Narrow"/>
          <w:sz w:val="2"/>
        </w:rPr>
      </w:r>
    </w:p>
    <w:p>
      <w:pPr>
        <w:spacing w:line="360" w:lineRule="auto" w:after="120"/>
        <w:jc w:val="both"/>
      </w:pPr>
      <w:r>
        <w:rPr>
          <w:rFonts w:ascii="Arial Narrow" w:hAnsi="Arial Narrow"/>
          <w:b w:val="0"/>
          <w:i w:val="0"/>
          <w:sz w:val="24"/>
        </w:rPr>
        <w:t>Os documentos que decidem pontos centrais da causa estão em poder exclusivo do réu: o parecer técnico da análise do pedido, os registros de fiscalização (MCR 2-7-1, "d"), os laudos de assistência técnica (MCR 1-3-5), os aditivos e a evolução da dívida. Diante da maior facilidade de obtenção da prova do fato contrário, o juiz pode atribuir o ônus de modo diverso, por decisão fundamentada (art. 373, § 1º, do CPC). Requer-se essa distribuição e, cumulativamente, a exibição (art. 396 do CPC), com a descrição, a finalidade e as circunstâncias exigidas pelo art. 397:</w:t>
      </w:r>
    </w:p>
    <w:p>
      <w:pPr>
        <w:spacing w:line="360" w:lineRule="auto" w:after="120"/>
        <w:ind w:left="567"/>
        <w:jc w:val="both"/>
      </w:pPr>
      <w:r>
        <w:rPr>
          <w:rFonts w:ascii="Arial Narrow" w:hAnsi="Arial Narrow"/>
          <w:b/>
          <w:sz w:val="24"/>
        </w:rPr>
        <w:t xml:space="preserve">i) </w:t>
      </w:r>
      <w:r>
        <w:rPr>
          <w:rFonts w:ascii="Arial Narrow" w:hAnsi="Arial Narrow"/>
          <w:b w:val="0"/>
          <w:i w:val="0"/>
          <w:sz w:val="24"/>
        </w:rPr>
        <w:t>as cédulas e todos os aditivos, e a ficha gráfica com a evolução do débito, para demonstrar os vencimentos, as prorrogações anteriores e a situação de cada operação;</w:t>
      </w:r>
    </w:p>
    <w:p>
      <w:pPr>
        <w:spacing w:line="360" w:lineRule="auto" w:after="120"/>
        <w:ind w:left="567"/>
        <w:jc w:val="both"/>
      </w:pPr>
      <w:r>
        <w:rPr>
          <w:rFonts w:ascii="Arial Narrow" w:hAnsi="Arial Narrow"/>
          <w:b/>
          <w:sz w:val="24"/>
        </w:rPr>
        <w:t xml:space="preserve">ii) </w:t>
      </w:r>
      <w:r>
        <w:rPr>
          <w:rFonts w:ascii="Arial Narrow" w:hAnsi="Arial Narrow"/>
          <w:b w:val="0"/>
          <w:i w:val="0"/>
          <w:sz w:val="24"/>
        </w:rPr>
        <w:t xml:space="preserve">o parecer, a análise técnica ou a manifestação interna que embasou a resposta, ou a falta de resposta, ao pedido de prorrogação de </w:t>
      </w:r>
      <w:r>
        <w:rPr>
          <w:rFonts w:ascii="Arial Narrow" w:hAnsi="Arial Narrow"/>
          <w:b w:val="0"/>
          <w:i w:val="0"/>
          <w:sz w:val="24"/>
          <w:highlight w:val="yellow"/>
        </w:rPr>
        <w:t>[[data]]</w:t>
      </w:r>
      <w:r>
        <w:rPr>
          <w:rFonts w:ascii="Arial Narrow" w:hAnsi="Arial Narrow"/>
          <w:b w:val="0"/>
          <w:i w:val="0"/>
          <w:sz w:val="24"/>
        </w:rPr>
        <w:t>, para demonstrar que não houve a análise exigida pelo MCR 2-6-4;</w:t>
      </w:r>
    </w:p>
    <w:p>
      <w:pPr>
        <w:spacing w:line="360" w:lineRule="auto" w:after="120"/>
        <w:ind w:left="567"/>
        <w:jc w:val="both"/>
      </w:pPr>
      <w:r>
        <w:rPr>
          <w:rFonts w:ascii="Arial Narrow" w:hAnsi="Arial Narrow"/>
          <w:b/>
          <w:sz w:val="24"/>
        </w:rPr>
        <w:t xml:space="preserve">iii) </w:t>
      </w:r>
      <w:r>
        <w:rPr>
          <w:rFonts w:ascii="Arial Narrow" w:hAnsi="Arial Narrow"/>
          <w:b w:val="0"/>
          <w:i w:val="0"/>
          <w:sz w:val="24"/>
        </w:rPr>
        <w:t xml:space="preserve">o </w:t>
      </w:r>
      <w:r>
        <w:rPr>
          <w:rFonts w:ascii="Arial Narrow" w:hAnsi="Arial Narrow"/>
          <w:b w:val="0"/>
          <w:i w:val="0"/>
          <w:sz w:val="24"/>
          <w:highlight w:val="yellow"/>
        </w:rPr>
        <w:t>[[plano simples / projeto técnico]]</w:t>
      </w:r>
      <w:r>
        <w:rPr>
          <w:rFonts w:ascii="Arial Narrow" w:hAnsi="Arial Narrow"/>
          <w:b w:val="0"/>
          <w:i w:val="0"/>
          <w:sz w:val="24"/>
        </w:rPr>
        <w:t>, o Orçamento de Aplicação, os laudos de assistência técnica (MCR 1-3-5) e os registros de fiscalização da operação (MCR 2-7-1), para demonstrar o que o banco sabia sobre os eventos prejudiciais à produção;</w:t>
      </w:r>
    </w:p>
    <w:p>
      <w:pPr>
        <w:spacing w:line="360" w:lineRule="auto" w:after="120"/>
        <w:ind w:left="567"/>
        <w:jc w:val="both"/>
      </w:pPr>
      <w:r>
        <w:rPr>
          <w:rFonts w:ascii="Arial Narrow" w:hAnsi="Arial Narrow"/>
          <w:b/>
          <w:sz w:val="24"/>
        </w:rPr>
        <w:t xml:space="preserve">iv) </w:t>
      </w:r>
      <w:r>
        <w:rPr>
          <w:rFonts w:ascii="Arial Narrow" w:hAnsi="Arial Narrow"/>
          <w:b w:val="0"/>
          <w:i w:val="0"/>
          <w:sz w:val="24"/>
        </w:rPr>
        <w:t>ou, no mesmo prazo, a declaração expressa de que os documentos dos itens ii e iii não existem.</w:t>
      </w:r>
    </w:p>
    <w:p>
      <w:pPr>
        <w:spacing w:line="360" w:lineRule="auto" w:after="120"/>
        <w:jc w:val="both"/>
      </w:pPr>
      <w:r>
        <w:rPr>
          <w:rFonts w:ascii="Arial Narrow" w:hAnsi="Arial Narrow"/>
          <w:b w:val="0"/>
          <w:i w:val="0"/>
          <w:sz w:val="24"/>
        </w:rPr>
        <w:t>Os documentos são comuns às partes, porque se referem à relação contratual entre elas, o que impede a recusa (art. 399, III, do CPC). Não exibidos nem declarados inexistentes no prazo, os fatos que por meio deles se pretendia provar devem ser admitidos como verdadeiros (art. 400, I, do CPC). O Código de Defesa do Consumidor (art. 6º, VIII) reforça a mesma conclusão, mas o pedido não depende dele: basta a regra processual.</w:t>
      </w:r>
    </w:p>
    <w:p>
      <w:pPr>
        <w:spacing w:after="8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6b26b"/>
          </w:tcPr>
          <w:p>
            <w:pPr>
              <w:spacing w:before="40" w:after="40" w:line="276" w:lineRule="auto"/>
              <w:jc w:val="left"/>
            </w:pPr>
            <w:r>
              <w:rPr>
                <w:rFonts w:ascii="Arial Narrow" w:hAnsi="Arial Narrow"/>
                <w:b/>
                <w:i w:val="0"/>
                <w:sz w:val="24"/>
              </w:rPr>
              <w:t>VI. DA GRATUIDADE DA JUSTIÇA</w:t>
            </w:r>
          </w:p>
        </w:tc>
      </w:tr>
    </w:tbl>
    <w:p>
      <w:pPr>
        <w:spacing w:after="80" w:before="0" w:line="240" w:lineRule="auto"/>
      </w:pPr>
      <w:r>
        <w:rPr>
          <w:rFonts w:ascii="Arial Narrow" w:hAnsi="Arial Narrow"/>
          <w:sz w:val="2"/>
        </w:rPr>
      </w:r>
    </w:p>
    <w:p>
      <w:pPr>
        <w:spacing w:line="360" w:lineRule="auto" w:after="120"/>
        <w:jc w:val="both"/>
      </w:pPr>
      <w:r>
        <w:rPr>
          <w:rFonts w:ascii="Arial Narrow" w:hAnsi="Arial Narrow"/>
          <w:b w:val="0"/>
          <w:i w:val="0"/>
          <w:sz w:val="24"/>
        </w:rPr>
        <w:t xml:space="preserve">O autor é pessoa natural e não pode arcar com custas e honorários sem prejuízo do próprio sustento, situação que decorre do mesmo evento que fundamenta a prorrogação. A alegação de insuficiência deduzida por pessoa natural presume-se verdadeira (art. 99, § 3º, do CPC), e o pedido só pode ser indeferido após intimação para comprovar os pressupostos (art. 99, § 2º). Instruem o pedido </w:t>
      </w:r>
      <w:r>
        <w:rPr>
          <w:rFonts w:ascii="Arial Narrow" w:hAnsi="Arial Narrow"/>
          <w:b w:val="0"/>
          <w:i w:val="0"/>
          <w:sz w:val="24"/>
          <w:highlight w:val="yellow"/>
        </w:rPr>
        <w:t>[[declaração de hipossuficiência, extratos, IRPF ou declaração de isenção, comprovantes de despesas]]</w:t>
      </w:r>
      <w:r>
        <w:rPr>
          <w:rFonts w:ascii="Arial Narrow" w:hAnsi="Arial Narrow"/>
          <w:b w:val="0"/>
          <w:i w:val="0"/>
          <w:sz w:val="24"/>
        </w:rPr>
        <w:t xml:space="preserve"> (Doc. </w:t>
      </w:r>
      <w:r>
        <w:rPr>
          <w:rFonts w:ascii="Arial Narrow" w:hAnsi="Arial Narrow"/>
          <w:b w:val="0"/>
          <w:i w:val="0"/>
          <w:sz w:val="24"/>
          <w:highlight w:val="yellow"/>
        </w:rPr>
        <w:t>[[nº]]</w:t>
      </w:r>
      <w:r>
        <w:rPr>
          <w:rFonts w:ascii="Arial Narrow" w:hAnsi="Arial Narrow"/>
          <w:b w:val="0"/>
          <w:i w:val="0"/>
          <w:sz w:val="24"/>
        </w:rPr>
        <w:t>).</w:t>
      </w:r>
    </w:p>
    <w:p>
      <w:pPr>
        <w:spacing w:line="276" w:lineRule="auto" w:after="120"/>
        <w:jc w:val="both"/>
      </w:pPr>
      <w:r>
        <w:rPr>
          <w:rFonts w:ascii="Arial Narrow" w:hAnsi="Arial Narrow"/>
          <w:sz w:val="20"/>
          <w:highlight w:val="yellow"/>
        </w:rPr>
        <w:t>[PENDENTE] Operação de valor alto com garantia real costuma levar o juízo a pedir documentos (art. 99, § 2º). Juntar desde já extratos dos últimos meses, despesas da atividade e da família e a situação do IRPF. Não reproduzir aqui jurisprudência genérica de outros temas.</w:t>
      </w:r>
    </w:p>
    <w:p>
      <w:pPr>
        <w:spacing w:after="8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6b26b"/>
          </w:tcPr>
          <w:p>
            <w:pPr>
              <w:spacing w:before="40" w:after="40" w:line="276" w:lineRule="auto"/>
              <w:jc w:val="left"/>
            </w:pPr>
            <w:r>
              <w:rPr>
                <w:rFonts w:ascii="Arial Narrow" w:hAnsi="Arial Narrow"/>
                <w:b/>
                <w:i w:val="0"/>
                <w:sz w:val="24"/>
              </w:rPr>
              <w:t>VII. DOS PEDIDOS</w:t>
            </w:r>
          </w:p>
        </w:tc>
      </w:tr>
    </w:tbl>
    <w:p>
      <w:pPr>
        <w:spacing w:after="80" w:before="0" w:line="240" w:lineRule="auto"/>
      </w:pPr>
      <w:r>
        <w:rPr>
          <w:rFonts w:ascii="Arial Narrow" w:hAnsi="Arial Narrow"/>
          <w:sz w:val="2"/>
        </w:rPr>
      </w:r>
    </w:p>
    <w:p>
      <w:pPr>
        <w:spacing w:line="360" w:lineRule="auto" w:after="120"/>
        <w:jc w:val="both"/>
      </w:pPr>
      <w:r>
        <w:rPr>
          <w:rFonts w:ascii="Arial Narrow" w:hAnsi="Arial Narrow"/>
          <w:b w:val="0"/>
          <w:i w:val="0"/>
          <w:sz w:val="24"/>
        </w:rPr>
        <w:t>Diante do exposto, requer-se, nesta ordem:</w:t>
      </w:r>
    </w:p>
    <w:p>
      <w:pPr>
        <w:spacing w:line="360" w:lineRule="auto" w:after="120"/>
        <w:ind w:left="567"/>
        <w:jc w:val="both"/>
      </w:pPr>
      <w:r>
        <w:rPr>
          <w:rFonts w:ascii="Arial Narrow" w:hAnsi="Arial Narrow"/>
          <w:b/>
          <w:sz w:val="24"/>
        </w:rPr>
        <w:t xml:space="preserve">a) </w:t>
      </w:r>
      <w:r>
        <w:rPr>
          <w:rFonts w:ascii="Arial Narrow" w:hAnsi="Arial Narrow"/>
          <w:b w:val="0"/>
          <w:i w:val="0"/>
          <w:sz w:val="24"/>
        </w:rPr>
        <w:t>a concessão da gratuidade da justiça;</w:t>
      </w:r>
    </w:p>
    <w:p>
      <w:pPr>
        <w:spacing w:line="360" w:lineRule="auto" w:after="120"/>
        <w:ind w:left="567"/>
        <w:jc w:val="both"/>
      </w:pPr>
      <w:r>
        <w:rPr>
          <w:rFonts w:ascii="Arial Narrow" w:hAnsi="Arial Narrow"/>
          <w:b/>
          <w:sz w:val="24"/>
        </w:rPr>
        <w:t xml:space="preserve">b) </w:t>
      </w:r>
      <w:r>
        <w:rPr>
          <w:rFonts w:ascii="Arial Narrow" w:hAnsi="Arial Narrow"/>
          <w:b w:val="0"/>
          <w:i w:val="0"/>
          <w:sz w:val="24"/>
        </w:rPr>
        <w:t xml:space="preserve">a concessão, em caráter liminar, da tutela de urgência de natureza cautelar para, quanto às operações </w:t>
      </w:r>
      <w:r>
        <w:rPr>
          <w:rFonts w:ascii="Arial Narrow" w:hAnsi="Arial Narrow"/>
          <w:b w:val="0"/>
          <w:i w:val="0"/>
          <w:sz w:val="24"/>
          <w:highlight w:val="yellow"/>
        </w:rPr>
        <w:t>[[nº das cédulas]]</w:t>
      </w:r>
      <w:r>
        <w:rPr>
          <w:rFonts w:ascii="Arial Narrow" w:hAnsi="Arial Narrow"/>
          <w:b w:val="0"/>
          <w:i w:val="0"/>
          <w:sz w:val="24"/>
        </w:rPr>
        <w:t>, até o julgamento final: (b.1) suspender a exigibilidade das operações; (b.2) suspender os efeitos da mora, vedada a cobrança de encargos moratórios; (b.3) determinar que o réu se abstenha de inscrever, ou exclua em 5 (cinco) dias, o nome do autor e dos garantidores em SERASA, SPC, cartórios de protesto</w:t>
      </w:r>
      <w:r>
        <w:rPr>
          <w:rFonts w:ascii="Arial Narrow" w:hAnsi="Arial Narrow"/>
          <w:b w:val="0"/>
          <w:i w:val="0"/>
          <w:sz w:val="24"/>
          <w:highlight w:val="yellow"/>
        </w:rPr>
        <w:t>[[, CADIN]]</w:t>
      </w:r>
      <w:r>
        <w:rPr>
          <w:rFonts w:ascii="Arial Narrow" w:hAnsi="Arial Narrow"/>
          <w:b w:val="0"/>
          <w:i w:val="0"/>
          <w:sz w:val="24"/>
        </w:rPr>
        <w:t xml:space="preserve"> e no Sistema de Informações de Crédito do Banco Central (SCR), expedindo-se ofício ao Banco Central do Brasil; (b.4) determinar que o réu se abstenha de qualquer ato constritivo, expropriatório ou de consolidação sobre as garantias, mantidas as garantias pactuadas; (b.5) fixar multa diária para o descumprimento (art. 537 do CPC); (b.6) determinar que o réu se abstenha de declarar o vencimento antecipado das operações e de debitar ou compensar em conta valores a elas relativos; apreciando-se cada item separadamente;</w:t>
      </w:r>
    </w:p>
    <w:p>
      <w:pPr>
        <w:spacing w:line="360" w:lineRule="auto" w:after="120"/>
        <w:ind w:left="567"/>
        <w:jc w:val="both"/>
      </w:pPr>
      <w:r>
        <w:rPr>
          <w:rFonts w:ascii="Arial Narrow" w:hAnsi="Arial Narrow"/>
          <w:b/>
          <w:sz w:val="24"/>
        </w:rPr>
        <w:t xml:space="preserve">c) </w:t>
      </w:r>
      <w:r>
        <w:rPr>
          <w:rFonts w:ascii="Arial Narrow" w:hAnsi="Arial Narrow"/>
          <w:b w:val="0"/>
          <w:i w:val="0"/>
          <w:sz w:val="24"/>
        </w:rPr>
        <w:t>subsidiariamente ao pedido "b", a designação de audiência de justificação prévia antes da decisão sobre a tutela (art. 300, § 2º, do CPC);</w:t>
      </w:r>
    </w:p>
    <w:p>
      <w:pPr>
        <w:spacing w:line="360" w:lineRule="auto" w:after="120"/>
        <w:ind w:left="567"/>
        <w:jc w:val="both"/>
      </w:pPr>
      <w:r>
        <w:rPr>
          <w:rFonts w:ascii="Arial Narrow" w:hAnsi="Arial Narrow"/>
          <w:b/>
          <w:sz w:val="24"/>
        </w:rPr>
        <w:t xml:space="preserve">d) </w:t>
      </w:r>
      <w:r>
        <w:rPr>
          <w:rFonts w:ascii="Arial Narrow" w:hAnsi="Arial Narrow"/>
          <w:b w:val="0"/>
          <w:i w:val="0"/>
          <w:sz w:val="24"/>
        </w:rPr>
        <w:t>a dispensa de caução (art. 300, § 1º, do CPC);</w:t>
      </w:r>
    </w:p>
    <w:p>
      <w:pPr>
        <w:spacing w:line="360" w:lineRule="auto" w:after="120"/>
        <w:ind w:left="567"/>
        <w:jc w:val="both"/>
      </w:pPr>
      <w:r>
        <w:rPr>
          <w:rFonts w:ascii="Arial Narrow" w:hAnsi="Arial Narrow"/>
          <w:b/>
          <w:sz w:val="24"/>
        </w:rPr>
        <w:t xml:space="preserve">e) </w:t>
      </w:r>
      <w:r>
        <w:rPr>
          <w:rFonts w:ascii="Arial Narrow" w:hAnsi="Arial Narrow"/>
          <w:b w:val="0"/>
          <w:i w:val="0"/>
          <w:sz w:val="24"/>
          <w:highlight w:val="yellow"/>
        </w:rPr>
        <w:t>[[a suspensão da Execução/Monitória nº (…), em curso perante (…), nos termos do art. 313, V, "a", do CPC, oficiando-se aquele juízo. Apagar se não houver.]]</w:t>
      </w:r>
    </w:p>
    <w:p>
      <w:pPr>
        <w:spacing w:line="360" w:lineRule="auto" w:after="120"/>
        <w:ind w:left="567"/>
        <w:jc w:val="both"/>
      </w:pPr>
      <w:r>
        <w:rPr>
          <w:rFonts w:ascii="Arial Narrow" w:hAnsi="Arial Narrow"/>
          <w:b/>
          <w:sz w:val="24"/>
        </w:rPr>
        <w:t xml:space="preserve">f) </w:t>
      </w:r>
      <w:r>
        <w:rPr>
          <w:rFonts w:ascii="Arial Narrow" w:hAnsi="Arial Narrow"/>
          <w:b w:val="0"/>
          <w:i w:val="0"/>
          <w:sz w:val="24"/>
        </w:rPr>
        <w:t>a distribuição do ônus da prova ao réu (art. 373, § 1º, do CPC) e a exibição dos documentos relacionados no tópico V, em 15 (quinze) dias, ou a declaração expressa de sua inexistência, sob a consequência do art. 400 do CPC;</w:t>
      </w:r>
    </w:p>
    <w:p>
      <w:pPr>
        <w:spacing w:line="360" w:lineRule="auto" w:after="120"/>
        <w:ind w:left="567"/>
        <w:jc w:val="both"/>
      </w:pPr>
      <w:r>
        <w:rPr>
          <w:rFonts w:ascii="Arial Narrow" w:hAnsi="Arial Narrow"/>
          <w:b/>
          <w:sz w:val="24"/>
        </w:rPr>
        <w:t xml:space="preserve">g) </w:t>
      </w:r>
      <w:r>
        <w:rPr>
          <w:rFonts w:ascii="Arial Narrow" w:hAnsi="Arial Narrow"/>
          <w:b w:val="0"/>
          <w:i w:val="0"/>
          <w:sz w:val="24"/>
        </w:rPr>
        <w:t>a citação do réu para, querendo, contestar;</w:t>
      </w:r>
    </w:p>
    <w:p>
      <w:pPr>
        <w:spacing w:line="360" w:lineRule="auto" w:after="120"/>
        <w:ind w:left="567"/>
        <w:jc w:val="both"/>
      </w:pPr>
      <w:r>
        <w:rPr>
          <w:rFonts w:ascii="Arial Narrow" w:hAnsi="Arial Narrow"/>
          <w:b/>
          <w:sz w:val="24"/>
        </w:rPr>
        <w:t xml:space="preserve">h) </w:t>
      </w:r>
      <w:r>
        <w:rPr>
          <w:rFonts w:ascii="Arial Narrow" w:hAnsi="Arial Narrow"/>
          <w:b w:val="0"/>
          <w:i w:val="0"/>
          <w:sz w:val="24"/>
        </w:rPr>
        <w:t xml:space="preserve">no mérito, a condenação do réu na obrigação de prorrogar as operações </w:t>
      </w:r>
      <w:r>
        <w:rPr>
          <w:rFonts w:ascii="Arial Narrow" w:hAnsi="Arial Narrow"/>
          <w:b w:val="0"/>
          <w:i w:val="0"/>
          <w:sz w:val="24"/>
          <w:highlight w:val="yellow"/>
        </w:rPr>
        <w:t>[[nº]]</w:t>
      </w:r>
      <w:r>
        <w:rPr>
          <w:rFonts w:ascii="Arial Narrow" w:hAnsi="Arial Narrow"/>
          <w:b w:val="0"/>
          <w:i w:val="0"/>
          <w:sz w:val="24"/>
        </w:rPr>
        <w:t xml:space="preserve">, aos mesmos encargos financeiros pactuados, com </w:t>
      </w:r>
      <w:r>
        <w:rPr>
          <w:rFonts w:ascii="Arial Narrow" w:hAnsi="Arial Narrow"/>
          <w:b w:val="0"/>
          <w:i w:val="0"/>
          <w:sz w:val="24"/>
          <w:highlight w:val="yellow"/>
        </w:rPr>
        <w:t>[[carência de (…) meses e reembolso em (…) parcelas anuais, vencendo-se a primeira em (…)]]</w:t>
      </w:r>
      <w:r>
        <w:rPr>
          <w:rFonts w:ascii="Arial Narrow" w:hAnsi="Arial Narrow"/>
          <w:b w:val="0"/>
          <w:i w:val="0"/>
          <w:sz w:val="24"/>
        </w:rPr>
        <w:t>, conforme o laudo de capacidade de pagamento, formalizando a prorrogação no prazo de 15 (quinze) dias do trânsito em julgado, sob multa diária (arts. 497 e 537 do CPC), e, não o fazendo, que a sentença produza os efeitos da declaração não emitida (art. 501 do CPC);</w:t>
      </w:r>
    </w:p>
    <w:p>
      <w:pPr>
        <w:spacing w:line="360" w:lineRule="auto" w:after="120"/>
        <w:ind w:left="567"/>
        <w:jc w:val="both"/>
      </w:pPr>
      <w:r>
        <w:rPr>
          <w:rFonts w:ascii="Arial Narrow" w:hAnsi="Arial Narrow"/>
          <w:b/>
          <w:sz w:val="24"/>
        </w:rPr>
        <w:t xml:space="preserve">i) </w:t>
      </w:r>
      <w:r>
        <w:rPr>
          <w:rFonts w:ascii="Arial Narrow" w:hAnsi="Arial Narrow"/>
          <w:b w:val="0"/>
          <w:i w:val="0"/>
          <w:sz w:val="24"/>
        </w:rPr>
        <w:t>subsidiariamente ao pedido "h", a prorrogação no cronograma que Vossa Excelência entender compatível com a capacidade de pagamento demonstrada (art. 326 do CPC);</w:t>
      </w:r>
    </w:p>
    <w:p>
      <w:pPr>
        <w:spacing w:line="360" w:lineRule="auto" w:after="120"/>
        <w:ind w:left="567"/>
        <w:jc w:val="both"/>
      </w:pPr>
      <w:r>
        <w:rPr>
          <w:rFonts w:ascii="Arial Narrow" w:hAnsi="Arial Narrow"/>
          <w:b/>
          <w:sz w:val="24"/>
        </w:rPr>
        <w:t xml:space="preserve">j) </w:t>
      </w:r>
      <w:r>
        <w:rPr>
          <w:rFonts w:ascii="Arial Narrow" w:hAnsi="Arial Narrow"/>
          <w:b w:val="0"/>
          <w:i w:val="0"/>
          <w:sz w:val="24"/>
        </w:rPr>
        <w:t xml:space="preserve">a declaração de que as parcelas não eram exigíveis nos vencimentos originais e de que não há mora imputável ao autor, afastados os encargos moratórios desde </w:t>
      </w:r>
      <w:r>
        <w:rPr>
          <w:rFonts w:ascii="Arial Narrow" w:hAnsi="Arial Narrow"/>
          <w:b w:val="0"/>
          <w:i w:val="0"/>
          <w:sz w:val="24"/>
          <w:highlight w:val="yellow"/>
        </w:rPr>
        <w:t>[[data do pedido / do vencimento]]</w:t>
      </w:r>
      <w:r>
        <w:rPr>
          <w:rFonts w:ascii="Arial Narrow" w:hAnsi="Arial Narrow"/>
          <w:b w:val="0"/>
          <w:i w:val="0"/>
          <w:sz w:val="24"/>
        </w:rPr>
        <w:t>, confirmando-se em definitivo a tutela concedida;</w:t>
      </w:r>
    </w:p>
    <w:p>
      <w:pPr>
        <w:spacing w:line="360" w:lineRule="auto" w:after="120"/>
        <w:ind w:left="567"/>
        <w:jc w:val="both"/>
      </w:pPr>
      <w:r>
        <w:rPr>
          <w:rFonts w:ascii="Arial Narrow" w:hAnsi="Arial Narrow"/>
          <w:b/>
          <w:sz w:val="24"/>
        </w:rPr>
        <w:t xml:space="preserve">k) </w:t>
      </w:r>
      <w:r>
        <w:rPr>
          <w:rFonts w:ascii="Arial Narrow" w:hAnsi="Arial Narrow"/>
          <w:b w:val="0"/>
          <w:i w:val="0"/>
          <w:sz w:val="24"/>
        </w:rPr>
        <w:t>a produção de prova documental, já juntada, e da exibição requerida; a homologação dos fatos técnicos constantes dos laudos, com a oitiva do responsável técnico; e, se o réu impugnar a metodologia dos laudos, ou subsidiariamente, perícia agronômica e de capacidade de pagamento, e prova testemunhal sobre o pedido feito ao banco;</w:t>
      </w:r>
    </w:p>
    <w:p>
      <w:pPr>
        <w:spacing w:line="360" w:lineRule="auto" w:after="120"/>
        <w:ind w:left="567"/>
        <w:jc w:val="both"/>
      </w:pPr>
      <w:r>
        <w:rPr>
          <w:rFonts w:ascii="Arial Narrow" w:hAnsi="Arial Narrow"/>
          <w:b/>
          <w:sz w:val="24"/>
        </w:rPr>
        <w:t xml:space="preserve">l) </w:t>
      </w:r>
      <w:r>
        <w:rPr>
          <w:rFonts w:ascii="Arial Narrow" w:hAnsi="Arial Narrow"/>
          <w:b w:val="0"/>
          <w:i w:val="0"/>
          <w:sz w:val="24"/>
          <w:highlight w:val="yellow"/>
        </w:rPr>
        <w:t>[[a realização da audiência de conciliação, preferencialmente por meio eletrônico (art. 334, § 7º, do CPC) / o desinteresse na audiência de conciliação (art. 334, § 5º)]]</w:t>
      </w:r>
      <w:r>
        <w:rPr>
          <w:rFonts w:ascii="Arial Narrow" w:hAnsi="Arial Narrow"/>
          <w:b w:val="0"/>
          <w:i w:val="0"/>
          <w:sz w:val="24"/>
        </w:rPr>
        <w:t>;</w:t>
      </w:r>
    </w:p>
    <w:p>
      <w:pPr>
        <w:spacing w:line="360" w:lineRule="auto" w:after="120"/>
        <w:ind w:left="567"/>
        <w:jc w:val="both"/>
      </w:pPr>
      <w:r>
        <w:rPr>
          <w:rFonts w:ascii="Arial Narrow" w:hAnsi="Arial Narrow"/>
          <w:b/>
          <w:sz w:val="24"/>
        </w:rPr>
        <w:t xml:space="preserve">m) </w:t>
      </w:r>
      <w:r>
        <w:rPr>
          <w:rFonts w:ascii="Arial Narrow" w:hAnsi="Arial Narrow"/>
          <w:b w:val="0"/>
          <w:i w:val="0"/>
          <w:sz w:val="24"/>
        </w:rPr>
        <w:t xml:space="preserve">que as intimações sejam feitas em nome dos advogados </w:t>
      </w:r>
      <w:r>
        <w:rPr>
          <w:rFonts w:ascii="Arial Narrow" w:hAnsi="Arial Narrow"/>
          <w:b w:val="0"/>
          <w:i w:val="0"/>
          <w:sz w:val="24"/>
          <w:highlight w:val="yellow"/>
        </w:rPr>
        <w:t>[[nomes e OAB]]</w:t>
      </w:r>
      <w:r>
        <w:rPr>
          <w:rFonts w:ascii="Arial Narrow" w:hAnsi="Arial Narrow"/>
          <w:b w:val="0"/>
          <w:i w:val="0"/>
          <w:sz w:val="24"/>
        </w:rPr>
        <w:t>, sob pena de nulidade (art. 272, § 5º, do CPC);</w:t>
      </w:r>
    </w:p>
    <w:p>
      <w:pPr>
        <w:spacing w:line="360" w:lineRule="auto" w:after="120"/>
        <w:ind w:left="567"/>
        <w:jc w:val="both"/>
      </w:pPr>
      <w:r>
        <w:rPr>
          <w:rFonts w:ascii="Arial Narrow" w:hAnsi="Arial Narrow"/>
          <w:b/>
          <w:sz w:val="24"/>
        </w:rPr>
        <w:t xml:space="preserve">n) </w:t>
      </w:r>
      <w:r>
        <w:rPr>
          <w:rFonts w:ascii="Arial Narrow" w:hAnsi="Arial Narrow"/>
          <w:b w:val="0"/>
          <w:i w:val="0"/>
          <w:sz w:val="24"/>
        </w:rPr>
        <w:t>a condenação do réu nas custas e nos honorários advocatícios.</w:t>
      </w:r>
    </w:p>
    <w:p>
      <w:pPr>
        <w:spacing w:after="80" w:before="0" w:line="240" w:lineRule="auto"/>
      </w:pPr>
      <w:r>
        <w:rPr>
          <w:rFonts w:ascii="Arial Narrow" w:hAnsi="Arial Narrow"/>
          <w:sz w:val="2"/>
        </w:rPr>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Borders>
          <w:top w:val="single" w:sz="4" w:color="c55a11"/>
          <w:left w:val="single" w:sz="4" w:color="c55a11"/>
          <w:bottom w:val="single" w:sz="4" w:color="c55a11"/>
          <w:right w:val="single" w:sz="4" w:color="c55a11"/>
          <w:insideH w:val="single" w:sz="4" w:color="c55a11"/>
          <w:insideV w:val="single" w:sz="4" w:color="c55a11"/>
        </w:tblBorders>
      </w:tblPr>
      <w:tblGrid>
        <w:gridCol w:w="9083"/>
      </w:tblGrid>
      <w:tr>
        <w:tc>
          <w:tcPr>
            <w:tcW w:type="dxa" w:w="9083"/>
            <w:shd w:val="clear" w:color="auto" w:fill="f6b26b"/>
          </w:tcPr>
          <w:p>
            <w:pPr>
              <w:spacing w:before="40" w:after="40" w:line="276" w:lineRule="auto"/>
              <w:jc w:val="left"/>
            </w:pPr>
            <w:r>
              <w:rPr>
                <w:rFonts w:ascii="Arial Narrow" w:hAnsi="Arial Narrow"/>
                <w:b/>
                <w:i w:val="0"/>
                <w:sz w:val="24"/>
              </w:rPr>
              <w:t>VIII. DO VALOR DA CAUSA</w:t>
            </w:r>
          </w:p>
        </w:tc>
      </w:tr>
    </w:tbl>
    <w:p>
      <w:pPr>
        <w:spacing w:after="80" w:before="0" w:line="240" w:lineRule="auto"/>
      </w:pPr>
      <w:r>
        <w:rPr>
          <w:rFonts w:ascii="Arial Narrow" w:hAnsi="Arial Narrow"/>
          <w:sz w:val="2"/>
        </w:rPr>
      </w:r>
    </w:p>
    <w:p>
      <w:pPr>
        <w:spacing w:line="360" w:lineRule="auto" w:after="120"/>
        <w:jc w:val="both"/>
      </w:pPr>
      <w:r>
        <w:rPr>
          <w:rFonts w:ascii="Arial Narrow" w:hAnsi="Arial Narrow"/>
          <w:b w:val="0"/>
          <w:i w:val="0"/>
          <w:sz w:val="24"/>
        </w:rPr>
        <w:t xml:space="preserve">Dá-se à causa o valor de R$ </w:t>
      </w:r>
      <w:r>
        <w:rPr>
          <w:rFonts w:ascii="Arial Narrow" w:hAnsi="Arial Narrow"/>
          <w:b w:val="0"/>
          <w:i w:val="0"/>
          <w:sz w:val="24"/>
          <w:highlight w:val="yellow"/>
        </w:rPr>
        <w:t>[[valor]]</w:t>
      </w:r>
      <w:r>
        <w:rPr>
          <w:rFonts w:ascii="Arial Narrow" w:hAnsi="Arial Narrow"/>
          <w:b w:val="0"/>
          <w:i w:val="0"/>
          <w:sz w:val="24"/>
        </w:rPr>
        <w:t xml:space="preserve"> (</w:t>
      </w:r>
      <w:r>
        <w:rPr>
          <w:rFonts w:ascii="Arial Narrow" w:hAnsi="Arial Narrow"/>
          <w:b w:val="0"/>
          <w:i w:val="0"/>
          <w:sz w:val="24"/>
          <w:highlight w:val="yellow"/>
        </w:rPr>
        <w:t>[[por extenso]]</w:t>
      </w:r>
      <w:r>
        <w:rPr>
          <w:rFonts w:ascii="Arial Narrow" w:hAnsi="Arial Narrow"/>
          <w:b w:val="0"/>
          <w:i w:val="0"/>
          <w:sz w:val="24"/>
        </w:rPr>
        <w:t xml:space="preserve">), correspondente </w:t>
      </w:r>
      <w:r>
        <w:rPr>
          <w:rFonts w:ascii="Arial Narrow" w:hAnsi="Arial Narrow"/>
          <w:b w:val="0"/>
          <w:i w:val="0"/>
          <w:sz w:val="24"/>
          <w:highlight w:val="yellow"/>
        </w:rPr>
        <w:t>[[ao saldo das operações cuja prorrogação se pede]]</w:t>
      </w:r>
      <w:r>
        <w:rPr>
          <w:rFonts w:ascii="Arial Narrow" w:hAnsi="Arial Narrow"/>
          <w:b w:val="0"/>
          <w:i w:val="0"/>
          <w:sz w:val="24"/>
        </w:rPr>
        <w:t>, por ser a ação relativa ao cumprimento e à modificação do ato jurídico (art. 292, II, do CPC).</w:t>
      </w:r>
    </w:p>
    <w:p>
      <w:pPr>
        <w:spacing w:line="276" w:lineRule="auto" w:after="120"/>
        <w:jc w:val="both"/>
      </w:pPr>
      <w:r>
        <w:rPr>
          <w:rFonts w:ascii="Arial Narrow" w:hAnsi="Arial Narrow"/>
          <w:sz w:val="20"/>
          <w:highlight w:val="yellow"/>
        </w:rPr>
        <w:t>[PENDENTE] Não usar valor simbólico: o juiz corrige de ofício quando o valor não corresponde ao conteúdo patrimonial em discussão (art. 292, § 3º, do CPC).</w:t>
      </w:r>
    </w:p>
    <w:p>
      <w:pPr>
        <w:spacing w:after="240" w:before="0" w:line="240" w:lineRule="auto"/>
      </w:pPr>
      <w:r>
        <w:rPr>
          <w:rFonts w:ascii="Arial Narrow" w:hAnsi="Arial Narrow"/>
          <w:sz w:val="2"/>
        </w:rPr>
      </w:r>
    </w:p>
    <w:p>
      <w:pPr>
        <w:spacing w:line="360" w:lineRule="auto" w:after="0"/>
        <w:jc w:val="center"/>
      </w:pPr>
      <w:r>
        <w:rPr>
          <w:rFonts w:ascii="Arial Narrow" w:hAnsi="Arial Narrow"/>
          <w:b w:val="0"/>
          <w:i w:val="0"/>
          <w:sz w:val="24"/>
        </w:rPr>
        <w:t>Nestes termos,</w:t>
      </w:r>
    </w:p>
    <w:p>
      <w:pPr>
        <w:spacing w:line="360" w:lineRule="auto" w:after="200"/>
        <w:jc w:val="center"/>
      </w:pPr>
      <w:r>
        <w:rPr>
          <w:rFonts w:ascii="Arial Narrow" w:hAnsi="Arial Narrow"/>
          <w:b w:val="0"/>
          <w:i w:val="0"/>
          <w:sz w:val="24"/>
        </w:rPr>
        <w:t>Pede deferimento.</w:t>
      </w:r>
    </w:p>
    <w:p>
      <w:pPr>
        <w:spacing w:line="360" w:lineRule="auto" w:after="480"/>
        <w:jc w:val="center"/>
      </w:pPr>
      <w:r>
        <w:rPr>
          <w:rFonts w:ascii="Arial Narrow" w:hAnsi="Arial Narrow"/>
          <w:b w:val="0"/>
          <w:i w:val="0"/>
          <w:sz w:val="24"/>
          <w:highlight w:val="yellow"/>
        </w:rPr>
        <w:t>[[CIDADE]]</w:t>
      </w:r>
      <w:r>
        <w:rPr>
          <w:rFonts w:ascii="Arial Narrow" w:hAnsi="Arial Narrow"/>
          <w:b w:val="0"/>
          <w:i w:val="0"/>
          <w:sz w:val="24"/>
        </w:rPr>
        <w:t>/</w:t>
      </w:r>
      <w:r>
        <w:rPr>
          <w:rFonts w:ascii="Arial Narrow" w:hAnsi="Arial Narrow"/>
          <w:b w:val="0"/>
          <w:i w:val="0"/>
          <w:sz w:val="24"/>
          <w:highlight w:val="yellow"/>
        </w:rPr>
        <w:t>[[UF]]</w:t>
      </w:r>
      <w:r>
        <w:rPr>
          <w:rFonts w:ascii="Arial Narrow" w:hAnsi="Arial Narrow"/>
          <w:b w:val="0"/>
          <w:i w:val="0"/>
          <w:sz w:val="24"/>
        </w:rPr>
        <w:t xml:space="preserve">, </w:t>
      </w:r>
      <w:r>
        <w:rPr>
          <w:rFonts w:ascii="Arial Narrow" w:hAnsi="Arial Narrow"/>
          <w:b w:val="0"/>
          <w:i w:val="0"/>
          <w:sz w:val="24"/>
          <w:highlight w:val="yellow"/>
        </w:rPr>
        <w:t>[[DATA]]</w:t>
      </w:r>
      <w:r>
        <w:rPr>
          <w:rFonts w:ascii="Arial Narrow" w:hAnsi="Arial Narrow"/>
          <w:b w:val="0"/>
          <w:i w:val="0"/>
          <w:sz w:val="24"/>
        </w:rPr>
        <w:t>.</w:t>
      </w:r>
    </w:p>
    <w:p>
      <w:pPr>
        <w:spacing w:line="360" w:lineRule="auto" w:after="0"/>
        <w:jc w:val="center"/>
      </w:pPr>
      <w:r>
        <w:rPr>
          <w:rFonts w:ascii="Arial Narrow" w:hAnsi="Arial Narrow"/>
          <w:b/>
          <w:i w:val="0"/>
          <w:sz w:val="24"/>
        </w:rPr>
        <w:t>RENAN GOMES MALDONADO DE JESUS</w:t>
      </w:r>
    </w:p>
    <w:p>
      <w:pPr>
        <w:spacing w:line="360" w:lineRule="auto" w:after="360"/>
        <w:jc w:val="center"/>
      </w:pPr>
      <w:r>
        <w:rPr>
          <w:rFonts w:ascii="Arial Narrow" w:hAnsi="Arial Narrow"/>
          <w:b w:val="0"/>
          <w:i w:val="0"/>
          <w:sz w:val="24"/>
        </w:rPr>
        <w:t>OAB/RO 5769</w:t>
      </w:r>
    </w:p>
    <w:p>
      <w:pPr>
        <w:spacing w:line="360" w:lineRule="auto" w:after="0"/>
        <w:jc w:val="center"/>
      </w:pPr>
      <w:r>
        <w:rPr>
          <w:rFonts w:ascii="Arial Narrow" w:hAnsi="Arial Narrow"/>
          <w:b/>
          <w:i w:val="0"/>
          <w:sz w:val="24"/>
          <w:highlight w:val="yellow"/>
        </w:rPr>
        <w:t>[[NOME DO SEGUNDO SUBSCRITOR]]</w:t>
      </w:r>
    </w:p>
    <w:p>
      <w:pPr>
        <w:spacing w:line="360" w:lineRule="auto" w:after="0"/>
        <w:jc w:val="center"/>
      </w:pPr>
      <w:r>
        <w:rPr>
          <w:rFonts w:ascii="Arial Narrow" w:hAnsi="Arial Narrow"/>
          <w:b w:val="0"/>
          <w:i w:val="0"/>
          <w:sz w:val="24"/>
          <w:highlight w:val="yellow"/>
        </w:rPr>
        <w:t>[[OAB/UF Nº]]</w:t>
      </w:r>
    </w:p>
    <w:sectPr w:rsidR="00FC693F" w:rsidRPr="0006063C" w:rsidSect="00034616">
      <w:headerReference w:type="default" r:id="rId9"/>
      <w:pgSz w:w="11906" w:h="16838"/>
      <w:pgMar w:top="3022" w:right="1383" w:bottom="1417" w:left="1440"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ind w:left="-1440" w:right="-1383"/>
      <w:jc w:val="left"/>
    </w:pPr>
    <w:r>
      <w:drawing>
        <wp:inline xmlns:a="http://schemas.openxmlformats.org/drawingml/2006/main" xmlns:pic="http://schemas.openxmlformats.org/drawingml/2006/picture">
          <wp:extent cx="7498799" cy="338828"/>
          <wp:docPr id="1" name="Picture 1"/>
          <wp:cNvGraphicFramePr>
            <a:graphicFrameLocks noChangeAspect="1"/>
          </wp:cNvGraphicFramePr>
          <a:graphic>
            <a:graphicData uri="http://schemas.openxmlformats.org/drawingml/2006/picture">
              <pic:pic>
                <pic:nvPicPr>
                  <pic:cNvPr id="0" name="timbrado-2026-friso.png"/>
                  <pic:cNvPicPr/>
                </pic:nvPicPr>
                <pic:blipFill>
                  <a:blip r:embed="rId1"/>
                  <a:stretch>
                    <a:fillRect/>
                  </a:stretch>
                </pic:blipFill>
                <pic:spPr>
                  <a:xfrm>
                    <a:off x="0" y="0"/>
                    <a:ext cx="7498799" cy="338828"/>
                  </a:xfrm>
                  <a:prstGeom prst="rect"/>
                </pic:spPr>
              </pic:pic>
            </a:graphicData>
          </a:graphic>
        </wp:inline>
      </w:drawing>
    </w:r>
  </w:p>
  <w:tbl>
    <w:tblPr>
      <w:tblW w:type="auto" w:w="0"/>
      <w:jc w:val="left"/>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Ind w:w="-1440" w:type="dxa"/>
    </w:tblPr>
    <w:tblGrid>
      <w:gridCol w:w="5905"/>
      <w:gridCol w:w="5905"/>
    </w:tblGrid>
    <w:tr>
      <w:tc>
        <w:tcPr>
          <w:tcW w:type="dxa" w:w="7370"/>
        </w:tcPr>
        <w:p>
          <w:pPr>
            <w:spacing w:before="0" w:after="0" w:line="240" w:lineRule="auto"/>
            <w:jc w:val="left"/>
          </w:pPr>
          <w:r>
            <w:drawing>
              <wp:inline xmlns:a="http://schemas.openxmlformats.org/drawingml/2006/main" xmlns:pic="http://schemas.openxmlformats.org/drawingml/2006/picture">
                <wp:extent cx="4680000" cy="1239086"/>
                <wp:docPr id="2" name="Picture 2"/>
                <wp:cNvGraphicFramePr>
                  <a:graphicFrameLocks noChangeAspect="1"/>
                </wp:cNvGraphicFramePr>
                <a:graphic>
                  <a:graphicData uri="http://schemas.openxmlformats.org/drawingml/2006/picture">
                    <pic:pic>
                      <pic:nvPicPr>
                        <pic:cNvPr id="0" name="timbrado-2026-logo.png"/>
                        <pic:cNvPicPr/>
                      </pic:nvPicPr>
                      <pic:blipFill>
                        <a:blip r:embed="rId2"/>
                        <a:stretch>
                          <a:fillRect/>
                        </a:stretch>
                      </pic:blipFill>
                      <pic:spPr>
                        <a:xfrm>
                          <a:off x="0" y="0"/>
                          <a:ext cx="4680000" cy="1239086"/>
                        </a:xfrm>
                        <a:prstGeom prst="rect"/>
                      </pic:spPr>
                    </pic:pic>
                  </a:graphicData>
                </a:graphic>
              </wp:inline>
            </w:drawing>
          </w:r>
        </w:p>
      </w:tc>
      <w:tc>
        <w:tcPr>
          <w:tcW w:type="dxa" w:w="4439"/>
        </w:tcPr>
        <w:p>
          <w:pPr>
            <w:spacing w:before="80" w:after="0" w:line="184" w:lineRule="exact"/>
            <w:ind w:right="170"/>
            <w:jc w:val="right"/>
          </w:pPr>
          <w:r>
            <w:rPr>
              <w:rFonts w:ascii="Arial" w:hAnsi="Arial"/>
              <w:b/>
              <w:color w:val="000000"/>
              <w:sz w:val="17"/>
            </w:rPr>
            <w:t>Renan Maldonado - OAB/RO 5.769</w:t>
          </w:r>
        </w:p>
        <w:p>
          <w:pPr>
            <w:spacing w:before="0" w:after="0" w:line="184" w:lineRule="exact"/>
            <w:ind w:right="170"/>
            <w:jc w:val="right"/>
          </w:pPr>
          <w:r>
            <w:rPr>
              <w:rFonts w:ascii="Arial" w:hAnsi="Arial"/>
              <w:b/>
              <w:color w:val="000000"/>
              <w:sz w:val="17"/>
            </w:rPr>
            <w:t>Eliane Miranda - OAB/RO 7.904</w:t>
          </w:r>
        </w:p>
        <w:p>
          <w:pPr>
            <w:spacing w:before="0" w:after="0" w:line="184" w:lineRule="exact"/>
            <w:ind w:right="170"/>
            <w:jc w:val="right"/>
          </w:pPr>
          <w:r>
            <w:rPr>
              <w:rFonts w:ascii="Arial" w:hAnsi="Arial"/>
              <w:b/>
              <w:color w:val="000000"/>
              <w:sz w:val="17"/>
            </w:rPr>
            <w:t>Arilson Cruz Lopes - OAB/RO 9.982</w:t>
          </w:r>
        </w:p>
        <w:p>
          <w:pPr>
            <w:spacing w:before="0" w:after="0" w:line="184" w:lineRule="exact"/>
            <w:ind w:right="170"/>
            <w:jc w:val="right"/>
          </w:pPr>
          <w:r>
            <w:rPr>
              <w:rFonts w:ascii="Arial" w:hAnsi="Arial"/>
              <w:b/>
              <w:color w:val="000000"/>
              <w:sz w:val="17"/>
            </w:rPr>
            <w:t>Bruno Vinícius - OAB/RO 13.021</w:t>
          </w:r>
        </w:p>
        <w:p>
          <w:pPr>
            <w:spacing w:before="0" w:after="0" w:line="184" w:lineRule="exact"/>
            <w:ind w:right="170"/>
            <w:jc w:val="right"/>
          </w:pPr>
          <w:r>
            <w:rPr>
              <w:rFonts w:ascii="Arial" w:hAnsi="Arial"/>
              <w:b/>
              <w:color w:val="000000"/>
              <w:sz w:val="17"/>
            </w:rPr>
            <w:t>Felipe Souza - OAB/RJ 244.309</w:t>
          </w:r>
        </w:p>
        <w:p>
          <w:pPr>
            <w:spacing w:before="0" w:after="0" w:line="184" w:lineRule="exact"/>
            <w:ind w:right="170"/>
            <w:jc w:val="right"/>
          </w:pPr>
          <w:r>
            <w:rPr>
              <w:rFonts w:ascii="Arial" w:hAnsi="Arial"/>
              <w:b/>
              <w:color w:val="000000"/>
              <w:sz w:val="17"/>
            </w:rPr>
            <w:t>Mailson Monteiro - OAB/RO 14.501</w:t>
          </w:r>
        </w:p>
        <w:p>
          <w:pPr>
            <w:spacing w:before="0" w:after="0" w:line="184" w:lineRule="exact"/>
            <w:ind w:right="170"/>
            <w:jc w:val="right"/>
          </w:pPr>
          <w:r>
            <w:rPr>
              <w:rFonts w:ascii="Arial" w:hAnsi="Arial"/>
              <w:b/>
              <w:color w:val="000000"/>
              <w:sz w:val="17"/>
            </w:rPr>
            <w:t>Matheus Ramos - OAB/RJ 262.255</w:t>
          </w:r>
        </w:p>
        <w:p>
          <w:pPr>
            <w:spacing w:before="0" w:after="0" w:line="184" w:lineRule="exact"/>
            <w:ind w:right="170"/>
            <w:jc w:val="right"/>
          </w:pPr>
          <w:r>
            <w:rPr>
              <w:rFonts w:ascii="Arial" w:hAnsi="Arial"/>
              <w:b/>
              <w:color w:val="000000"/>
              <w:sz w:val="17"/>
            </w:rPr>
            <w:t>Taynara Scatolin - OAB/MT 30.109</w:t>
          </w:r>
        </w:p>
        <w:p>
          <w:pPr>
            <w:spacing w:before="0" w:after="0" w:line="184" w:lineRule="exact"/>
            <w:ind w:right="170"/>
            <w:jc w:val="right"/>
          </w:pPr>
          <w:r>
            <w:rPr>
              <w:rFonts w:ascii="Arial" w:hAnsi="Arial"/>
              <w:b/>
              <w:color w:val="000000"/>
              <w:sz w:val="17"/>
            </w:rPr>
            <w:t>Heloisa Antunes - OAB/DF 76.621</w:t>
          </w:r>
        </w:p>
        <w:p>
          <w:pPr>
            <w:spacing w:before="0" w:after="0" w:line="184" w:lineRule="exact"/>
            <w:ind w:right="170"/>
            <w:jc w:val="right"/>
          </w:pPr>
          <w:r>
            <w:rPr>
              <w:rFonts w:ascii="Arial" w:hAnsi="Arial"/>
              <w:b/>
              <w:color w:val="000000"/>
              <w:sz w:val="17"/>
            </w:rPr>
            <w:t>Agenor Rufino - OAB/PE 62.751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