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120" w:before="0"/>
        <w:jc w:val="center"/>
      </w:pPr>
      <w:r>
        <w:rPr>
          <w:rFonts w:ascii="Segoe UI Emoji" w:cs="Segoe UI Emoji" w:eastAsia="Segoe UI Emoji" w:hAnsi="Segoe UI Emoji"/>
          <w:sz w:val="72"/>
          <w:szCs w:val="72"/>
        </w:rPr>
        <w:t xml:space="preserve">🛡️</w:t>
      </w:r>
    </w:p>
    <w:p>
      <w:pPr>
        <w:spacing w:after="80" w:before="0"/>
        <w:jc w:val="center"/>
      </w:pPr>
      <w:r>
        <w:rPr>
          <w:rFonts w:ascii="Arial" w:cs="Arial" w:eastAsia="Arial" w:hAnsi="Arial"/>
          <w:b/>
          <w:bCs/>
          <w:color w:val="0078D4"/>
          <w:sz w:val="40"/>
          <w:szCs w:val="40"/>
        </w:rPr>
        <w:t xml:space="preserve">INFORME DE INCIDENTE DE SEGURIDAD</w:t>
      </w:r>
    </w:p>
    <w:p>
      <w:pPr>
        <w:spacing w:after="80" w:before="0"/>
        <w:jc w:val="center"/>
      </w:pPr>
      <w:r>
        <w:rPr>
          <w:rFonts w:ascii="Arial" w:cs="Arial" w:eastAsia="Arial" w:hAnsi="Arial"/>
          <w:color w:val="444444"/>
          <w:sz w:val="28"/>
          <w:szCs w:val="28"/>
        </w:rPr>
        <w:t xml:space="preserve">Laboratorio SIEM — Microsoft Sentinel en Azure</w:t>
      </w:r>
    </w:p>
    <w:p>
      <w:pPr>
        <w:spacing w:after="480" w:before="0"/>
        <w:jc w:val="center"/>
      </w:pPr>
      <w:r>
        <w:rPr>
          <w:rFonts w:ascii="Arial" w:cs="Arial" w:eastAsia="Arial" w:hAnsi="Arial"/>
          <w:color w:val="888888"/>
          <w:sz w:val="22"/>
          <w:szCs w:val="22"/>
        </w:rPr>
        <w:t xml:space="preserve">Infraestructura Windows Server 2022 · Active Directory · KQL</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78D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Analista</w:t>
            </w:r>
          </w:p>
        </w:tc>
        <w:tc>
          <w:tcPr>
            <w:tcW w:type="dxa" w:w="2340"/>
            <w:tcBorders>
              <w:top w:val="single" w:color="CCCCCC" w:sz="1"/>
              <w:left w:val="single" w:color="CCCCCC" w:sz="1"/>
              <w:bottom w:val="single" w:color="CCCCCC" w:sz="1"/>
              <w:right w:val="single" w:color="CCCCCC" w:sz="1"/>
            </w:tcBorders>
            <w:shd w:fill="0078D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Fecha</w:t>
            </w:r>
          </w:p>
        </w:tc>
        <w:tc>
          <w:tcPr>
            <w:tcW w:type="dxa" w:w="2340"/>
            <w:tcBorders>
              <w:top w:val="single" w:color="CCCCCC" w:sz="1"/>
              <w:left w:val="single" w:color="CCCCCC" w:sz="1"/>
              <w:bottom w:val="single" w:color="CCCCCC" w:sz="1"/>
              <w:right w:val="single" w:color="CCCCCC" w:sz="1"/>
            </w:tcBorders>
            <w:shd w:fill="0078D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Entorno</w:t>
            </w:r>
          </w:p>
        </w:tc>
        <w:tc>
          <w:tcPr>
            <w:tcW w:type="dxa" w:w="2340"/>
            <w:tcBorders>
              <w:top w:val="single" w:color="CCCCCC" w:sz="1"/>
              <w:left w:val="single" w:color="CCCCCC" w:sz="1"/>
              <w:bottom w:val="single" w:color="CCCCCC" w:sz="1"/>
              <w:right w:val="single" w:color="CCCCCC" w:sz="1"/>
            </w:tcBorders>
            <w:shd w:fill="0078D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Estado</w:t>
            </w:r>
          </w:p>
        </w:tc>
      </w:tr>
      <w:tr>
        <w:tc>
          <w:tcPr>
            <w:tcW w:type="dxa" w:w="2340"/>
            <w:tcBorders>
              <w:top w:val="single" w:color="CCCCCC" w:sz="1"/>
              <w:left w:val="single" w:color="CCCCCC" w:sz="1"/>
              <w:bottom w:val="single" w:color="CCCCCC" w:sz="1"/>
              <w:right w:val="single" w:color="CCCCCC" w:sz="1"/>
            </w:tcBorders>
            <w:shd w:fill="F5FAFF" w:val="clear"/>
            <w:tcMar>
              <w:top w:type="dxa" w:w="100"/>
              <w:left w:type="dxa" w:w="120"/>
              <w:bottom w:type="dxa" w:w="100"/>
              <w:right w:type="dxa" w:w="120"/>
            </w:tcMar>
          </w:tcPr>
          <w:p>
            <w:pPr>
              <w:jc w:val="center"/>
            </w:pPr>
            <w:r>
              <w:rPr>
                <w:rFonts w:ascii="Arial" w:cs="Arial" w:eastAsia="Arial" w:hAnsi="Arial"/>
                <w:sz w:val="20"/>
                <w:szCs w:val="20"/>
              </w:rPr>
              <w:t xml:space="preserve">Julián Amell Romero</w:t>
            </w:r>
          </w:p>
        </w:tc>
        <w:tc>
          <w:tcPr>
            <w:tcW w:type="dxa" w:w="2340"/>
            <w:tcBorders>
              <w:top w:val="single" w:color="CCCCCC" w:sz="1"/>
              <w:left w:val="single" w:color="CCCCCC" w:sz="1"/>
              <w:bottom w:val="single" w:color="CCCCCC" w:sz="1"/>
              <w:right w:val="single" w:color="CCCCCC" w:sz="1"/>
            </w:tcBorders>
            <w:shd w:fill="F5FAFF" w:val="clear"/>
            <w:tcMar>
              <w:top w:type="dxa" w:w="100"/>
              <w:left w:type="dxa" w:w="120"/>
              <w:bottom w:type="dxa" w:w="100"/>
              <w:right w:type="dxa" w:w="120"/>
            </w:tcMar>
          </w:tcPr>
          <w:p>
            <w:pPr>
              <w:jc w:val="center"/>
            </w:pPr>
            <w:r>
              <w:rPr>
                <w:rFonts w:ascii="Arial" w:cs="Arial" w:eastAsia="Arial" w:hAnsi="Arial"/>
                <w:sz w:val="20"/>
                <w:szCs w:val="20"/>
              </w:rPr>
              <w:t xml:space="preserve">07/04/2026</w:t>
            </w:r>
          </w:p>
        </w:tc>
        <w:tc>
          <w:tcPr>
            <w:tcW w:type="dxa" w:w="2340"/>
            <w:tcBorders>
              <w:top w:val="single" w:color="CCCCCC" w:sz="1"/>
              <w:left w:val="single" w:color="CCCCCC" w:sz="1"/>
              <w:bottom w:val="single" w:color="CCCCCC" w:sz="1"/>
              <w:right w:val="single" w:color="CCCCCC" w:sz="1"/>
            </w:tcBorders>
            <w:shd w:fill="F5FAFF" w:val="clear"/>
            <w:tcMar>
              <w:top w:type="dxa" w:w="100"/>
              <w:left w:type="dxa" w:w="120"/>
              <w:bottom w:type="dxa" w:w="100"/>
              <w:right w:type="dxa" w:w="120"/>
            </w:tcMar>
          </w:tcPr>
          <w:p>
            <w:pPr>
              <w:jc w:val="center"/>
            </w:pPr>
            <w:r>
              <w:rPr>
                <w:rFonts w:ascii="Arial" w:cs="Arial" w:eastAsia="Arial" w:hAnsi="Arial"/>
                <w:sz w:val="20"/>
                <w:szCs w:val="20"/>
              </w:rPr>
              <w:t xml:space="preserve">Azure (2 VMs)</w:t>
            </w:r>
          </w:p>
        </w:tc>
        <w:tc>
          <w:tcPr>
            <w:tcW w:type="dxa" w:w="2340"/>
            <w:tcBorders>
              <w:top w:val="single" w:color="CCCCCC" w:sz="1"/>
              <w:left w:val="single" w:color="CCCCCC" w:sz="1"/>
              <w:bottom w:val="single" w:color="CCCCCC" w:sz="1"/>
              <w:right w:val="single" w:color="CCCCCC" w:sz="1"/>
            </w:tcBorders>
            <w:shd w:fill="F5FAFF" w:val="clear"/>
            <w:tcMar>
              <w:top w:type="dxa" w:w="100"/>
              <w:left w:type="dxa" w:w="120"/>
              <w:bottom w:type="dxa" w:w="100"/>
              <w:right w:type="dxa" w:w="120"/>
            </w:tcMar>
          </w:tcPr>
          <w:p>
            <w:pPr>
              <w:jc w:val="center"/>
            </w:pPr>
            <w:r>
              <w:rPr>
                <w:rFonts w:ascii="Arial" w:cs="Arial" w:eastAsia="Arial" w:hAnsi="Arial"/>
                <w:sz w:val="20"/>
                <w:szCs w:val="20"/>
              </w:rPr>
              <w:t xml:space="preserve">✅ Cerrado</w:t>
            </w:r>
          </w:p>
        </w:tc>
      </w:tr>
    </w:tbl>
    <w:p>
      <w:pPr>
        <w:spacing w:after="0" w:before="120"/>
      </w:pPr>
      <w:r>
        <w:t xml:space="preserve"/>
      </w:r>
    </w:p>
    <w:p>
      <w:pPr>
        <w:pBdr>
          <w:bottom w:val="single" w:color="CCCCCC" w:sz="2" w:space="1"/>
        </w:pBdr>
        <w:spacing w:after="160" w:before="160"/>
      </w:pPr>
      <w:r>
        <w:t xml:space="preserve"/>
      </w:r>
    </w:p>
    <w:p>
      <w:pPr>
        <w:pStyle w:val="Heading1"/>
        <w:pBdr>
          <w:bottom w:val="single" w:color="0078D4" w:sz="4" w:space="4"/>
        </w:pBdr>
        <w:spacing w:after="160" w:before="320"/>
      </w:pPr>
      <w:r>
        <w:rPr>
          <w:rFonts w:ascii="Arial" w:cs="Arial" w:eastAsia="Arial" w:hAnsi="Arial"/>
          <w:b/>
          <w:bCs/>
          <w:color w:val="0078D4"/>
          <w:sz w:val="28"/>
          <w:szCs w:val="28"/>
        </w:rPr>
        <w:t xml:space="preserve">1. Descripción del Entorno</w:t>
      </w:r>
    </w:p>
    <w:p>
      <w:pPr>
        <w:spacing w:after="80" w:before="80"/>
      </w:pPr>
      <w:r>
        <w:rPr>
          <w:rFonts w:ascii="Arial" w:cs="Arial" w:eastAsia="Arial" w:hAnsi="Arial"/>
          <w:sz w:val="22"/>
          <w:szCs w:val="22"/>
        </w:rPr>
        <w:t xml:space="preserve">Este laboratorio es una extensión del entorno de Active Directory desplegado en Azure con dos máquinas virtuales Windows Server 2022. En esta fase se incorporó Microsoft Sentinel como plataforma SIEM (Security Information and Event Management) para la detección y análisis de eventos de seguridad en tiempo real.</w:t>
      </w:r>
    </w:p>
    <w:p>
      <w:pPr>
        <w:spacing w:after="0" w:before="120"/>
      </w:pPr>
      <w:r>
        <w:t xml:space="preserve"/>
      </w:r>
    </w:p>
    <w:p>
      <w:pPr>
        <w:pStyle w:val="Heading2"/>
        <w:spacing w:after="120" w:before="240"/>
      </w:pPr>
      <w:r>
        <w:rPr>
          <w:rFonts w:ascii="Arial" w:cs="Arial" w:eastAsia="Arial" w:hAnsi="Arial"/>
          <w:b/>
          <w:bCs/>
          <w:color w:val="1F3864"/>
          <w:sz w:val="24"/>
          <w:szCs w:val="24"/>
        </w:rPr>
        <w:t xml:space="preserve">Componentes desplegados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Plataforma SIEM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Microsoft Sentinel</w:t>
            </w:r>
          </w:p>
        </w:tc>
      </w:tr>
      <w:tr>
        <w:tc>
          <w:tcPr>
            <w:tcW w:type="dxa" w:w="28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Workspace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 Analytics Workspace (Azure)</w:t>
            </w:r>
          </w:p>
        </w:tc>
      </w:tr>
      <w:tr>
        <w:tc>
          <w:tcPr>
            <w:tcW w:type="dxa" w:w="28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Agente de logs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Monitor Agent (AMA)</w:t>
            </w:r>
          </w:p>
        </w:tc>
      </w:tr>
      <w:tr>
        <w:tc>
          <w:tcPr>
            <w:tcW w:type="dxa" w:w="28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Conector activo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Windows Security Events</w:t>
            </w:r>
          </w:p>
        </w:tc>
      </w:tr>
      <w:tr>
        <w:tc>
          <w:tcPr>
            <w:tcW w:type="dxa" w:w="28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Sistema operativo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Windows Server 2022</w:t>
            </w:r>
          </w:p>
        </w:tc>
      </w:tr>
      <w:tr>
        <w:tc>
          <w:tcPr>
            <w:tcW w:type="dxa" w:w="28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Directorio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 Directory Domain Services</w:t>
            </w:r>
          </w:p>
        </w:tc>
      </w:tr>
      <w:tr>
        <w:tc>
          <w:tcPr>
            <w:tcW w:type="dxa" w:w="28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Lenguaje de consulta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KQL (Kusto Query Language)</w:t>
            </w:r>
          </w:p>
        </w:tc>
      </w:tr>
      <w:tr>
        <w:tc>
          <w:tcPr>
            <w:tcW w:type="dxa" w:w="28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Infraestructura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VMs en Microsoft Azure</w:t>
            </w:r>
          </w:p>
        </w:tc>
      </w:tr>
    </w:tbl>
    <w:p>
      <w:pPr>
        <w:spacing w:after="0" w:before="120"/>
      </w:pPr>
      <w:r>
        <w:t xml:space="preserve"/>
      </w:r>
    </w:p>
    <w:p>
      <w:pPr>
        <w:spacing w:after="80" w:before="80"/>
      </w:pPr>
      <w:r>
        <w:rPr>
          <w:rFonts w:ascii="Arial" w:cs="Arial" w:eastAsia="Arial" w:hAnsi="Arial"/>
          <w:sz w:val="22"/>
          <w:szCs w:val="22"/>
        </w:rPr>
        <w:t xml:space="preserve">El Azure Monitor Agent fue instalado en ambos servidores para capturar los logs de seguridad de Windows y enviarlos al Log Analytics Workspace conectado a Sentinel, permitiendo visibilidad centralizada de todos los eventos del entorno.</w:t>
      </w:r>
    </w:p>
    <w:p>
      <w:pPr>
        <w:spacing w:after="0" w:before="120"/>
      </w:pPr>
      <w:r>
        <w:t xml:space="preserve"/>
      </w:r>
    </w:p>
    <w:p>
      <w:pPr>
        <w:pBdr>
          <w:bottom w:val="single" w:color="CCCCCC" w:sz="2" w:space="1"/>
        </w:pBdr>
        <w:spacing w:after="160" w:before="160"/>
      </w:pPr>
      <w:r>
        <w:t xml:space="preserve"/>
      </w:r>
    </w:p>
    <w:p>
      <w:pPr>
        <w:pStyle w:val="Heading1"/>
        <w:pBdr>
          <w:bottom w:val="single" w:color="0078D4" w:sz="4" w:space="4"/>
        </w:pBdr>
        <w:spacing w:after="160" w:before="320"/>
      </w:pPr>
      <w:r>
        <w:rPr>
          <w:rFonts w:ascii="Arial" w:cs="Arial" w:eastAsia="Arial" w:hAnsi="Arial"/>
          <w:b/>
          <w:bCs/>
          <w:color w:val="0078D4"/>
          <w:sz w:val="28"/>
          <w:szCs w:val="28"/>
        </w:rPr>
        <w:t xml:space="preserve">2. Escenario 1 — Intento de Acceso con Usuario Inexistente</w:t>
      </w:r>
    </w:p>
    <w:p>
      <w:pPr>
        <w:spacing w:after="0" w:before="120"/>
      </w:pPr>
      <w:r>
        <w:t xml:space="preserve"/>
      </w:r>
    </w:p>
    <w:p>
      <w:pPr>
        <w:pStyle w:val="Heading2"/>
        <w:spacing w:after="120" w:before="240"/>
      </w:pPr>
      <w:r>
        <w:rPr>
          <w:rFonts w:ascii="Arial" w:cs="Arial" w:eastAsia="Arial" w:hAnsi="Arial"/>
          <w:b/>
          <w:bCs/>
          <w:color w:val="1F3864"/>
          <w:sz w:val="24"/>
          <w:szCs w:val="24"/>
        </w:rPr>
        <w:t xml:space="preserve">2.1 Resumen del Incidente</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ID de Evento Windows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4625 — An account failed to log on</w:t>
            </w:r>
          </w:p>
        </w:tc>
      </w:tr>
      <w:tr>
        <w:tc>
          <w:tcPr>
            <w:tcW w:type="dxa" w:w="28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Fecha / Hora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07/04/2026 — 3:02:33.816 a.m.</w:t>
            </w:r>
          </w:p>
        </w:tc>
      </w:tr>
      <w:tr>
        <w:tc>
          <w:tcPr>
            <w:tcW w:type="dxa" w:w="28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Analista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Julián Amell Romero</w:t>
            </w:r>
          </w:p>
        </w:tc>
      </w:tr>
      <w:tr>
        <w:tc>
          <w:tcPr>
            <w:tcW w:type="dxa" w:w="28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Gravedad actual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Baja — 1 intento aislado</w:t>
            </w:r>
          </w:p>
        </w:tc>
      </w:tr>
      <w:tr>
        <w:tc>
          <w:tcPr>
            <w:tcW w:type="dxa" w:w="28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Gravedad escalable a</w:t>
            </w:r>
          </w:p>
        </w:tc>
        <w:tc>
          <w:tcPr>
            <w:tcW w:type="dxa" w:w="6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C00000"/>
                <w:sz w:val="20"/>
                <w:szCs w:val="20"/>
              </w:rPr>
              <w:t xml:space="preserve">ALTA — si se repite en masa (fuerza bruta)</w:t>
            </w:r>
          </w:p>
        </w:tc>
      </w:tr>
      <w:tr>
        <w:tc>
          <w:tcPr>
            <w:tcW w:type="dxa" w:w="28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Estado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Cerrado / Investigado</w:t>
            </w:r>
          </w:p>
        </w:tc>
      </w:tr>
    </w:tbl>
    <w:p>
      <w:pPr>
        <w:spacing w:after="0" w:before="120"/>
      </w:pPr>
      <w:r>
        <w:t xml:space="preserve"/>
      </w:r>
    </w:p>
    <w:p>
      <w:pPr>
        <w:pStyle w:val="Heading2"/>
        <w:spacing w:after="120" w:before="240"/>
      </w:pPr>
      <w:r>
        <w:rPr>
          <w:rFonts w:ascii="Arial" w:cs="Arial" w:eastAsia="Arial" w:hAnsi="Arial"/>
          <w:b/>
          <w:bCs/>
          <w:color w:val="1F3864"/>
          <w:sz w:val="24"/>
          <w:szCs w:val="24"/>
        </w:rPr>
        <w:t xml:space="preserve">2.2 Descripción del Evento</w:t>
      </w:r>
    </w:p>
    <w:p>
      <w:pPr>
        <w:spacing w:after="80" w:before="80"/>
      </w:pPr>
      <w:r>
        <w:rPr>
          <w:rFonts w:ascii="Arial" w:cs="Arial" w:eastAsia="Arial" w:hAnsi="Arial"/>
          <w:sz w:val="22"/>
          <w:szCs w:val="22"/>
        </w:rPr>
        <w:t xml:space="preserve">Se simuló un intento de inicio de sesión en el servidor cliente utilizando la cuenta inexistente 'joker'. El evento fue capturado automáticamente por Microsoft Sentinel a través del conector de Windows Security Events y detectado mediante una consulta KQL en la tabla SecurityEvent.</w:t>
      </w:r>
    </w:p>
    <w:p>
      <w:pPr>
        <w:spacing w:after="0" w:before="120"/>
      </w:pPr>
      <w:r>
        <w:t xml:space="preserve"/>
      </w:r>
    </w:p>
    <w:p>
      <w:pPr>
        <w:spacing w:after="80" w:before="80"/>
      </w:pPr>
      <w:r>
        <w:rPr>
          <w:rFonts w:ascii="Arial" w:cs="Arial" w:eastAsia="Arial" w:hAnsi="Arial"/>
          <w:sz w:val="22"/>
          <w:szCs w:val="22"/>
        </w:rPr>
        <w:t xml:space="preserve">El Event ID 4625 indica un fallo de autenticación. Un solo evento tiene gravedad baja, pero esta misma detección aplicada a escala (cientos de intentos en minutos) indicaría un ataque de fuerza bruta, lo que elevaría la gravedad a Alta y requeriría bloqueo inmediato de la IP origen.</w:t>
      </w:r>
    </w:p>
    <w:p>
      <w:pPr>
        <w:spacing w:after="0" w:before="120"/>
      </w:pPr>
      <w:r>
        <w:t xml:space="preserve"/>
      </w:r>
    </w:p>
    <w:p>
      <w:pPr>
        <w:pStyle w:val="Heading2"/>
        <w:spacing w:after="120" w:before="240"/>
      </w:pPr>
      <w:r>
        <w:rPr>
          <w:rFonts w:ascii="Arial" w:cs="Arial" w:eastAsia="Arial" w:hAnsi="Arial"/>
          <w:b/>
          <w:bCs/>
          <w:color w:val="1F3864"/>
          <w:sz w:val="24"/>
          <w:szCs w:val="24"/>
        </w:rPr>
        <w:t xml:space="preserve">2.3 Consulta KQL Utilizada</w:t>
      </w:r>
    </w:p>
    <w:p>
      <w:pPr>
        <w:spacing w:after="80" w:before="80"/>
      </w:pPr>
      <w:r>
        <w:rPr>
          <w:rFonts w:ascii="Arial" w:cs="Arial" w:eastAsia="Arial" w:hAnsi="Arial"/>
          <w:sz w:val="22"/>
          <w:szCs w:val="22"/>
        </w:rPr>
        <w:t xml:space="preserve">La siguiente consulta extrae los eventos de login fallido filtrados por la cuenta 'joker':</w:t>
      </w:r>
    </w:p>
    <w:p>
      <w:pPr>
        <w:spacing w:after="0" w:before="120"/>
      </w:pPr>
      <w:r>
        <w:t xml:space="preserve"/>
      </w:r>
    </w:p>
    <w:p>
      <w:pPr>
        <w:pBdr>
          <w:top w:val="single" w:color="CCCCCC" w:sz="1"/>
          <w:bottom w:val="single" w:color="CCCCCC" w:sz="1"/>
          <w:left w:val="thick" w:color="0078D4" w:sz="8"/>
          <w:right w:val="none"/>
        </w:pBdr>
        <w:shd w:fill="F0F0F0" w:val="clear"/>
        <w:spacing w:after="120" w:before="120"/>
        <w:ind w:left="360"/>
      </w:pPr>
      <w:r>
        <w:rPr>
          <w:rFonts w:ascii="Courier New" w:cs="Courier New" w:eastAsia="Courier New" w:hAnsi="Courier New"/>
          <w:color w:val="1a1a2e"/>
          <w:sz w:val="18"/>
          <w:szCs w:val="18"/>
        </w:rPr>
        <w:t xml:space="preserve">SecurityEvent</w:t>
        <w:br/>
        <w:t xml:space="preserve">| where EventID == 4625</w:t>
        <w:br/>
        <w:t xml:space="preserve">| where Account has "joker"</w:t>
        <w:br/>
        <w:t xml:space="preserve">| project TimeGenerated, Computer, Account, IpAddress, Status</w:t>
      </w:r>
    </w:p>
    <w:p>
      <w:pPr>
        <w:spacing w:after="0" w:before="120"/>
      </w:pPr>
      <w:r>
        <w:t xml:space="preserve"/>
      </w:r>
    </w:p>
    <w:p>
      <w:pPr>
        <w:pStyle w:val="Heading2"/>
        <w:spacing w:after="120" w:before="240"/>
      </w:pPr>
      <w:r>
        <w:rPr>
          <w:rFonts w:ascii="Arial" w:cs="Arial" w:eastAsia="Arial" w:hAnsi="Arial"/>
          <w:b/>
          <w:bCs/>
          <w:color w:val="1F3864"/>
          <w:sz w:val="24"/>
          <w:szCs w:val="24"/>
        </w:rPr>
        <w:t xml:space="preserve">2.4 Campos Relevantes del Evento</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TimeGenerated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07/04/2026 03:02:33.816 UTC</w:t>
            </w:r>
          </w:p>
        </w:tc>
      </w:tr>
      <w:tr>
        <w:tc>
          <w:tcPr>
            <w:tcW w:type="dxa" w:w="28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EventID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4625</w:t>
            </w:r>
          </w:p>
        </w:tc>
      </w:tr>
      <w:tr>
        <w:tc>
          <w:tcPr>
            <w:tcW w:type="dxa" w:w="28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Account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joker (cuenta inexistente)</w:t>
            </w:r>
          </w:p>
        </w:tc>
      </w:tr>
      <w:tr>
        <w:tc>
          <w:tcPr>
            <w:tcW w:type="dxa" w:w="28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Computer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Servidor cliente del entorno AD</w:t>
            </w:r>
          </w:p>
        </w:tc>
      </w:tr>
      <w:tr>
        <w:tc>
          <w:tcPr>
            <w:tcW w:type="dxa" w:w="28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IpAddress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IP origen del intento</w:t>
            </w:r>
          </w:p>
        </w:tc>
      </w:tr>
      <w:tr>
        <w:tc>
          <w:tcPr>
            <w:tcW w:type="dxa" w:w="28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Fallo de autenticación</w:t>
            </w:r>
          </w:p>
        </w:tc>
      </w:tr>
    </w:tbl>
    <w:p>
      <w:pPr>
        <w:spacing w:after="0" w:before="120"/>
      </w:pPr>
      <w:r>
        <w:t xml:space="preserve"/>
      </w:r>
    </w:p>
    <w:p>
      <w:pPr>
        <w:pStyle w:val="Heading2"/>
        <w:spacing w:after="120" w:before="240"/>
      </w:pPr>
      <w:r>
        <w:rPr>
          <w:rFonts w:ascii="Arial" w:cs="Arial" w:eastAsia="Arial" w:hAnsi="Arial"/>
          <w:b/>
          <w:bCs/>
          <w:color w:val="1F3864"/>
          <w:sz w:val="24"/>
          <w:szCs w:val="24"/>
        </w:rPr>
        <w:t xml:space="preserve">2.5 Análisis y Conclusión</w:t>
      </w:r>
    </w:p>
    <w:p>
      <w:pPr>
        <w:pStyle w:val="ListParagraph"/>
        <w:numPr>
          <w:ilvl w:val="0"/>
          <w:numId w:val="2"/>
        </w:numPr>
        <w:spacing w:after="60" w:before="60"/>
      </w:pPr>
      <w:r>
        <w:rPr>
          <w:rFonts w:ascii="Arial" w:cs="Arial" w:eastAsia="Arial" w:hAnsi="Arial"/>
          <w:sz w:val="22"/>
          <w:szCs w:val="22"/>
        </w:rPr>
        <w:t xml:space="preserve">El intento fue único y aislado — no representa una amenaza inmediata.</w:t>
      </w:r>
    </w:p>
    <w:p>
      <w:pPr>
        <w:pStyle w:val="ListParagraph"/>
        <w:numPr>
          <w:ilvl w:val="0"/>
          <w:numId w:val="2"/>
        </w:numPr>
        <w:spacing w:after="60" w:before="60"/>
      </w:pPr>
      <w:r>
        <w:rPr>
          <w:rFonts w:ascii="Arial" w:cs="Arial" w:eastAsia="Arial" w:hAnsi="Arial"/>
          <w:sz w:val="22"/>
          <w:szCs w:val="22"/>
        </w:rPr>
        <w:t xml:space="preserve">La detección fue exitosa: Sentinel capturó el evento en tiempo real.</w:t>
      </w:r>
    </w:p>
    <w:p>
      <w:pPr>
        <w:pStyle w:val="ListParagraph"/>
        <w:numPr>
          <w:ilvl w:val="0"/>
          <w:numId w:val="2"/>
        </w:numPr>
        <w:spacing w:after="60" w:before="60"/>
      </w:pPr>
      <w:r>
        <w:rPr>
          <w:rFonts w:ascii="Arial" w:cs="Arial" w:eastAsia="Arial" w:hAnsi="Arial"/>
          <w:sz w:val="22"/>
          <w:szCs w:val="22"/>
        </w:rPr>
        <w:t xml:space="preserve">Un patrón de múltiples Event ID 4625 desde la misma IP en un corto período indicaría fuerza bruta y requeriría respuesta activa.</w:t>
      </w:r>
    </w:p>
    <w:p>
      <w:pPr>
        <w:pStyle w:val="ListParagraph"/>
        <w:numPr>
          <w:ilvl w:val="0"/>
          <w:numId w:val="2"/>
        </w:numPr>
        <w:spacing w:after="60" w:before="60"/>
      </w:pPr>
      <w:r>
        <w:rPr>
          <w:rFonts w:ascii="Arial" w:cs="Arial" w:eastAsia="Arial" w:hAnsi="Arial"/>
          <w:sz w:val="22"/>
          <w:szCs w:val="22"/>
        </w:rPr>
        <w:t xml:space="preserve">Acción recomendada en entorno productivo: crear una regla de alerta en Sentinel para disparar si EventID 4625 supera 10 intentos en 5 minutos desde la misma IP.</w:t>
      </w:r>
    </w:p>
    <w:p>
      <w:pPr>
        <w:spacing w:after="0" w:before="120"/>
      </w:pPr>
      <w:r>
        <w:t xml:space="preserve"/>
      </w:r>
    </w:p>
    <w:p>
      <w:pPr>
        <w:pBdr>
          <w:bottom w:val="single" w:color="CCCCCC" w:sz="2" w:space="1"/>
        </w:pBdr>
        <w:spacing w:after="160" w:before="160"/>
      </w:pPr>
      <w:r>
        <w:t xml:space="preserve"/>
      </w:r>
    </w:p>
    <w:p>
      <w:pPr>
        <w:pStyle w:val="Heading1"/>
        <w:pBdr>
          <w:bottom w:val="single" w:color="0078D4" w:sz="4" w:space="4"/>
        </w:pBdr>
        <w:spacing w:after="160" w:before="320"/>
      </w:pPr>
      <w:r>
        <w:rPr>
          <w:rFonts w:ascii="Arial" w:cs="Arial" w:eastAsia="Arial" w:hAnsi="Arial"/>
          <w:b/>
          <w:bCs/>
          <w:color w:val="0078D4"/>
          <w:sz w:val="28"/>
          <w:szCs w:val="28"/>
        </w:rPr>
        <w:t xml:space="preserve">3. Escenario 2 — Detección de Sesión RDP Remota</w:t>
      </w:r>
    </w:p>
    <w:p>
      <w:pPr>
        <w:spacing w:after="0" w:before="120"/>
      </w:pPr>
      <w:r>
        <w:t xml:space="preserve"/>
      </w:r>
    </w:p>
    <w:p>
      <w:pPr>
        <w:pStyle w:val="Heading2"/>
        <w:spacing w:after="120" w:before="240"/>
      </w:pPr>
      <w:r>
        <w:rPr>
          <w:rFonts w:ascii="Arial" w:cs="Arial" w:eastAsia="Arial" w:hAnsi="Arial"/>
          <w:b/>
          <w:bCs/>
          <w:color w:val="1F3864"/>
          <w:sz w:val="24"/>
          <w:szCs w:val="24"/>
        </w:rPr>
        <w:t xml:space="preserve">3.1 Resumen del Evento</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ID de Evento Windows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4624 — An account was successfully logged on</w:t>
            </w:r>
          </w:p>
        </w:tc>
      </w:tr>
      <w:tr>
        <w:tc>
          <w:tcPr>
            <w:tcW w:type="dxa" w:w="28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LogonType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 — RemoteInteractive (RDP)</w:t>
            </w:r>
          </w:p>
        </w:tc>
      </w:tr>
      <w:tr>
        <w:tc>
          <w:tcPr>
            <w:tcW w:type="dxa" w:w="28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Descripción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Inicio de sesión exitoso vía Escritorio Remoto</w:t>
            </w:r>
          </w:p>
        </w:tc>
      </w:tr>
      <w:tr>
        <w:tc>
          <w:tcPr>
            <w:tcW w:type="dxa" w:w="28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Relevancia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Detectar acceso remoto no autorizado a servidores</w:t>
            </w:r>
          </w:p>
        </w:tc>
      </w:tr>
      <w:tr>
        <w:tc>
          <w:tcPr>
            <w:tcW w:type="dxa" w:w="28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Estado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Monitoreo activo</w:t>
            </w:r>
          </w:p>
        </w:tc>
      </w:tr>
    </w:tbl>
    <w:p>
      <w:pPr>
        <w:spacing w:after="0" w:before="120"/>
      </w:pPr>
      <w:r>
        <w:t xml:space="preserve"/>
      </w:r>
    </w:p>
    <w:p>
      <w:pPr>
        <w:pStyle w:val="Heading2"/>
        <w:spacing w:after="120" w:before="240"/>
      </w:pPr>
      <w:r>
        <w:rPr>
          <w:rFonts w:ascii="Arial" w:cs="Arial" w:eastAsia="Arial" w:hAnsi="Arial"/>
          <w:b/>
          <w:bCs/>
          <w:color w:val="1F3864"/>
          <w:sz w:val="24"/>
          <w:szCs w:val="24"/>
        </w:rPr>
        <w:t xml:space="preserve">3.2 Descripción del Escenario</w:t>
      </w:r>
    </w:p>
    <w:p>
      <w:pPr>
        <w:spacing w:after="80" w:before="80"/>
      </w:pPr>
      <w:r>
        <w:rPr>
          <w:rFonts w:ascii="Arial" w:cs="Arial" w:eastAsia="Arial" w:hAnsi="Arial"/>
          <w:sz w:val="22"/>
          <w:szCs w:val="22"/>
        </w:rPr>
        <w:t xml:space="preserve">El LogonType 10 identifica sesiones iniciadas mediante Remote Desktop Protocol (RDP). Este tipo de acceso es legítimo cuando lo realiza un administrador autorizado, pero es una técnica frecuente en ataques de movimiento lateral. Detectarlo permite identificar accesos remotos sospechosos, especialmente fuera de horario o desde IPs no reconocidas.</w:t>
      </w:r>
    </w:p>
    <w:p>
      <w:pPr>
        <w:spacing w:after="0" w:before="120"/>
      </w:pPr>
      <w:r>
        <w:t xml:space="preserve"/>
      </w:r>
    </w:p>
    <w:p>
      <w:pPr>
        <w:spacing w:after="80" w:before="80"/>
      </w:pPr>
      <w:r>
        <w:rPr>
          <w:rFonts w:ascii="Arial" w:cs="Arial" w:eastAsia="Arial" w:hAnsi="Arial"/>
          <w:sz w:val="22"/>
          <w:szCs w:val="22"/>
        </w:rPr>
        <w:t xml:space="preserve">En esta prueba se inició sesión en uno de los servidores por RDP con la cuenta de administrador para validar que Sentinel detecta correctamente el LogonType 10.</w:t>
      </w:r>
    </w:p>
    <w:p>
      <w:pPr>
        <w:spacing w:after="0" w:before="120"/>
      </w:pPr>
      <w:r>
        <w:t xml:space="preserve"/>
      </w:r>
    </w:p>
    <w:p>
      <w:pPr>
        <w:pStyle w:val="Heading2"/>
        <w:spacing w:after="120" w:before="240"/>
      </w:pPr>
      <w:r>
        <w:rPr>
          <w:rFonts w:ascii="Arial" w:cs="Arial" w:eastAsia="Arial" w:hAnsi="Arial"/>
          <w:b/>
          <w:bCs/>
          <w:color w:val="1F3864"/>
          <w:sz w:val="24"/>
          <w:szCs w:val="24"/>
        </w:rPr>
        <w:t xml:space="preserve">3.3 Consulta KQL Utilizada</w:t>
      </w:r>
    </w:p>
    <w:p>
      <w:pPr>
        <w:pBdr>
          <w:top w:val="single" w:color="CCCCCC" w:sz="1"/>
          <w:bottom w:val="single" w:color="CCCCCC" w:sz="1"/>
          <w:left w:val="thick" w:color="0078D4" w:sz="8"/>
          <w:right w:val="none"/>
        </w:pBdr>
        <w:shd w:fill="F0F0F0" w:val="clear"/>
        <w:spacing w:after="120" w:before="120"/>
        <w:ind w:left="360"/>
      </w:pPr>
      <w:r>
        <w:rPr>
          <w:rFonts w:ascii="Courier New" w:cs="Courier New" w:eastAsia="Courier New" w:hAnsi="Courier New"/>
          <w:color w:val="1a1a2e"/>
          <w:sz w:val="18"/>
          <w:szCs w:val="18"/>
        </w:rPr>
        <w:t xml:space="preserve">SecurityEvent</w:t>
        <w:br/>
        <w:t xml:space="preserve">| where EventID == 4624</w:t>
        <w:br/>
        <w:t xml:space="preserve">| where LogonType == 10</w:t>
        <w:br/>
        <w:t xml:space="preserve">| project TimeGenerated, Computer, Account, IpAddress, LogonTypeName = "RDP"</w:t>
      </w:r>
    </w:p>
    <w:p>
      <w:pPr>
        <w:spacing w:after="0" w:before="120"/>
      </w:pPr>
      <w:r>
        <w:t xml:space="preserve"/>
      </w:r>
    </w:p>
    <w:p>
      <w:pPr>
        <w:pStyle w:val="Heading2"/>
        <w:spacing w:after="120" w:before="240"/>
      </w:pPr>
      <w:r>
        <w:rPr>
          <w:rFonts w:ascii="Arial" w:cs="Arial" w:eastAsia="Arial" w:hAnsi="Arial"/>
          <w:b/>
          <w:bCs/>
          <w:color w:val="1F3864"/>
          <w:sz w:val="24"/>
          <w:szCs w:val="24"/>
        </w:rPr>
        <w:t xml:space="preserve">3.4 Análisis y Conclusión</w:t>
      </w:r>
    </w:p>
    <w:p>
      <w:pPr>
        <w:pStyle w:val="ListParagraph"/>
        <w:numPr>
          <w:ilvl w:val="0"/>
          <w:numId w:val="2"/>
        </w:numPr>
        <w:spacing w:after="60" w:before="60"/>
      </w:pPr>
      <w:r>
        <w:rPr>
          <w:rFonts w:ascii="Arial" w:cs="Arial" w:eastAsia="Arial" w:hAnsi="Arial"/>
          <w:sz w:val="22"/>
          <w:szCs w:val="22"/>
        </w:rPr>
        <w:t xml:space="preserve">El acceso RDP quedó registrado correctamente en Sentinel con usuario, IP y timestamp.</w:t>
      </w:r>
    </w:p>
    <w:p>
      <w:pPr>
        <w:pStyle w:val="ListParagraph"/>
        <w:numPr>
          <w:ilvl w:val="0"/>
          <w:numId w:val="2"/>
        </w:numPr>
        <w:spacing w:after="60" w:before="60"/>
      </w:pPr>
      <w:r>
        <w:rPr>
          <w:rFonts w:ascii="Arial" w:cs="Arial" w:eastAsia="Arial" w:hAnsi="Arial"/>
          <w:sz w:val="22"/>
          <w:szCs w:val="22"/>
        </w:rPr>
        <w:t xml:space="preserve">En un entorno productivo, esta consulta se configura como regla de alerta para notificar accesos RDP fuera de horario o desde IPs externas.</w:t>
      </w:r>
    </w:p>
    <w:p>
      <w:pPr>
        <w:pStyle w:val="ListParagraph"/>
        <w:numPr>
          <w:ilvl w:val="0"/>
          <w:numId w:val="2"/>
        </w:numPr>
        <w:spacing w:after="60" w:before="60"/>
      </w:pPr>
      <w:r>
        <w:rPr>
          <w:rFonts w:ascii="Arial" w:cs="Arial" w:eastAsia="Arial" w:hAnsi="Arial"/>
          <w:sz w:val="22"/>
          <w:szCs w:val="22"/>
        </w:rPr>
        <w:t xml:space="preserve">Combinado con el Event ID 4625, permite detectar fuerza bruta seguida de acceso exitoso por RDP — patrón clásico de compromiso.</w:t>
      </w:r>
    </w:p>
    <w:p>
      <w:pPr>
        <w:spacing w:after="0" w:before="120"/>
      </w:pPr>
      <w:r>
        <w:t xml:space="preserve"/>
      </w:r>
    </w:p>
    <w:p>
      <w:pPr>
        <w:pBdr>
          <w:bottom w:val="single" w:color="CCCCCC" w:sz="2" w:space="1"/>
        </w:pBdr>
        <w:spacing w:after="160" w:before="160"/>
      </w:pPr>
      <w:r>
        <w:t xml:space="preserve"/>
      </w:r>
    </w:p>
    <w:p>
      <w:pPr>
        <w:pStyle w:val="Heading1"/>
        <w:pBdr>
          <w:bottom w:val="single" w:color="0078D4" w:sz="4" w:space="4"/>
        </w:pBdr>
        <w:spacing w:after="160" w:before="320"/>
      </w:pPr>
      <w:r>
        <w:rPr>
          <w:rFonts w:ascii="Arial" w:cs="Arial" w:eastAsia="Arial" w:hAnsi="Arial"/>
          <w:b/>
          <w:bCs/>
          <w:color w:val="0078D4"/>
          <w:sz w:val="28"/>
          <w:szCs w:val="28"/>
        </w:rPr>
        <w:t xml:space="preserve">4. Escenario 3 — Creación de Cuenta Sospechosa (Persistencia)</w:t>
      </w:r>
    </w:p>
    <w:p>
      <w:pPr>
        <w:spacing w:after="0" w:before="120"/>
      </w:pPr>
      <w:r>
        <w:t xml:space="preserve"/>
      </w:r>
    </w:p>
    <w:p>
      <w:pPr>
        <w:pStyle w:val="Heading2"/>
        <w:spacing w:after="120" w:before="240"/>
      </w:pPr>
      <w:r>
        <w:rPr>
          <w:rFonts w:ascii="Arial" w:cs="Arial" w:eastAsia="Arial" w:hAnsi="Arial"/>
          <w:b/>
          <w:bCs/>
          <w:color w:val="1F3864"/>
          <w:sz w:val="24"/>
          <w:szCs w:val="24"/>
        </w:rPr>
        <w:t xml:space="preserve">4.1 Resumen del Escenario</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ID de Evento Windows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4720 — A user account was created</w:t>
            </w:r>
          </w:p>
        </w:tc>
      </w:tr>
      <w:tr>
        <w:tc>
          <w:tcPr>
            <w:tcW w:type="dxa" w:w="28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Técnica MITRE ATT&amp;CK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T1136 — Create Account</w:t>
            </w:r>
          </w:p>
        </w:tc>
      </w:tr>
      <w:tr>
        <w:tc>
          <w:tcPr>
            <w:tcW w:type="dxa" w:w="28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Objetivo del ataque simulado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Mantener persistencia post-compromiso</w:t>
            </w:r>
          </w:p>
        </w:tc>
      </w:tr>
      <w:tr>
        <w:tc>
          <w:tcPr>
            <w:tcW w:type="dxa" w:w="28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Descripción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 atacante con acceso al servidor crea una cuenta nueva para garantizar acceso futuro</w:t>
            </w:r>
          </w:p>
        </w:tc>
      </w:tr>
      <w:tr>
        <w:tc>
          <w:tcPr>
            <w:tcW w:type="dxa" w:w="28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Estado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Detectado y analizado</w:t>
            </w:r>
          </w:p>
        </w:tc>
      </w:tr>
    </w:tbl>
    <w:p>
      <w:pPr>
        <w:spacing w:after="0" w:before="120"/>
      </w:pPr>
      <w:r>
        <w:t xml:space="preserve"/>
      </w:r>
    </w:p>
    <w:p>
      <w:pPr>
        <w:pStyle w:val="Heading2"/>
        <w:spacing w:after="120" w:before="240"/>
      </w:pPr>
      <w:r>
        <w:rPr>
          <w:rFonts w:ascii="Arial" w:cs="Arial" w:eastAsia="Arial" w:hAnsi="Arial"/>
          <w:b/>
          <w:bCs/>
          <w:color w:val="1F3864"/>
          <w:sz w:val="24"/>
          <w:szCs w:val="24"/>
        </w:rPr>
        <w:t xml:space="preserve">4.2 Descripción del Escenario</w:t>
      </w:r>
    </w:p>
    <w:p>
      <w:pPr>
        <w:spacing w:after="80" w:before="80"/>
      </w:pPr>
      <w:r>
        <w:rPr>
          <w:rFonts w:ascii="Arial" w:cs="Arial" w:eastAsia="Arial" w:hAnsi="Arial"/>
          <w:sz w:val="22"/>
          <w:szCs w:val="22"/>
        </w:rPr>
        <w:t xml:space="preserve">Una táctica común tras comprometer un sistema es crear una cuenta de usuario nueva que permita al atacante mantener acceso aunque se detecte y elimine el vector inicial. En este escenario se simuló esta acción desde una cuenta propia en uno de los servidores, creando una cuenta nueva para validar que Sentinel registra el evento y permite identificar tanto la cuenta creada como la cuenta que la creó.</w:t>
      </w:r>
    </w:p>
    <w:p>
      <w:pPr>
        <w:spacing w:after="0" w:before="120"/>
      </w:pPr>
      <w:r>
        <w:t xml:space="preserve"/>
      </w:r>
    </w:p>
    <w:p>
      <w:pPr>
        <w:pStyle w:val="Heading2"/>
        <w:spacing w:after="120" w:before="240"/>
      </w:pPr>
      <w:r>
        <w:rPr>
          <w:rFonts w:ascii="Arial" w:cs="Arial" w:eastAsia="Arial" w:hAnsi="Arial"/>
          <w:b/>
          <w:bCs/>
          <w:color w:val="1F3864"/>
          <w:sz w:val="24"/>
          <w:szCs w:val="24"/>
        </w:rPr>
        <w:t xml:space="preserve">4.3 Consulta KQL Utilizada</w:t>
      </w:r>
    </w:p>
    <w:p>
      <w:pPr>
        <w:pBdr>
          <w:top w:val="single" w:color="CCCCCC" w:sz="1"/>
          <w:bottom w:val="single" w:color="CCCCCC" w:sz="1"/>
          <w:left w:val="thick" w:color="0078D4" w:sz="8"/>
          <w:right w:val="none"/>
        </w:pBdr>
        <w:shd w:fill="F0F0F0" w:val="clear"/>
        <w:spacing w:after="120" w:before="120"/>
        <w:ind w:left="360"/>
      </w:pPr>
      <w:r>
        <w:rPr>
          <w:rFonts w:ascii="Courier New" w:cs="Courier New" w:eastAsia="Courier New" w:hAnsi="Courier New"/>
          <w:color w:val="1a1a2e"/>
          <w:sz w:val="18"/>
          <w:szCs w:val="18"/>
        </w:rPr>
        <w:t xml:space="preserve">SecurityEvent</w:t>
        <w:br/>
        <w:t xml:space="preserve">| where EventID == 4720</w:t>
        <w:br/>
        <w:t xml:space="preserve">| project TimeGenerated, Computer, Account, SubjectAccount = SubjectUserName</w:t>
      </w:r>
    </w:p>
    <w:p>
      <w:pPr>
        <w:spacing w:after="0" w:before="120"/>
      </w:pPr>
      <w:r>
        <w:t xml:space="preserve"/>
      </w:r>
    </w:p>
    <w:p>
      <w:pPr>
        <w:pStyle w:val="Heading2"/>
        <w:spacing w:after="120" w:before="240"/>
      </w:pPr>
      <w:r>
        <w:rPr>
          <w:rFonts w:ascii="Arial" w:cs="Arial" w:eastAsia="Arial" w:hAnsi="Arial"/>
          <w:b/>
          <w:bCs/>
          <w:color w:val="1F3864"/>
          <w:sz w:val="24"/>
          <w:szCs w:val="24"/>
        </w:rPr>
        <w:t xml:space="preserve">4.4 Campos Relevantes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EventID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4720 — Cuenta de usuario creada</w:t>
            </w:r>
          </w:p>
        </w:tc>
      </w:tr>
      <w:tr>
        <w:tc>
          <w:tcPr>
            <w:tcW w:type="dxa" w:w="28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Account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Nombre de la cuenta nueva creada</w:t>
            </w:r>
          </w:p>
        </w:tc>
      </w:tr>
      <w:tr>
        <w:tc>
          <w:tcPr>
            <w:tcW w:type="dxa" w:w="28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SubjectUserName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Cuenta que ejecutó la creación (quien creó)</w:t>
            </w:r>
          </w:p>
        </w:tc>
      </w:tr>
      <w:tr>
        <w:tc>
          <w:tcPr>
            <w:tcW w:type="dxa" w:w="28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Computer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Servidor donde ocurrió el evento</w:t>
            </w:r>
          </w:p>
        </w:tc>
      </w:tr>
      <w:tr>
        <w:tc>
          <w:tcPr>
            <w:tcW w:type="dxa" w:w="28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TimeGenerated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 exacto de la creación</w:t>
            </w:r>
          </w:p>
        </w:tc>
      </w:tr>
    </w:tbl>
    <w:p>
      <w:pPr>
        <w:spacing w:after="0" w:before="120"/>
      </w:pPr>
      <w:r>
        <w:t xml:space="preserve"/>
      </w:r>
    </w:p>
    <w:p>
      <w:pPr>
        <w:pStyle w:val="Heading2"/>
        <w:spacing w:after="120" w:before="240"/>
      </w:pPr>
      <w:r>
        <w:rPr>
          <w:rFonts w:ascii="Arial" w:cs="Arial" w:eastAsia="Arial" w:hAnsi="Arial"/>
          <w:b/>
          <w:bCs/>
          <w:color w:val="1F3864"/>
          <w:sz w:val="24"/>
          <w:szCs w:val="24"/>
        </w:rPr>
        <w:t xml:space="preserve">4.5 Análisis y Conclusión</w:t>
      </w:r>
    </w:p>
    <w:p>
      <w:pPr>
        <w:pStyle w:val="ListParagraph"/>
        <w:numPr>
          <w:ilvl w:val="0"/>
          <w:numId w:val="2"/>
        </w:numPr>
        <w:spacing w:after="60" w:before="60"/>
      </w:pPr>
      <w:r>
        <w:rPr>
          <w:rFonts w:ascii="Arial" w:cs="Arial" w:eastAsia="Arial" w:hAnsi="Arial"/>
          <w:sz w:val="22"/>
          <w:szCs w:val="22"/>
        </w:rPr>
        <w:t xml:space="preserve">Sentinel capturó el Event ID 4720 correctamente con el nombre de la cuenta creada y la cuenta que la originó.</w:t>
      </w:r>
    </w:p>
    <w:p>
      <w:pPr>
        <w:pStyle w:val="ListParagraph"/>
        <w:numPr>
          <w:ilvl w:val="0"/>
          <w:numId w:val="2"/>
        </w:numPr>
        <w:spacing w:after="60" w:before="60"/>
      </w:pPr>
      <w:r>
        <w:rPr>
          <w:rFonts w:ascii="Arial" w:cs="Arial" w:eastAsia="Arial" w:hAnsi="Arial"/>
          <w:sz w:val="22"/>
          <w:szCs w:val="22"/>
        </w:rPr>
        <w:t xml:space="preserve">Este escenario cubre la técnica MITRE ATT&amp;CK T1136 (Create Account) — persistencia mediante cuentas locales.</w:t>
      </w:r>
    </w:p>
    <w:p>
      <w:pPr>
        <w:pStyle w:val="ListParagraph"/>
        <w:numPr>
          <w:ilvl w:val="0"/>
          <w:numId w:val="2"/>
        </w:numPr>
        <w:spacing w:after="60" w:before="60"/>
      </w:pPr>
      <w:r>
        <w:rPr>
          <w:rFonts w:ascii="Arial" w:cs="Arial" w:eastAsia="Arial" w:hAnsi="Arial"/>
          <w:sz w:val="22"/>
          <w:szCs w:val="22"/>
        </w:rPr>
        <w:t xml:space="preserve">En producción: crear una alerta en Sentinel que dispare inmediatamente ante cualquier Event ID 4720 fuera de ventanas de mantenimiento aprobadas.</w:t>
      </w:r>
    </w:p>
    <w:p>
      <w:pPr>
        <w:pStyle w:val="ListParagraph"/>
        <w:numPr>
          <w:ilvl w:val="0"/>
          <w:numId w:val="2"/>
        </w:numPr>
        <w:spacing w:after="60" w:before="60"/>
      </w:pPr>
      <w:r>
        <w:rPr>
          <w:rFonts w:ascii="Arial" w:cs="Arial" w:eastAsia="Arial" w:hAnsi="Arial"/>
          <w:sz w:val="22"/>
          <w:szCs w:val="22"/>
        </w:rPr>
        <w:t xml:space="preserve">Correlacionar con 4624 LogonType 10 permite detectar el patrón completo: compromiso → persistencia → acceso remoto.</w:t>
      </w:r>
    </w:p>
    <w:p>
      <w:pPr>
        <w:spacing w:after="0" w:before="120"/>
      </w:pPr>
      <w:r>
        <w:t xml:space="preserve"/>
      </w:r>
    </w:p>
    <w:p>
      <w:pPr>
        <w:pBdr>
          <w:bottom w:val="single" w:color="CCCCCC" w:sz="2" w:space="1"/>
        </w:pBdr>
        <w:spacing w:after="160" w:before="160"/>
      </w:pPr>
      <w:r>
        <w:t xml:space="preserve"/>
      </w:r>
    </w:p>
    <w:p>
      <w:pPr>
        <w:pStyle w:val="Heading1"/>
        <w:pBdr>
          <w:bottom w:val="single" w:color="0078D4" w:sz="4" w:space="4"/>
        </w:pBdr>
        <w:spacing w:after="160" w:before="320"/>
      </w:pPr>
      <w:r>
        <w:rPr>
          <w:rFonts w:ascii="Arial" w:cs="Arial" w:eastAsia="Arial" w:hAnsi="Arial"/>
          <w:b/>
          <w:bCs/>
          <w:color w:val="0078D4"/>
          <w:sz w:val="28"/>
          <w:szCs w:val="28"/>
        </w:rPr>
        <w:t xml:space="preserve">5. Stack Tecnológico</w:t>
      </w:r>
    </w:p>
    <w:p>
      <w:pPr>
        <w:spacing w:after="0" w:before="12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6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r>
      <w:tr>
        <w:tc>
          <w:tcPr>
            <w:tcW w:type="dxa" w:w="312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sz w:val="20"/>
                <w:szCs w:val="20"/>
              </w:rPr>
              <w:t xml:space="preserve">SIEM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Microsoft Sentinel</w:t>
            </w:r>
          </w:p>
        </w:tc>
      </w:tr>
      <w:tr>
        <w:tc>
          <w:tcPr>
            <w:tcW w:type="dxa" w:w="312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sz w:val="20"/>
                <w:szCs w:val="20"/>
              </w:rPr>
              <w:t xml:space="preserve">Workspace de logs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 Analytics Workspace (Azure)</w:t>
            </w:r>
          </w:p>
        </w:tc>
      </w:tr>
      <w:tr>
        <w:tc>
          <w:tcPr>
            <w:tcW w:type="dxa" w:w="312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sz w:val="20"/>
                <w:szCs w:val="20"/>
              </w:rPr>
              <w:t xml:space="preserve">Agente de recolección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 Monitor Agent (AMA)</w:t>
            </w:r>
          </w:p>
        </w:tc>
      </w:tr>
      <w:tr>
        <w:tc>
          <w:tcPr>
            <w:tcW w:type="dxa" w:w="312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sz w:val="20"/>
                <w:szCs w:val="20"/>
              </w:rPr>
              <w:t xml:space="preserve">Plataforma cloud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Microsoft Azure</w:t>
            </w:r>
          </w:p>
        </w:tc>
      </w:tr>
      <w:tr>
        <w:tc>
          <w:tcPr>
            <w:tcW w:type="dxa" w:w="312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sz w:val="20"/>
                <w:szCs w:val="20"/>
              </w:rPr>
              <w:t xml:space="preserve">Sistema operativo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Windows Server 2022</w:t>
            </w:r>
          </w:p>
        </w:tc>
      </w:tr>
      <w:tr>
        <w:tc>
          <w:tcPr>
            <w:tcW w:type="dxa" w:w="312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sz w:val="20"/>
                <w:szCs w:val="20"/>
              </w:rPr>
              <w:t xml:space="preserve">Directorio de identidades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Active Directory Domain Services</w:t>
            </w:r>
          </w:p>
        </w:tc>
      </w:tr>
      <w:tr>
        <w:tc>
          <w:tcPr>
            <w:tcW w:type="dxa" w:w="312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sz w:val="20"/>
                <w:szCs w:val="20"/>
              </w:rPr>
              <w:t xml:space="preserve">Lenguaje de consulta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KQL (Kusto Query Language)</w:t>
            </w:r>
          </w:p>
        </w:tc>
      </w:tr>
      <w:tr>
        <w:tc>
          <w:tcPr>
            <w:tcW w:type="dxa" w:w="312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sz w:val="20"/>
                <w:szCs w:val="20"/>
              </w:rPr>
              <w:t xml:space="preserve">Conector de eventos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Windows Security Events</w:t>
            </w:r>
          </w:p>
        </w:tc>
      </w:tr>
    </w:tbl>
    <w:p>
      <w:pPr>
        <w:spacing w:after="0" w:before="120"/>
      </w:pPr>
      <w:r>
        <w:t xml:space="preserve"/>
      </w:r>
    </w:p>
    <w:p>
      <w:pPr>
        <w:pBdr>
          <w:bottom w:val="single" w:color="CCCCCC" w:sz="2" w:space="1"/>
        </w:pBdr>
        <w:spacing w:after="160" w:before="160"/>
      </w:pPr>
      <w:r>
        <w:t xml:space="preserve"/>
      </w:r>
    </w:p>
    <w:p>
      <w:pPr>
        <w:pStyle w:val="Heading1"/>
        <w:pBdr>
          <w:bottom w:val="single" w:color="0078D4" w:sz="4" w:space="4"/>
        </w:pBdr>
        <w:spacing w:after="160" w:before="320"/>
      </w:pPr>
      <w:r>
        <w:rPr>
          <w:rFonts w:ascii="Arial" w:cs="Arial" w:eastAsia="Arial" w:hAnsi="Arial"/>
          <w:b/>
          <w:bCs/>
          <w:color w:val="0078D4"/>
          <w:sz w:val="28"/>
          <w:szCs w:val="28"/>
        </w:rPr>
        <w:t xml:space="preserve">6. Conclusiones Generales</w:t>
      </w:r>
    </w:p>
    <w:p>
      <w:pPr>
        <w:spacing w:after="0" w:before="120"/>
      </w:pPr>
      <w:r>
        <w:t xml:space="preserve"/>
      </w:r>
    </w:p>
    <w:p>
      <w:pPr>
        <w:pStyle w:val="ListParagraph"/>
        <w:numPr>
          <w:ilvl w:val="0"/>
          <w:numId w:val="2"/>
        </w:numPr>
        <w:spacing w:after="60" w:before="60"/>
      </w:pPr>
      <w:r>
        <w:rPr>
          <w:rFonts w:ascii="Arial" w:cs="Arial" w:eastAsia="Arial" w:hAnsi="Arial"/>
          <w:sz w:val="22"/>
          <w:szCs w:val="22"/>
        </w:rPr>
        <w:t xml:space="preserve">Microsoft Sentinel capturó los tres escenarios de forma exitosa y en tiempo real, validando la arquitectura del SIEM desplegado.</w:t>
      </w:r>
    </w:p>
    <w:p>
      <w:pPr>
        <w:pStyle w:val="ListParagraph"/>
        <w:numPr>
          <w:ilvl w:val="0"/>
          <w:numId w:val="2"/>
        </w:numPr>
        <w:spacing w:after="60" w:before="60"/>
      </w:pPr>
      <w:r>
        <w:rPr>
          <w:rFonts w:ascii="Arial" w:cs="Arial" w:eastAsia="Arial" w:hAnsi="Arial"/>
          <w:sz w:val="22"/>
          <w:szCs w:val="22"/>
        </w:rPr>
        <w:t xml:space="preserve">Los Event IDs 4625, 4624 (LogonType 10) y 4720 forman una cadena de detección que cubre los vectores más comunes de ataque: acceso inicial, movimiento lateral y persistencia.</w:t>
      </w:r>
    </w:p>
    <w:p>
      <w:pPr>
        <w:pStyle w:val="ListParagraph"/>
        <w:numPr>
          <w:ilvl w:val="0"/>
          <w:numId w:val="2"/>
        </w:numPr>
        <w:spacing w:after="60" w:before="60"/>
      </w:pPr>
      <w:r>
        <w:rPr>
          <w:rFonts w:ascii="Arial" w:cs="Arial" w:eastAsia="Arial" w:hAnsi="Arial"/>
          <w:sz w:val="22"/>
          <w:szCs w:val="22"/>
        </w:rPr>
        <w:t xml:space="preserve">Las consultas KQL permiten filtrar, correlacionar y proyectar campos específicos para análisis forense eficiente.</w:t>
      </w:r>
    </w:p>
    <w:p>
      <w:pPr>
        <w:pStyle w:val="ListParagraph"/>
        <w:numPr>
          <w:ilvl w:val="0"/>
          <w:numId w:val="2"/>
        </w:numPr>
        <w:spacing w:after="60" w:before="60"/>
      </w:pPr>
      <w:r>
        <w:rPr>
          <w:rFonts w:ascii="Arial" w:cs="Arial" w:eastAsia="Arial" w:hAnsi="Arial"/>
          <w:sz w:val="22"/>
          <w:szCs w:val="22"/>
        </w:rPr>
        <w:t xml:space="preserve">Este laboratorio demuestra capacidad práctica en detección de amenazas Blue Team sobre infraestructura real en Azure.</w:t>
      </w:r>
    </w:p>
    <w:p>
      <w:pPr>
        <w:spacing w:after="0" w:before="120"/>
      </w:pPr>
      <w:r>
        <w:t xml:space="preserve"/>
      </w:r>
    </w:p>
    <w:p>
      <w:pPr>
        <w:pBdr>
          <w:top w:val="single" w:color="0078D4" w:sz="4" w:space="8"/>
        </w:pBdr>
        <w:spacing w:after="0" w:before="320"/>
        <w:jc w:val="center"/>
      </w:pPr>
      <w:r>
        <w:rPr>
          <w:rFonts w:ascii="Arial" w:cs="Arial" w:eastAsia="Arial" w:hAnsi="Arial"/>
          <w:color w:val="888888"/>
          <w:sz w:val="18"/>
          <w:szCs w:val="18"/>
        </w:rPr>
        <w:t xml:space="preserve">Julián Amell Romero  |  IAM &amp; Azure Security Lab  |  </w:t>
      </w:r>
      <w:r>
        <w:rPr>
          <w:rFonts w:ascii="Arial" w:cs="Arial" w:eastAsia="Arial" w:hAnsi="Arial"/>
          <w:b/>
          <w:bCs/>
          <w:color w:val="0078D4"/>
          <w:sz w:val="18"/>
          <w:szCs w:val="18"/>
        </w:rPr>
        <w:t xml:space="preserve">github.com/julianamell2</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8D4" w:sz="6" w:space="4"/>
      </w:pBdr>
      <w:spacing w:after="200"/>
    </w:pPr>
    <w:r>
      <w:rPr>
        <w:rFonts w:ascii="Arial" w:cs="Arial" w:eastAsia="Arial" w:hAnsi="Arial"/>
        <w:b/>
        <w:bCs/>
        <w:color w:val="0078D4"/>
        <w:sz w:val="20"/>
        <w:szCs w:val="20"/>
      </w:rPr>
      <w:t xml:space="preserve">INFORME DE INCIDENTE DE SEGURIDAD</w:t>
    </w:r>
    <w:r>
      <w:rPr>
        <w:rFonts w:ascii="Arial" w:cs="Arial" w:eastAsia="Arial" w:hAnsi="Arial"/>
        <w:color w:val="888888"/>
        <w:sz w:val="18"/>
        <w:szCs w:val="18"/>
      </w:rPr>
      <w:t xml:space="preserve">   |   Microsoft Sentinel SIEM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78D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2026-05-10T23:18:30.999Z</dcterms:created>
  <dcterms:modified xsi:type="dcterms:W3CDTF">2026-05-10T23:18:30.999Z</dcterms:modified>
</cp:coreProperties>
</file>

<file path=docProps/custom.xml><?xml version="1.0" encoding="utf-8"?>
<Properties xmlns="http://schemas.openxmlformats.org/officeDocument/2006/custom-properties" xmlns:vt="http://schemas.openxmlformats.org/officeDocument/2006/docPropsVTypes"/>
</file>