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200"/>
        <w:jc w:val="center"/>
      </w:pPr>
      <w:r>
        <w:rPr>
          <w:rFonts w:ascii="Montserrat" w:cs="Montserrat" w:eastAsia="Montserrat" w:hAnsi="Montserrat"/>
          <w:b/>
          <w:bCs/>
          <w:color w:val="00112C"/>
          <w:sz w:val="40"/>
          <w:szCs w:val="40"/>
        </w:rPr>
        <w:t xml:space="preserve">POLÍMATA</w:t>
      </w:r>
    </w:p>
    <w:p>
      <w:pPr>
        <w:spacing w:after="1400"/>
        <w:jc w:val="center"/>
      </w:pPr>
      <w:r>
        <w:rPr>
          <w:rFonts w:ascii="Montserrat" w:cs="Montserrat" w:eastAsia="Montserrat" w:hAnsi="Montserrat"/>
          <w:color w:val="A6512F"/>
          <w:sz w:val="16"/>
          <w:szCs w:val="16"/>
        </w:rPr>
        <w:t xml:space="preserve">G O V E R N A N Ç A   ·   R I S C O S   ·   C O M P L I A N C E</w:t>
      </w:r>
    </w:p>
    <w:p>
      <w:pPr>
        <w:spacing w:after="120"/>
        <w:jc w:val="center"/>
      </w:pPr>
      <w:r>
        <w:rPr>
          <w:rFonts w:ascii="Montserrat" w:cs="Montserrat" w:eastAsia="Montserrat" w:hAnsi="Montserrat"/>
          <w:color w:val="4B5563"/>
          <w:sz w:val="22"/>
          <w:szCs w:val="22"/>
        </w:rPr>
        <w:t xml:space="preserve">PROCEDIMENTO OPERACIONAL PADRÃO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00203E"/>
          <w:sz w:val="48"/>
          <w:szCs w:val="48"/>
        </w:rPr>
        <w:t xml:space="preserve">Compras</w:t>
      </w:r>
    </w:p>
    <w:p>
      <w:pPr>
        <w:spacing w:after="2000"/>
        <w:jc w:val="center"/>
      </w:pPr>
      <w:r>
        <w:rPr>
          <w:rFonts w:ascii="Montserrat" w:cs="Montserrat" w:eastAsia="Montserrat" w:hAnsi="Montserrat"/>
          <w:color w:val="A6512F"/>
          <w:sz w:val="24"/>
          <w:szCs w:val="24"/>
        </w:rPr>
        <w:t xml:space="preserve">Empresa Modelo S.A.</w:t>
      </w:r>
    </w:p>
    <w:p>
      <w:pPr>
        <w:jc w:val="center"/>
      </w:pPr>
      <w:r>
        <w:rPr>
          <w:rFonts w:ascii="Montserrat" w:cs="Montserrat" w:eastAsia="Montserrat" w:hAnsi="Montserrat"/>
          <w:color w:val="4B5563"/>
          <w:sz w:val="18"/>
          <w:szCs w:val="18"/>
        </w:rPr>
        <w:t xml:space="preserve">EML-COM-POP-001 · Versão 1.0 · 04/06/2026</w:t>
      </w:r>
    </w:p>
    <w:p>
      <w:pPr>
        <w:spacing w:before="100"/>
        <w:jc w:val="center"/>
      </w:pPr>
      <w:r>
        <w:rPr>
          <w:rFonts w:ascii="Montserrat" w:cs="Montserrat" w:eastAsia="Montserrat" w:hAnsi="Montserrat"/>
          <w:color w:val="4B5563"/>
          <w:sz w:val="16"/>
          <w:szCs w:val="16"/>
        </w:rPr>
        <w:t xml:space="preserve">Documento gerado pelo módulo Mapeamento de Processos — revisão do consultor pendente</w:t>
      </w:r>
    </w:p>
    <w:p>
      <w:r>
        <w:br w:type="page"/>
      </w:r>
    </w:p>
    <w:p>
      <w:pPr>
        <w:pBdr>
          <w:bottom w:val="single" w:color="CC915E" w:sz="6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color w:val="00203E"/>
          <w:sz w:val="30"/>
          <w:szCs w:val="30"/>
        </w:rPr>
        <w:t xml:space="preserve">A. Identificação</w:t>
      </w:r>
    </w:p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A.1 O que é este documento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Este Procedimento Operacional Padrão (POP) descreve, de forma clara e prática, como funciona o processo de Compras na Empresa Modelo S.A.: quem faz o quê, quando, em que sistema e seguindo quais regras. Foi elaborado a partir de entrevista de levantamento com os executores do processo, estruturada pela metodologia Polímata de mapeamento baseado em risco.</w:t>
      </w:r>
    </w:p>
    <w:tbl>
      <w:tblPr>
        <w:tblW w:type="pct" w:w="100%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100"/>
        <w:gridCol w:w="100"/>
      </w:tblGrid>
      <w:tr>
        <w:tc>
          <w:tcPr>
            <w:tcW w:type="pct" w:w="28%"/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Cliente:</w:t>
            </w:r>
          </w:p>
        </w:tc>
        <w:tc>
          <w:tcPr>
            <w:tcW w:type="pct" w:w="72%"/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Empresa Modelo S.A.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Código: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EML-COM-POP-001</w:t>
            </w:r>
          </w:p>
        </w:tc>
      </w:tr>
      <w:tr>
        <w:tc>
          <w:tcPr>
            <w:tcW w:type="pct" w:w="28%"/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Versão:</w:t>
            </w:r>
          </w:p>
        </w:tc>
        <w:tc>
          <w:tcPr>
            <w:tcW w:type="pct" w:w="72%"/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Data de Emissão: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04/06/2026</w:t>
            </w:r>
          </w:p>
        </w:tc>
      </w:tr>
      <w:tr>
        <w:tc>
          <w:tcPr>
            <w:tcW w:type="pct" w:w="28%"/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Classificação:</w:t>
            </w:r>
          </w:p>
        </w:tc>
        <w:tc>
          <w:tcPr>
            <w:tcW w:type="pct" w:w="72%"/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Confidencial — Uso Restrito</w:t>
            </w:r>
          </w:p>
        </w:tc>
      </w:tr>
    </w:tbl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A.2 Histórico de versões</w:t>
      </w:r>
    </w:p>
    <w:tbl>
      <w:tblPr>
        <w:tblW w:type="pct" w:w="100%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Descrição da mudança</w:t>
            </w:r>
          </w:p>
        </w:tc>
        <w:tc>
          <w:tcPr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Aprovador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04/06/2026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Juliana — Polímata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Versão inicial — gerada a partir do levantamento por áudio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[«Nome — Cliente»]</w:t>
            </w:r>
          </w:p>
        </w:tc>
      </w:tr>
    </w:tbl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A.3 Aprovação</w:t>
      </w:r>
    </w:p>
    <w:tbl>
      <w:tblPr>
        <w:tblW w:type="pct" w:w="100%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Cargo / Área</w:t>
            </w:r>
          </w:p>
        </w:tc>
        <w:tc>
          <w:tcPr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Elaborado por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Juliana — Polímata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Polímata Consultoria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04/06/2026</w:t>
            </w:r>
          </w:p>
        </w:tc>
      </w:tr>
      <w:tr>
        <w:tc>
          <w:tcPr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Validado por</w:t>
            </w:r>
          </w:p>
        </w:tc>
        <w:tc>
          <w:tcPr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[«Dono do Processo»]</w:t>
            </w:r>
          </w:p>
        </w:tc>
        <w:tc>
          <w:tcPr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[«Cargo»]</w:t>
            </w:r>
          </w:p>
        </w:tc>
        <w:tc>
          <w:tcPr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[«DD/MM/AAAA»]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Aprovado por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[«Sponsor»]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[«Diretoria»]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[«DD/MM/AAAA»]</w:t>
            </w:r>
          </w:p>
        </w:tc>
      </w:tr>
    </w:tbl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A.4 Glossário</w:t>
      </w:r>
    </w:p>
    <w:tbl>
      <w:tblPr>
        <w:tblW w:type="pct" w:w="100%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100"/>
        <w:gridCol w:w="100"/>
      </w:tblGrid>
      <w:tr>
        <w:tc>
          <w:tcPr>
            <w:tcW w:type="pct" w:w="25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pct" w:w="75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RC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Requisição de Compra</w:t>
            </w:r>
          </w:p>
        </w:tc>
      </w:tr>
    </w:tbl>
    <w:p>
      <w:pPr>
        <w:pBdr>
          <w:bottom w:val="single" w:color="CC915E" w:sz="6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color w:val="00203E"/>
          <w:sz w:val="30"/>
          <w:szCs w:val="30"/>
        </w:rPr>
        <w:t xml:space="preserve">B. Contexto</w:t>
      </w:r>
    </w:p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B.1 Onde o processo se encaixa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Conecta planejamento à execução.</w:t>
      </w:r>
    </w:p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B.2 Objetivo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Comprar bem.</w:t>
      </w:r>
    </w:p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B.3 Escopo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0203E"/>
          <w:sz w:val="21"/>
          <w:szCs w:val="21"/>
        </w:rPr>
        <w:t xml:space="preserve">O que ESTÁ incluído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•  Compra de materiais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0203E"/>
          <w:sz w:val="21"/>
          <w:szCs w:val="21"/>
        </w:rPr>
        <w:t xml:space="preserve">O que NÃO ESTÁ incluído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•  Pagamento</w:t>
      </w:r>
    </w:p>
    <w:p>
      <w:pPr>
        <w:pBdr>
          <w:bottom w:val="single" w:color="CC915E" w:sz="6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color w:val="00203E"/>
          <w:sz w:val="30"/>
          <w:szCs w:val="30"/>
        </w:rPr>
        <w:t xml:space="preserve">C. Quem participa, como e com quais ferramentas</w:t>
      </w:r>
    </w:p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C.1 Visão geral em 3 passos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1.  Pedir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2.  Cotar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3.  Aprovar</w:t>
      </w:r>
    </w:p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C.2 Quem participa</w:t>
      </w:r>
    </w:p>
    <w:tbl>
      <w:tblPr>
        <w:tblW w:type="pct" w:w="100%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pct" w:w="25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Cargo / Área</w:t>
            </w:r>
          </w:p>
        </w:tc>
        <w:tc>
          <w:tcPr>
            <w:tcW w:type="pct" w:w="50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Solicitante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Qualquer área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Abre a RC</w:t>
            </w:r>
          </w:p>
        </w:tc>
      </w:tr>
      <w:tr>
        <w:tc>
          <w:tcPr>
            <w:tcW w:type="pct" w:w="25%"/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Comprador</w:t>
            </w:r>
          </w:p>
        </w:tc>
        <w:tc>
          <w:tcPr>
            <w:tcW w:type="pct" w:w="25%"/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Suprimentos</w:t>
            </w:r>
          </w:p>
        </w:tc>
        <w:tc>
          <w:tcPr>
            <w:tcW w:type="pct" w:w="50%"/>
            <w:shd w:fill="FAF8F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Cota e compra</w:t>
            </w:r>
          </w:p>
        </w:tc>
      </w:tr>
    </w:tbl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C.3 Sistemas usados</w:t>
      </w:r>
    </w:p>
    <w:tbl>
      <w:tblPr>
        <w:tblW w:type="pct" w:w="100%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100"/>
        <w:gridCol w:w="100"/>
      </w:tblGrid>
      <w:tr>
        <w:tc>
          <w:tcPr>
            <w:tcW w:type="pct" w:w="25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pct" w:w="75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Para que é usado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SAP MM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RC e pedido</w:t>
            </w:r>
          </w:p>
        </w:tc>
      </w:tr>
    </w:tbl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C.4 Fluxograma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O fluxograma do processo, com as raias funcionais, acompanha este POP em arquivo draw.io (também gerado pelo módulo). Recomenda-se exportar em A3 para boa leitura.</w:t>
      </w:r>
    </w:p>
    <w:p>
      <w:pPr>
        <w:spacing w:after="120" w:line="300"/>
        <w:jc w:val="center"/>
      </w:pPr>
      <w:r>
        <w:rPr>
          <w:rFonts w:ascii="Montserrat" w:cs="Montserrat" w:eastAsia="Montserrat" w:hAnsi="Montserrat"/>
          <w:color w:val="4B5563"/>
          <w:sz w:val="18"/>
          <w:szCs w:val="18"/>
        </w:rPr>
        <w:t xml:space="preserve">[ ESPAÇO PARA FLUXOGRAMA ]</w:t>
      </w:r>
    </w:p>
    <w:p>
      <w:pPr>
        <w:pBdr>
          <w:bottom w:val="single" w:color="CC915E" w:sz="6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color w:val="00203E"/>
          <w:sz w:val="30"/>
          <w:szCs w:val="30"/>
        </w:rPr>
        <w:t xml:space="preserve">D. Como o processo acontece, passo a passo</w:t>
      </w:r>
    </w:p>
    <w:p>
      <w:pPr>
        <w:spacing w:after="140" w:before="280"/>
      </w:pPr>
      <w:r>
        <w:rPr>
          <w:rFonts w:ascii="Montserrat" w:cs="Montserrat" w:eastAsia="Montserrat" w:hAnsi="Montserrat"/>
          <w:b/>
          <w:bCs/>
          <w:color w:val="A6512F"/>
          <w:sz w:val="24"/>
          <w:szCs w:val="24"/>
        </w:rPr>
        <w:t xml:space="preserve">D.1 Pedir uma compra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0203E"/>
          <w:sz w:val="21"/>
          <w:szCs w:val="21"/>
        </w:rPr>
        <w:t xml:space="preserve">D.1.1 Como funciona, em uma frase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Abre-se uma RC no SAP.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0203E"/>
          <w:sz w:val="21"/>
          <w:szCs w:val="21"/>
        </w:rPr>
        <w:t xml:space="preserve">D.1.2 Passo a passo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00203E"/>
          <w:sz w:val="20"/>
          <w:szCs w:val="20"/>
        </w:rPr>
        <w:t xml:space="preserve">A01 — Abrir RC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Solicitante abre RC na ME51N. Quem faz: Solicitante. Onde: SAP.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00203E"/>
          <w:sz w:val="20"/>
          <w:szCs w:val="20"/>
        </w:rPr>
        <w:t xml:space="preserve">A02 — Aprovar RC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Gestor aprova por alçada. Quem faz: Comprador. Onde: SAP.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0203E"/>
          <w:sz w:val="21"/>
          <w:szCs w:val="21"/>
        </w:rPr>
        <w:t xml:space="preserve">D.1.3 Situações fora do padrão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Urgência: RC expressa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0203E"/>
          <w:sz w:val="21"/>
          <w:szCs w:val="21"/>
        </w:rPr>
        <w:t xml:space="preserve">D.1.4 Pontos de atenção identificados</w:t>
      </w:r>
    </w:p>
    <w:tbl>
      <w:tblPr>
        <w:tblW w:type="pct" w:w="100%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40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pct" w:w="14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pct" w:w="36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P-001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Alteração pós-aprovação sem novo workflow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Alta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Bloquear alteração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0203E"/>
          <w:sz w:val="21"/>
          <w:szCs w:val="21"/>
        </w:rPr>
        <w:t xml:space="preserve">D.1.5 Indicadores</w:t>
      </w:r>
    </w:p>
    <w:tbl>
      <w:tblPr>
        <w:tblW w:type="pct" w:w="100%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pct" w:w="12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58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Lead time RC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KPI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Dias até aprovação</w:t>
            </w:r>
          </w:p>
        </w:tc>
      </w:tr>
    </w:tbl>
    <w:p>
      <w:pPr>
        <w:spacing w:after="120"/>
      </w:pPr>
    </w:p>
    <w:p>
      <w:pPr>
        <w:pBdr>
          <w:bottom w:val="single" w:color="CC915E" w:sz="6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color w:val="00203E"/>
          <w:sz w:val="30"/>
          <w:szCs w:val="30"/>
        </w:rPr>
        <w:t xml:space="preserve">E. Síntese de riscos e controles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A matriz completa de riscos e controles (COSO ERM + ISO 31000), com avaliação de probabilidade, impacto e planos de ação, acompanha este POP em planilha própria. Abaixo, a síntese.</w:t>
      </w:r>
    </w:p>
    <w:tbl>
      <w:tblPr>
        <w:tblW w:type="pct" w:w="100%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9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pct" w:w="40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pct" w:w="12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Criticidade</w:t>
            </w:r>
          </w:p>
        </w:tc>
        <w:tc>
          <w:tcPr>
            <w:tcW w:type="pct" w:w="28%"/>
            <w:shd w:fill="0020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Controle existente</w:t>
            </w:r>
          </w:p>
        </w:tc>
      </w:tr>
      <w:t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R-001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A01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Compra sem necessidade real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Crítico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F2937"/>
                <w:sz w:val="18"/>
                <w:szCs w:val="18"/>
              </w:rPr>
              <w:t xml:space="preserve">Alçada de aprovação</w:t>
            </w:r>
          </w:p>
        </w:tc>
      </w:tr>
    </w:tbl>
    <w:p>
      <w:pPr>
        <w:pBdr>
          <w:bottom w:val="single" w:color="CC915E" w:sz="6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color w:val="00203E"/>
          <w:sz w:val="30"/>
          <w:szCs w:val="30"/>
        </w:rPr>
        <w:t xml:space="preserve">F. Lacunas do levantamento — validar com o entrevistado</w:t>
      </w:r>
    </w:p>
    <w:p>
      <w:pPr>
        <w:spacing w:after="120" w:line="300"/>
      </w:pPr>
      <w:r>
        <w:rPr>
          <w:rFonts w:ascii="Montserrat" w:cs="Montserrat" w:eastAsia="Montserrat" w:hAnsi="Montserrat"/>
          <w:color w:val="A6512F"/>
          <w:sz w:val="20"/>
          <w:szCs w:val="20"/>
        </w:rPr>
        <w:t xml:space="preserve">Os pontos abaixo não ficaram claros na entrevista e precisam ser confirmados antes da emissão da versão final deste POP.</w:t>
      </w:r>
    </w:p>
    <w:p>
      <w:pPr>
        <w:spacing w:after="120" w:line="300"/>
      </w:pPr>
      <w:r>
        <w:rPr>
          <w:rFonts w:ascii="Montserrat" w:cs="Montserrat" w:eastAsia="Montserrat" w:hAnsi="Montserrat"/>
          <w:color w:val="1F2937"/>
          <w:sz w:val="20"/>
          <w:szCs w:val="20"/>
        </w:rPr>
        <w:t xml:space="preserve">1.  Valores das alçadas não informados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Polímata GRC</dc:creator>
  <cp:lastModifiedBy>Un-named</cp:lastModifiedBy>
  <cp:revision>1</cp:revision>
  <dcterms:created xsi:type="dcterms:W3CDTF">2026-06-04T23:18:27.057Z</dcterms:created>
  <dcterms:modified xsi:type="dcterms:W3CDTF">2026-06-04T23:18:27.057Z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