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f82be"/>
          <w:sz w:val="26"/>
          <w:szCs w:val="26"/>
          <w:vertAlign w:val="baseline"/>
          <w:rtl w:val="0"/>
        </w:rPr>
        <w:t xml:space="preserve">APLICACION DEL METODO DE COBERTURA DE DECISIONES AL PROGRAMA DEL TRIANGULO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0" distR="0" hidden="0" layoutInCell="0" locked="0" relativeHeight="0" simplePos="0">
            <wp:simplePos x="0" y="0"/>
            <wp:positionH relativeFrom="margin">
              <wp:posOffset>960120</wp:posOffset>
            </wp:positionH>
            <wp:positionV relativeFrom="paragraph">
              <wp:posOffset>2845435</wp:posOffset>
            </wp:positionV>
            <wp:extent cx="3155950" cy="4872355"/>
            <wp:effectExtent b="0" l="0" r="0" t="0"/>
            <wp:wrapTopAndBottom distB="0" dist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4872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Caminos (ciclos de prueba)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vertAlign w:val="baseline"/>
          <w:rtl w:val="0"/>
        </w:rPr>
        <w:tab/>
        <w:tab/>
        <w:t xml:space="preserve">C1: 1 2 3 5 1 2 4 5 6 7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vertAlign w:val="baseline"/>
          <w:rtl w:val="0"/>
        </w:rPr>
        <w:tab/>
        <w:tab/>
        <w:t xml:space="preserve">C2: 1 2 3 5 6 8 9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vertAlign w:val="baseline"/>
          <w:rtl w:val="0"/>
        </w:rPr>
        <w:tab/>
        <w:tab/>
        <w:t xml:space="preserve">C3: 1 2 3 5 6 8 10 11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vertAlign w:val="baseline"/>
          <w:rtl w:val="0"/>
        </w:rPr>
        <w:tab/>
        <w:tab/>
        <w:t xml:space="preserve">C4: 1 2 3 5 6 8 10 12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Diagrama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Casos de prueba para cada camino hallado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0"/>
          <w:vertAlign w:val="baseline"/>
          <w:rtl w:val="0"/>
        </w:rPr>
        <w:t xml:space="preserve">1) </w:t>
      </w:r>
      <w:r w:rsidDel="00000000" w:rsidR="00000000" w:rsidRPr="00000000">
        <w:rPr>
          <w:b w:val="1"/>
          <w:vertAlign w:val="baseline"/>
          <w:rtl w:val="0"/>
        </w:rPr>
        <w:t xml:space="preserve">C1: 1 2 4 5 1 2 3 5 6 7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Para ejecutar este caso se ingresa al principio un valor no permitido (valor nulo o negativo) por el que se muestro un mensaje de error y permite ingresarlo nuevamente. Finalmente para recorrer este camino el programa determino que los valores ingresados no permiten construir un triangula como en el primer caso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Datos a ingresar: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Primer ingreso del Lado A = -4,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Segundo ingreso del Lado A = 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Lado B = 2,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Lado C = 7,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Resultado esperado: Un primer mensaje del programa indicando que el valor ingresado no es correcto, permitiendo ingresarlo nuevamente y luego de ingresar los 3 valores finales un mensaje aclarando que los lados ingresados no forman un triángulo.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Recorrería el grafo de la siguiente manera (pasando por las aristas que se muestran en el siguiente subgrafo):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2704465" cy="451612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4516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2) C2: 1 2 3 5 6 8 9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Para recorrer este camino se necesita se debe ingresar un set de datos donde los 3 lados tengan el mismo valor, siendo números enteros positivos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Datos a ingresar: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Lado A = 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Lado B = 4,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Lado C = 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Resultado esperado: Mensaje del programa aclarando que los lados ingresados forman un triángulo equilátero.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Recorrería el grafo de la siguiente manera (pasando por las aristas que se muestran en el siguiente subgrafo):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200" w:before="0" w:line="276" w:lineRule="auto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2704465" cy="453517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4535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3) C3: 1 2 3 5 6 8 10 11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Para recorrer este camino se necesita se debe ingresar un set de datos donde los 3 lados sean números enteros positivos y todos diferentes entre sí. Donde además se cumpla la condición entre todos de que la suma de 2 de ellos es mayor que la del tercero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Datos a ingresar: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Lado A = 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Lado B = 3,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Lado C = 2,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Resultado esperado: Mensaje del programa aclarando que los lados ingresados forman un triángulo escaleno.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Recorrería el grafo de la siguiente manera (pasando por las aristas que se muestran en el siguiente subgrafo):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2704465" cy="4704715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4704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4) C4: 1 2 3 5 6 8 10 12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Para recorrer este camino se necesita se debe ingresar un set de datos donde los 2 de los 3 lados tengan el mismo valor, siendo todos además números enteros positivos.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Datos a ingresar: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Lado A = 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Lado B = 4,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Lado C = 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Resultado esperado: Mensaje del programa aclarando que los lados ingresados forman un triángulo isósceles.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Recorrería el grafo de la siguiente manera (pasando por las aristas que se muestran en el siguiente subgrafo):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2704465" cy="4704715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4704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/>
      <w:pgMar w:bottom="1969" w:top="1969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8655"/>
      </w:tabs>
      <w:spacing w:after="200" w:before="0" w:line="276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vertAlign w:val="baseline"/>
        <w:rtl w:val="0"/>
      </w:rPr>
      <w:t xml:space="preserve">Grupo Número 6</w:t>
      <w:tab/>
      <w:tab/>
      <w:t xml:space="preserve">Cuelli, Deiros, Funes, García, Lozano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200" w:before="0" w:line="276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vertAlign w:val="baseline"/>
        <w:rtl w:val="0"/>
      </w:rPr>
      <w:t xml:space="preserve">Análisis de Software</w:t>
      <w:tab/>
      <w:tab/>
      <w:t xml:space="preserve">TP N°1 – Modelo de Calidad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08.png"/><Relationship Id="rId5" Type="http://schemas.openxmlformats.org/officeDocument/2006/relationships/image" Target="media/image01.png"/><Relationship Id="rId6" Type="http://schemas.openxmlformats.org/officeDocument/2006/relationships/image" Target="media/image07.png"/><Relationship Id="rId7" Type="http://schemas.openxmlformats.org/officeDocument/2006/relationships/image" Target="media/image06.png"/><Relationship Id="rId8" Type="http://schemas.openxmlformats.org/officeDocument/2006/relationships/image" Target="media/image09.png"/></Relationships>
</file>