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896620" cy="937895"/>
            <wp:effectExtent b="0" l="0" r="0" t="0"/>
            <wp:docPr descr="C:\Users\Mariano\Google Drive\UNLAM\Laboratorio\1265830877unlam1.jpg" id="1" name="image01.jpg"/>
            <a:graphic>
              <a:graphicData uri="http://schemas.openxmlformats.org/drawingml/2006/picture">
                <pic:pic>
                  <pic:nvPicPr>
                    <pic:cNvPr descr="C:\Users\Mariano\Google Drive\UNLAM\Laboratorio\1265830877unlam1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937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Universidad Nacional de La Matanza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rtl w:val="0"/>
        </w:rPr>
        <w:t xml:space="preserve">DEPARTAMENTO DE INGENIERÍA E INVESTIGACIONES TECNOLÓGICAS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Análisis de Software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00" w:lineRule="auto"/>
        <w:contextualSpacing w:val="0"/>
        <w:jc w:val="center"/>
      </w:pPr>
      <w:bookmarkStart w:colFirst="0" w:colLast="0" w:name="h.30j0zll" w:id="1"/>
      <w:bookmarkEnd w:id="1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Trabajo práctico Nº 1:</w:t>
      </w:r>
    </w:p>
    <w:p w:rsidR="00000000" w:rsidDel="00000000" w:rsidP="00000000" w:rsidRDefault="00000000" w:rsidRPr="00000000">
      <w:pPr>
        <w:keepNext w:val="1"/>
        <w:keepLines w:val="1"/>
        <w:spacing w:after="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“Caja Negra – Triángulo”</w:t>
      </w:r>
    </w:p>
    <w:p w:rsidR="00000000" w:rsidDel="00000000" w:rsidP="00000000" w:rsidRDefault="00000000" w:rsidRPr="00000000">
      <w:pPr>
        <w:spacing w:after="0" w:lineRule="auto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rtl w:val="0"/>
        </w:rPr>
        <w:t xml:space="preserve">Integrantes:</w:t>
      </w:r>
    </w:p>
    <w:tbl>
      <w:tblPr>
        <w:tblStyle w:val="Table1"/>
        <w:bidi w:val="0"/>
        <w:tblW w:w="8500.0" w:type="dxa"/>
        <w:jc w:val="left"/>
        <w:tblInd w:w="-60.0" w:type="dxa"/>
        <w:tblLayout w:type="fixed"/>
        <w:tblLook w:val="0000"/>
      </w:tblPr>
      <w:tblGrid>
        <w:gridCol w:w="5660"/>
        <w:gridCol w:w="2840"/>
        <w:tblGridChange w:id="0">
          <w:tblGrid>
            <w:gridCol w:w="5660"/>
            <w:gridCol w:w="2840"/>
          </w:tblGrid>
        </w:tblGridChange>
      </w:tblGrid>
      <w:tr>
        <w:trPr>
          <w:trHeight w:val="28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Alesandrini, Ernesto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33.458.573</w:t>
            </w:r>
          </w:p>
        </w:tc>
      </w:tr>
      <w:tr>
        <w:trPr>
          <w:trHeight w:val="28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Arrojo, Pablo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34.975.961</w:t>
            </w:r>
          </w:p>
        </w:tc>
      </w:tr>
      <w:tr>
        <w:trPr>
          <w:trHeight w:val="28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Greco, Maximiliano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36.258.544</w:t>
            </w:r>
          </w:p>
        </w:tc>
      </w:tr>
      <w:tr>
        <w:trPr>
          <w:trHeight w:val="28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Femenía, Dario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tabs>
                <w:tab w:val="left" w:pos="960"/>
              </w:tabs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33.304.860</w:t>
            </w:r>
          </w:p>
        </w:tc>
      </w:tr>
      <w:tr>
        <w:trPr>
          <w:trHeight w:val="28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Pandullo, Matias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tabs>
                <w:tab w:val="left" w:pos="960"/>
              </w:tabs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31.070.596</w:t>
            </w:r>
          </w:p>
        </w:tc>
      </w:tr>
      <w:tr>
        <w:trPr>
          <w:trHeight w:val="280" w:hRule="atLeast"/>
        </w:trP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Perez, Marcelo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>
            <w:pPr>
              <w:tabs>
                <w:tab w:val="left" w:pos="960"/>
              </w:tabs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Fecha de entrega:</w:t>
      </w:r>
      <w:r w:rsidDel="00000000" w:rsidR="00000000" w:rsidRPr="00000000">
        <w:rPr>
          <w:rFonts w:ascii="Arial" w:cs="Arial" w:eastAsia="Arial" w:hAnsi="Arial"/>
          <w:rtl w:val="0"/>
        </w:rPr>
        <w:t xml:space="preserve"> 16/10/2015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b w:val="1"/>
          <w:color w:val="4f82be"/>
          <w:sz w:val="26"/>
          <w:szCs w:val="26"/>
          <w:vertAlign w:val="baseline"/>
          <w:rtl w:val="0"/>
        </w:rPr>
        <w:t xml:space="preserve">PRUEBAS DE CAJA NEGRA PARA EL PROGRAMA DEL TRIANGULO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Reglas: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vertAlign w:val="baseline"/>
          <w:rtl w:val="0"/>
        </w:rPr>
        <w:t xml:space="preserve">Las 3 entradas solo permiten números (Ningún carácter que no sea número está permitido, ejemplos: - ; + ;  . ; , ; &amp; ; A ; a ;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vertAlign w:val="baseline"/>
          <w:rtl w:val="0"/>
        </w:rPr>
        <w:t xml:space="preserve">Las 3 entradas deben tener entre 1 y 10 números.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vertAlign w:val="baseline"/>
          <w:rtl w:val="0"/>
        </w:rPr>
        <w:t xml:space="preserve">Las 3 entradas deben ser un valor entre 1 y 2.147.483.647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vertAlign w:val="baseline"/>
          <w:rtl w:val="0"/>
        </w:rPr>
        <w:t xml:space="preserve">El primer número no debe ser mayor o igual que la suma del segundo y el tercero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vertAlign w:val="baseline"/>
          <w:rtl w:val="0"/>
        </w:rPr>
        <w:t xml:space="preserve">El segundo número no debe ser mayor o igual que la suma del primero y el tercero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vertAlign w:val="baseline"/>
          <w:rtl w:val="0"/>
        </w:rPr>
        <w:t xml:space="preserve">El tercer número no debe ser mayor o igual que la suma del primero y el segundo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Partición en clases de equivalencia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513.0" w:type="dxa"/>
        <w:jc w:val="left"/>
        <w:tblInd w:w="-15.0" w:type="dxa"/>
        <w:tblLayout w:type="fixed"/>
        <w:tblLook w:val="0000"/>
      </w:tblPr>
      <w:tblGrid>
        <w:gridCol w:w="1200"/>
        <w:gridCol w:w="2340"/>
        <w:gridCol w:w="2920"/>
        <w:gridCol w:w="3053"/>
        <w:tblGridChange w:id="0">
          <w:tblGrid>
            <w:gridCol w:w="1200"/>
            <w:gridCol w:w="2340"/>
            <w:gridCol w:w="2920"/>
            <w:gridCol w:w="3053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db4e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8cce4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8cce4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Clases 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8cce4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Clases no 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right w:color="000000" w:space="0" w:sz="8" w:val="single"/>
            </w:tcBorders>
            <w:shd w:fill="c5d9f1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Lado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Solo números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Todos números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Algún carácter no numérico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(13)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8" w:val="single"/>
            </w:tcBorders>
            <w:shd w:fill="c5d9f1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Entre 1 y 10 números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Entre 1 y 10 números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Menos de 1 número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(14)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8" w:val="single"/>
            </w:tcBorders>
            <w:shd w:fill="c5d9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Más de 10 números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 (15)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8" w:val="single"/>
            </w:tcBorders>
            <w:shd w:fill="c5d9f1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Entre 1 y 2.147.483.647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Entre 1 y 2.147.483.647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Menos de 1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(16)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8" w:val="single"/>
            </w:tcBorders>
            <w:shd w:fill="c5d9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Más de 2.147.483.647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(17)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right w:color="000000" w:space="0" w:sz="8" w:val="single"/>
            </w:tcBorders>
            <w:shd w:fill="c5d9f1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Menor a B +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Lado A menor a B + C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Lado A mayor a B + C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(28)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c5d9f1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Lado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Solo números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Todos números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Algún carácter no número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 (18)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c5d9f1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Entre 1 y 10 números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Entre 1 y 10 números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Menos de 1 número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 (19)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c5d9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Más de 10 números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 (20)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c5d9f1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Entre 1 y 2.147.483.647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Entre 1 y 2.147.483.647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Menos de 1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(21)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c5d9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Más de 2.147.483.647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(22)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c5d9f1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Menor a A +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Lado B menor a A + C 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(11)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Lado B mayor a A + C 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(29)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5d9f1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Lado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Solo números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Todos números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Algún carácter no número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(23)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5d9f1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Entre 1 y 10 números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Entre 1 y 10 números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Menos de 1 número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5d9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Más de 10 números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(25)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5d9f1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Entre 1 y 2.147.483.647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Entre 1 y 2.147.483.647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Menos de 1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(26)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5d9f1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Más de 2.147.483.647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(27)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5d9f1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Menor a A +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Lado C menor a A + B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Lado C mayor a A + B </w:t>
            </w:r>
            <w:r w:rsidDel="00000000" w:rsidR="00000000" w:rsidRPr="00000000">
              <w:rPr>
                <w:color w:val="4f81bd"/>
                <w:vertAlign w:val="baseline"/>
                <w:rtl w:val="0"/>
              </w:rPr>
              <w:t xml:space="preserve">(30)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Batería de pruebas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100.999999999999" w:type="dxa"/>
        <w:jc w:val="left"/>
        <w:tblInd w:w="-15.0" w:type="dxa"/>
        <w:tblLayout w:type="fixed"/>
        <w:tblLook w:val="0000"/>
      </w:tblPr>
      <w:tblGrid>
        <w:gridCol w:w="1367"/>
        <w:gridCol w:w="1367"/>
        <w:gridCol w:w="1367"/>
        <w:gridCol w:w="2920"/>
        <w:gridCol w:w="1080"/>
        <w:tblGridChange w:id="0">
          <w:tblGrid>
            <w:gridCol w:w="1367"/>
            <w:gridCol w:w="1367"/>
            <w:gridCol w:w="1367"/>
            <w:gridCol w:w="2920"/>
            <w:gridCol w:w="1080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8cce4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8cce4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Clases cubiertas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8cce4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Salida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8cce4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Lado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8cce4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Lado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8cce4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Lado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8cce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8cce4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1, 2, 3, 4, 5, 6, 7, 8, 9, 10, 11, 12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"&amp;"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"A"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","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" 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" 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" 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12345678901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12345678901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12345678901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2147483648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2147483648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2147483648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"&amp;"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"A"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","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" 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" 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" 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12345678901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12345678901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12345678901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2147483648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2147483648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2147483648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"&amp;"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"A"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","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" 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12345678901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12345678901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12345678901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Los casos a cubrir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1 OK + 18 Error =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969" w:top="1532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8655"/>
      </w:tabs>
      <w:spacing w:after="1417" w:before="0" w:line="276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vertAlign w:val="baseline"/>
        <w:rtl w:val="0"/>
      </w:rPr>
      <w:t xml:space="preserve">Grupo Número 10</w:t>
      <w:tab/>
      <w:tab/>
      <w:t xml:space="preserve">Alesandrini,Arrojo,Greco,Femenia,Pandullo,Perez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200" w:before="709" w:line="276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vertAlign w:val="baseline"/>
        <w:rtl w:val="0"/>
      </w:rPr>
      <w:t xml:space="preserve">Análisis de Software</w:t>
      <w:tab/>
      <w:tab/>
      <w:t xml:space="preserve">TP Métodos de caja negra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