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895350" cy="94297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Universidad Nacional de La Matanza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DEPARTAMENTO DE INGENIERÍA E INVESTIGACIONES TECNOLÓGICAS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76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2"/>
          <w:szCs w:val="42"/>
          <w:rtl w:val="0"/>
        </w:rPr>
        <w:t xml:space="preserve">Análisis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Trabajo práctico: “Pacientes”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“Caja Negra”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Integrantes:</w:t>
      </w:r>
    </w:p>
    <w:tbl>
      <w:tblPr>
        <w:tblStyle w:val="Table1"/>
        <w:bidi w:val="0"/>
        <w:tblW w:w="9435.0" w:type="dxa"/>
        <w:jc w:val="left"/>
        <w:tblInd w:w="-60.0" w:type="dxa"/>
        <w:tblLayout w:type="fixed"/>
        <w:tblLook w:val="0400"/>
      </w:tblPr>
      <w:tblGrid>
        <w:gridCol w:w="6283"/>
        <w:gridCol w:w="3152"/>
        <w:tblGridChange w:id="0">
          <w:tblGrid>
            <w:gridCol w:w="6283"/>
            <w:gridCol w:w="3152"/>
          </w:tblGrid>
        </w:tblGridChange>
      </w:tblGrid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Alesandrini, Ernesto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33.458.573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Arrojo, Pablo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34.975.961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Greco, Maximiliano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36.258.544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Femenía, 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33.304.860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Pandullo, Matias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31.070.596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Perez, 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before="0" w:line="240" w:lineRule="auto"/>
              <w:contextualSpacing w:val="0"/>
              <w:jc w:val="center"/>
            </w:pPr>
            <w:bookmarkStart w:colFirst="0" w:colLast="0" w:name="h.3znysh7" w:id="3"/>
            <w:bookmarkEnd w:id="3"/>
            <w:r w:rsidDel="00000000" w:rsidR="00000000" w:rsidRPr="00000000">
              <w:rPr>
                <w:rtl w:val="0"/>
              </w:rPr>
              <w:t xml:space="preserve">37.010.216</w:t>
            </w:r>
          </w:p>
        </w:tc>
      </w:tr>
    </w:tbl>
    <w:p w:rsidR="00000000" w:rsidDel="00000000" w:rsidP="00000000" w:rsidRDefault="00000000" w:rsidRPr="00000000">
      <w:pPr>
        <w:pStyle w:val="Sub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16/10/2015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