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901700" cy="939800"/>
            <wp:effectExtent b="0" l="0" r="0" t="0"/>
            <wp:docPr descr="C:\Users\Mariano\Google Drive\UNLAM\Laboratorio\1265830877unlam1.jpg" id="1" name="image01.jpg"/>
            <a:graphic>
              <a:graphicData uri="http://schemas.openxmlformats.org/drawingml/2006/picture">
                <pic:pic>
                  <pic:nvPicPr>
                    <pic:cNvPr descr="C:\Users\Mariano\Google Drive\UNLAM\Laboratorio\1265830877unlam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Universidad Nacional de La Matanza</w:t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rPr>
          <w:rtl w:val="0"/>
        </w:rPr>
        <w:t xml:space="preserve">DEPARTAMENTO DE INGENIERÍA E INVESTIGACIONES TECNOLÓGICAS</w:t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rPr>
          <w:sz w:val="42"/>
          <w:szCs w:val="42"/>
          <w:rtl w:val="0"/>
        </w:rPr>
        <w:t xml:space="preserve">Análisis de Software</w:t>
      </w:r>
    </w:p>
    <w:p w:rsidR="00000000" w:rsidDel="00000000" w:rsidP="00000000" w:rsidRDefault="00000000" w:rsidRPr="00000000">
      <w:pPr>
        <w:spacing w:before="200" w:line="331.20000000000005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Trabajo práctico Nº 3:</w:t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“Code Coverage Analysis”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31.20000000000005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Integrantes:</w:t>
      </w:r>
    </w:p>
    <w:tbl>
      <w:tblPr>
        <w:tblStyle w:val="Table1"/>
        <w:bidi w:val="0"/>
        <w:tblW w:w="9195.0" w:type="dxa"/>
        <w:jc w:val="left"/>
        <w:tblLayout w:type="fixed"/>
        <w:tblLook w:val="0600"/>
      </w:tblPr>
      <w:tblGrid>
        <w:gridCol w:w="6105"/>
        <w:gridCol w:w="3090"/>
        <w:tblGridChange w:id="0">
          <w:tblGrid>
            <w:gridCol w:w="6105"/>
            <w:gridCol w:w="30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Alesandrini, Ernesto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33.458.573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Arrojo, Pablo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34.975.961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Greco, Maximiliano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36.258.544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Femenía, Dario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33.304.860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Pandullo, Matias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31.070.596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Perez, Marcelo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-6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37.010.216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</w:pPr>
      <w:r w:rsidDel="00000000" w:rsidR="00000000" w:rsidRPr="00000000">
        <w:rPr>
          <w:rtl w:val="0"/>
        </w:rPr>
        <w:t xml:space="preserve">Fecha de entrega: 18/09/2015</w:t>
      </w:r>
    </w:p>
    <w:p w:rsidR="00000000" w:rsidDel="00000000" w:rsidP="00000000" w:rsidRDefault="00000000" w:rsidRPr="00000000">
      <w:pPr>
        <w:ind w:right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void obtenerTipo()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int a, b,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if (isNumeric(this.lado1.getText()) &amp;&amp; isNumeric(this.lado2.getText()) &amp;&amp;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isNumeric(this.lado3.getText()))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a = Integer.parseInt(this.lado1.getText());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b = Integer.parseInt(this.lado2.getText());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c = Integer.parseInt(this.lado3.getText());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if (Math.abs(a - c) &lt; b &amp;&amp; b &lt; (a + c))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(a ==  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 (b == c)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tipo.setText("Equilátero");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tipo.setText("Isósceles");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 (b != c &amp;&amp; c != 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tipo.setText("Escaleno");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tipo.setText("Isósceles");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tipo.setText("La combinación ingresada no forma un triángulo");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tipo.setText("Uno de los lados ingresados no es un valor entero");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boolean isNumeric(String cadena)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Integer.parseInt(cadena);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 catch (Exception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Condition Coverage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7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945"/>
        <w:gridCol w:w="705"/>
        <w:gridCol w:w="735"/>
        <w:gridCol w:w="720"/>
        <w:gridCol w:w="1080"/>
        <w:gridCol w:w="1650"/>
        <w:gridCol w:w="750"/>
        <w:tblGridChange w:id="0">
          <w:tblGrid>
            <w:gridCol w:w="3195"/>
            <w:gridCol w:w="945"/>
            <w:gridCol w:w="705"/>
            <w:gridCol w:w="735"/>
            <w:gridCol w:w="720"/>
            <w:gridCol w:w="1080"/>
            <w:gridCol w:w="1650"/>
            <w:gridCol w:w="7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Lado1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Lado2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Lado3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 de 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IsNumeric(Lado1)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(2,3,4)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IsNumeric(Lado1)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(A,B,A)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IsNumeric(Lado2)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(2,3,4)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IsNumeric(Lado2)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(A,B,A)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IsNumeric(Lado3)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(2,3,4)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IsNumeric(Lado3)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(A,B,A)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Absoluto(Lado1 - Lado3) &lt; Lado2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|2-4| &lt; 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(2,3,4)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Absoluto(Lado1 - Lado3) &lt; Lado2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|2-1| &lt; 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(2,1,1)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right="-465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4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Lado2 &lt; (Lado1 + Lado3)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&lt; 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(2,3,4)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Lado2 &lt; (Lado1 + Lado3)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&lt; 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(1,2,1)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Lado1 == Lado2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== 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(2,2,2)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Lado1 == Lado2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== 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(2,3,4)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Lado2 == Lado3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== 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(2,2,2)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Lado2 == Lado3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== 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(2,2,1)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Lado2 != Lado3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!= 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(2,3,4)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Lado2 != Lado3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!= 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(1,2,2)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Lado3 != Lado1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!= 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(2,3,4)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Lado3 != Lado1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!=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(1,4,1)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Cantidad mínima de casos: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Decision Coverage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79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5280"/>
        <w:gridCol w:w="390"/>
        <w:gridCol w:w="375"/>
        <w:gridCol w:w="360"/>
        <w:gridCol w:w="1125"/>
        <w:gridCol w:w="1110"/>
        <w:gridCol w:w="1155"/>
        <w:tblGridChange w:id="0">
          <w:tblGrid>
            <w:gridCol w:w="5280"/>
            <w:gridCol w:w="390"/>
            <w:gridCol w:w="375"/>
            <w:gridCol w:w="360"/>
            <w:gridCol w:w="1125"/>
            <w:gridCol w:w="1110"/>
            <w:gridCol w:w="11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 de Caso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isNumeric(a) &amp;&amp; isNumeric(b) &amp;&amp; isNumeric(c)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(2, 3, 4)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isNumeric(a) &amp;&amp; isNumeric(b) &amp;&amp; isNumeric(c)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(A, B, A)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Math.abs(a - c) &lt; b &amp;&amp; b &lt; (a + c)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(2, 3, 4)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Math.abs(a - c) &lt; b &amp;&amp; b &lt; (a + c)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(2, 1, 1)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== b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(2, 2, 2)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== b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(2, 3, 4)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== c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(2, 2, 2)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== c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(2, 2, 1)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!= c &amp;&amp; c != a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(2, 3, 4)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!= c &amp;&amp; c != 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(1, 2, 2)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Cantidad de casos de prueba: 6</w:t>
      </w:r>
    </w:p>
    <w:sectPr>
      <w:pgSz w:h="15840" w:w="12240"/>
      <w:pgMar w:bottom="1440" w:top="1440" w:left="1260" w:right="1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