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Dr. Julian Barg</w:t>
      </w:r>
    </w:p>
    <w:p>
      <w:pPr>
        <w:pStyle w:val="Author"/>
      </w:pPr>
      <w:r>
        <w:rPr>
          <w:i/>
          <w:iCs/>
        </w:rPr>
        <w:t xml:space="preserve">University of Miami</w:t>
      </w:r>
    </w:p>
    <w:p>
      <w:pPr>
        <w:pStyle w:val="Author"/>
      </w:pPr>
      <w:r>
        <w:rPr>
          <w:i/>
          <w:iCs/>
        </w:rPr>
        <w:t xml:space="preserve">Rosenstiel School of Marine, Atmospheric, and Earth Science</w:t>
      </w:r>
    </w:p>
    <w:p>
      <w:pPr>
        <w:pStyle w:val="Author"/>
      </w:pPr>
      <w:r>
        <w:rPr>
          <w:i/>
          <w:iCs/>
        </w:rPr>
        <w:t xml:space="preserve">4600 Rickenbacker Cswy</w:t>
      </w:r>
    </w:p>
    <w:p>
      <w:pPr>
        <w:pStyle w:val="Author"/>
      </w:pPr>
      <w:r>
        <w:rPr>
          <w:i/>
          <w:iCs/>
        </w:rPr>
        <w:t xml:space="preserve">Key Biscayne, FL 33149</w:t>
      </w:r>
    </w:p>
    <w:p>
      <w:pPr>
        <w:pStyle w:val="Author"/>
      </w:pPr>
      <w:r>
        <w:t xml:space="preserve">+1 (561) 938-4189 –</w:t>
      </w:r>
      <w:r>
        <w:t xml:space="preserve"> </w:t>
      </w:r>
      <w:hyperlink r:id="rId20">
        <w:r>
          <w:rPr>
            <w:rStyle w:val="InternetLink"/>
          </w:rPr>
          <w:t xml:space="preserve">jbarg@miami.edu</w:t>
        </w:r>
      </w:hyperlink>
    </w:p>
    <w:p>
      <w:pPr>
        <w:pStyle w:val="TextBody"/>
      </w:pPr>
      <w:r>
        <w:br/>
      </w:r>
    </w:p>
    <w:p>
      <w:pPr>
        <w:pStyle w:val="BlockText"/>
      </w:pPr>
      <w:r>
        <w:rPr>
          <w:i/>
          <w:iCs/>
        </w:rPr>
        <w:t xml:space="preserve">[T]he sociologist has at most the leeway of his double role as scientist and citizen: He can select the tasks he wants to work on sociologically according to aspects of political relevance, but on the scientific work itself such a civic preliminary decision can then have no influence.</w:t>
      </w:r>
    </w:p>
    <w:p>
      <w:pPr>
        <w:pStyle w:val="Attribution"/>
      </w:pPr>
      <w:r>
        <w:t xml:space="preserve">—Habermas in Theory and Practice (1971)</w:t>
      </w:r>
    </w:p>
    <w:bookmarkStart w:id="21" w:name="education"/>
    <w:p>
      <w:pPr>
        <w:pStyle w:val="Heading1"/>
      </w:pPr>
      <w:r>
        <w:t xml:space="preserve">Education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768"/>
        <w:gridCol w:w="2151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PhD – Sustainability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Western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Canada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Thesis: All Quiet on the Midwestern Front.</w:t>
            </w:r>
            <w:r>
              <w:t xml:space="preserve"> </w:t>
            </w:r>
            <w:r>
              <w:t xml:space="preserve">Discourse on Keystone XL and Its Climate Change</w:t>
            </w:r>
            <w:r>
              <w:t xml:space="preserve"> </w:t>
            </w:r>
            <w:r>
              <w:t xml:space="preserve">Implications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Advisors: Dr. Mark J. Zbaracki, Dr. A. Wren Montgomery</w:t>
            </w:r>
          </w:p>
        </w:tc>
        <w:tc>
          <w:tcPr/>
          <w:p>
            <w:pPr>
              <w:pStyle w:val="Compact"/>
              <w:jc w:val="right"/>
            </w:pP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Master’s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Peking University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China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Bachelor’s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Free University of Berlin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Germany</w:t>
            </w:r>
          </w:p>
        </w:tc>
      </w:tr>
      <w:tr>
        <w:tc>
          <w:tcPr/>
          <w:p>
            <w:pPr>
              <w:pStyle w:val="Compact"/>
              <w:jc w:val="left"/>
            </w:pPr>
          </w:p>
        </w:tc>
        <w:tc>
          <w:tcPr/>
          <w:p>
            <w:pPr>
              <w:pStyle w:val="Compact"/>
              <w:jc w:val="right"/>
            </w:pPr>
          </w:p>
        </w:tc>
      </w:tr>
    </w:tbl>
    <w:bookmarkEnd w:id="21"/>
    <w:bookmarkStart w:id="22" w:name="academic-positions"/>
    <w:p>
      <w:pPr>
        <w:pStyle w:val="Heading1"/>
      </w:pPr>
      <w:r>
        <w:t xml:space="preserve">Academic Positions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1"/>
        </w:numPr>
      </w:pPr>
      <w:r>
        <w:t xml:space="preserve">2023– Postdoc at Dr. Geoffrey Supran’s Climate Accountability Lab, University of Miami</w:t>
      </w:r>
    </w:p>
    <w:bookmarkEnd w:id="22"/>
    <w:bookmarkStart w:id="23" w:name="papers-in-progress"/>
    <w:p>
      <w:pPr>
        <w:pStyle w:val="Heading1"/>
      </w:pPr>
      <w:r>
        <w:t xml:space="preserve">Papers in progress</w:t>
      </w:r>
    </w:p>
    <w:p>
      <w:r>
        <w:pict>
          <v:rect style="width:0;height:1.5pt" o:hralign="center" o:hrstd="t" o:hr="t"/>
        </w:pict>
      </w:r>
    </w:p>
    <w:p>
      <w:pPr>
        <w:pStyle w:val="Bibliography"/>
      </w:pPr>
      <w:r>
        <w:t xml:space="preserve">Barg, J., &amp; Zbaracki, M. J. (2025). Just Don’t Say Climate Change. Discourse on Keystone XL. Finishing touches for submission to</w:t>
      </w:r>
      <w:r>
        <w:t xml:space="preserve"> </w:t>
      </w:r>
      <w:r>
        <w:rPr>
          <w:i/>
          <w:iCs/>
        </w:rPr>
        <w:t xml:space="preserve">Administrative Science Quarterly</w:t>
      </w:r>
    </w:p>
    <w:bookmarkEnd w:id="23"/>
    <w:bookmarkStart w:id="28" w:name="publications"/>
    <w:p>
      <w:pPr>
        <w:pStyle w:val="Heading1"/>
      </w:pPr>
      <w:r>
        <w:t xml:space="preserve">Publications</w:t>
      </w:r>
    </w:p>
    <w:p>
      <w:r>
        <w:pict>
          <v:rect style="width:0;height:1.5pt" o:hralign="center" o:hrstd="t" o:hr="t"/>
        </w:pict>
      </w:r>
    </w:p>
    <w:p>
      <w:pPr>
        <w:pStyle w:val="Bibliography"/>
      </w:pPr>
      <w:r>
        <w:t xml:space="preserve">Montgomery, A. W., Lyon, T. P., &amp; Barg, J. (2023). No End in Sight? A Greenwash Review and Research Agenda.</w:t>
      </w:r>
      <w:r>
        <w:t xml:space="preserve"> </w:t>
      </w:r>
      <w:r>
        <w:rPr>
          <w:i/>
          <w:iCs/>
        </w:rPr>
        <w:t xml:space="preserve">Organization &amp; Environment</w:t>
      </w:r>
      <w:r>
        <w:t xml:space="preserve">, 36.</w:t>
      </w:r>
      <w:r>
        <w:t xml:space="preserve"> </w:t>
      </w:r>
      <w:hyperlink r:id="rId24">
        <w:r>
          <w:rPr>
            <w:rStyle w:val="InternetLink"/>
          </w:rPr>
          <w:t xml:space="preserve">https://doi.org/10.1177/10860266231168905</w:t>
        </w:r>
      </w:hyperlink>
      <w:r>
        <w:br/>
      </w:r>
    </w:p>
    <w:p>
      <w:pPr>
        <w:pStyle w:val="Bibliography"/>
      </w:pPr>
      <w:r>
        <w:t xml:space="preserve">Zbaracki, M. J., Watkiss, L., McAlpine, C., &amp; Barg, J. (2021). Truth, Beauty, and Justice in Models of Social Action. In C. M. Beckman (Ed.),</w:t>
      </w:r>
      <w:r>
        <w:t xml:space="preserve"> </w:t>
      </w:r>
      <w:r>
        <w:rPr>
          <w:i/>
          <w:iCs/>
        </w:rPr>
        <w:t xml:space="preserve">Research in the Sociology of Organizations</w:t>
      </w:r>
      <w:r>
        <w:t xml:space="preserve"> </w:t>
      </w:r>
      <w:r>
        <w:t xml:space="preserve">(pp. 159–177). Bingley: Emerald Publishing Limited.</w:t>
      </w:r>
      <w:r>
        <w:t xml:space="preserve"> </w:t>
      </w:r>
      <w:hyperlink r:id="rId25">
        <w:r>
          <w:rPr>
            <w:rStyle w:val="InternetLink"/>
          </w:rPr>
          <w:t xml:space="preserve">https://doi.org/10.1108/S0733-558X20210000076007</w:t>
        </w:r>
      </w:hyperlink>
      <w:r>
        <w:br/>
      </w:r>
    </w:p>
    <w:p>
      <w:pPr>
        <w:pStyle w:val="Bibliography"/>
      </w:pPr>
      <w:r>
        <w:t xml:space="preserve">Huang, H., Barg, J., &amp; Sheng, C. (2019). The Trends of CSR in China: An Actor-Focused Analysis Including the Cases of Huawei and the Society of Entrepreneurs and Ecology (SEE). In R. Schmidpeter, N. Capaldi, S. O. Idowu, &amp; A. Stürenberg Herrera (Eds.),</w:t>
      </w:r>
      <w:r>
        <w:t xml:space="preserve"> </w:t>
      </w:r>
      <w:r>
        <w:rPr>
          <w:i/>
          <w:iCs/>
        </w:rPr>
        <w:t xml:space="preserve">International Dimensions of Sustainable Management: Latest Perspectives from Corporate Governance, Responsible Finance and CSR</w:t>
      </w:r>
      <w:r>
        <w:t xml:space="preserve"> </w:t>
      </w:r>
      <w:r>
        <w:t xml:space="preserve">(pp. 263–275). Cham: Springer International Publishing.</w:t>
      </w:r>
      <w:r>
        <w:t xml:space="preserve"> </w:t>
      </w:r>
      <w:hyperlink r:id="rId26">
        <w:r>
          <w:rPr>
            <w:rStyle w:val="InternetLink"/>
          </w:rPr>
          <w:t xml:space="preserve">https://doi.org/10.1007/978-3-030-04819-8_16</w:t>
        </w:r>
      </w:hyperlink>
      <w:r>
        <w:br/>
      </w:r>
    </w:p>
    <w:p>
      <w:pPr>
        <w:pStyle w:val="Bibliography"/>
      </w:pPr>
      <w:r>
        <w:t xml:space="preserve">Huang, H., Sheng, C., &amp; Barg, J. (2017). Advocacy Coalitions of Green Economy and their Influence on Government Policy in China. In E. Sternfeld (Ed.),</w:t>
      </w:r>
      <w:r>
        <w:t xml:space="preserve"> </w:t>
      </w:r>
      <w:r>
        <w:rPr>
          <w:i/>
          <w:iCs/>
        </w:rPr>
        <w:t xml:space="preserve">Routledge Handbook of Environmental Policy in China</w:t>
      </w:r>
      <w:r>
        <w:t xml:space="preserve">. Routledge Handbooks Online.</w:t>
      </w:r>
      <w:r>
        <w:t xml:space="preserve"> </w:t>
      </w:r>
      <w:hyperlink r:id="rId27">
        <w:r>
          <w:rPr>
            <w:rStyle w:val="InternetLink"/>
          </w:rPr>
          <w:t xml:space="preserve">https://doi.org/10.4324/9781315736761.ch5</w:t>
        </w:r>
      </w:hyperlink>
    </w:p>
    <w:bookmarkEnd w:id="28"/>
    <w:bookmarkStart w:id="29" w:name="reports-and-media-coverage"/>
    <w:p>
      <w:pPr>
        <w:pStyle w:val="Heading1"/>
      </w:pPr>
      <w:r>
        <w:t xml:space="preserve">Reports and media coverage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2"/>
        </w:numPr>
      </w:pPr>
      <w:r>
        <w:t xml:space="preserve">Montgomery, W., Lyon, T., Barg, J., &amp; Lynch, M. (2024). Greenwashing 3.0: Why addressing greenwashing remains as important as ever (and what can be done about it).</w:t>
      </w:r>
      <w:r>
        <w:t xml:space="preserve"> </w:t>
      </w:r>
      <w:r>
        <w:rPr>
          <w:i/>
          <w:iCs/>
        </w:rPr>
        <w:t xml:space="preserve">Ivey Center for Building Sustainable Value &amp; Erb Institute</w:t>
      </w:r>
      <w:r>
        <w:t xml:space="preserve">. https://online.flippingbook.com/view/175998623/</w:t>
      </w:r>
    </w:p>
    <w:p>
      <w:pPr>
        <w:pStyle w:val="Compact"/>
        <w:numPr>
          <w:ilvl w:val="0"/>
          <w:numId w:val="1002"/>
        </w:numPr>
      </w:pPr>
      <w:r>
        <w:t xml:space="preserve">Rana, A. (2023, October 30). Western prof looks at</w:t>
      </w:r>
      <w:r>
        <w:t xml:space="preserve"> </w:t>
      </w:r>
      <w:r>
        <w:t xml:space="preserve">“greenwashing”</w:t>
      </w:r>
      <w:r>
        <w:t xml:space="preserve"> </w:t>
      </w:r>
      <w:r>
        <w:t xml:space="preserve">and how to spot it.</w:t>
      </w:r>
      <w:r>
        <w:t xml:space="preserve"> </w:t>
      </w:r>
      <w:r>
        <w:rPr>
          <w:i/>
          <w:iCs/>
        </w:rPr>
        <w:t xml:space="preserve">CBC News</w:t>
      </w:r>
      <w:r>
        <w:t xml:space="preserve">. https://www.cbc.ca/news/canada/london/eco-friendly-products-may-not-recycle-as-advertised-experts-say-1.7008093</w:t>
      </w:r>
    </w:p>
    <w:p>
      <w:pPr>
        <w:pStyle w:val="Compact"/>
        <w:numPr>
          <w:ilvl w:val="0"/>
          <w:numId w:val="1002"/>
        </w:numPr>
      </w:pPr>
      <w:r>
        <w:t xml:space="preserve">Atkin, E., &amp; Samuelson, A. (2021). Kim K’s new nipple bra ad is greenwashing. Heated. https://heated.world/p/kim-theres-people-that-are-dying</w:t>
      </w:r>
    </w:p>
    <w:bookmarkEnd w:id="29"/>
    <w:bookmarkStart w:id="30" w:name="awards-scholarships"/>
    <w:p>
      <w:pPr>
        <w:pStyle w:val="Heading1"/>
      </w:pPr>
      <w:r>
        <w:t xml:space="preserve">Awards &amp; Scholarships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3"/>
        </w:numPr>
      </w:pPr>
      <w:r>
        <w:t xml:space="preserve">Financial Times Academic research with impact 2025</w:t>
      </w:r>
    </w:p>
    <w:p>
      <w:pPr>
        <w:pStyle w:val="Compact"/>
        <w:numPr>
          <w:ilvl w:val="1"/>
          <w:numId w:val="1004"/>
        </w:numPr>
      </w:pPr>
      <w:r>
        <w:t xml:space="preserve">Highly commended paper</w:t>
      </w:r>
    </w:p>
    <w:p>
      <w:pPr>
        <w:pStyle w:val="Compact"/>
        <w:numPr>
          <w:ilvl w:val="0"/>
          <w:numId w:val="1003"/>
        </w:numPr>
      </w:pPr>
      <w:r>
        <w:t xml:space="preserve">ONE-SIM Outreach Award</w:t>
      </w:r>
    </w:p>
    <w:p>
      <w:pPr>
        <w:pStyle w:val="Compact"/>
        <w:numPr>
          <w:ilvl w:val="1"/>
          <w:numId w:val="1005"/>
        </w:numPr>
      </w:pPr>
      <w:r>
        <w:t xml:space="preserve">Joint Award of Academy of Management divisions for paper</w:t>
      </w:r>
      <w:r>
        <w:t xml:space="preserve"> </w:t>
      </w:r>
      <w:r>
        <w:t xml:space="preserve">“No End in Sight? A Greenwash Review and Research Agenda”</w:t>
      </w:r>
    </w:p>
    <w:p>
      <w:pPr>
        <w:pStyle w:val="Compact"/>
        <w:numPr>
          <w:ilvl w:val="0"/>
          <w:numId w:val="1003"/>
        </w:numPr>
      </w:pPr>
      <w:r>
        <w:t xml:space="preserve">Chisholm Graduate Scholarship in Sustainability, 2020</w:t>
      </w:r>
    </w:p>
    <w:p>
      <w:pPr>
        <w:pStyle w:val="Compact"/>
        <w:numPr>
          <w:ilvl w:val="1"/>
          <w:numId w:val="1006"/>
        </w:numPr>
      </w:pPr>
      <w:r>
        <w:t xml:space="preserve">$15,000 annually for three years, awarded once every three years</w:t>
      </w:r>
    </w:p>
    <w:p>
      <w:pPr>
        <w:pStyle w:val="Compact"/>
        <w:numPr>
          <w:ilvl w:val="0"/>
          <w:numId w:val="1003"/>
        </w:numPr>
      </w:pPr>
      <w:r>
        <w:t xml:space="preserve">2018 AoM Annual Meeting—ONE Division Best Reviewer Award</w:t>
      </w:r>
    </w:p>
    <w:p>
      <w:pPr>
        <w:pStyle w:val="Compact"/>
        <w:numPr>
          <w:ilvl w:val="0"/>
          <w:numId w:val="1003"/>
        </w:numPr>
      </w:pPr>
      <w:r>
        <w:t xml:space="preserve">DAAD/CSC Scholarship for studying at Peking University, 2015-2017</w:t>
      </w:r>
    </w:p>
    <w:bookmarkEnd w:id="30"/>
    <w:bookmarkStart w:id="32" w:name="presentations-conference-participation"/>
    <w:p>
      <w:pPr>
        <w:pStyle w:val="Heading1"/>
      </w:pPr>
      <w:r>
        <w:t xml:space="preserve">Presentations &amp; conference participation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7"/>
        </w:numPr>
      </w:pPr>
      <w:r>
        <w:t xml:space="preserve">Barg, J., (2024, Aud 19) Climate Accountability. Presented at the</w:t>
      </w:r>
      <w:r>
        <w:t xml:space="preserve"> </w:t>
      </w:r>
      <w:r>
        <w:rPr>
          <w:i/>
          <w:iCs/>
        </w:rPr>
        <w:t xml:space="preserve">American Chemical Society Fall 2024</w:t>
      </w:r>
      <w:r>
        <w:t xml:space="preserve"> </w:t>
      </w:r>
      <w:r>
        <w:t xml:space="preserve">conference.</w:t>
      </w:r>
    </w:p>
    <w:p>
      <w:pPr>
        <w:pStyle w:val="Compact"/>
        <w:numPr>
          <w:ilvl w:val="0"/>
          <w:numId w:val="1007"/>
        </w:numPr>
      </w:pPr>
      <w:r>
        <w:t xml:space="preserve">Barg, J., Montgomery, A. W., &amp; Lyon, T. P. (2023, Aug 7) Greenwash. Presented at the</w:t>
      </w:r>
      <w:r>
        <w:t xml:space="preserve"> </w:t>
      </w:r>
      <w:r>
        <w:rPr>
          <w:i/>
          <w:iCs/>
        </w:rPr>
        <w:t xml:space="preserve">American Chemical Society Fall 2023</w:t>
      </w:r>
      <w:r>
        <w:t xml:space="preserve"> </w:t>
      </w:r>
      <w:r>
        <w:t xml:space="preserve">conference.</w:t>
      </w:r>
    </w:p>
    <w:p>
      <w:pPr>
        <w:pStyle w:val="Compact"/>
        <w:numPr>
          <w:ilvl w:val="0"/>
          <w:numId w:val="1007"/>
        </w:numPr>
      </w:pPr>
      <w:r>
        <w:t xml:space="preserve">Barg, J., Montgomery, A. W., &amp; Lyon, T. P. (2023, Aug 7) No End in Sight? A Greenwashing Review and Research Agenda. Presented at the</w:t>
      </w:r>
      <w:r>
        <w:t xml:space="preserve"> </w:t>
      </w:r>
      <w:r>
        <w:rPr>
          <w:i/>
          <w:iCs/>
        </w:rPr>
        <w:t xml:space="preserve">83rd Annual Meeting of the Academy of Management</w:t>
      </w:r>
      <w:r>
        <w:t xml:space="preserve"> </w:t>
      </w:r>
      <w:r>
        <w:t xml:space="preserve">in Boston, MA:</w:t>
      </w:r>
      <w:r>
        <w:t xml:space="preserve"> </w:t>
      </w:r>
      <w:hyperlink r:id="rId31">
        <w:r>
          <w:rPr>
            <w:rStyle w:val="InternetLink"/>
          </w:rPr>
          <w:t xml:space="preserve">https://journals.aom.org/doi/abs/10.5465/AMPROC.2023.10410abstract</w:t>
        </w:r>
      </w:hyperlink>
    </w:p>
    <w:p>
      <w:pPr>
        <w:pStyle w:val="Compact"/>
        <w:numPr>
          <w:ilvl w:val="0"/>
          <w:numId w:val="1007"/>
        </w:numPr>
      </w:pPr>
      <w:r>
        <w:t xml:space="preserve">Barg, J., &amp; Zbaracki, M. J. (2023, Jul 6). Text Data is Always Biased. Presented at the 38th</w:t>
      </w:r>
      <w:r>
        <w:t xml:space="preserve"> </w:t>
      </w:r>
      <w:r>
        <w:rPr>
          <w:i/>
          <w:iCs/>
        </w:rPr>
        <w:t xml:space="preserve">European Group of Organizational Studies Colloquium</w:t>
      </w:r>
      <w:r>
        <w:t xml:space="preserve">, Cagliari, SWG 12.</w:t>
      </w:r>
    </w:p>
    <w:p>
      <w:pPr>
        <w:pStyle w:val="Compact"/>
        <w:numPr>
          <w:ilvl w:val="0"/>
          <w:numId w:val="1007"/>
        </w:numPr>
      </w:pPr>
      <w:r>
        <w:t xml:space="preserve">Barg, J. &amp; Zbaracki, M. J. (2022, Oct 25). How do we talk about this? The Discourse on the Environmental Impacts of Keystone XL. Presented virtually at University of Helsinki.</w:t>
      </w:r>
    </w:p>
    <w:p>
      <w:pPr>
        <w:pStyle w:val="Compact"/>
        <w:numPr>
          <w:ilvl w:val="0"/>
          <w:numId w:val="1007"/>
        </w:numPr>
      </w:pPr>
      <w:r>
        <w:t xml:space="preserve">Barg, J. &amp; Zbaracki, M. J. (2022, Oct 19). How do we talk about this? The Discourse on the Environmental Impacts of Keystone XL. Presented at the</w:t>
      </w:r>
      <w:r>
        <w:t xml:space="preserve"> </w:t>
      </w:r>
      <w:r>
        <w:rPr>
          <w:i/>
          <w:iCs/>
        </w:rPr>
        <w:t xml:space="preserve">Ivey PhD Research Series</w:t>
      </w:r>
      <w:r>
        <w:t xml:space="preserve">, Ivey Business School.</w:t>
      </w:r>
    </w:p>
    <w:p>
      <w:pPr>
        <w:pStyle w:val="Compact"/>
        <w:numPr>
          <w:ilvl w:val="0"/>
          <w:numId w:val="1007"/>
        </w:numPr>
      </w:pPr>
      <w:r>
        <w:t xml:space="preserve">Barg, J. &amp; Zbaracki, M. J. (2022, Jul 8). Knowledge, Power, and Deinstitutionalization. The Battle over Keystone XL. Presented at the 38th</w:t>
      </w:r>
      <w:r>
        <w:t xml:space="preserve"> </w:t>
      </w:r>
      <w:r>
        <w:rPr>
          <w:i/>
          <w:iCs/>
        </w:rPr>
        <w:t xml:space="preserve">European Group of Organizational Studies Colloquium</w:t>
      </w:r>
      <w:r>
        <w:t xml:space="preserve">, Vienna.</w:t>
      </w:r>
    </w:p>
    <w:p>
      <w:pPr>
        <w:pStyle w:val="Compact"/>
        <w:numPr>
          <w:ilvl w:val="0"/>
          <w:numId w:val="1007"/>
        </w:numPr>
      </w:pPr>
      <w:r>
        <w:t xml:space="preserve">OMT Doctoral Student Consortium on Aug 4, 2021 at the</w:t>
      </w:r>
      <w:r>
        <w:t xml:space="preserve"> </w:t>
      </w:r>
      <w:r>
        <w:rPr>
          <w:i/>
          <w:iCs/>
        </w:rPr>
        <w:t xml:space="preserve">81st Annual Meeting of the Academy of Managements</w:t>
      </w:r>
      <w:r>
        <w:t xml:space="preserve">, virtual.</w:t>
      </w:r>
    </w:p>
    <w:p>
      <w:pPr>
        <w:pStyle w:val="Compact"/>
        <w:numPr>
          <w:ilvl w:val="0"/>
          <w:numId w:val="1007"/>
        </w:numPr>
      </w:pPr>
      <w:r>
        <w:t xml:space="preserve">Barg, J. (2021, Mar 2). Learning to Be Sustainable (?). Presented at the</w:t>
      </w:r>
      <w:r>
        <w:t xml:space="preserve"> </w:t>
      </w:r>
      <w:r>
        <w:rPr>
          <w:i/>
          <w:iCs/>
        </w:rPr>
        <w:t xml:space="preserve">Ivey PhD Research Series</w:t>
      </w:r>
      <w:r>
        <w:t xml:space="preserve">, Ivey Business School.</w:t>
      </w:r>
    </w:p>
    <w:p>
      <w:pPr>
        <w:pStyle w:val="Compact"/>
        <w:numPr>
          <w:ilvl w:val="0"/>
          <w:numId w:val="1007"/>
        </w:numPr>
      </w:pPr>
      <w:r>
        <w:t xml:space="preserve">Barg, J. (2020). A Few Spills a Year, That’s Normal? Learning in the Pipeline Industry. AOM ONE Doctoral Consortium. Presented at the</w:t>
      </w:r>
      <w:r>
        <w:t xml:space="preserve"> </w:t>
      </w:r>
      <w:r>
        <w:rPr>
          <w:i/>
          <w:iCs/>
        </w:rPr>
        <w:t xml:space="preserve">80th Annual Meeting of the Academy of Management</w:t>
      </w:r>
      <w:r>
        <w:t xml:space="preserve">, virtual.</w:t>
      </w:r>
    </w:p>
    <w:p>
      <w:pPr>
        <w:pStyle w:val="Compact"/>
        <w:numPr>
          <w:ilvl w:val="0"/>
          <w:numId w:val="1007"/>
        </w:numPr>
      </w:pPr>
      <w:r>
        <w:t xml:space="preserve">Barg, J. (2020, Feb 14). Oil Spills and Organizational Learning. Presented at the</w:t>
      </w:r>
      <w:r>
        <w:t xml:space="preserve"> </w:t>
      </w:r>
      <w:r>
        <w:rPr>
          <w:i/>
          <w:iCs/>
        </w:rPr>
        <w:t xml:space="preserve">Ivey PhD Research Series</w:t>
      </w:r>
      <w:r>
        <w:t xml:space="preserve">, Ivey Business School.</w:t>
      </w:r>
    </w:p>
    <w:p>
      <w:pPr>
        <w:pStyle w:val="Compact"/>
        <w:numPr>
          <w:ilvl w:val="0"/>
          <w:numId w:val="1007"/>
        </w:numPr>
      </w:pPr>
      <w:r>
        <w:t xml:space="preserve">Barg, J. (2016, Aug 2). The Trends of Corporate Social Responsibility in China. Presented at the</w:t>
      </w:r>
      <w:r>
        <w:t xml:space="preserve"> </w:t>
      </w:r>
      <w:r>
        <w:rPr>
          <w:i/>
          <w:iCs/>
        </w:rPr>
        <w:t xml:space="preserve">3rd International Conference on CSR, Sustainability, Ethics and Governance</w:t>
      </w:r>
      <w:r>
        <w:t xml:space="preserve">, Cologne.</w:t>
      </w:r>
    </w:p>
    <w:bookmarkEnd w:id="32"/>
    <w:bookmarkStart w:id="33" w:name="service"/>
    <w:p>
      <w:pPr>
        <w:pStyle w:val="Heading1"/>
      </w:pPr>
      <w:r>
        <w:t xml:space="preserve">Service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8"/>
        </w:numPr>
      </w:pPr>
      <w:r>
        <w:t xml:space="preserve">2022-2025</w:t>
      </w:r>
    </w:p>
    <w:p>
      <w:pPr>
        <w:pStyle w:val="Compact"/>
        <w:numPr>
          <w:ilvl w:val="1"/>
          <w:numId w:val="1009"/>
        </w:numPr>
      </w:pPr>
      <w:r>
        <w:t xml:space="preserve">AOM ONE division – member of the Membership/Nominations Team</w:t>
      </w:r>
    </w:p>
    <w:p>
      <w:pPr>
        <w:pStyle w:val="Compact"/>
        <w:numPr>
          <w:ilvl w:val="0"/>
          <w:numId w:val="1008"/>
        </w:numPr>
      </w:pPr>
      <w:r>
        <w:t xml:space="preserve">2015-2017</w:t>
      </w:r>
    </w:p>
    <w:p>
      <w:pPr>
        <w:pStyle w:val="Compact"/>
        <w:numPr>
          <w:ilvl w:val="1"/>
          <w:numId w:val="1010"/>
        </w:numPr>
      </w:pPr>
      <w:r>
        <w:t xml:space="preserve">Vice President of International Cooperation, Peking University Center for Green Economy. Co-organized six international conferences and participated in NGO consultation for COP 21 in Paris.</w:t>
      </w:r>
    </w:p>
    <w:bookmarkEnd w:id="33"/>
    <w:bookmarkStart w:id="35" w:name="teaching"/>
    <w:p>
      <w:pPr>
        <w:pStyle w:val="Heading1"/>
      </w:pPr>
      <w:r>
        <w:t xml:space="preserve">Teaching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Business &amp; Society – Net Zero</w:t>
      </w:r>
      <w:r>
        <w:t xml:space="preserve"> </w:t>
      </w:r>
      <w:r>
        <w:t xml:space="preserve">at Ivey Business School with Dr. A. Wren Montgomery.</w:t>
      </w:r>
    </w:p>
    <w:p>
      <w:pPr>
        <w:pStyle w:val="Compact"/>
        <w:numPr>
          <w:ilvl w:val="0"/>
          <w:numId w:val="1011"/>
        </w:numPr>
      </w:pPr>
      <w:r>
        <w:rPr>
          <w:i/>
          <w:iCs/>
        </w:rPr>
        <w:t xml:space="preserve">All About Greenwashing</w:t>
      </w:r>
      <w:r>
        <w:t xml:space="preserve"> </w:t>
      </w:r>
      <w:r>
        <w:t xml:space="preserve">Workshop at Ivey Social Impact Club with Dr. A. Wren Montgomery and Dr. Thomas P. Lyon, 2023.</w:t>
      </w:r>
    </w:p>
    <w:p>
      <w:pPr>
        <w:pStyle w:val="Compact"/>
        <w:numPr>
          <w:ilvl w:val="0"/>
          <w:numId w:val="1011"/>
        </w:numPr>
      </w:pPr>
      <w:r>
        <w:t xml:space="preserve">Participated in teaching prep and TA’d course</w:t>
      </w:r>
      <w:r>
        <w:t xml:space="preserve"> </w:t>
      </w:r>
      <w:r>
        <w:rPr>
          <w:i/>
          <w:iCs/>
        </w:rPr>
        <w:t xml:space="preserve">Power and Politics</w:t>
      </w:r>
      <w:r>
        <w:t xml:space="preserve"> </w:t>
      </w:r>
      <w:r>
        <w:t xml:space="preserve">with Dr. Mark Zbaracki at Ivey Business School, in 2022 and 2023</w:t>
      </w:r>
    </w:p>
    <w:p>
      <w:pPr>
        <w:pStyle w:val="Compact"/>
        <w:numPr>
          <w:ilvl w:val="0"/>
          <w:numId w:val="1011"/>
        </w:numPr>
      </w:pPr>
      <w:r>
        <w:t xml:space="preserve">Gualandris, J., &amp; Barg, J. (2020). Huawei: Struggling to Develop a More Sustainable Supply Network (p. 21) [Teaching case]. Retrieved from</w:t>
      </w:r>
      <w:r>
        <w:t xml:space="preserve"> </w:t>
      </w:r>
      <w:hyperlink r:id="rId34">
        <w:r>
          <w:rPr>
            <w:rStyle w:val="InternetLink"/>
          </w:rPr>
          <w:t xml:space="preserve">https://www.iveypublishing.ca/s/product/huawei-struggling-to-develop-a-more-sustainable-supply-network/01t5c00000CwpQE</w:t>
        </w:r>
      </w:hyperlink>
    </w:p>
    <w:p>
      <w:pPr>
        <w:pStyle w:val="Compact"/>
        <w:numPr>
          <w:ilvl w:val="0"/>
          <w:numId w:val="1011"/>
        </w:numPr>
      </w:pPr>
      <w:r>
        <w:t xml:space="preserve">Shadowed teaching prep and TA’d course</w:t>
      </w:r>
      <w:r>
        <w:t xml:space="preserve"> </w:t>
      </w:r>
      <w:r>
        <w:rPr>
          <w:i/>
          <w:iCs/>
        </w:rPr>
        <w:t xml:space="preserve">Competing in and with China</w:t>
      </w:r>
      <w:r>
        <w:t xml:space="preserve"> </w:t>
      </w:r>
      <w:r>
        <w:t xml:space="preserve">with Dr. Klaus Meyer at Ivey Business School, 2018</w:t>
      </w:r>
    </w:p>
    <w:p>
      <w:pPr>
        <w:pStyle w:val="Compact"/>
        <w:numPr>
          <w:ilvl w:val="0"/>
          <w:numId w:val="1011"/>
        </w:numPr>
      </w:pPr>
      <w:r>
        <w:t xml:space="preserve">CaseMate for</w:t>
      </w:r>
      <w:r>
        <w:t xml:space="preserve"> </w:t>
      </w:r>
      <w:r>
        <w:rPr>
          <w:i/>
          <w:iCs/>
        </w:rPr>
        <w:t xml:space="preserve">Globally Responsible Leadership: Managing According to the UN Global Compact</w:t>
      </w:r>
      <w:r>
        <w:t xml:space="preserve">. Created in Spring 2018 with Dr. Paul Beamish</w:t>
      </w:r>
    </w:p>
    <w:bookmarkEnd w:id="35"/>
    <w:bookmarkStart w:id="36" w:name="grants"/>
    <w:p>
      <w:pPr>
        <w:pStyle w:val="Heading1"/>
      </w:pPr>
      <w:r>
        <w:t xml:space="preserve">Grants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OpenAI Research Access Program grant</w:t>
      </w:r>
    </w:p>
    <w:p>
      <w:pPr>
        <w:pStyle w:val="Compact"/>
        <w:numPr>
          <w:ilvl w:val="1"/>
          <w:numId w:val="1013"/>
        </w:numPr>
      </w:pPr>
      <w:r>
        <w:t xml:space="preserve">For work on identifying climate disinformation</w:t>
      </w:r>
    </w:p>
    <w:p>
      <w:pPr>
        <w:pStyle w:val="Compact"/>
        <w:numPr>
          <w:ilvl w:val="1"/>
          <w:numId w:val="1013"/>
        </w:numPr>
      </w:pPr>
      <w:r>
        <w:t xml:space="preserve">$5,000 in API credits</w:t>
      </w:r>
    </w:p>
    <w:bookmarkEnd w:id="36"/>
    <w:bookmarkStart w:id="38" w:name="work-on-research-grants"/>
    <w:p>
      <w:pPr>
        <w:pStyle w:val="Heading1"/>
      </w:pPr>
      <w:r>
        <w:t xml:space="preserve">Work on research grants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671"/>
        <w:gridCol w:w="22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Redactions, omissions, and document dumping.</w:t>
            </w:r>
            <w:r>
              <w:t xml:space="preserve"> </w:t>
            </w:r>
            <w:r>
              <w:rPr>
                <w:b/>
                <w:bCs/>
              </w:rPr>
              <w:t xml:space="preserve">A computational assessment of the oil industry’s</w:t>
            </w:r>
            <w:r>
              <w:t xml:space="preserve"> </w:t>
            </w:r>
            <w:r>
              <w:rPr>
                <w:b/>
                <w:bCs/>
              </w:rPr>
              <w:t xml:space="preserve">obstruction of a Congressional investigation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 2024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Alexander Kaurov, Dr. Julian Barg,</w:t>
            </w:r>
            <w:r>
              <w:t xml:space="preserve"> </w:t>
            </w:r>
            <w:r>
              <w:rPr>
                <w:i/>
                <w:iCs/>
              </w:rPr>
              <w:t xml:space="preserve">Dr. Naomi Oreskes, Dr. Geoffrey Supran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4"/>
        </w:numPr>
      </w:pPr>
      <w:r>
        <w:t xml:space="preserve">On CSSN Congressional Subpoena Documents Analysis grant, USD $20,000 awarded August 2024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671"/>
        <w:gridCol w:w="22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Science, industry, and the public.</w:t>
            </w:r>
            <w:r>
              <w:t xml:space="preserve"> </w:t>
            </w:r>
            <w:r>
              <w:rPr>
                <w:b/>
                <w:bCs/>
              </w:rPr>
              <w:t xml:space="preserve">The policy battle over fossil fuel infrastructure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Mark J. Zbaracki, Dr. A. Wren Montgomery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5"/>
        </w:numPr>
      </w:pPr>
      <w:r>
        <w:t xml:space="preserve">On SSHRC Insight Development Grant, CAD $70,857 awarded June 2022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671"/>
        <w:gridCol w:w="22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Greenwashing Gender in the Fortune 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 2020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A. Wren Montgomery, Dr. Erin Oldford</w:t>
            </w:r>
            <w:r>
              <w:t xml:space="preserve"> </w:t>
            </w:r>
            <w:r>
              <w:rPr>
                <w:i/>
                <w:iCs/>
              </w:rPr>
              <w:t xml:space="preserve">Dr. Alyson E. Byrne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6"/>
        </w:numPr>
      </w:pPr>
      <w:r>
        <w:t xml:space="preserve">Downloaded, merged, and transformed data from Compustat and BoardEx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671"/>
        <w:gridCol w:w="22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Bridges Over Troubled Waters: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Collective Community Action Around Water Resources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in Post-Conflict Northern Ireland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A. Wren Montgomery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7"/>
        </w:numPr>
      </w:pPr>
      <w:r>
        <w:t xml:space="preserve">Scraped Facebook groups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671"/>
        <w:gridCol w:w="22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 Dynamic Model of Misleading Corporate</w:t>
            </w:r>
            <w:r>
              <w:rPr>
                <w:b/>
                <w:bCs/>
              </w:rPr>
              <w:t xml:space="preserve"> </w:t>
            </w:r>
            <w:r>
              <w:t xml:space="preserve"> </w:t>
            </w:r>
            <w:r>
              <w:rPr>
                <w:b/>
                <w:bCs/>
              </w:rPr>
              <w:t xml:space="preserve">Environmental Communications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Summer 2019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A. Wren Montgomery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Compact"/>
        <w:numPr>
          <w:ilvl w:val="0"/>
          <w:numId w:val="1018"/>
        </w:numPr>
      </w:pPr>
      <w:r>
        <w:t xml:space="preserve">On SSHRC Insight Development Grant, CAD $49,305 awarded June 2018</w:t>
      </w:r>
    </w:p>
    <w:p>
      <w:pPr>
        <w:pStyle w:val="Compact"/>
        <w:numPr>
          <w:ilvl w:val="0"/>
          <w:numId w:val="1018"/>
        </w:numPr>
      </w:pPr>
      <w:r>
        <w:t xml:space="preserve">With Thomas Lyon of Erb Institute, University of Michigan</w:t>
      </w:r>
    </w:p>
    <w:p>
      <w:pPr>
        <w:pStyle w:val="Compact"/>
        <w:numPr>
          <w:ilvl w:val="0"/>
          <w:numId w:val="1018"/>
        </w:numPr>
      </w:pPr>
      <w:r>
        <w:t xml:space="preserve">Collected data on all applicable sustainability and organic certifications and assembled the data to allow for comparison of standards’ stringency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5671"/>
        <w:gridCol w:w="2248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The Causes, Methods and Consequences of Brownwashing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Fall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Dr. Jennifer Robertson, Dr. A. Wren Montgomery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19"/>
        </w:numPr>
      </w:pPr>
      <w:r>
        <w:t xml:space="preserve">On SSHRC Insight Development Grant, CAD $49,305 awarded June 2016</w:t>
      </w:r>
    </w:p>
    <w:p>
      <w:pPr>
        <w:numPr>
          <w:ilvl w:val="0"/>
          <w:numId w:val="1019"/>
        </w:numPr>
      </w:pPr>
      <w:r>
        <w:t xml:space="preserve">With Thomas Lyon of Erb Institute, University of Michigan</w:t>
      </w:r>
    </w:p>
    <w:p>
      <w:pPr>
        <w:numPr>
          <w:ilvl w:val="0"/>
          <w:numId w:val="1019"/>
        </w:numPr>
      </w:pPr>
      <w:r>
        <w:t xml:space="preserve">Scraped address and other info on (almost) all Californian wineries &amp; vineyard from varioud websites and assembled them into an interactive dashboard</w:t>
      </w:r>
    </w:p>
    <w:p>
      <w:pPr>
        <w:numPr>
          <w:ilvl w:val="0"/>
          <w:numId w:val="1019"/>
        </w:numPr>
      </w:pPr>
      <w:hyperlink r:id="rId37">
        <w:r>
          <w:rPr>
            <w:rStyle w:val="InternetLink"/>
          </w:rPr>
          <w:t xml:space="preserve">https://www.jbarg.net/organic_vineyards</w:t>
        </w:r>
      </w:hyperlink>
    </w:p>
    <w:bookmarkEnd w:id="38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  <w:docPartGallery w:val="Page Numbers (Top of Page)"/>
        <w:docPartUnique w:val="true"/>
      </w:docPartObj>
      <w:id w:val="148083297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PAGE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  <w:r>
          <w:rPr/>
          <w:t xml:space="preserve"> of </w:t>
        </w:r>
        <w:r>
          <w:rPr>
            <w:b/>
            <w:bCs/>
          </w:rPr>
          <w:fldChar w:fldCharType="begin"/>
        </w:r>
        <w:r>
          <w:rPr>
            <w:b/>
            <w:bCs/>
          </w:rPr>
          <w:instrText xml:space="preserve"> NUMPAGES </w:instrText>
        </w:r>
        <w:r>
          <w:rPr>
            <w:b/>
            <w:bCs/>
          </w:rPr>
          <w:fldChar w:fldCharType="separate"/>
        </w:r>
        <w:r>
          <w:rPr>
            <w:b/>
            <w:bCs/>
          </w:rPr>
          <w:t>2</w:t>
        </w:r>
        <w:r>
          <w:rPr>
            <w:b/>
            <w:bCs/>
          </w:rPr>
          <w:fldChar w:fldCharType="end"/>
        </w:r>
      </w:p>
    </w:sdtContent>
  </w:sdt>
  <w:p>
    <w:pPr>
      <w:pStyle w:val="Footer"/>
      <w:rPr/>
    </w:pPr>
    <w:r>
      <w:rPr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autoHyphenation w:val="tru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asciiTheme="minorHAnsi" w:cs="" w:cstheme="minorBidi" w:eastAsia="Cambria" w:eastAsiaTheme="minorHAnsi" w:hAnsi="Cambria" w:hAnsiTheme="minorHAnsi"/>
        <w:sz w:val="24"/>
        <w:szCs w:val="24"/>
        <w:lang w:bidi="ar-SA" w:eastAsia="en-US" w:val="en-US"/>
      </w:rPr>
    </w:rPrDefault>
    <w:pPrDefault>
      <w:pPr>
        <w:suppressAutoHyphens w:val="true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2f7521"/>
    <w:pPr>
      <w:widowControl/>
      <w:bidi w:val="0"/>
      <w:spacing w:after="0" w:before="0"/>
      <w:contextualSpacing/>
      <w:jc w:val="left"/>
    </w:pPr>
    <w:rPr>
      <w:rFonts w:ascii="Cambria" w:asciiTheme="minorHAnsi" w:cs="" w:cstheme="minorBidi" w:eastAsia="Cambria" w:eastAsiaTheme="minorHAnsi" w:hAnsi="Cambria" w:hAnsiTheme="minorHAnsi"/>
      <w:color w:val="auto"/>
      <w:kern w:val="0"/>
      <w:sz w:val="24"/>
      <w:szCs w:val="24"/>
      <w:lang w:bidi="ar-SA" w:eastAsia="en-US" w:val="en-US"/>
    </w:rPr>
  </w:style>
  <w:style w:styleId="Heading1" w:type="paragraph">
    <w:name w:val="Heading 1"/>
    <w:basedOn w:val="Normal"/>
    <w:next w:val="TextBody"/>
    <w:uiPriority w:val="9"/>
    <w:qFormat/>
    <w:rsid w:val="00ea04ec"/>
    <w:pPr>
      <w:keepNext w:val="true"/>
      <w:keepLines/>
      <w:spacing w:after="0" w:before="480"/>
      <w:contextualSpacing/>
      <w:outlineLvl w:val="0"/>
    </w:pPr>
    <w:rPr>
      <w:rFonts w:ascii="Times New Roman" w:cs="Times New Roman" w:eastAsia="" w:eastAsiaTheme="majorEastAsia" w:hAnsi="Times New Roman"/>
      <w:smallCaps/>
      <w:sz w:val="28"/>
      <w:szCs w:val="28"/>
    </w:rPr>
  </w:style>
  <w:style w:styleId="Heading2" w:type="paragraph">
    <w:name w:val="Heading 2"/>
    <w:basedOn w:val="Normal"/>
    <w:next w:val="TextBody"/>
    <w:uiPriority w:val="9"/>
    <w:unhideWhenUsed/>
    <w:qFormat/>
    <w:rsid w:val="004d6dbb"/>
    <w:pPr>
      <w:keepNext w:val="true"/>
      <w:keepLines/>
      <w:spacing w:after="0" w:before="480" w:line="480" w:lineRule="auto"/>
      <w:contextualSpacing/>
      <w:outlineLvl w:val="1"/>
    </w:pPr>
    <w:rPr>
      <w:rFonts w:ascii="Arial" w:cs="Arial" w:eastAsia="" w:eastAsiaTheme="majorEastAsia" w:hAnsi="Arial"/>
      <w:b/>
      <w:bCs/>
      <w:i/>
      <w:iCs/>
    </w:rPr>
  </w:style>
  <w:style w:styleId="Heading3" w:type="paragraph">
    <w:name w:val="Heading 3"/>
    <w:basedOn w:val="Normal"/>
    <w:next w:val="TextBody"/>
    <w:uiPriority w:val="9"/>
    <w:unhideWhenUsed/>
    <w:qFormat/>
    <w:rsid w:val="004d6dbb"/>
    <w:pPr>
      <w:keepNext w:val="true"/>
      <w:keepLines/>
      <w:spacing w:after="0" w:before="480" w:line="480" w:lineRule="auto"/>
      <w:contextualSpacing/>
      <w:outlineLvl w:val="2"/>
    </w:pPr>
    <w:rPr>
      <w:rFonts w:ascii="Arial" w:cs="Arial" w:eastAsia="" w:eastAsiaTheme="majorEastAsia" w:hAnsi="Arial"/>
      <w:i/>
      <w:iCs/>
    </w:rPr>
  </w:style>
  <w:style w:styleId="Heading4" w:type="paragraph">
    <w:name w:val="Heading 4"/>
    <w:basedOn w:val="Normal"/>
    <w:next w:val="TextBody"/>
    <w:uiPriority w:val="9"/>
    <w:unhideWhenUsed/>
    <w:qFormat/>
    <w:rsid w:val="004d6dbb"/>
    <w:pPr>
      <w:keepNext w:val="true"/>
      <w:keepLines/>
      <w:spacing w:after="0" w:before="480" w:line="480" w:lineRule="auto"/>
      <w:contextualSpacing/>
      <w:outlineLvl w:val="3"/>
    </w:pPr>
    <w:rPr>
      <w:rFonts w:ascii="Arial" w:cs="Arial" w:eastAsia="" w:eastAsiaTheme="majorEastAsia" w:hAnsi="Arial"/>
      <w:bCs/>
      <w:iCs/>
    </w:rPr>
  </w:style>
  <w:style w:styleId="Heading5" w:type="paragraph">
    <w:name w:val="Heading 5"/>
    <w:basedOn w:val="Normal"/>
    <w:next w:val="TextBody"/>
    <w:uiPriority w:val="9"/>
    <w:unhideWhenUsed/>
    <w:qFormat/>
    <w:rsid w:val="004d6dbb"/>
    <w:pPr>
      <w:keepNext w:val="true"/>
      <w:keepLines/>
      <w:spacing w:after="0" w:before="200"/>
      <w:contextualSpacing/>
      <w:jc w:val="center"/>
      <w:outlineLvl w:val="4"/>
    </w:pPr>
    <w:rPr>
      <w:rFonts w:ascii="Times New Roman" w:cs="Times New Roman" w:eastAsia="" w:eastAsiaTheme="majorEastAsia" w:hAnsi="Times New Roman"/>
      <w:b/>
      <w:bCs/>
      <w:iCs/>
    </w:rPr>
  </w:style>
  <w:style w:styleId="Heading6" w:type="paragraph">
    <w:name w:val="Heading 6"/>
    <w:basedOn w:val="Normal"/>
    <w:next w:val="TextBody"/>
    <w:uiPriority w:val="9"/>
    <w:unhideWhenUsed/>
    <w:qFormat/>
    <w:rsid w:val="004d6dbb"/>
    <w:pPr>
      <w:keepNext w:val="true"/>
      <w:keepLines/>
      <w:spacing w:after="0" w:before="200"/>
      <w:contextualSpacing/>
      <w:outlineLvl w:val="5"/>
    </w:pPr>
    <w:rPr>
      <w:rFonts w:ascii="Calibri" w:asciiTheme="majorHAnsi" w:cs="" w:cstheme="majorBidi" w:eastAsia="" w:eastAsiaTheme="majorEastAsia" w:hAnsi="Calibri" w:hAnsiTheme="majorHAnsi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rsid w:val="004d6dbb"/>
    <w:pPr>
      <w:keepNext w:val="true"/>
      <w:keepLines/>
      <w:spacing w:after="0" w:before="200"/>
      <w:contextualSpacing/>
      <w:outlineLvl w:val="6"/>
    </w:pPr>
    <w:rPr>
      <w:rFonts w:ascii="Calibri" w:asciiTheme="majorHAnsi" w:cs="" w:cstheme="majorBidi" w:eastAsia="" w:eastAsiaTheme="majorEastAsia" w:hAnsi="Calibri" w:hAnsiTheme="majorHAnsi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rsid w:val="004d6dbb"/>
    <w:pPr>
      <w:keepNext w:val="true"/>
      <w:keepLines/>
      <w:spacing w:after="0" w:before="200"/>
      <w:contextualSpacing/>
      <w:outlineLvl w:val="7"/>
    </w:pPr>
    <w:rPr>
      <w:rFonts w:ascii="Calibri" w:asciiTheme="majorHAnsi" w:cs="" w:cstheme="majorBidi" w:eastAsia="" w:eastAsiaTheme="majorEastAsia" w:hAnsi="Calibri" w:hAnsiTheme="majorHAnsi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rsid w:val="004d6dbb"/>
    <w:pPr>
      <w:keepNext w:val="true"/>
      <w:keepLines/>
      <w:spacing w:after="0" w:before="200"/>
      <w:contextualSpacing/>
      <w:outlineLvl w:val="8"/>
    </w:pPr>
    <w:rPr>
      <w:rFonts w:ascii="Calibri" w:asciiTheme="majorHAnsi" w:cs="" w:cstheme="majorBidi" w:eastAsia="" w:eastAsiaTheme="majorEastAsia" w:hAnsi="Calibri" w:hAnsiTheme="majorHAnsi"/>
      <w:color w:themeColor="accent1" w:val="4F81BD"/>
    </w:rPr>
  </w:style>
  <w:style w:default="1" w:styleId="DefaultParagraphFont" w:type="character">
    <w:name w:val="Default Paragraph Font"/>
    <w:uiPriority w:val="1"/>
    <w:unhideWhenUsed/>
    <w:qFormat/>
    <w:rPr/>
  </w:style>
  <w:style w:customStyle="1" w:styleId="CaptionChar" w:type="character">
    <w:name w:val="Caption Char"/>
    <w:basedOn w:val="DefaultParagraphFont"/>
    <w:link w:val="Caption1"/>
    <w:qFormat/>
    <w:rsid w:val="004d6dbb"/>
    <w:rPr>
      <w:i/>
    </w:rPr>
  </w:style>
  <w:style w:customStyle="1" w:styleId="VerbatimChar" w:type="character">
    <w:name w:val="Verbatim Char"/>
    <w:basedOn w:val="CaptionChar"/>
    <w:qFormat/>
    <w:rsid w:val="004d6dbb"/>
    <w:rPr>
      <w:rFonts w:ascii="Consolas" w:hAnsi="Consolas"/>
      <w:i w:val="false"/>
      <w:sz w:val="22"/>
    </w:rPr>
  </w:style>
  <w:style w:customStyle="1" w:styleId="SectionNumber" w:type="character">
    <w:name w:val="Section Number"/>
    <w:basedOn w:val="CaptionChar"/>
    <w:qFormat/>
    <w:rsid w:val="004d6dbb"/>
    <w:rPr>
      <w:i w:val="false"/>
    </w:rPr>
  </w:style>
  <w:style w:styleId="FootnoteCharacters" w:type="character">
    <w:name w:val="Footnote Characters"/>
    <w:basedOn w:val="CaptionChar"/>
    <w:qFormat/>
    <w:rsid w:val="004d6dbb"/>
    <w:rPr>
      <w:i w:val="false"/>
      <w:vertAlign w:val="superscript"/>
    </w:rPr>
  </w:style>
  <w:style w:styleId="FootnoteAnchor" w:type="character">
    <w:name w:val="Footnote Reference"/>
    <w:rPr>
      <w:i w:val="false"/>
      <w:vertAlign w:val="superscript"/>
    </w:rPr>
  </w:style>
  <w:style w:styleId="InternetLink" w:type="character">
    <w:name w:val="Hyperlink"/>
    <w:basedOn w:val="CaptionChar"/>
    <w:rsid w:val="004d6dbb"/>
    <w:rPr>
      <w:i w:val="false"/>
      <w:color w:themeColor="accent1" w:val="4F81BD"/>
    </w:rPr>
  </w:style>
  <w:style w:customStyle="1" w:styleId="BodyTextChar" w:type="character">
    <w:name w:val="Body Text Char"/>
    <w:basedOn w:val="DefaultParagraphFont"/>
    <w:qFormat/>
    <w:rsid w:val="00a20e0b"/>
    <w:rPr>
      <w:rFonts w:ascii="Times New Roman" w:cs="Times New Roman" w:hAnsi="Times New Roman"/>
    </w:rPr>
  </w:style>
  <w:style w:customStyle="1" w:styleId="HeaderChar" w:type="character">
    <w:name w:val="Header Char"/>
    <w:basedOn w:val="DefaultParagraphFont"/>
    <w:link w:val="Header"/>
    <w:qFormat/>
    <w:rsid w:val="00da141e"/>
    <w:rPr/>
  </w:style>
  <w:style w:customStyle="1" w:styleId="FooterChar" w:type="character">
    <w:name w:val="Footer Char"/>
    <w:basedOn w:val="DefaultParagraphFont"/>
    <w:link w:val="Footer"/>
    <w:uiPriority w:val="99"/>
    <w:qFormat/>
    <w:rsid w:val="00da141e"/>
    <w:rPr/>
  </w:style>
  <w:style w:styleId="EndnoteAnchor" w:type="character">
    <w:name w:val="Endnote Reference"/>
    <w:rPr>
      <w:vertAlign w:val="superscript"/>
    </w:rPr>
  </w:style>
  <w:style w:styleId="EndnoteCharacters" w:type="character">
    <w:name w:val="Endnote Characters"/>
    <w:qFormat/>
    <w:rPr/>
  </w:style>
  <w:style w:styleId="Heading" w:type="paragraph">
    <w:name w:val="Heading"/>
    <w:basedOn w:val="Normal"/>
    <w:next w:val="TextBody"/>
    <w:qFormat/>
    <w:pPr>
      <w:keepNext w:val="true"/>
      <w:spacing w:after="120" w:before="240"/>
      <w:contextualSpacing w:val="false"/>
    </w:pPr>
    <w:rPr>
      <w:rFonts w:ascii="Liberation Sans" w:cs="Lohit Devanagari" w:eastAsia="Noto Sans CJK SC" w:hAnsi="Liberation Sans"/>
      <w:sz w:val="28"/>
      <w:szCs w:val="28"/>
    </w:rPr>
  </w:style>
  <w:style w:styleId="TextBody" w:type="paragraph">
    <w:name w:val="Body Text"/>
    <w:basedOn w:val="Normal"/>
    <w:link w:val="BodyTextChar"/>
    <w:qFormat/>
    <w:rsid w:val="00a20e0b"/>
    <w:pPr>
      <w:spacing w:line="480" w:lineRule="auto"/>
      <w:ind w:firstLine="720"/>
    </w:pPr>
    <w:rPr>
      <w:rFonts w:ascii="Times New Roman" w:cs="Times New Roman" w:hAnsi="Times New Roman"/>
    </w:rPr>
  </w:style>
  <w:style w:styleId="List" w:type="paragraph">
    <w:name w:val="List"/>
    <w:basedOn w:val="TextBody"/>
    <w:pPr/>
    <w:rPr>
      <w:rFonts w:cs="Lohit Devanagari"/>
    </w:rPr>
  </w:style>
  <w:style w:styleId="Caption" w:type="paragraph">
    <w:name w:val="Caption"/>
    <w:basedOn w:val="Normal"/>
    <w:qFormat/>
    <w:pPr>
      <w:suppressLineNumbers/>
      <w:spacing w:after="120" w:before="120"/>
      <w:contextualSpacing w:val="false"/>
    </w:pPr>
    <w:rPr>
      <w:rFonts w:cs="Lohit Devanagari"/>
      <w:i/>
      <w:iCs/>
      <w:sz w:val="24"/>
      <w:szCs w:val="24"/>
    </w:rPr>
  </w:style>
  <w:style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TextBody"/>
    <w:next w:val="TextBody"/>
    <w:qFormat/>
    <w:rsid w:val="00a20e0b"/>
    <w:pPr>
      <w:spacing w:after="0" w:before="240"/>
      <w:ind w:hanging="0"/>
      <w:contextualSpacing/>
    </w:pPr>
    <w:rPr/>
  </w:style>
  <w:style w:customStyle="1" w:styleId="Compact" w:type="paragraph">
    <w:name w:val="Compact"/>
    <w:basedOn w:val="TextBody"/>
    <w:qFormat/>
    <w:rsid w:val="004d6dbb"/>
    <w:pPr>
      <w:spacing w:after="36" w:before="36" w:line="240" w:lineRule="auto"/>
      <w:ind w:hanging="0"/>
      <w:contextualSpacing/>
    </w:pPr>
    <w:rPr/>
  </w:style>
  <w:style w:styleId="Title" w:type="paragraph">
    <w:name w:val="Title"/>
    <w:basedOn w:val="Normal"/>
    <w:next w:val="TextBody"/>
    <w:qFormat/>
    <w:rsid w:val="00bc58b5"/>
    <w:pPr>
      <w:keepNext w:val="true"/>
      <w:keepLines/>
      <w:spacing w:line="480" w:lineRule="auto"/>
      <w:jc w:val="center"/>
    </w:pPr>
    <w:rPr>
      <w:rFonts w:ascii="Times New Roman" w:cs="Times New Roman" w:eastAsia="" w:eastAsiaTheme="majorEastAsia" w:hAnsi="Times New Roman"/>
      <w:b/>
      <w:bCs/>
      <w:smallCaps/>
      <w:sz w:val="32"/>
      <w:szCs w:val="32"/>
    </w:rPr>
  </w:style>
  <w:style w:styleId="Subtitle" w:type="paragraph">
    <w:name w:val="Subtitle"/>
    <w:basedOn w:val="Title"/>
    <w:next w:val="TextBody"/>
    <w:qFormat/>
    <w:rsid w:val="004d6dbb"/>
    <w:pPr/>
    <w:rPr/>
  </w:style>
  <w:style w:customStyle="1" w:styleId="Author" w:type="paragraph">
    <w:name w:val="Author"/>
    <w:next w:val="TextBody"/>
    <w:qFormat/>
    <w:rsid w:val="005f19a7"/>
    <w:pPr>
      <w:keepNext w:val="true"/>
      <w:keepLines/>
      <w:widowControl/>
      <w:bidi w:val="0"/>
      <w:spacing w:after="0" w:before="0"/>
      <w:jc w:val="center"/>
    </w:pPr>
    <w:rPr>
      <w:rFonts w:ascii="Times New Roman" w:cs="Arial" w:eastAsia="Cambria" w:eastAsiaTheme="minorHAnsi" w:hAnsi="Times New Roman"/>
      <w:color w:val="auto"/>
      <w:kern w:val="0"/>
      <w:sz w:val="24"/>
      <w:szCs w:val="24"/>
      <w:lang w:bidi="ar-SA" w:eastAsia="en-US" w:val="en-US"/>
    </w:rPr>
  </w:style>
  <w:style w:styleId="Date" w:type="paragraph">
    <w:name w:val="Date"/>
    <w:next w:val="TextBody"/>
    <w:qFormat/>
    <w:rsid w:val="004d6dbb"/>
    <w:pPr>
      <w:keepNext w:val="true"/>
      <w:keepLines/>
      <w:widowControl/>
      <w:bidi w:val="0"/>
      <w:spacing w:after="0" w:before="0" w:line="480" w:lineRule="auto"/>
      <w:jc w:val="center"/>
    </w:pPr>
    <w:rPr>
      <w:rFonts w:ascii="Arial" w:cs="Arial" w:eastAsia="Cambria" w:eastAsiaTheme="minorHAnsi" w:hAnsi="Arial"/>
      <w:color w:val="auto"/>
      <w:kern w:val="0"/>
      <w:sz w:val="24"/>
      <w:szCs w:val="24"/>
      <w:lang w:bidi="ar-SA" w:eastAsia="en-US" w:val="en-US"/>
    </w:rPr>
  </w:style>
  <w:style w:customStyle="1" w:styleId="Abstract" w:type="paragraph">
    <w:name w:val="Abstract"/>
    <w:basedOn w:val="Normal"/>
    <w:next w:val="TextBody"/>
    <w:qFormat/>
    <w:rsid w:val="004d6dbb"/>
    <w:pPr>
      <w:keepNext w:val="true"/>
      <w:keepLines/>
    </w:pPr>
    <w:rPr>
      <w:rFonts w:ascii="Times New Roman" w:cs="Times New Roman" w:hAnsi="Times New Roman"/>
      <w:sz w:val="20"/>
      <w:szCs w:val="20"/>
    </w:rPr>
  </w:style>
  <w:style w:styleId="Bibliography" w:type="paragraph">
    <w:name w:val="Bibliography"/>
    <w:basedOn w:val="Normal"/>
    <w:qFormat/>
    <w:rsid w:val="004d6dbb"/>
    <w:pPr>
      <w:spacing w:after="0" w:before="0"/>
      <w:ind w:hanging="720" w:left="720"/>
      <w:contextualSpacing w:val="false"/>
    </w:pPr>
    <w:rPr/>
  </w:style>
  <w:style w:styleId="BlockText" w:type="paragraph">
    <w:name w:val="Block Text"/>
    <w:basedOn w:val="TextBody"/>
    <w:next w:val="TextBody"/>
    <w:uiPriority w:val="9"/>
    <w:unhideWhenUsed/>
    <w:qFormat/>
    <w:rsid w:val="00564404"/>
    <w:pPr>
      <w:spacing w:line="240" w:lineRule="auto"/>
      <w:ind w:hanging="0" w:left="475" w:right="475"/>
    </w:pPr>
    <w:rPr/>
  </w:style>
  <w:style w:styleId="Footnote" w:type="paragraph">
    <w:name w:val="Footnote Text"/>
    <w:basedOn w:val="Normal"/>
    <w:uiPriority w:val="9"/>
    <w:unhideWhenUsed/>
    <w:qFormat/>
    <w:rsid w:val="00ce5e0f"/>
    <w:pPr/>
    <w:rPr>
      <w:rFonts w:ascii="Times New Roman" w:hAnsi="Times New Roman"/>
      <w:sz w:val="18"/>
    </w:rPr>
  </w:style>
  <w:style w:customStyle="1" w:styleId="DefinitionTerm" w:type="paragraph">
    <w:name w:val="Definition Term"/>
    <w:basedOn w:val="Normal"/>
    <w:next w:val="Definition"/>
    <w:qFormat/>
    <w:rsid w:val="004d6dbb"/>
    <w:pPr>
      <w:keepNext w:val="true"/>
      <w:keepLines/>
    </w:pPr>
    <w:rPr>
      <w:b/>
    </w:rPr>
  </w:style>
  <w:style w:customStyle="1" w:styleId="Definition" w:type="paragraph">
    <w:name w:val="Definition"/>
    <w:basedOn w:val="Normal"/>
    <w:qFormat/>
    <w:rsid w:val="004d6dbb"/>
    <w:pPr/>
    <w:rPr/>
  </w:style>
  <w:style w:styleId="Caption1" w:type="paragraph">
    <w:name w:val="caption"/>
    <w:basedOn w:val="Normal"/>
    <w:link w:val="CaptionChar"/>
    <w:qFormat/>
    <w:rsid w:val="004d6dbb"/>
    <w:pPr>
      <w:spacing w:after="120" w:before="0"/>
      <w:contextualSpacing/>
    </w:pPr>
    <w:rPr>
      <w:i/>
    </w:rPr>
  </w:style>
  <w:style w:customStyle="1" w:styleId="TableCaption" w:type="paragraph">
    <w:name w:val="Table Caption"/>
    <w:basedOn w:val="Caption1"/>
    <w:qFormat/>
    <w:rsid w:val="004d6dbb"/>
    <w:pPr>
      <w:keepNext w:val="true"/>
      <w:spacing w:after="0" w:before="0"/>
      <w:contextualSpacing/>
      <w:jc w:val="center"/>
    </w:pPr>
    <w:rPr>
      <w:rFonts w:ascii="Times New Roman" w:cs="Times New Roman" w:hAnsi="Times New Roman"/>
      <w:b/>
      <w:bCs/>
      <w:i w:val="false"/>
      <w:iCs/>
    </w:rPr>
  </w:style>
  <w:style w:customStyle="1" w:styleId="ImageCaption" w:type="paragraph">
    <w:name w:val="Image Caption"/>
    <w:basedOn w:val="Caption1"/>
    <w:qFormat/>
    <w:rsid w:val="004d6dbb"/>
    <w:pPr/>
    <w:rPr>
      <w:rFonts w:ascii="Times New Roman" w:cs="Times New Roman" w:hAnsi="Times New Roman"/>
      <w:i w:val="false"/>
      <w:iCs/>
      <w:sz w:val="20"/>
      <w:szCs w:val="20"/>
    </w:rPr>
  </w:style>
  <w:style w:customStyle="1" w:styleId="Figure" w:type="paragraph">
    <w:name w:val="Figure"/>
    <w:basedOn w:val="Normal"/>
    <w:qFormat/>
    <w:rsid w:val="004d6dbb"/>
    <w:pPr/>
    <w:rPr/>
  </w:style>
  <w:style w:customStyle="1" w:styleId="CaptionedFigure" w:type="paragraph">
    <w:name w:val="Captioned Figure"/>
    <w:basedOn w:val="Figure"/>
    <w:qFormat/>
    <w:rsid w:val="004d6dbb"/>
    <w:pPr>
      <w:keepNext w:val="true"/>
    </w:pPr>
    <w:rPr/>
  </w:style>
  <w:style w:styleId="IndexHeading" w:type="paragraph">
    <w:name w:val="Index Heading"/>
    <w:basedOn w:val="Heading"/>
    <w:pPr/>
    <w:rPr/>
  </w:style>
  <w:style w:styleId="ContentsHeading" w:type="paragraph">
    <w:name w:val="TOC Heading"/>
    <w:basedOn w:val="Heading1"/>
    <w:next w:val="TextBody"/>
    <w:uiPriority w:val="39"/>
    <w:unhideWhenUsed/>
    <w:qFormat/>
    <w:rsid w:val="004d6dbb"/>
    <w:pPr>
      <w:spacing w:after="0" w:before="240" w:line="259" w:lineRule="auto"/>
      <w:contextualSpacing/>
      <w:outlineLvl w:val="9"/>
    </w:pPr>
    <w:rPr>
      <w:bCs/>
    </w:rPr>
  </w:style>
  <w:style w:styleId="HeaderandFooter" w:type="paragraph">
    <w:name w:val="Header and Footer"/>
    <w:basedOn w:val="Normal"/>
    <w:qFormat/>
    <w:pPr/>
    <w:rPr/>
  </w:style>
  <w:style w:styleId="Header" w:type="paragraph">
    <w:name w:val="Header"/>
    <w:basedOn w:val="Normal"/>
    <w:link w:val="HeaderChar"/>
    <w:unhideWhenUsed/>
    <w:rsid w:val="00da141e"/>
    <w:pPr>
      <w:tabs>
        <w:tab w:pos="720" w:val="clear"/>
        <w:tab w:leader="none" w:pos="4680" w:val="center"/>
        <w:tab w:leader="none" w:pos="9360" w:val="right"/>
      </w:tabs>
    </w:pPr>
    <w:rPr/>
  </w:style>
  <w:style w:styleId="Footer" w:type="paragraph">
    <w:name w:val="Footer"/>
    <w:basedOn w:val="Normal"/>
    <w:link w:val="FooterChar"/>
    <w:uiPriority w:val="99"/>
    <w:unhideWhenUsed/>
    <w:rsid w:val="00da141e"/>
    <w:pPr>
      <w:tabs>
        <w:tab w:pos="720" w:val="clear"/>
        <w:tab w:leader="none" w:pos="4680" w:val="center"/>
        <w:tab w:leader="none" w:pos="9360" w:val="right"/>
      </w:tabs>
    </w:pPr>
    <w:rPr/>
  </w:style>
  <w:style w:styleId="Attribution" w:type="paragraph">
    <w:name w:val="Attribution"/>
    <w:basedOn w:val="BlockText"/>
    <w:qFormat/>
    <w:pPr>
      <w:spacing w:after="240" w:before="0"/>
      <w:ind w:hanging="0" w:left="720" w:right="720"/>
      <w:contextualSpacing w:val="false"/>
      <w:jc w:val="right"/>
    </w:pPr>
    <w:rPr/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basedOn w:val="TableNormal"/>
    <w:semiHidden/>
    <w:unhideWhenUsed/>
    <w:qFormat/>
    <w:rsid w:val="005c07a7"/>
    <w:tblStylePr w:type="fir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styleId="GridTable1Light-Accent3" w:type="table">
    <w:name w:val="Grid Table 1 Light Accent 3"/>
    <w:basedOn w:val="TableNormal"/>
    <w:uiPriority w:val="46"/>
    <w:rsid w:val="004d6dbb"/>
    <w:pPr>
      <w:spacing w:after="0"/>
    </w:pPr>
    <w:tblPr>
      <w:tblStyleRowBandSize w:val="1"/>
      <w:tblStyleColBandSize w:val="1"/>
      <w:tblBorders>
        <w:top w:color="D6E3BC" w:space="0" w:sz="4" w:themeColor="accent3" w:themeTint="66" w:val="single"/>
        <w:left w:color="D6E3BC" w:space="0" w:sz="4" w:themeColor="accent3" w:themeTint="66" w:val="single"/>
        <w:bottom w:color="D6E3BC" w:space="0" w:sz="4" w:themeColor="accent3" w:themeTint="66" w:val="single"/>
        <w:right w:color="D6E3BC" w:space="0" w:sz="4" w:themeColor="accent3" w:themeTint="66" w:val="single"/>
        <w:insideH w:color="D6E3BC" w:space="0" w:sz="4" w:themeColor="accent3" w:themeTint="66" w:val="single"/>
        <w:insideV w:color="D6E3BC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2D69B" w:space="0" w:sz="12" w:themeColor="accent3" w:val="single"/>
        </w:tcBorders>
      </w:tcPr>
    </w:tblStylePr>
    <w:tblStylePr w:type="lastRow">
      <w:rPr>
        <w:b/>
        <w:bCs/>
      </w:rPr>
      <w:tblPr/>
      <w:tcPr>
        <w:tcBorders>
          <w:top w:color="C2D69B" w:space="0" w:sz="2" w:themeColor="accent3" w:val="doub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styleId="PlainTable1" w:type="table">
    <w:name w:val="Plain Table 1"/>
    <w:basedOn w:val="TableNormal"/>
    <w:rsid w:val="004d6dbb"/>
    <w:pPr>
      <w:spacing w:after="0"/>
    </w:pPr>
    <w:tblPr>
      <w:tblStyleRowBandSize w:val="1"/>
      <w:tblStyleColBandSize w:val="1"/>
      <w:tblBorders>
        <w:top w:color="BFBFBF" w:space="0" w:sz="4" w:themeColor="background1" w:val="single"/>
        <w:left w:color="BFBFBF" w:space="0" w:sz="4" w:themeColor="background1" w:val="single"/>
        <w:bottom w:color="BFBFBF" w:space="0" w:sz="4" w:themeColor="background1" w:val="single"/>
        <w:right w:color="BFBFBF" w:space="0" w:sz="4" w:themeColor="background1" w:val="single"/>
        <w:insideH w:color="BFBFBF" w:space="0" w:sz="4" w:themeColor="background1" w:val="single"/>
        <w:insideV w:color="BFBFBF" w:space="0" w:sz="4" w:themeColor="background1" w:val="single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color="BFBFBF" w:space="0" w:sz="4" w:themeColor="background1" w:val="double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styleId="TableGrid" w:type="table">
    <w:name w:val="Table Grid"/>
    <w:basedOn w:val="TableNormal"/>
    <w:rsid w:val="004d6dbb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Relationship Type="http://schemas.openxmlformats.org/officeDocument/2006/relationships/hyperlink" Id="rId26" Target="https://doi.org/10.1007/978-3-030-04819-8_16" TargetMode="External" /><Relationship Type="http://schemas.openxmlformats.org/officeDocument/2006/relationships/hyperlink" Id="rId25" Target="https://doi.org/10.1108/S0733-558X20210000076007" TargetMode="External" /><Relationship Type="http://schemas.openxmlformats.org/officeDocument/2006/relationships/hyperlink" Id="rId24" Target="https://doi.org/10.1177/10860266231168905" TargetMode="External" /><Relationship Type="http://schemas.openxmlformats.org/officeDocument/2006/relationships/hyperlink" Id="rId27" Target="https://doi.org/10.4324/9781315736761.ch5" TargetMode="External" /><Relationship Type="http://schemas.openxmlformats.org/officeDocument/2006/relationships/hyperlink" Id="rId31" Target="https://journals.aom.org/doi/abs/10.5465/AMPROC.2023.10410abstract" TargetMode="External" /><Relationship Type="http://schemas.openxmlformats.org/officeDocument/2006/relationships/hyperlink" Id="rId34" Target="https://www.iveypublishing.ca/s/product/huawei-struggling-to-develop-a-more-sustainable-supply-network/01t5c00000CwpQE" TargetMode="External" /><Relationship Type="http://schemas.openxmlformats.org/officeDocument/2006/relationships/hyperlink" Id="rId37" Target="https://www.jbarg.net/organic_vineyards" TargetMode="External" /><Relationship Type="http://schemas.openxmlformats.org/officeDocument/2006/relationships/hyperlink" Id="rId20" Target="mailto:jbarg@miami.ed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7/978-3-030-04819-8_16" TargetMode="External" /><Relationship Type="http://schemas.openxmlformats.org/officeDocument/2006/relationships/hyperlink" Id="rId25" Target="https://doi.org/10.1108/S0733-558X20210000076007" TargetMode="External" /><Relationship Type="http://schemas.openxmlformats.org/officeDocument/2006/relationships/hyperlink" Id="rId24" Target="https://doi.org/10.1177/10860266231168905" TargetMode="External" /><Relationship Type="http://schemas.openxmlformats.org/officeDocument/2006/relationships/hyperlink" Id="rId27" Target="https://doi.org/10.4324/9781315736761.ch5" TargetMode="External" /><Relationship Type="http://schemas.openxmlformats.org/officeDocument/2006/relationships/hyperlink" Id="rId31" Target="https://journals.aom.org/doi/abs/10.5465/AMPROC.2023.10410abstract" TargetMode="External" /><Relationship Type="http://schemas.openxmlformats.org/officeDocument/2006/relationships/hyperlink" Id="rId34" Target="https://www.iveypublishing.ca/s/product/huawei-struggling-to-develop-a-more-sustainable-supply-network/01t5c00000CwpQE" TargetMode="External" /><Relationship Type="http://schemas.openxmlformats.org/officeDocument/2006/relationships/hyperlink" Id="rId37" Target="https://www.jbarg.net/organic_vineyards" TargetMode="External" /><Relationship Type="http://schemas.openxmlformats.org/officeDocument/2006/relationships/hyperlink" Id="rId20" Target="mailto:jbarg@miami.ed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1337</TotalTime>
  <Application>LibreOffice/7.5.4.2$Linux_X86_64 LibreOffice_project/36ccfdc35048b057fd9854c757a8b67ec53977b6</Application>
  <AppVersion>15.0000</AppVersion>
  <Pages>2</Pages>
  <Words>59</Words>
  <Characters>302</Characters>
  <CharactersWithSpaces>395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2025-05-01T12:29:29Z</dcterms:created>
  <dcterms:modified xsi:type="dcterms:W3CDTF">2025-05-01T12:29:29Z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