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 Julian Barg</w:t>
      </w:r>
    </w:p>
    <w:p>
      <w:pPr>
        <w:pStyle w:val="Author"/>
      </w:pPr>
      <w:r>
        <w:rPr>
          <w:i/>
          <w:iCs/>
        </w:rPr>
        <w:t xml:space="preserve">University of Miami</w:t>
      </w:r>
    </w:p>
    <w:p>
      <w:pPr>
        <w:pStyle w:val="Author"/>
      </w:pPr>
      <w:r>
        <w:rPr>
          <w:i/>
          <w:iCs/>
        </w:rPr>
        <w:t xml:space="preserve">Rosenstiel School of Marine, Atmospheric, and Earth Science</w:t>
      </w:r>
    </w:p>
    <w:p>
      <w:pPr>
        <w:pStyle w:val="Author"/>
      </w:pPr>
      <w:r>
        <w:rPr>
          <w:i/>
          <w:iCs/>
        </w:rPr>
        <w:t xml:space="preserve">4600 Rickenbacker Cswy</w:t>
      </w:r>
    </w:p>
    <w:p>
      <w:pPr>
        <w:pStyle w:val="Author"/>
      </w:pPr>
      <w:r>
        <w:rPr>
          <w:i/>
          <w:iCs/>
        </w:rPr>
        <w:t xml:space="preserve">Key Biscayne, FL 33149</w:t>
      </w:r>
    </w:p>
    <w:p>
      <w:pPr>
        <w:pStyle w:val="Author"/>
      </w:pPr>
      <w:r>
        <w:t xml:space="preserve">+1 (561) 938-4189 –</w:t>
      </w:r>
      <w:r>
        <w:t xml:space="preserve"> </w:t>
      </w:r>
      <w:hyperlink r:id="rId20">
        <w:r>
          <w:rPr>
            <w:rStyle w:val="InternetLink"/>
          </w:rPr>
          <w:t xml:space="preserve">jbarg@miami.edu</w:t>
        </w:r>
      </w:hyperlink>
    </w:p>
    <w:p>
      <w:pPr>
        <w:pStyle w:val="TextBody"/>
      </w:pPr>
      <w:r>
        <w:br/>
      </w:r>
    </w:p>
    <w:p>
      <w:pPr>
        <w:pStyle w:val="BlockText"/>
      </w:pPr>
      <w:r>
        <w:rPr>
          <w:i/>
          <w:iCs/>
        </w:rPr>
        <w:t xml:space="preserve">[T]he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Attribution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PhD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All Quiet on the Midwestern Front.</w:t>
            </w:r>
            <w:r>
              <w:t xml:space="preserve"> </w:t>
            </w:r>
            <w:r>
              <w:t xml:space="preserve">Discourse on Keystone XL and Its Climate Change</w:t>
            </w:r>
            <w:r>
              <w:t xml:space="preserve"> </w:t>
            </w:r>
            <w:r>
              <w:t xml:space="preserve">Implications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Master’s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Peking University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Bachelor’s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(2024). Just Don’t Say Climate Change. Discourse on Keystone XL. Finishing touches for submission to</w:t>
      </w:r>
      <w:r>
        <w:t xml:space="preserve"> </w:t>
      </w:r>
      <w:r>
        <w:rPr>
          <w:i/>
          <w:iCs/>
        </w:rPr>
        <w:t xml:space="preserve">Administrative Science Quarterly</w:t>
      </w:r>
    </w:p>
    <w:bookmarkEnd w:id="22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 W., Lyon, T. P., &amp; Barg, J. (2023). No End in Sight? A Greenwash Review and Research Agenda.</w:t>
      </w:r>
      <w:r>
        <w:t xml:space="preserve"> </w:t>
      </w:r>
      <w:r>
        <w:rPr>
          <w:i/>
          <w:iCs/>
        </w:rPr>
        <w:t xml:space="preserve">Organization &amp; Environment</w:t>
      </w:r>
      <w:r>
        <w:t xml:space="preserve">, 36.</w:t>
      </w:r>
      <w:r>
        <w:t xml:space="preserve"> </w:t>
      </w:r>
      <w:hyperlink r:id="rId23">
        <w:r>
          <w:rPr>
            <w:rStyle w:val="InternetLink"/>
          </w:rPr>
          <w:t xml:space="preserve">https://doi.org/10.1177/10860266231168905</w:t>
        </w:r>
      </w:hyperlink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/>
          <w:iCs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Internet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/>
          <w:iCs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Internet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/>
          <w:iCs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InternetLink"/>
          </w:rPr>
          <w:t xml:space="preserve">https://doi.org/10.4324/9781315736761.ch5</w:t>
        </w:r>
      </w:hyperlink>
    </w:p>
    <w:bookmarkEnd w:id="27"/>
    <w:bookmarkStart w:id="28" w:name="reports-and-media-coverage"/>
    <w:p>
      <w:pPr>
        <w:pStyle w:val="Heading1"/>
      </w:pPr>
      <w:r>
        <w:t xml:space="preserve">Reports and media coverage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Montgomery, W., Lyon, T., Barg, J., &amp; Lynch, M. (2024). Greenwashing 3.0: Why addressing greenwashing remains as important as ever (and what can be done about it).</w:t>
      </w:r>
      <w:r>
        <w:t xml:space="preserve"> </w:t>
      </w:r>
      <w:r>
        <w:rPr>
          <w:i/>
          <w:iCs/>
        </w:rPr>
        <w:t xml:space="preserve">Ivey Center for Building Sustainable Value &amp; Erb Institute</w:t>
      </w:r>
      <w:r>
        <w:t xml:space="preserve">. https://online.flippingbook.com/view/175998623/</w:t>
      </w:r>
    </w:p>
    <w:p>
      <w:pPr>
        <w:pStyle w:val="Compact"/>
        <w:numPr>
          <w:ilvl w:val="0"/>
          <w:numId w:val="1001"/>
        </w:numPr>
      </w:pPr>
      <w:r>
        <w:t xml:space="preserve">Rana, A. (2023, October 30). Western prof looks at</w:t>
      </w:r>
      <w:r>
        <w:t xml:space="preserve"> </w:t>
      </w:r>
      <w:r>
        <w:t xml:space="preserve">“greenwashing”</w:t>
      </w:r>
      <w:r>
        <w:t xml:space="preserve"> </w:t>
      </w:r>
      <w:r>
        <w:t xml:space="preserve">and how to spot it.</w:t>
      </w:r>
      <w:r>
        <w:t xml:space="preserve"> </w:t>
      </w:r>
      <w:r>
        <w:rPr>
          <w:i/>
          <w:iCs/>
        </w:rPr>
        <w:t xml:space="preserve">CBC News</w:t>
      </w:r>
      <w:r>
        <w:t xml:space="preserve">. https://www.cbc.ca/news/canada/london/eco-friendly-products-may-not-recycle-as-advertised-experts-say-1.7008093</w:t>
      </w:r>
    </w:p>
    <w:p>
      <w:pPr>
        <w:pStyle w:val="Compact"/>
        <w:numPr>
          <w:ilvl w:val="0"/>
          <w:numId w:val="1001"/>
        </w:numPr>
      </w:pPr>
      <w:r>
        <w:t xml:space="preserve">Atkin, E., &amp; Samuelson, A. (2021). Kim K’s new nipple bra ad is greenwashing. Heated. https://heated.world/p/kim-theres-people-that-are-dying</w:t>
      </w:r>
    </w:p>
    <w:bookmarkEnd w:id="28"/>
    <w:bookmarkStart w:id="29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2"/>
        </w:numPr>
      </w:pPr>
      <w:r>
        <w:t xml:space="preserve">ONE-SIM Outreach Award</w:t>
      </w:r>
    </w:p>
    <w:p>
      <w:pPr>
        <w:pStyle w:val="Compact"/>
        <w:numPr>
          <w:ilvl w:val="1"/>
          <w:numId w:val="1003"/>
        </w:numPr>
      </w:pPr>
      <w:r>
        <w:t xml:space="preserve">Joint Award of Academy of Management divisions for paper</w:t>
      </w:r>
      <w:r>
        <w:t xml:space="preserve"> </w:t>
      </w:r>
      <w:r>
        <w:t xml:space="preserve">“No End in Sight? A Greenwash Review and Research Agenda”</w:t>
      </w:r>
    </w:p>
    <w:p>
      <w:pPr>
        <w:pStyle w:val="Compact"/>
        <w:numPr>
          <w:ilvl w:val="0"/>
          <w:numId w:val="1003"/>
        </w:numPr>
      </w:pPr>
      <w:r>
        <w:t xml:space="preserve">Chisholm Graduate Scholarship in Sustainability, 2020</w:t>
      </w:r>
    </w:p>
    <w:p>
      <w:pPr>
        <w:pStyle w:val="Compact"/>
        <w:numPr>
          <w:ilvl w:val="1"/>
          <w:numId w:val="1004"/>
        </w:numPr>
      </w:pPr>
      <w:r>
        <w:t xml:space="preserve">$15,000 annually for three years, awarded once every three years</w:t>
      </w:r>
    </w:p>
    <w:p>
      <w:pPr>
        <w:pStyle w:val="Compact"/>
        <w:numPr>
          <w:ilvl w:val="0"/>
          <w:numId w:val="1004"/>
        </w:numPr>
      </w:pPr>
      <w:r>
        <w:t xml:space="preserve">2018 AoM Annual Meeting—ONE Division Best Reviewer Award</w:t>
      </w:r>
    </w:p>
    <w:p>
      <w:pPr>
        <w:pStyle w:val="Compact"/>
        <w:numPr>
          <w:ilvl w:val="0"/>
          <w:numId w:val="1004"/>
        </w:numPr>
      </w:pPr>
      <w:r>
        <w:t xml:space="preserve">DAAD/CSC Scholarship for studying at Peking University, 2015-2017</w:t>
      </w:r>
    </w:p>
    <w:bookmarkEnd w:id="29"/>
    <w:bookmarkStart w:id="31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5"/>
        </w:numPr>
      </w:pPr>
      <w:r>
        <w:t xml:space="preserve">Barg, J., (2024, Aud 19) Climate Accountability. Presented at the</w:t>
      </w:r>
      <w:r>
        <w:t xml:space="preserve"> </w:t>
      </w:r>
      <w:r>
        <w:rPr>
          <w:i/>
          <w:iCs/>
        </w:rPr>
        <w:t xml:space="preserve">American Chemical Society Fall 2024</w:t>
      </w:r>
      <w:r>
        <w:t xml:space="preserve"> </w:t>
      </w:r>
      <w:r>
        <w:t xml:space="preserve">conference.</w:t>
      </w:r>
    </w:p>
    <w:p>
      <w:pPr>
        <w:pStyle w:val="Compact"/>
        <w:numPr>
          <w:ilvl w:val="0"/>
          <w:numId w:val="1005"/>
        </w:numPr>
      </w:pPr>
      <w:r>
        <w:t xml:space="preserve">Barg, J., Montgomery, A. W., &amp; Lyon, T. P. (2023, Aug 7) Greenwash. Presented at the</w:t>
      </w:r>
      <w:r>
        <w:t xml:space="preserve"> </w:t>
      </w:r>
      <w:r>
        <w:rPr>
          <w:i/>
          <w:iCs/>
        </w:rPr>
        <w:t xml:space="preserve">American Chemical Society Fall 2023</w:t>
      </w:r>
      <w:r>
        <w:t xml:space="preserve"> </w:t>
      </w:r>
      <w:r>
        <w:t xml:space="preserve">conference.</w:t>
      </w:r>
    </w:p>
    <w:p>
      <w:pPr>
        <w:pStyle w:val="Compact"/>
        <w:numPr>
          <w:ilvl w:val="0"/>
          <w:numId w:val="1005"/>
        </w:numPr>
      </w:pPr>
      <w:r>
        <w:t xml:space="preserve">Barg, J., Montgomery, A. W., &amp; Lyon, T. P. (2023, Aug 7) No End in Sight? A Greenwashing Review and Research Agenda. Presented at the</w:t>
      </w:r>
      <w:r>
        <w:t xml:space="preserve"> </w:t>
      </w:r>
      <w:r>
        <w:rPr>
          <w:i/>
          <w:iCs/>
        </w:rPr>
        <w:t xml:space="preserve">83rd Annual Meeting of the Academy of Management</w:t>
      </w:r>
      <w:r>
        <w:t xml:space="preserve"> </w:t>
      </w:r>
      <w:r>
        <w:t xml:space="preserve">in Boston, MA:</w:t>
      </w:r>
      <w:r>
        <w:t xml:space="preserve"> </w:t>
      </w:r>
      <w:hyperlink r:id="rId30">
        <w:r>
          <w:rPr>
            <w:rStyle w:val="InternetLink"/>
          </w:rPr>
          <w:t xml:space="preserve">https://journals.aom.org/doi/abs/10.5465/AMPROC.2023.10410abstract</w:t>
        </w:r>
      </w:hyperlink>
    </w:p>
    <w:p>
      <w:pPr>
        <w:pStyle w:val="Compact"/>
        <w:numPr>
          <w:ilvl w:val="0"/>
          <w:numId w:val="1005"/>
        </w:numPr>
      </w:pPr>
      <w:r>
        <w:t xml:space="preserve">Barg, J., &amp; Zbaracki, M. J. (2023, Jul 6). Text Data is Always Biased. Presented at the 38th</w:t>
      </w:r>
      <w:r>
        <w:t xml:space="preserve"> </w:t>
      </w:r>
      <w:r>
        <w:rPr>
          <w:i/>
          <w:iCs/>
        </w:rPr>
        <w:t xml:space="preserve">European Group of Organizational Studies Colloquium</w:t>
      </w:r>
      <w:r>
        <w:t xml:space="preserve">, Cagliari, SWG 12.</w:t>
      </w:r>
    </w:p>
    <w:p>
      <w:pPr>
        <w:pStyle w:val="Compact"/>
        <w:numPr>
          <w:ilvl w:val="0"/>
          <w:numId w:val="1005"/>
        </w:numPr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pStyle w:val="Compact"/>
        <w:numPr>
          <w:ilvl w:val="0"/>
          <w:numId w:val="1005"/>
        </w:numPr>
      </w:pPr>
      <w:r>
        <w:t xml:space="preserve">Barg, J. &amp; Zbaracki, M. J. (2022, Oct 19). How do we talk about this? The Discourse on the Environmental Impacts of Keystone XL. Presented at the</w:t>
      </w:r>
      <w:r>
        <w:t xml:space="preserve"> </w:t>
      </w:r>
      <w:r>
        <w:rPr>
          <w:i/>
          <w:iCs/>
        </w:rPr>
        <w:t xml:space="preserve">Ivey PhD Research Series</w:t>
      </w:r>
      <w:r>
        <w:t xml:space="preserve">, Ivey Business School.</w:t>
      </w:r>
    </w:p>
    <w:p>
      <w:pPr>
        <w:pStyle w:val="Compact"/>
        <w:numPr>
          <w:ilvl w:val="0"/>
          <w:numId w:val="1005"/>
        </w:numPr>
      </w:pPr>
      <w:r>
        <w:t xml:space="preserve">Barg, J. &amp; Zbaracki, M. J. (2022, Jul 8). Knowledge, Power, and Deinstitutionalization. The Battle over Keystone XL. Presented at the 38th</w:t>
      </w:r>
      <w:r>
        <w:t xml:space="preserve"> </w:t>
      </w:r>
      <w:r>
        <w:rPr>
          <w:i/>
          <w:iCs/>
        </w:rPr>
        <w:t xml:space="preserve">European Group of Organizational Studies Colloquium</w:t>
      </w:r>
      <w:r>
        <w:t xml:space="preserve">, Vienna.</w:t>
      </w:r>
    </w:p>
    <w:p>
      <w:pPr>
        <w:pStyle w:val="Compact"/>
        <w:numPr>
          <w:ilvl w:val="0"/>
          <w:numId w:val="1005"/>
        </w:numPr>
      </w:pPr>
      <w:r>
        <w:t xml:space="preserve">OMT Doctoral Student Consortium on Aug 4, 2021 at the</w:t>
      </w:r>
      <w:r>
        <w:t xml:space="preserve"> </w:t>
      </w:r>
      <w:r>
        <w:rPr>
          <w:i/>
          <w:iCs/>
        </w:rPr>
        <w:t xml:space="preserve">81st Annual Meeting of the Academy of Managements</w:t>
      </w:r>
      <w:r>
        <w:t xml:space="preserve">, virtual.</w:t>
      </w:r>
    </w:p>
    <w:p>
      <w:pPr>
        <w:pStyle w:val="Compact"/>
        <w:numPr>
          <w:ilvl w:val="0"/>
          <w:numId w:val="1005"/>
        </w:numPr>
      </w:pPr>
      <w:r>
        <w:t xml:space="preserve">Barg, J. (2021, Mar 2). Learning to Be Sustainable (?). Presented at the</w:t>
      </w:r>
      <w:r>
        <w:t xml:space="preserve"> </w:t>
      </w:r>
      <w:r>
        <w:rPr>
          <w:i/>
          <w:iCs/>
        </w:rPr>
        <w:t xml:space="preserve">Ivey PhD Research Series</w:t>
      </w:r>
      <w:r>
        <w:t xml:space="preserve">, Ivey Business School.</w:t>
      </w:r>
    </w:p>
    <w:p>
      <w:pPr>
        <w:pStyle w:val="Compact"/>
        <w:numPr>
          <w:ilvl w:val="0"/>
          <w:numId w:val="1005"/>
        </w:numPr>
      </w:pPr>
      <w:r>
        <w:t xml:space="preserve">Barg, J. (2020). A Few Spills a Year, That’s Normal? Learning in the Pipeline Industry. AOM ONE Doctoral Consortium. Presented at the</w:t>
      </w:r>
      <w:r>
        <w:t xml:space="preserve"> </w:t>
      </w:r>
      <w:r>
        <w:rPr>
          <w:i/>
          <w:iCs/>
        </w:rPr>
        <w:t xml:space="preserve">80th Annual Meeting of the Academy of Management</w:t>
      </w:r>
      <w:r>
        <w:t xml:space="preserve">, virtual.</w:t>
      </w:r>
    </w:p>
    <w:p>
      <w:pPr>
        <w:pStyle w:val="Compact"/>
        <w:numPr>
          <w:ilvl w:val="0"/>
          <w:numId w:val="1005"/>
        </w:numPr>
      </w:pPr>
      <w:r>
        <w:t xml:space="preserve">Barg, J. (2020, Feb 14). Oil Spills and Organizational Learning. Presented at the</w:t>
      </w:r>
      <w:r>
        <w:t xml:space="preserve"> </w:t>
      </w:r>
      <w:r>
        <w:rPr>
          <w:i/>
          <w:iCs/>
        </w:rPr>
        <w:t xml:space="preserve">Ivey PhD Research Series</w:t>
      </w:r>
      <w:r>
        <w:t xml:space="preserve">, Ivey Business School.</w:t>
      </w:r>
    </w:p>
    <w:p>
      <w:pPr>
        <w:pStyle w:val="Compact"/>
        <w:numPr>
          <w:ilvl w:val="0"/>
          <w:numId w:val="1005"/>
        </w:numPr>
      </w:pPr>
      <w:r>
        <w:t xml:space="preserve">Barg, J. (2016, Aug 2). The Trends of Corporate Social Responsibility in China. Presented at the</w:t>
      </w:r>
      <w:r>
        <w:t xml:space="preserve"> </w:t>
      </w:r>
      <w:r>
        <w:rPr>
          <w:i/>
          <w:iCs/>
        </w:rPr>
        <w:t xml:space="preserve">3rd International Conference on CSR, Sustainability, Ethics and Governance</w:t>
      </w:r>
      <w:r>
        <w:t xml:space="preserve">, Cologne.</w:t>
      </w:r>
    </w:p>
    <w:bookmarkEnd w:id="31"/>
    <w:bookmarkStart w:id="32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6"/>
        </w:numPr>
      </w:pPr>
      <w:r>
        <w:t xml:space="preserve">2022-2025</w:t>
      </w:r>
    </w:p>
    <w:p>
      <w:pPr>
        <w:pStyle w:val="Compact"/>
        <w:numPr>
          <w:ilvl w:val="1"/>
          <w:numId w:val="1007"/>
        </w:numPr>
      </w:pPr>
      <w:r>
        <w:t xml:space="preserve">AOM ONE division – member of the Membership/Nominations Team</w:t>
      </w:r>
    </w:p>
    <w:p>
      <w:pPr>
        <w:pStyle w:val="Compact"/>
        <w:numPr>
          <w:ilvl w:val="0"/>
          <w:numId w:val="1007"/>
        </w:numPr>
      </w:pPr>
      <w:r>
        <w:t xml:space="preserve">2015-2017</w:t>
      </w:r>
    </w:p>
    <w:p>
      <w:pPr>
        <w:pStyle w:val="Compact"/>
        <w:numPr>
          <w:ilvl w:val="1"/>
          <w:numId w:val="1008"/>
        </w:numPr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2"/>
    <w:bookmarkStart w:id="34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9"/>
        </w:numPr>
      </w:pPr>
      <w:r>
        <w:rPr>
          <w:i/>
          <w:iCs/>
        </w:rPr>
        <w:t xml:space="preserve">Business &amp; Society – Net Zero</w:t>
      </w:r>
      <w:r>
        <w:t xml:space="preserve"> </w:t>
      </w:r>
      <w:r>
        <w:t xml:space="preserve">at Ivey Business School with Dr. A. Wren Montgomery.</w:t>
      </w:r>
    </w:p>
    <w:p>
      <w:pPr>
        <w:pStyle w:val="Compact"/>
        <w:numPr>
          <w:ilvl w:val="0"/>
          <w:numId w:val="1009"/>
        </w:numPr>
      </w:pPr>
      <w:r>
        <w:rPr>
          <w:i/>
          <w:iCs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pStyle w:val="Compact"/>
        <w:numPr>
          <w:ilvl w:val="0"/>
          <w:numId w:val="1009"/>
        </w:numPr>
      </w:pPr>
      <w:r>
        <w:t xml:space="preserve">Participated in teaching prep and TA’d course</w:t>
      </w:r>
      <w:r>
        <w:t xml:space="preserve"> </w:t>
      </w:r>
      <w:r>
        <w:rPr>
          <w:i/>
          <w:iCs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pStyle w:val="Compact"/>
        <w:numPr>
          <w:ilvl w:val="0"/>
          <w:numId w:val="1009"/>
        </w:numPr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3">
        <w:r>
          <w:rPr>
            <w:rStyle w:val="InternetLink"/>
          </w:rPr>
          <w:t xml:space="preserve">https://www.iveypublishing.ca/s/product/huawei-struggling-to-develop-a-more-sustainable-supply-network/01t5c00000CwpQE</w:t>
        </w:r>
      </w:hyperlink>
    </w:p>
    <w:p>
      <w:pPr>
        <w:pStyle w:val="Compact"/>
        <w:numPr>
          <w:ilvl w:val="0"/>
          <w:numId w:val="1009"/>
        </w:numPr>
      </w:pPr>
      <w:r>
        <w:t xml:space="preserve">Shadowed teaching prep and TA’d course</w:t>
      </w:r>
      <w:r>
        <w:t xml:space="preserve"> </w:t>
      </w:r>
      <w:r>
        <w:rPr>
          <w:i/>
          <w:iCs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pStyle w:val="Compact"/>
        <w:numPr>
          <w:ilvl w:val="0"/>
          <w:numId w:val="1009"/>
        </w:numPr>
      </w:pPr>
      <w:r>
        <w:t xml:space="preserve">CaseMate for</w:t>
      </w:r>
      <w:r>
        <w:t xml:space="preserve"> </w:t>
      </w:r>
      <w:r>
        <w:rPr>
          <w:i/>
          <w:iCs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4"/>
    <w:bookmarkStart w:id="36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Redactions, omissions, and document dumping.</w:t>
            </w:r>
            <w:r>
              <w:t xml:space="preserve"> </w:t>
            </w:r>
            <w:r>
              <w:t xml:space="preserve">**A computational assessment of the oil industry’s obstruc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2024</w:t>
            </w:r>
            <w:r>
              <w:t xml:space="preserve"> </w:t>
            </w:r>
            <w:r>
              <w:t xml:space="preserve">tion of a Congressional investigation**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*Dr. Alexander Kaurov, Dr. Julian Barg, Dr. Naomi Oreskes,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Dr. Geoffrey Supran*</w:t>
            </w:r>
          </w:p>
        </w:tc>
      </w:tr>
    </w:tbl>
    <w:p>
      <w:pPr>
        <w:pStyle w:val="Compact"/>
        <w:numPr>
          <w:ilvl w:val="0"/>
          <w:numId w:val="1010"/>
        </w:numPr>
      </w:pPr>
      <w:r>
        <w:t xml:space="preserve">On CSSN Congressional Subpoena Documents Analysis grant, USD $20,000 awarded August 2024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Science, industry, and the public.</w:t>
            </w:r>
            <w:r>
              <w:t xml:space="preserve"> </w:t>
            </w:r>
            <w:r>
              <w:rPr>
                <w:b/>
                <w:bCs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1"/>
        </w:numPr>
      </w:pPr>
      <w:r>
        <w:t xml:space="preserve">On SSHRC Insight Development Grant, CAD $70,857 awarded June 2022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A. Wren Montgomery, Dr. Erin Oldford</w:t>
            </w:r>
            <w:r>
              <w:t xml:space="preserve"> </w:t>
            </w:r>
            <w:r>
              <w:rPr>
                <w:i/>
                <w:iCs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2"/>
        </w:numPr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Bridges Over Troubled Waters: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Collective Community Action Around Water Resources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3"/>
        </w:numPr>
      </w:pPr>
      <w:r>
        <w:t xml:space="preserve">Scraped Facebook groups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 Dynamic Model of Misleading Corporate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ompact"/>
        <w:numPr>
          <w:ilvl w:val="0"/>
          <w:numId w:val="1014"/>
        </w:numPr>
      </w:pPr>
      <w:r>
        <w:t xml:space="preserve">On SSHRC Insight Development Grant, CAD $49,305 awarded June 2018</w:t>
      </w:r>
    </w:p>
    <w:p>
      <w:pPr>
        <w:pStyle w:val="Compact"/>
        <w:numPr>
          <w:ilvl w:val="0"/>
          <w:numId w:val="1014"/>
        </w:numPr>
      </w:pPr>
      <w:r>
        <w:t xml:space="preserve">With Thomas Lyon of Erb Institute, University of Michigan</w:t>
      </w:r>
    </w:p>
    <w:p>
      <w:pPr>
        <w:pStyle w:val="Compact"/>
        <w:numPr>
          <w:ilvl w:val="0"/>
          <w:numId w:val="1014"/>
        </w:numPr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5"/>
        </w:numPr>
      </w:pPr>
      <w:r>
        <w:t xml:space="preserve">On SSHRC Insight Development Grant, CAD $49,305 awarded June 2016</w:t>
      </w:r>
    </w:p>
    <w:p>
      <w:pPr>
        <w:numPr>
          <w:ilvl w:val="0"/>
          <w:numId w:val="1015"/>
        </w:numPr>
      </w:pPr>
      <w:r>
        <w:t xml:space="preserve">With Thomas Lyon of Erb Institute, University of Michigan</w:t>
      </w:r>
    </w:p>
    <w:p>
      <w:pPr>
        <w:numPr>
          <w:ilvl w:val="0"/>
          <w:numId w:val="1015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5"/>
        </w:numPr>
      </w:pPr>
      <w:hyperlink r:id="rId35">
        <w:r>
          <w:rPr>
            <w:rStyle w:val="InternetLink"/>
          </w:rPr>
          <w:t xml:space="preserve">https://www.jbarg.net/organic_vineyards</w:t>
        </w:r>
      </w:hyperlink>
    </w:p>
    <w:bookmarkEnd w:id="36"/>
    <w:sectPr>
      <w:footerReference r:id="rId9" w:type="default"/>
      <w:footnotePr>
        <w:numFmt w:val="decimal"/>
      </w:footnotePr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08329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widowControl/>
      <w:bidi w:val="0"/>
      <w:spacing w:after="0" w:before="0"/>
      <w:contextualSpacing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a04ec"/>
    <w:pPr>
      <w:keepNext w:val="true"/>
      <w:keepLines/>
      <w:spacing w:after="0" w:before="480"/>
      <w:contextualSpacing/>
      <w:outlineLvl w:val="0"/>
    </w:pPr>
    <w:rPr>
      <w:rFonts w:ascii="Times New Roman" w:cs="Times New Roman" w:eastAsia="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1"/>
    </w:pPr>
    <w:rPr>
      <w:rFonts w:ascii="Arial" w:cs="Arial" w:eastAsia="" w:eastAsiaTheme="majorEastAsia" w:hAnsi="Arial"/>
      <w:b/>
      <w:bCs/>
      <w:i/>
      <w:iCs/>
    </w:rPr>
  </w:style>
  <w:style w:styleId="Heading3" w:type="paragraph">
    <w:name w:val="Heading 3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2"/>
    </w:pPr>
    <w:rPr>
      <w:rFonts w:ascii="Arial" w:cs="Arial" w:eastAsia="" w:eastAsiaTheme="majorEastAsia" w:hAnsi="Arial"/>
      <w:i/>
      <w:iCs/>
    </w:rPr>
  </w:style>
  <w:style w:styleId="Heading4" w:type="paragraph">
    <w:name w:val="Heading 4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3"/>
    </w:pPr>
    <w:rPr>
      <w:rFonts w:ascii="Arial" w:cs="Arial" w:eastAsia="" w:eastAsiaTheme="majorEastAsia" w:hAnsi="Arial"/>
      <w:bCs/>
      <w:iCs/>
    </w:rPr>
  </w:style>
  <w:style w:styleId="Heading5" w:type="paragraph">
    <w:name w:val="Heading 5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jc w:val="center"/>
      <w:outlineLvl w:val="4"/>
    </w:pPr>
    <w:rPr>
      <w:rFonts w:ascii="Times New Roman" w:cs="Times New Roman" w:eastAsia="" w:eastAsiaTheme="majorEastAsia" w:hAnsi="Times New Roman"/>
      <w:b/>
      <w:bCs/>
      <w:iCs/>
    </w:rPr>
  </w:style>
  <w:style w:styleId="Heading6" w:type="paragraph">
    <w:name w:val="Heading 6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sid w:val="004d6dbb"/>
    <w:rPr>
      <w:i/>
    </w:rPr>
  </w:style>
  <w:style w:customStyle="1" w:styleId="VerbatimChar" w:type="character">
    <w:name w:val="Verbatim Char"/>
    <w:basedOn w:val="CaptionChar"/>
    <w:qFormat/>
    <w:rsid w:val="004d6dbb"/>
    <w:rPr>
      <w:rFonts w:ascii="Consolas" w:hAnsi="Consolas"/>
      <w:i w:val="false"/>
      <w:sz w:val="22"/>
    </w:rPr>
  </w:style>
  <w:style w:customStyle="1" w:styleId="SectionNumber" w:type="character">
    <w:name w:val="Section Number"/>
    <w:basedOn w:val="CaptionChar"/>
    <w:qFormat/>
    <w:rsid w:val="004d6dbb"/>
    <w:rPr>
      <w:i w:val="false"/>
    </w:rPr>
  </w:style>
  <w:style w:styleId="FootnoteCharacters" w:type="character">
    <w:name w:val="Footnote Characters"/>
    <w:basedOn w:val="CaptionChar"/>
    <w:qFormat/>
    <w:rsid w:val="004d6dbb"/>
    <w:rPr>
      <w:i w:val="false"/>
      <w:vertAlign w:val="superscript"/>
    </w:rPr>
  </w:style>
  <w:style w:styleId="FootnoteAnchor" w:type="character">
    <w:name w:val="Footnote Reference"/>
    <w:rPr>
      <w:i w:val="false"/>
      <w:vertAlign w:val="superscript"/>
    </w:rPr>
  </w:style>
  <w:style w:styleId="InternetLink" w:type="character">
    <w:name w:val="Hyperlink"/>
    <w:basedOn w:val="CaptionChar"/>
    <w:rsid w:val="004d6dbb"/>
    <w:rPr>
      <w:i w:val="false"/>
      <w:color w:themeColor="accent1" w:val="4F81BD"/>
    </w:rPr>
  </w:style>
  <w:style w:customStyle="1" w:styleId="BodyTextChar" w:type="character">
    <w:name w:val="Body Text Char"/>
    <w:basedOn w:val="DefaultParagraphFont"/>
    <w:qFormat/>
    <w:rsid w:val="00a20e0b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qFormat/>
    <w:rsid w:val="00da141e"/>
    <w:rPr/>
  </w:style>
  <w:style w:customStyle="1" w:styleId="FooterChar" w:type="character">
    <w:name w:val="Footer Char"/>
    <w:basedOn w:val="DefaultParagraphFont"/>
    <w:link w:val="Footer"/>
    <w:uiPriority w:val="99"/>
    <w:qFormat/>
    <w:rsid w:val="00da141e"/>
    <w:rPr/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  <w:contextualSpacing w:val="false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rsid w:val="00a20e0b"/>
    <w:pPr>
      <w:spacing w:after="0" w:before="240"/>
      <w:ind w:hanging="0"/>
      <w:contextualSpacing/>
    </w:pPr>
    <w:rPr/>
  </w:style>
  <w:style w:customStyle="1" w:styleId="Compact" w:type="paragraph">
    <w:name w:val="Compact"/>
    <w:basedOn w:val="TextBody"/>
    <w:qFormat/>
    <w:rsid w:val="004d6dbb"/>
    <w:pPr>
      <w:spacing w:after="36" w:before="36" w:line="240" w:lineRule="auto"/>
      <w:ind w:hanging="0"/>
      <w:contextualSpacing/>
    </w:pPr>
    <w:rPr/>
  </w:style>
  <w:style w:styleId="Title" w:type="paragraph">
    <w:name w:val="Title"/>
    <w:basedOn w:val="Normal"/>
    <w:next w:val="TextBody"/>
    <w:qFormat/>
    <w:rsid w:val="00bc58b5"/>
    <w:pPr>
      <w:keepNext w:val="true"/>
      <w:keepLines/>
      <w:spacing w:line="480" w:lineRule="auto"/>
      <w:jc w:val="center"/>
    </w:pPr>
    <w:rPr>
      <w:rFonts w:ascii="Times New Roman" w:cs="Times New Roman" w:eastAsia="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TextBody"/>
    <w:qFormat/>
    <w:rsid w:val="004d6dbb"/>
    <w:pPr/>
    <w:rPr/>
  </w:style>
  <w:style w:customStyle="1" w:styleId="Author" w:type="paragraph">
    <w:name w:val="Author"/>
    <w:next w:val="TextBody"/>
    <w:qFormat/>
    <w:rsid w:val="005f19a7"/>
    <w:pPr>
      <w:keepNext w:val="true"/>
      <w:keepLines/>
      <w:widowControl/>
      <w:bidi w:val="0"/>
      <w:spacing w:after="0" w:before="0"/>
      <w:jc w:val="center"/>
    </w:pPr>
    <w:rPr>
      <w:rFonts w:ascii="Times New Roman" w:cs="Arial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rsid w:val="004d6dbb"/>
    <w:pPr>
      <w:keepNext w:val="true"/>
      <w:keepLines/>
      <w:widowControl/>
      <w:bidi w:val="0"/>
      <w:spacing w:after="0" w:before="0" w:line="480" w:lineRule="auto"/>
      <w:jc w:val="center"/>
    </w:pPr>
    <w:rPr>
      <w:rFonts w:ascii="Arial" w:cs="Arial" w:eastAsia="Cambria" w:eastAsiaTheme="minorHAnsi" w:hAnsi="Arial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rsid w:val="004d6dbb"/>
    <w:pPr>
      <w:keepNext w:val="true"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spacing w:after="0" w:before="0"/>
      <w:ind w:hanging="720" w:left="720"/>
      <w:contextualSpacing w:val="false"/>
    </w:pPr>
    <w:rPr/>
  </w:style>
  <w:style w:styleId="BlockText" w:type="paragraph">
    <w:name w:val="Block Text"/>
    <w:basedOn w:val="TextBody"/>
    <w:next w:val="TextBody"/>
    <w:uiPriority w:val="9"/>
    <w:unhideWhenUsed/>
    <w:qFormat/>
    <w:rsid w:val="00564404"/>
    <w:pPr>
      <w:spacing w:line="240" w:lineRule="auto"/>
      <w:ind w:hanging="0" w:left="475" w:right="475"/>
    </w:pPr>
    <w:rPr/>
  </w:style>
  <w:style w:styleId="Footnote" w:type="paragraph">
    <w:name w:val="Footnote Text"/>
    <w:basedOn w:val="Normal"/>
    <w:uiPriority w:val="9"/>
    <w:unhideWhenUsed/>
    <w:qFormat/>
    <w:rsid w:val="00ce5e0f"/>
    <w:pPr/>
    <w:rPr>
      <w:rFonts w:ascii="Times New Roman" w:hAnsi="Times New Roman"/>
      <w:sz w:val="18"/>
    </w:rPr>
  </w:style>
  <w:style w:customStyle="1" w:styleId="DefinitionTerm" w:type="paragraph">
    <w:name w:val="Definition Term"/>
    <w:basedOn w:val="Normal"/>
    <w:next w:val="Definition"/>
    <w:qFormat/>
    <w:rsid w:val="004d6dbb"/>
    <w:pPr>
      <w:keepNext w:val="true"/>
      <w:keepLines/>
    </w:pPr>
    <w:rPr>
      <w:b/>
    </w:rPr>
  </w:style>
  <w:style w:customStyle="1" w:styleId="Definition" w:type="paragraph">
    <w:name w:val="Definition"/>
    <w:basedOn w:val="Normal"/>
    <w:qFormat/>
    <w:rsid w:val="004d6dbb"/>
    <w:pPr/>
    <w:rPr/>
  </w:style>
  <w:style w:styleId="Caption1" w:type="paragraph">
    <w:name w:val="caption"/>
    <w:basedOn w:val="Normal"/>
    <w:link w:val="CaptionChar"/>
    <w:qFormat/>
    <w:rsid w:val="004d6dbb"/>
    <w:pPr>
      <w:spacing w:after="120" w:before="0"/>
      <w:contextualSpacing/>
    </w:pPr>
    <w:rPr>
      <w:i/>
    </w:rPr>
  </w:style>
  <w:style w:customStyle="1" w:styleId="TableCaption" w:type="paragraph">
    <w:name w:val="Table Caption"/>
    <w:basedOn w:val="Caption1"/>
    <w:qFormat/>
    <w:rsid w:val="004d6dbb"/>
    <w:pPr>
      <w:keepNext w:val="true"/>
      <w:spacing w:after="0" w:before="0"/>
      <w:contextualSpacing/>
      <w:jc w:val="center"/>
    </w:pPr>
    <w:rPr>
      <w:rFonts w:ascii="Times New Roman" w:cs="Times New Roman" w:hAnsi="Times New Roman"/>
      <w:b/>
      <w:bCs/>
      <w:i w:val="false"/>
      <w:iCs/>
    </w:rPr>
  </w:style>
  <w:style w:customStyle="1" w:styleId="ImageCaption" w:type="paragraph">
    <w:name w:val="Image Caption"/>
    <w:basedOn w:val="Caption1"/>
    <w:qFormat/>
    <w:rsid w:val="004d6dbb"/>
    <w:pPr/>
    <w:rPr>
      <w:rFonts w:ascii="Times New Roman" w:cs="Times New Roman" w:hAnsi="Times New Roman"/>
      <w:i w:val="false"/>
      <w:iCs/>
      <w:sz w:val="20"/>
      <w:szCs w:val="20"/>
    </w:rPr>
  </w:style>
  <w:style w:customStyle="1" w:styleId="Figure" w:type="paragraph">
    <w:name w:val="Figure"/>
    <w:basedOn w:val="Normal"/>
    <w:qFormat/>
    <w:rsid w:val="004d6dbb"/>
    <w:pPr/>
    <w:rPr/>
  </w:style>
  <w:style w:customStyle="1" w:styleId="CaptionedFigure" w:type="paragraph">
    <w:name w:val="Captioned Figure"/>
    <w:basedOn w:val="Figure"/>
    <w:qFormat/>
    <w:rsid w:val="004d6dbb"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rsid w:val="004d6dbb"/>
    <w:pPr>
      <w:spacing w:after="0" w:before="240" w:line="259" w:lineRule="auto"/>
      <w:contextualSpacing/>
      <w:outlineLvl w:val="9"/>
    </w:pPr>
    <w:rPr>
      <w:bCs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Attribution" w:type="paragraph">
    <w:name w:val="Attribution"/>
    <w:basedOn w:val="BlockText"/>
    <w:qFormat/>
    <w:pPr>
      <w:spacing w:after="240" w:before="0"/>
      <w:ind w:hanging="0" w:left="720" w:right="720"/>
      <w:contextualSpacing w:val="false"/>
      <w:jc w:val="right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basedOn w:val="TableNormal"/>
    <w:semiHidden/>
    <w:unhideWhenUsed/>
    <w:qFormat/>
    <w:rsid w:val="005c07a7"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0" Target="https://journals.aom.org/doi/abs/10.5465/AMPROC.2023.10410abstract" TargetMode="External" /><Relationship Type="http://schemas.openxmlformats.org/officeDocument/2006/relationships/hyperlink" Id="rId33" Target="https://www.iveypublishing.ca/s/product/huawei-struggling-to-develop-a-more-sustainable-supply-network/01t5c00000CwpQE" TargetMode="External" /><Relationship Type="http://schemas.openxmlformats.org/officeDocument/2006/relationships/hyperlink" Id="rId35" Target="https://www.jbarg.net/organic_vineyards" TargetMode="External" /><Relationship Type="http://schemas.openxmlformats.org/officeDocument/2006/relationships/hyperlink" Id="rId20" Target="mailto:jbarg@miam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0" Target="https://journals.aom.org/doi/abs/10.5465/AMPROC.2023.10410abstract" TargetMode="External" /><Relationship Type="http://schemas.openxmlformats.org/officeDocument/2006/relationships/hyperlink" Id="rId33" Target="https://www.iveypublishing.ca/s/product/huawei-struggling-to-develop-a-more-sustainable-supply-network/01t5c00000CwpQE" TargetMode="External" /><Relationship Type="http://schemas.openxmlformats.org/officeDocument/2006/relationships/hyperlink" Id="rId35" Target="https://www.jbarg.net/organic_vineyards" TargetMode="External" /><Relationship Type="http://schemas.openxmlformats.org/officeDocument/2006/relationships/hyperlink" Id="rId20" Target="mailto:jbarg@mia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LibreOffice/7.5.4.2$Linux_X86_64 LibreOffice_project/36ccfdc35048b057fd9854c757a8b67ec53977b6</Application>
  <AppVersion>15.0000</AppVersion>
  <Pages>2</Pages>
  <Words>59</Words>
  <Characters>302</Characters>
  <CharactersWithSpaces>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2024-09-04T17:24:38Z</dcterms:created>
  <dcterms:modified xsi:type="dcterms:W3CDTF">2024-09-04T17:24:38Z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