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Julian Barg</w:t>
      </w:r>
    </w:p>
    <w:p>
      <w:pPr>
        <w:pStyle w:val="Author"/>
      </w:pPr>
      <w:r>
        <w:rPr>
          <w:iCs/>
          <w:i/>
        </w:rPr>
        <w:t xml:space="preserve">Ivey Business School</w:t>
      </w:r>
    </w:p>
    <w:p>
      <w:pPr>
        <w:pStyle w:val="Author"/>
      </w:pPr>
      <w:r>
        <w:rPr>
          <w:iCs/>
          <w:i/>
        </w:rPr>
        <w:t xml:space="preserve">1255 Western Road</w:t>
      </w:r>
    </w:p>
    <w:p>
      <w:pPr>
        <w:pStyle w:val="Author"/>
      </w:pPr>
      <w:r>
        <w:rPr>
          <w:iCs/>
          <w:i/>
        </w:rPr>
        <w:t xml:space="preserve">London, ON N6B 1J4</w:t>
      </w:r>
    </w:p>
    <w:p>
      <w:pPr>
        <w:pStyle w:val="Author"/>
      </w:pPr>
      <w:r>
        <w:t xml:space="preserve">+1 (226) 984-1461–</w:t>
      </w:r>
      <w:hyperlink r:id="rId20">
        <w:r>
          <w:rPr>
            <w:rStyle w:val="Hyperlink"/>
          </w:rPr>
          <w:t xml:space="preserve">jbarg.phd@ivey.ca</w:t>
        </w:r>
      </w:hyperlink>
    </w:p>
    <w:bookmarkStart w:id="21" w:name="education"/>
    <w:p>
      <w:pPr>
        <w:pStyle w:val="Heading1"/>
      </w:pPr>
      <w:r>
        <w:t xml:space="preserve">Education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768"/>
        <w:gridCol w:w="2151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PhD Business Administration–Sustainability</w:t>
            </w:r>
          </w:p>
        </w:tc>
        <w:tc>
          <w:p>
            <w:pPr>
              <w:pStyle w:val="Compact"/>
              <w:jc w:val="right"/>
            </w:pPr>
            <w:r>
              <w:t xml:space="preserve">expected 2022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Ivey Business School</w:t>
            </w:r>
          </w:p>
        </w:tc>
        <w:tc>
          <w:p>
            <w:pPr>
              <w:pStyle w:val="Compact"/>
              <w:jc w:val="right"/>
            </w:pPr>
            <w:r>
              <w:t xml:space="preserve">Canada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Thesis: Knowledge, Power, and disinformation</w:t>
            </w:r>
          </w:p>
        </w:tc>
        <w:tc>
          <w:p>
            <w:pPr>
              <w:pStyle w:val="Compact"/>
              <w:jc w:val="righ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Advisors: Dr. Mark J. Zbaracki, Dr. A. Wren Montgomery</w:t>
            </w:r>
          </w:p>
        </w:tc>
        <w:tc>
          <w:p>
            <w:pPr>
              <w:pStyle w:val="Compact"/>
              <w:jc w:val="righ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righ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 of Management Science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Peking University HSBC Business School</w:t>
            </w:r>
          </w:p>
        </w:tc>
        <w:tc>
          <w:p>
            <w:pPr>
              <w:pStyle w:val="Compact"/>
              <w:jc w:val="right"/>
            </w:pPr>
            <w:r>
              <w:t xml:space="preserve">China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righ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B.A. Chinese Studies/East Asian Studies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Free University of Berlin</w:t>
            </w:r>
          </w:p>
        </w:tc>
        <w:tc>
          <w:p>
            <w:pPr>
              <w:pStyle w:val="Compact"/>
              <w:jc w:val="right"/>
            </w:pPr>
            <w:r>
              <w:t xml:space="preserve">Germany</w:t>
            </w:r>
          </w:p>
        </w:tc>
      </w:tr>
    </w:tbl>
    <w:bookmarkEnd w:id="21"/>
    <w:bookmarkStart w:id="22" w:name="papers-in-progress"/>
    <w:p>
      <w:pPr>
        <w:pStyle w:val="Heading1"/>
      </w:pPr>
      <w:r>
        <w:t xml:space="preserve">Papers in progress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Montgomery, A.W. &amp; Barg, J. (2022) Greenwashing in the Anthropocene: Net Zero by 2050?</w:t>
      </w:r>
      <w:r>
        <w:t xml:space="preserve"> </w:t>
      </w:r>
      <w:r>
        <w:rPr>
          <w:iCs/>
          <w:i/>
        </w:rPr>
        <w:t xml:space="preserve">Detailed proposal for special review issue accepted in competitive</w:t>
      </w:r>
      <w:r>
        <w:t xml:space="preserve"> </w:t>
      </w:r>
      <w:r>
        <w:t xml:space="preserve">peer-reviewed process. Full paper due Oct. 2022 at</w:t>
      </w:r>
      <w:r>
        <w:t xml:space="preserve"> </w:t>
      </w:r>
      <w:r>
        <w:rPr>
          <w:iCs/>
          <w:i/>
        </w:rPr>
        <w:t xml:space="preserve">Organization &amp; Environment</w:t>
      </w:r>
      <w:r>
        <w:br/>
      </w:r>
    </w:p>
    <w:p>
      <w:pPr>
        <w:pStyle w:val="Bibliography"/>
      </w:pPr>
      <w:r>
        <w:t xml:space="preserve">Barg, J., &amp; Zbaracki, M. J. (2022). Knowledge, Power, and Disinformation.</w:t>
      </w:r>
    </w:p>
    <w:bookmarkEnd w:id="22"/>
    <w:bookmarkStart w:id="26" w:name="publications"/>
    <w:p>
      <w:pPr>
        <w:pStyle w:val="Heading1"/>
      </w:pPr>
      <w:r>
        <w:t xml:space="preserve">Publications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Zbaracki, M. J., Watkiss, L., McAlpine, C., &amp; Barg, J. (2021). Truth, Beauty, and Justice in Models of Social Action. In C. M. Beckman (Ed.),</w:t>
      </w:r>
      <w:r>
        <w:t xml:space="preserve"> </w:t>
      </w:r>
      <w:r>
        <w:rPr>
          <w:iCs/>
          <w:i/>
        </w:rPr>
        <w:t xml:space="preserve">Research in the Sociology of Organizations</w:t>
      </w:r>
      <w:r>
        <w:t xml:space="preserve"> </w:t>
      </w:r>
      <w:r>
        <w:t xml:space="preserve">(pp. 159–177). Bingley: Emerald Publishing Limited.</w:t>
      </w:r>
      <w:r>
        <w:t xml:space="preserve"> </w:t>
      </w:r>
      <w:hyperlink r:id="rId23">
        <w:r>
          <w:rPr>
            <w:rStyle w:val="Hyperlink"/>
          </w:rPr>
          <w:t xml:space="preserve">https://doi.org/10.1108/S0733-558X20210000076007</w:t>
        </w:r>
      </w:hyperlink>
      <w:r>
        <w:br/>
      </w:r>
    </w:p>
    <w:p>
      <w:pPr>
        <w:pStyle w:val="Bibliography"/>
      </w:pPr>
      <w:r>
        <w:t xml:space="preserve">Huang, H., Barg, J., &amp; Sheng, C. (2019). The Trends of CSR in China: An Actor-Focused Analysis Including the Cases of Huawei and the Society of Entrepreneurs and Ecology (SEE). In R. Schmidpeter, N. Capaldi, S. O. Idowu, &amp; A. Stürenberg Herrera (Eds.),</w:t>
      </w:r>
      <w:r>
        <w:t xml:space="preserve"> </w:t>
      </w:r>
      <w:r>
        <w:rPr>
          <w:iCs/>
          <w:i/>
        </w:rPr>
        <w:t xml:space="preserve">International Dimensions of Sustainable Management: Latest Perspectives from Corporate Governance, Responsible Finance and CSR</w:t>
      </w:r>
      <w:r>
        <w:t xml:space="preserve"> </w:t>
      </w:r>
      <w:r>
        <w:t xml:space="preserve">(pp. 263–275). Cham: Springer International Publishing.</w:t>
      </w:r>
      <w:r>
        <w:t xml:space="preserve"> </w:t>
      </w:r>
      <w:hyperlink r:id="rId24">
        <w:r>
          <w:rPr>
            <w:rStyle w:val="Hyperlink"/>
          </w:rPr>
          <w:t xml:space="preserve">https://doi.org/10.1007/978-3-030-04819-8_16</w:t>
        </w:r>
      </w:hyperlink>
      <w:r>
        <w:br/>
      </w:r>
    </w:p>
    <w:p>
      <w:pPr>
        <w:pStyle w:val="Bibliography"/>
      </w:pPr>
      <w:r>
        <w:t xml:space="preserve">Huang, H., Sheng, C., &amp; Barg, J. (2017). Advocacy Coalitions of Green Economy and their Influence on Government Policy in China. In E. Sternfeld (Ed.),</w:t>
      </w:r>
      <w:r>
        <w:t xml:space="preserve"> </w:t>
      </w:r>
      <w:r>
        <w:rPr>
          <w:iCs/>
          <w:i/>
        </w:rPr>
        <w:t xml:space="preserve">Routledge Handbook of Environmental Policy in China</w:t>
      </w:r>
      <w:r>
        <w:t xml:space="preserve">. Routledge Handbooks Online.</w:t>
      </w:r>
      <w:r>
        <w:t xml:space="preserve"> </w:t>
      </w:r>
      <w:hyperlink r:id="rId25">
        <w:r>
          <w:rPr>
            <w:rStyle w:val="Hyperlink"/>
          </w:rPr>
          <w:t xml:space="preserve">https://doi.org/10.4324/9781315736761.ch5</w:t>
        </w:r>
      </w:hyperlink>
    </w:p>
    <w:bookmarkEnd w:id="26"/>
    <w:bookmarkStart w:id="27" w:name="awards-scholarships"/>
    <w:p>
      <w:pPr>
        <w:pStyle w:val="Heading1"/>
      </w:pPr>
      <w:r>
        <w:t xml:space="preserve">Awards &amp; Scholarships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Chisholm Graduate Scholarship in Sustainability, 2020</w:t>
      </w:r>
    </w:p>
    <w:p>
      <w:pPr>
        <w:numPr>
          <w:ilvl w:val="1"/>
          <w:numId w:val="1002"/>
        </w:numPr>
        <w:pStyle w:val="Compact"/>
      </w:pPr>
      <w:r>
        <w:t xml:space="preserve">$15,000 annually for three years, awarded once every three years</w:t>
      </w:r>
    </w:p>
    <w:p>
      <w:pPr>
        <w:numPr>
          <w:ilvl w:val="0"/>
          <w:numId w:val="1001"/>
        </w:numPr>
        <w:pStyle w:val="Compact"/>
      </w:pPr>
      <w:r>
        <w:t xml:space="preserve">2018 AoM Annual Meeting–ONE Division Best Reviewer Award</w:t>
      </w:r>
    </w:p>
    <w:bookmarkEnd w:id="27"/>
    <w:bookmarkStart w:id="28" w:name="presentations-conference-participation"/>
    <w:p>
      <w:pPr>
        <w:pStyle w:val="Heading1"/>
      </w:pPr>
      <w:r>
        <w:t xml:space="preserve">Presentations &amp; conference participation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Barg, J., &amp; Zbaracki, M. J. (2022, July 8). Knowledge, Power, and Deinstitutionalization. The Battle over Keystone XL. Presented at the 38th EGOS Colloquium, Vienna.</w:t>
      </w:r>
    </w:p>
    <w:p>
      <w:pPr>
        <w:numPr>
          <w:ilvl w:val="0"/>
          <w:numId w:val="1003"/>
        </w:numPr>
        <w:pStyle w:val="Compact"/>
      </w:pPr>
      <w:r>
        <w:t xml:space="preserve">OMT Doctoral Student Consortium on August 4, 2021 at the 81st Annual Meeting of the Academy of Managements, virtual.</w:t>
      </w:r>
    </w:p>
    <w:p>
      <w:pPr>
        <w:numPr>
          <w:ilvl w:val="0"/>
          <w:numId w:val="1003"/>
        </w:numPr>
        <w:pStyle w:val="Compact"/>
      </w:pPr>
      <w:r>
        <w:t xml:space="preserve">Barg, J. (2021, March 2). Learning to Be Sustainable (?). Presented at the Ivey PhD Research Series, Ivey Business School.</w:t>
      </w:r>
    </w:p>
    <w:p>
      <w:pPr>
        <w:numPr>
          <w:ilvl w:val="0"/>
          <w:numId w:val="1003"/>
        </w:numPr>
        <w:pStyle w:val="Compact"/>
      </w:pPr>
      <w:r>
        <w:t xml:space="preserve">Barg, J. (2020). A Few Spills a Year, That’s Normal? Learning in the Pipeline Industry. AOM ONE Doctoral Consortium. Presented at the 80th Annual Meeting of the Academy of Management, virtual.</w:t>
      </w:r>
    </w:p>
    <w:p>
      <w:pPr>
        <w:numPr>
          <w:ilvl w:val="0"/>
          <w:numId w:val="1003"/>
        </w:numPr>
        <w:pStyle w:val="Compact"/>
      </w:pPr>
      <w:r>
        <w:t xml:space="preserve">Barg, J. (2020, February 14). Oil Spills and Organizational Learning. Presented at the Ivey PhD Research Series, Ivey Business School.</w:t>
      </w:r>
    </w:p>
    <w:p>
      <w:pPr>
        <w:numPr>
          <w:ilvl w:val="0"/>
          <w:numId w:val="1003"/>
        </w:numPr>
        <w:pStyle w:val="Compact"/>
      </w:pPr>
      <w:r>
        <w:t xml:space="preserve">Barg, J. (2016, August 2). The Trends of Corporate Social Responsibility in China. Presented at the 3rd International Conference on CSR, Sustainability, Ethics and Governance, Cologne.</w:t>
      </w:r>
    </w:p>
    <w:bookmarkEnd w:id="28"/>
    <w:bookmarkStart w:id="29" w:name="service"/>
    <w:p>
      <w:pPr>
        <w:pStyle w:val="Heading1"/>
      </w:pPr>
      <w:r>
        <w:t xml:space="preserve">Service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2022-2025</w:t>
      </w:r>
    </w:p>
    <w:p>
      <w:pPr>
        <w:numPr>
          <w:ilvl w:val="1"/>
          <w:numId w:val="1005"/>
        </w:numPr>
        <w:pStyle w:val="Compact"/>
      </w:pPr>
      <w:r>
        <w:t xml:space="preserve">AOM ONE division–member of the Membership/Nominations Team</w:t>
      </w:r>
    </w:p>
    <w:bookmarkEnd w:id="29"/>
    <w:bookmarkStart w:id="31" w:name="teaching"/>
    <w:p>
      <w:pPr>
        <w:pStyle w:val="Heading1"/>
      </w:pPr>
      <w:r>
        <w:t xml:space="preserve">Teaching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Gualandris, J., &amp; Barg, J. (2020). Huawei: Struggling to Develop a More Sustainable Supply Network (p. 21) [Teaching case]. Retrieved from</w:t>
      </w:r>
      <w:r>
        <w:t xml:space="preserve"> </w:t>
      </w:r>
      <w:hyperlink r:id="rId30">
        <w:r>
          <w:rPr>
            <w:rStyle w:val="Hyperlink"/>
          </w:rPr>
          <w:t xml:space="preserve">https://www.iveypublishing.ca/s/product/huawei-struggling-to-develop-a-more-sustainable-supply-network/01t5c00000CwpQE</w:t>
        </w:r>
      </w:hyperlink>
    </w:p>
    <w:p>
      <w:pPr>
        <w:numPr>
          <w:ilvl w:val="0"/>
          <w:numId w:val="1006"/>
        </w:numPr>
        <w:pStyle w:val="Compact"/>
      </w:pPr>
      <w:r>
        <w:t xml:space="preserve">Shadowed teaching prep and TA’d course</w:t>
      </w:r>
      <w:r>
        <w:t xml:space="preserve"> </w:t>
      </w:r>
      <w:r>
        <w:rPr>
          <w:iCs/>
          <w:i/>
        </w:rPr>
        <w:t xml:space="preserve">Competing in and with China</w:t>
      </w:r>
      <w:r>
        <w:t xml:space="preserve"> </w:t>
      </w:r>
      <w:r>
        <w:t xml:space="preserve">with Dr. Klaus Meyer at Ivey Business School, 2018</w:t>
      </w:r>
    </w:p>
    <w:p>
      <w:pPr>
        <w:numPr>
          <w:ilvl w:val="0"/>
          <w:numId w:val="1006"/>
        </w:numPr>
        <w:pStyle w:val="Compact"/>
      </w:pPr>
      <w:r>
        <w:t xml:space="preserve">CaseMate for</w:t>
      </w:r>
      <w:r>
        <w:t xml:space="preserve"> </w:t>
      </w:r>
      <w:r>
        <w:rPr>
          <w:iCs/>
          <w:i/>
        </w:rPr>
        <w:t xml:space="preserve">Globally Responsible Leadership: Managing According to the UN Global Compact</w:t>
      </w:r>
      <w:r>
        <w:t xml:space="preserve">. Created in Spring 2018 with Dr. Paul Beamish</w:t>
      </w:r>
    </w:p>
    <w:bookmarkEnd w:id="31"/>
    <w:bookmarkStart w:id="33" w:name="work-on-research-grants"/>
    <w:p>
      <w:pPr>
        <w:pStyle w:val="Heading1"/>
      </w:pPr>
      <w:r>
        <w:t xml:space="preserve">Work on research grants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Science, industry, and the public.</w:t>
            </w:r>
            <w:r>
              <w:t xml:space="preserve"> </w:t>
            </w:r>
            <w:r>
              <w:rPr>
                <w:bCs/>
                <w:b/>
              </w:rPr>
              <w:t xml:space="preserve">The policy battle over fossil fuel infrastructure</w:t>
            </w:r>
          </w:p>
        </w:tc>
        <w:tc>
          <w:p>
            <w:pPr>
              <w:pStyle w:val="Compact"/>
              <w:jc w:val="right"/>
            </w:pPr>
            <w:r>
              <w:t xml:space="preserve">Fall 2022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Mark J. Zbaracki, Dr. A. Wren Montgomery</w:t>
            </w:r>
          </w:p>
        </w:tc>
        <w:tc>
          <w:p/>
        </w:tc>
      </w:tr>
    </w:tbl>
    <w:p>
      <w:pPr>
        <w:numPr>
          <w:ilvl w:val="0"/>
          <w:numId w:val="1007"/>
        </w:numPr>
        <w:pStyle w:val="Compact"/>
      </w:pPr>
      <w:r>
        <w:t xml:space="preserve">Will co-conduct field study in the US and Canada</w:t>
      </w:r>
    </w:p>
    <w:p>
      <w:pPr>
        <w:numPr>
          <w:ilvl w:val="0"/>
          <w:numId w:val="1007"/>
        </w:numPr>
        <w:pStyle w:val="Compact"/>
      </w:pPr>
      <w:r>
        <w:t xml:space="preserve">On SSHRC Insight Development Grand, $70,857 awarded June 2022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Greenwashing Gender in the Fortune 500</w:t>
            </w:r>
          </w:p>
        </w:tc>
        <w:tc>
          <w:p>
            <w:pPr>
              <w:pStyle w:val="Compact"/>
              <w:jc w:val="right"/>
            </w:pPr>
            <w:r>
              <w:t xml:space="preserve">Fall 2020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Montgomery, Dr. Erin Oldford,</w:t>
            </w:r>
            <w:r>
              <w:rPr>
                <w:iCs/>
                <w:i/>
              </w:rP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Dr. Alyson E. Byrne</w:t>
            </w:r>
          </w:p>
        </w:tc>
        <w:tc>
          <w:p/>
        </w:tc>
      </w:tr>
    </w:tbl>
    <w:p>
      <w:pPr>
        <w:numPr>
          <w:ilvl w:val="0"/>
          <w:numId w:val="1008"/>
        </w:numPr>
        <w:pStyle w:val="Compact"/>
      </w:pPr>
      <w:r>
        <w:t xml:space="preserve">Downloaded, merged, and transformed data from Compustat and BoardEx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Bridges Over Troubled Waters: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Collective Community Action Around Water Resources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in Post-Conflict Northern Ireland</w:t>
            </w:r>
          </w:p>
        </w:tc>
        <w:tc>
          <w:p>
            <w:pPr>
              <w:pStyle w:val="Compact"/>
              <w:jc w:val="right"/>
            </w:pPr>
            <w:r>
              <w:t xml:space="preserve">Fall 2019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p/>
        </w:tc>
      </w:tr>
    </w:tbl>
    <w:p>
      <w:pPr>
        <w:numPr>
          <w:ilvl w:val="0"/>
          <w:numId w:val="1009"/>
        </w:numPr>
        <w:pStyle w:val="Compact"/>
      </w:pPr>
      <w:r>
        <w:t xml:space="preserve">Scraped Facebook groups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 Dynamic Model of Misleading Corporate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Environmental Communications</w:t>
            </w:r>
          </w:p>
        </w:tc>
        <w:tc>
          <w:p>
            <w:pPr>
              <w:pStyle w:val="Compact"/>
              <w:jc w:val="right"/>
            </w:pPr>
            <w:r>
              <w:t xml:space="preserve">Summer 2019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p/>
        </w:tc>
      </w:tr>
    </w:tbl>
    <w:p>
      <w:pPr>
        <w:numPr>
          <w:ilvl w:val="0"/>
          <w:numId w:val="1010"/>
        </w:numPr>
      </w:pPr>
      <w:r>
        <w:t xml:space="preserve">On SSHRC Insight Development Grand, $49,305 awarded June 2018</w:t>
      </w:r>
    </w:p>
    <w:p>
      <w:pPr>
        <w:numPr>
          <w:ilvl w:val="0"/>
          <w:numId w:val="1010"/>
        </w:numPr>
      </w:pPr>
      <w:r>
        <w:t xml:space="preserve">With Thomas Lyon of Erb Institute, University of Michigan</w:t>
      </w:r>
    </w:p>
    <w:p>
      <w:pPr>
        <w:numPr>
          <w:ilvl w:val="0"/>
          <w:numId w:val="1010"/>
        </w:numPr>
      </w:pPr>
      <w:r>
        <w:t xml:space="preserve">Collected data on all applicable sustainability and organic certifications and assembled the data to allow for comparison of standards’ stringency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The Causes, Methods and Consequences of Brownwashing</w:t>
            </w:r>
          </w:p>
        </w:tc>
        <w:tc>
          <w:p>
            <w:pPr>
              <w:pStyle w:val="Compact"/>
              <w:jc w:val="right"/>
            </w:pPr>
            <w:r>
              <w:t xml:space="preserve">Fall 2018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Jennifer Robertson, Dr. A. Wren Montgomery</w:t>
            </w:r>
          </w:p>
        </w:tc>
        <w:tc>
          <w:p/>
        </w:tc>
      </w:tr>
    </w:tbl>
    <w:p>
      <w:pPr>
        <w:numPr>
          <w:ilvl w:val="0"/>
          <w:numId w:val="1011"/>
        </w:numPr>
      </w:pPr>
      <w:r>
        <w:t xml:space="preserve">On SSHRC Insight Development Grant, $49,305 awarded June 2016</w:t>
      </w:r>
    </w:p>
    <w:p>
      <w:pPr>
        <w:numPr>
          <w:ilvl w:val="0"/>
          <w:numId w:val="1011"/>
        </w:numPr>
      </w:pPr>
      <w:r>
        <w:t xml:space="preserve">With Thomas Lyon of Erb Institute, University of Michigan</w:t>
      </w:r>
    </w:p>
    <w:p>
      <w:pPr>
        <w:numPr>
          <w:ilvl w:val="0"/>
          <w:numId w:val="1011"/>
        </w:numPr>
      </w:pPr>
      <w:r>
        <w:t xml:space="preserve">Scraped address and other info on (almost) all Californian wineries &amp; vineyard from varioud websites and assembled them into an interactive dashboard</w:t>
      </w:r>
    </w:p>
    <w:p>
      <w:pPr>
        <w:numPr>
          <w:ilvl w:val="0"/>
          <w:numId w:val="1011"/>
        </w:numPr>
      </w:pPr>
      <w:hyperlink r:id="rId32">
        <w:r>
          <w:rPr>
            <w:rStyle w:val="Hyperlink"/>
          </w:rPr>
          <w:t xml:space="preserve">https://www.jbarg.net/organic_vineyards</w:t>
        </w:r>
      </w:hyperlink>
    </w:p>
    <w:bookmarkEnd w:id="33"/>
    <w:bookmarkStart w:id="34" w:name="references"/>
    <w:p>
      <w:pPr>
        <w:pStyle w:val="Heading1"/>
      </w:pPr>
      <w:r>
        <w:t xml:space="preserve">References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Mark J. Zbaracki</w:t>
            </w:r>
          </w:p>
        </w:tc>
        <w:tc>
          <w:p>
            <w:pPr>
              <w:pStyle w:val="Compact"/>
              <w:jc w:val="righ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Associate Professor, General Management &amp; Strategy</w:t>
            </w:r>
          </w:p>
        </w:tc>
        <w:tc>
          <w:p>
            <w:pPr>
              <w:pStyle w:val="Compact"/>
              <w:jc w:val="right"/>
            </w:pPr>
            <w:r>
              <w:t xml:space="preserve">+1 (519) 661-4270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p>
            <w:pPr>
              <w:pStyle w:val="Compact"/>
              <w:jc w:val="right"/>
            </w:pPr>
            <w:r>
              <w:t xml:space="preserve">mzbaracki@ivey.ca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righ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A. Wren Montgomery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Assistant Professor, Sustainability &amp; General Management</w:t>
            </w:r>
          </w:p>
        </w:tc>
        <w:tc>
          <w:p>
            <w:pPr>
              <w:pStyle w:val="Compact"/>
              <w:jc w:val="right"/>
            </w:pPr>
            <w:r>
              <w:t xml:space="preserve">+1 (519) 850-3569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p>
            <w:pPr>
              <w:pStyle w:val="Compact"/>
              <w:jc w:val="right"/>
            </w:pPr>
            <w:r>
              <w:t xml:space="preserve">wmontgomery@ivey.ca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righ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Lee Watkiss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Assistant Professor, General Management &amp; Strategy</w:t>
            </w:r>
          </w:p>
        </w:tc>
        <w:tc>
          <w:p>
            <w:pPr>
              <w:pStyle w:val="Compact"/>
              <w:jc w:val="right"/>
            </w:pPr>
            <w:r>
              <w:t xml:space="preserve">+1 (519) 661-2022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p>
            <w:pPr>
              <w:pStyle w:val="Compact"/>
              <w:jc w:val="right"/>
            </w:pPr>
            <w:r>
              <w:t xml:space="preserve">lwatkiss@ivey.ca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p/>
        </w:tc>
      </w:tr>
    </w:tbl>
    <w:bookmarkEnd w:id="34"/>
    <w:sectPr w:rsidR="00FF5361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8852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BE4DC1" w14:textId="729174C8" w:rsidR="00DA141E" w:rsidRDefault="00DA14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9556A39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5E2D6D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141609F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DC8DA9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2C6EF76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4432BE2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4CA329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036010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FD0E4C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1DEF21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85B4C0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F7521"/>
    <w:pPr>
      <w:spacing w:after="0"/>
      <w:contextualSpacing/>
    </w:pPr>
  </w:style>
  <w:style w:styleId="Heading1" w:type="paragraph">
    <w:name w:val="heading 1"/>
    <w:basedOn w:val="Normal"/>
    <w:next w:val="BodyText"/>
    <w:uiPriority w:val="9"/>
    <w:qFormat/>
    <w:rsid w:val="00EA04EC"/>
    <w:pPr>
      <w:keepNext/>
      <w:keepLines/>
      <w:spacing w:before="480"/>
      <w:outlineLvl w:val="0"/>
    </w:pPr>
    <w:rPr>
      <w:rFonts w:ascii="Times New Roman" w:cs="Times New Roman" w:eastAsiaTheme="majorEastAsia" w:hAnsi="Times New Roman"/>
      <w:smallCaps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1"/>
    </w:pPr>
    <w:rPr>
      <w:rFonts w:ascii="Arial" w:cs="Arial" w:eastAsiaTheme="majorEastAsia" w:hAnsi="Arial"/>
      <w:b/>
      <w:bCs/>
      <w:i/>
      <w:iCs/>
    </w:rPr>
  </w:style>
  <w:style w:styleId="Heading3" w:type="paragraph">
    <w:name w:val="heading 3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2"/>
    </w:pPr>
    <w:rPr>
      <w:rFonts w:ascii="Arial" w:cs="Arial" w:eastAsiaTheme="majorEastAsia" w:hAnsi="Arial"/>
      <w:i/>
      <w:iCs/>
    </w:rPr>
  </w:style>
  <w:style w:styleId="Heading4" w:type="paragraph">
    <w:name w:val="heading 4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3"/>
    </w:pPr>
    <w:rPr>
      <w:rFonts w:ascii="Arial" w:cs="Arial" w:eastAsiaTheme="majorEastAsia" w:hAnsi="Arial"/>
      <w:bCs/>
      <w:iCs/>
    </w:rPr>
  </w:style>
  <w:style w:styleId="Heading5" w:type="paragraph">
    <w:name w:val="heading 5"/>
    <w:basedOn w:val="Normal"/>
    <w:next w:val="BodyText"/>
    <w:uiPriority w:val="9"/>
    <w:unhideWhenUsed/>
    <w:qFormat/>
    <w:rsid w:val="004D6DBB"/>
    <w:pPr>
      <w:keepNext/>
      <w:keepLines/>
      <w:spacing w:before="200"/>
      <w:jc w:val="center"/>
      <w:outlineLvl w:val="4"/>
    </w:pPr>
    <w:rPr>
      <w:rFonts w:ascii="Times New Roman" w:cs="Times New Roman" w:eastAsiaTheme="majorEastAsia" w:hAnsi="Times New Roman"/>
      <w:b/>
      <w:bCs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A20E0B"/>
    <w:pPr>
      <w:spacing w:line="480" w:lineRule="auto"/>
      <w:ind w:firstLine="720"/>
    </w:pPr>
    <w:rPr>
      <w:rFonts w:ascii="Times New Roman" w:cs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A20E0B"/>
    <w:pPr>
      <w:spacing w:before="240"/>
      <w:ind w:firstLine="0"/>
    </w:pPr>
  </w:style>
  <w:style w:customStyle="1" w:styleId="Compact" w:type="paragraph">
    <w:name w:val="Compact"/>
    <w:basedOn w:val="BodyText"/>
    <w:qFormat/>
    <w:rsid w:val="004D6DBB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BC58B5"/>
    <w:pPr>
      <w:keepNext/>
      <w:keepLines/>
      <w:spacing w:line="480" w:lineRule="auto"/>
      <w:jc w:val="center"/>
    </w:pPr>
    <w:rPr>
      <w:rFonts w:ascii="Times New Roman" w:cs="Times New Roman" w:eastAsiaTheme="majorEastAsia" w:hAnsi="Times New Roman"/>
      <w:b/>
      <w:bCs/>
      <w:smallCaps/>
      <w:sz w:val="32"/>
      <w:szCs w:val="32"/>
    </w:rPr>
  </w:style>
  <w:style w:styleId="Subtitle" w:type="paragraph">
    <w:name w:val="Subtitle"/>
    <w:basedOn w:val="Title"/>
    <w:next w:val="BodyText"/>
    <w:qFormat/>
    <w:rsid w:val="004D6DBB"/>
  </w:style>
  <w:style w:customStyle="1" w:styleId="Author" w:type="paragraph">
    <w:name w:val="Author"/>
    <w:next w:val="BodyText"/>
    <w:qFormat/>
    <w:rsid w:val="005F19A7"/>
    <w:pPr>
      <w:keepNext/>
      <w:keepLines/>
      <w:spacing w:after="0"/>
      <w:jc w:val="center"/>
    </w:pPr>
    <w:rPr>
      <w:rFonts w:ascii="Times New Roman" w:cs="Arial" w:hAnsi="Times New Roman"/>
    </w:rPr>
  </w:style>
  <w:style w:styleId="Date" w:type="paragraph">
    <w:name w:val="Date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cs="Arial" w:hAnsi="Arial"/>
    </w:rPr>
  </w:style>
  <w:style w:customStyle="1" w:styleId="Abstract" w:type="paragraph">
    <w:name w:val="Abstract"/>
    <w:basedOn w:val="Normal"/>
    <w:next w:val="BodyText"/>
    <w:qFormat/>
    <w:rsid w:val="004D6DBB"/>
    <w:pPr>
      <w:keepNext/>
      <w:keepLines/>
    </w:pPr>
    <w:rPr>
      <w:rFonts w:ascii="Times New Roman" w:cs="Times New Roman" w:hAnsi="Times New Roman"/>
      <w:sz w:val="20"/>
      <w:szCs w:val="20"/>
    </w:rPr>
  </w:style>
  <w:style w:styleId="Bibliography" w:type="paragraph">
    <w:name w:val="Bibliography"/>
    <w:basedOn w:val="Normal"/>
    <w:qFormat/>
    <w:rsid w:val="004D6DBB"/>
    <w:pPr>
      <w:ind w:hanging="720" w:left="720"/>
      <w:contextualSpacing w:val="0"/>
    </w:pPr>
  </w:style>
  <w:style w:styleId="BlockText" w:type="paragraph">
    <w:name w:val="Block Text"/>
    <w:basedOn w:val="BodyText"/>
    <w:next w:val="BodyText"/>
    <w:uiPriority w:val="9"/>
    <w:unhideWhenUsed/>
    <w:qFormat/>
    <w:rsid w:val="00564404"/>
    <w:pPr>
      <w:spacing w:line="240" w:lineRule="auto"/>
      <w:ind w:firstLine="0" w:left="475" w:right="475"/>
    </w:pPr>
  </w:style>
  <w:style w:styleId="FootnoteText" w:type="paragraph">
    <w:name w:val="footnote text"/>
    <w:basedOn w:val="Normal"/>
    <w:uiPriority w:val="9"/>
    <w:unhideWhenUsed/>
    <w:qFormat/>
    <w:rsid w:val="00CE5E0F"/>
    <w:rPr>
      <w:rFonts w:ascii="Times New Roman" w:hAnsi="Times New Roman"/>
      <w:sz w:val="18"/>
    </w:rPr>
  </w:style>
  <w:style w:customStyle="1" w:styleId="Table" w:type="table">
    <w:name w:val="Table"/>
    <w:basedOn w:val="TableNormal"/>
    <w:semiHidden/>
    <w:unhideWhenUsed/>
    <w:qFormat/>
    <w:rsid w:val="005C07A7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rsid w:val="004D6DBB"/>
    <w:pPr>
      <w:keepNext/>
      <w:keepLines/>
    </w:pPr>
    <w:rPr>
      <w:b/>
    </w:rPr>
  </w:style>
  <w:style w:customStyle="1" w:styleId="Definition" w:type="paragraph">
    <w:name w:val="Definition"/>
    <w:basedOn w:val="Normal"/>
    <w:rsid w:val="004D6DBB"/>
  </w:style>
  <w:style w:styleId="Caption" w:type="paragraph">
    <w:name w:val="caption"/>
    <w:basedOn w:val="Normal"/>
    <w:link w:val="CaptionChar"/>
    <w:rsid w:val="004D6DBB"/>
    <w:pPr>
      <w:spacing w:after="120"/>
    </w:pPr>
    <w:rPr>
      <w:i/>
    </w:rPr>
  </w:style>
  <w:style w:customStyle="1" w:styleId="TableCaption" w:type="paragraph">
    <w:name w:val="Table Caption"/>
    <w:basedOn w:val="Caption"/>
    <w:rsid w:val="004D6DBB"/>
    <w:pPr>
      <w:keepNext/>
      <w:spacing w:after="0"/>
      <w:jc w:val="center"/>
    </w:pPr>
    <w:rPr>
      <w:rFonts w:ascii="Times New Roman" w:cs="Times New Roman" w:hAnsi="Times New Roman"/>
      <w:b/>
      <w:bCs/>
      <w:i w:val="0"/>
      <w:iCs/>
    </w:rPr>
  </w:style>
  <w:style w:customStyle="1" w:styleId="ImageCaption" w:type="paragraph">
    <w:name w:val="Image Caption"/>
    <w:basedOn w:val="Caption"/>
    <w:rsid w:val="004D6DBB"/>
    <w:rPr>
      <w:rFonts w:ascii="Times New Roman" w:cs="Times New Roman" w:hAnsi="Times New Roman"/>
      <w:i w:val="0"/>
      <w:iCs/>
      <w:sz w:val="20"/>
      <w:szCs w:val="20"/>
    </w:rPr>
  </w:style>
  <w:style w:customStyle="1" w:styleId="Figure" w:type="paragraph">
    <w:name w:val="Figure"/>
    <w:basedOn w:val="Normal"/>
    <w:rsid w:val="004D6DBB"/>
  </w:style>
  <w:style w:customStyle="1" w:styleId="CaptionedFigure" w:type="paragraph">
    <w:name w:val="Captioned Figure"/>
    <w:basedOn w:val="Figure"/>
    <w:rsid w:val="004D6DBB"/>
    <w:pPr>
      <w:keepNext/>
    </w:pPr>
  </w:style>
  <w:style w:customStyle="1" w:styleId="CaptionChar" w:type="character">
    <w:name w:val="Caption Char"/>
    <w:basedOn w:val="DefaultParagraphFont"/>
    <w:link w:val="Caption"/>
    <w:rsid w:val="004D6DBB"/>
    <w:rPr>
      <w:i/>
    </w:rPr>
  </w:style>
  <w:style w:customStyle="1" w:styleId="VerbatimChar" w:type="character">
    <w:name w:val="Verbatim Char"/>
    <w:basedOn w:val="CaptionChar"/>
    <w:rsid w:val="004D6DBB"/>
    <w:rPr>
      <w:rFonts w:ascii="Consolas" w:hAnsi="Consolas"/>
      <w:i w:val="0"/>
      <w:sz w:val="22"/>
    </w:rPr>
  </w:style>
  <w:style w:customStyle="1" w:styleId="SectionNumber" w:type="character">
    <w:name w:val="Section Number"/>
    <w:basedOn w:val="CaptionChar"/>
    <w:rsid w:val="004D6DBB"/>
    <w:rPr>
      <w:i w:val="0"/>
    </w:rPr>
  </w:style>
  <w:style w:styleId="FootnoteReference" w:type="character">
    <w:name w:val="footnote reference"/>
    <w:basedOn w:val="CaptionChar"/>
    <w:rsid w:val="004D6DBB"/>
    <w:rPr>
      <w:i w:val="0"/>
      <w:vertAlign w:val="superscript"/>
    </w:rPr>
  </w:style>
  <w:style w:styleId="Hyperlink" w:type="character">
    <w:name w:val="Hyperlink"/>
    <w:basedOn w:val="CaptionChar"/>
    <w:rsid w:val="004D6DBB"/>
    <w:rPr>
      <w:i w:val="0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/>
    </w:rPr>
  </w:style>
  <w:style w:styleId="GridTable1Light-Accent3" w:type="table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color="D6E3BC" w:space="0" w:sz="4" w:themeColor="accent3" w:themeTint="66" w:val="single"/>
        <w:left w:color="D6E3BC" w:space="0" w:sz="4" w:themeColor="accent3" w:themeTint="66" w:val="single"/>
        <w:bottom w:color="D6E3BC" w:space="0" w:sz="4" w:themeColor="accent3" w:themeTint="66" w:val="single"/>
        <w:right w:color="D6E3BC" w:space="0" w:sz="4" w:themeColor="accent3" w:themeTint="66" w:val="single"/>
        <w:insideH w:color="D6E3BC" w:space="0" w:sz="4" w:themeColor="accent3" w:themeTint="66" w:val="single"/>
        <w:insideV w:color="D6E3BC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2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BodyTextChar" w:type="character">
    <w:name w:val="Body Text Char"/>
    <w:basedOn w:val="DefaultParagraphFont"/>
    <w:link w:val="BodyText"/>
    <w:rsid w:val="00A20E0B"/>
    <w:rPr>
      <w:rFonts w:ascii="Times New Roman" w:cs="Times New Roman" w:hAnsi="Times New Roman"/>
    </w:rPr>
  </w:style>
  <w:style w:styleId="PlainTable1" w:type="table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rsid w:val="004D6DB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nhideWhenUsed/>
    <w:rsid w:val="00DA141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rsid w:val="00DA141E"/>
  </w:style>
  <w:style w:styleId="Footer" w:type="paragraph">
    <w:name w:val="footer"/>
    <w:basedOn w:val="Normal"/>
    <w:link w:val="FooterChar"/>
    <w:uiPriority w:val="99"/>
    <w:unhideWhenUsed/>
    <w:rsid w:val="00DA141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DA141E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4" Target="https://doi.org/10.1007/978-3-030-04819-8_16" TargetMode="External" /><Relationship Type="http://schemas.openxmlformats.org/officeDocument/2006/relationships/hyperlink" Id="rId23" Target="https://doi.org/10.1108/S0733-558X20210000076007" TargetMode="External" /><Relationship Type="http://schemas.openxmlformats.org/officeDocument/2006/relationships/hyperlink" Id="rId25" Target="https://doi.org/10.4324/9781315736761.ch5" TargetMode="External" /><Relationship Type="http://schemas.openxmlformats.org/officeDocument/2006/relationships/hyperlink" Id="rId30" Target="https://www.iveypublishing.ca/s/product/huawei-struggling-to-develop-a-more-sustainable-supply-network/01t5c00000CwpQE" TargetMode="External" /><Relationship Type="http://schemas.openxmlformats.org/officeDocument/2006/relationships/hyperlink" Id="rId32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07/978-3-030-04819-8_16" TargetMode="External" /><Relationship Type="http://schemas.openxmlformats.org/officeDocument/2006/relationships/hyperlink" Id="rId23" Target="https://doi.org/10.1108/S0733-558X20210000076007" TargetMode="External" /><Relationship Type="http://schemas.openxmlformats.org/officeDocument/2006/relationships/hyperlink" Id="rId25" Target="https://doi.org/10.4324/9781315736761.ch5" TargetMode="External" /><Relationship Type="http://schemas.openxmlformats.org/officeDocument/2006/relationships/hyperlink" Id="rId30" Target="https://www.iveypublishing.ca/s/product/huawei-struggling-to-develop-a-more-sustainable-supply-network/01t5c00000CwpQE" TargetMode="External" /><Relationship Type="http://schemas.openxmlformats.org/officeDocument/2006/relationships/hyperlink" Id="rId32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2022-07-11T14:32:44Z</dcterms:created>
  <dcterms:modified xsi:type="dcterms:W3CDTF">2022-07-11T14:32:44Z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/home/julian/bibliography.bib</vt:lpwstr>
  </property>
  <property fmtid="{D5CDD505-2E9C-101B-9397-08002B2CF9AE}" pid="3" name="csl">
    <vt:lpwstr>/home/julian/apa-6th-edition.csl</vt:lpwstr>
  </property>
</Properties>
</file>