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p>
            <w:pPr>
              <w:pStyle w:val="Compact"/>
              <w:jc w:val="right"/>
            </w:pPr>
            <w:r>
              <w:t xml:space="preserve">expected 2022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p>
            <w:pPr>
              <w:pStyle w:val="Compact"/>
              <w:jc w:val="right"/>
            </w:pPr>
            <w:r>
              <w:t xml:space="preserve">Germany</w:t>
            </w: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 &amp; Barg, J. (2022) Greenwashing in the Anthropocene: Net Zero by 2050?</w:t>
      </w:r>
      <w:r>
        <w:t xml:space="preserve"> </w:t>
      </w:r>
      <w:r>
        <w:rPr>
          <w:iCs/>
          <w:i/>
        </w:rPr>
        <w:t xml:space="preserve">Detailed proposal for special review issue accepted in competitive</w:t>
      </w:r>
      <w:r>
        <w:t xml:space="preserve"> </w:t>
      </w:r>
      <w:r>
        <w:t xml:space="preserve">peer-reviewed process. Full paper due Oct. 2022 at</w:t>
      </w:r>
      <w:r>
        <w:t xml:space="preserve"> </w:t>
      </w:r>
      <w:r>
        <w:rPr>
          <w:iCs/>
          <w:i/>
        </w:rPr>
        <w:t xml:space="preserve">Organization &amp; Environment</w:t>
      </w:r>
      <w:r>
        <w:br/>
      </w:r>
    </w:p>
    <w:p>
      <w:pPr>
        <w:pStyle w:val="Bibliography"/>
      </w:pPr>
      <w:r>
        <w:t xml:space="preserve">Barg, J., &amp; Zbaracki, M. J. (2022). Knowledge, Power, and Disinformation.</w:t>
      </w:r>
    </w:p>
    <w:bookmarkEnd w:id="22"/>
    <w:bookmarkStart w:id="26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3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5">
        <w:r>
          <w:rPr>
            <w:rStyle w:val="Hyperlink"/>
          </w:rPr>
          <w:t xml:space="preserve">https://doi.org/10.4324/9781315736761.ch5</w:t>
        </w:r>
      </w:hyperlink>
    </w:p>
    <w:bookmarkEnd w:id="26"/>
    <w:bookmarkStart w:id="27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bookmarkEnd w:id="27"/>
    <w:bookmarkStart w:id="28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(2022, July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August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March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February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August 2). The Trends of Corporate Social Responsibility in China. Presented at the 3rd International Conference on CSR, Sustainability, Ethics and Governance, Cologne.</w:t>
      </w:r>
    </w:p>
    <w:bookmarkEnd w:id="28"/>
    <w:bookmarkStart w:id="30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29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4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4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0"/>
    <w:bookmarkStart w:id="32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p/>
        </w:tc>
      </w:tr>
    </w:tbl>
    <w:p>
      <w:pPr>
        <w:numPr>
          <w:ilvl w:val="0"/>
          <w:numId w:val="1005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5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p/>
        </w:tc>
      </w:tr>
    </w:tbl>
    <w:p>
      <w:pPr>
        <w:numPr>
          <w:ilvl w:val="0"/>
          <w:numId w:val="1006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07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p/>
        </w:tc>
      </w:tr>
    </w:tbl>
    <w:p>
      <w:pPr>
        <w:numPr>
          <w:ilvl w:val="0"/>
          <w:numId w:val="1008"/>
        </w:numPr>
      </w:pPr>
      <w:r>
        <w:t xml:space="preserve">On SSHRC Insight Development Grand, $49,305 awarded June 2018</w:t>
      </w:r>
    </w:p>
    <w:p>
      <w:pPr>
        <w:numPr>
          <w:ilvl w:val="0"/>
          <w:numId w:val="1008"/>
        </w:numPr>
      </w:pPr>
      <w:r>
        <w:t xml:space="preserve">With Thomas Lyon of Erb Institute, University of Michigan</w:t>
      </w:r>
    </w:p>
    <w:p>
      <w:pPr>
        <w:numPr>
          <w:ilvl w:val="0"/>
          <w:numId w:val="1008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p/>
        </w:tc>
      </w:tr>
    </w:tbl>
    <w:p>
      <w:pPr>
        <w:numPr>
          <w:ilvl w:val="0"/>
          <w:numId w:val="1009"/>
        </w:numPr>
      </w:pPr>
      <w:r>
        <w:t xml:space="preserve">On SSHRC Insight Development Grant, $49,305 awarded June 2016</w:t>
      </w:r>
    </w:p>
    <w:p>
      <w:pPr>
        <w:numPr>
          <w:ilvl w:val="0"/>
          <w:numId w:val="1009"/>
        </w:numPr>
      </w:pPr>
      <w:r>
        <w:t xml:space="preserve">With Thomas Lyon of Erb Institute, University of Michigan</w:t>
      </w:r>
    </w:p>
    <w:p>
      <w:pPr>
        <w:numPr>
          <w:ilvl w:val="0"/>
          <w:numId w:val="1009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09"/>
        </w:numPr>
      </w:pPr>
      <w:hyperlink r:id="rId31">
        <w:r>
          <w:rPr>
            <w:rStyle w:val="Hyperlink"/>
          </w:rPr>
          <w:t xml:space="preserve">https://www.jbarg.net/organic_vineyards</w:t>
        </w:r>
      </w:hyperlink>
    </w:p>
    <w:bookmarkEnd w:id="32"/>
    <w:bookmarkStart w:id="33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righ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p/>
        </w:tc>
      </w:tr>
    </w:tbl>
    <w:bookmarkEnd w:id="33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29" Target="https://www.iveypublishing.ca/s/product/huawei-struggling-to-develop-a-more-sustainable-supply-network/01t5c00000CwpQE" TargetMode="External" /><Relationship Type="http://schemas.openxmlformats.org/officeDocument/2006/relationships/hyperlink" Id="rId31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030-04819-8_16" TargetMode="External" /><Relationship Type="http://schemas.openxmlformats.org/officeDocument/2006/relationships/hyperlink" Id="rId23" Target="https://doi.org/10.1108/S0733-558X20210000076007" TargetMode="External" /><Relationship Type="http://schemas.openxmlformats.org/officeDocument/2006/relationships/hyperlink" Id="rId25" Target="https://doi.org/10.4324/9781315736761.ch5" TargetMode="External" /><Relationship Type="http://schemas.openxmlformats.org/officeDocument/2006/relationships/hyperlink" Id="rId29" Target="https://www.iveypublishing.ca/s/product/huawei-struggling-to-develop-a-more-sustainable-supply-network/01t5c00000CwpQE" TargetMode="External" /><Relationship Type="http://schemas.openxmlformats.org/officeDocument/2006/relationships/hyperlink" Id="rId31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2022-07-01T12:58:06Z</dcterms:created>
  <dcterms:modified xsi:type="dcterms:W3CDTF">2022-07-01T12:58:06Z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/home/julian/bibliography.bib</vt:lpwstr>
  </property>
  <property fmtid="{D5CDD505-2E9C-101B-9397-08002B2CF9AE}" pid="3" name="csl">
    <vt:lpwstr>/home/julian/apa-6th-edition.csl</vt:lpwstr>
  </property>
</Properties>
</file>