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M-J</w:t>
      </w:r>
      <w:r>
        <w:t xml:space="preserve"> </w:t>
      </w:r>
      <w:r>
        <w:t xml:space="preserve">IDG</w:t>
      </w:r>
      <w:r>
        <w:t xml:space="preserve"> </w:t>
      </w:r>
      <w:r>
        <w:t xml:space="preserve">Application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ummary-of-proposal"/>
    <w:p>
      <w:pPr>
        <w:pStyle w:val="Heading1"/>
      </w:pPr>
      <w:r>
        <w:t xml:space="preserve">Summary of Proposal</w:t>
      </w:r>
    </w:p>
    <w:bookmarkStart w:id="20" w:name="first-paragraphgeneral-phenomenon."/>
    <w:p>
      <w:pPr>
        <w:pStyle w:val="Heading2"/>
      </w:pPr>
      <w:r>
        <w:t xml:space="preserve">First paragraph–general phenomenon.</w:t>
      </w:r>
    </w:p>
    <w:p>
      <w:pPr>
        <w:numPr>
          <w:ilvl w:val="0"/>
          <w:numId w:val="1001"/>
        </w:numPr>
        <w:pStyle w:val="Compact"/>
      </w:pPr>
      <w:r>
        <w:t xml:space="preserve">Anthropocene</w:t>
      </w:r>
    </w:p>
    <w:p>
      <w:pPr>
        <w:numPr>
          <w:ilvl w:val="1"/>
          <w:numId w:val="1002"/>
        </w:numPr>
        <w:pStyle w:val="Compact"/>
      </w:pPr>
      <w:r>
        <w:t xml:space="preserve">(Geological) Age of Men</w:t>
      </w:r>
    </w:p>
    <w:p>
      <w:pPr>
        <w:numPr>
          <w:ilvl w:val="2"/>
          <w:numId w:val="1003"/>
        </w:numPr>
        <w:pStyle w:val="Compact"/>
      </w:pPr>
      <w:r>
        <w:t xml:space="preserve">Characterized by pollution, habitat destruction, loss of biodiversity, and climate change.</w:t>
      </w:r>
    </w:p>
    <w:p>
      <w:pPr>
        <w:numPr>
          <w:ilvl w:val="1"/>
          <w:numId w:val="1002"/>
        </w:numPr>
        <w:pStyle w:val="Compact"/>
      </w:pPr>
      <w:r>
        <w:t xml:space="preserve">Issue causes general anxiety.</w:t>
      </w:r>
    </w:p>
    <w:p>
      <w:pPr>
        <w:numPr>
          <w:ilvl w:val="2"/>
          <w:numId w:val="1004"/>
        </w:numPr>
        <w:pStyle w:val="Compact"/>
      </w:pPr>
      <w:r>
        <w:t xml:space="preserve">Which Gen Z in particular is now famous for.</w:t>
      </w:r>
    </w:p>
    <w:p>
      <w:pPr>
        <w:numPr>
          <w:ilvl w:val="1"/>
          <w:numId w:val="1002"/>
        </w:numPr>
        <w:pStyle w:val="Compact"/>
      </w:pPr>
      <w:r>
        <w:t xml:space="preserve">A lot of research on the Anthropocene, especially from the sciences.</w:t>
      </w:r>
    </w:p>
    <w:p>
      <w:pPr>
        <w:numPr>
          <w:ilvl w:val="1"/>
          <w:numId w:val="1002"/>
        </w:numPr>
        <w:pStyle w:val="Compact"/>
      </w:pPr>
      <w:r>
        <w:t xml:space="preserve">A renewed interest in the social in the sciences and organizing from outside the field.</w:t>
      </w:r>
    </w:p>
    <w:p>
      <w:pPr>
        <w:numPr>
          <w:ilvl w:val="2"/>
          <w:numId w:val="1005"/>
        </w:numPr>
        <w:pStyle w:val="Compact"/>
      </w:pPr>
      <w:r>
        <w:t xml:space="preserve">“</w:t>
      </w:r>
      <w:r>
        <w:t xml:space="preserve">[N]o question of natural history has been better settled than the anthropic origin of climate change</w:t>
      </w:r>
      <w:r>
        <w:t xml:space="preserve">”</w:t>
      </w:r>
      <w:r>
        <w:t xml:space="preserve"> </w:t>
      </w:r>
      <w:r>
        <w:t xml:space="preserve">(Latour, 2015)</w:t>
      </w:r>
      <w:r>
        <w:t xml:space="preserve">, so scientists are looking to social science</w:t>
      </w:r>
      <w:r>
        <w:t xml:space="preserve"> </w:t>
      </w:r>
      <w:r>
        <w:t xml:space="preserve">(cf. Heffernan, Thorpe, &amp; Brown, 2011)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The insight that more scientific discoveries will not help us if they are not implemented.</w:t>
      </w:r>
    </w:p>
    <w:p>
      <w:pPr>
        <w:numPr>
          <w:ilvl w:val="2"/>
          <w:numId w:val="1006"/>
        </w:numPr>
        <w:pStyle w:val="Compact"/>
      </w:pPr>
      <w:r>
        <w:t xml:space="preserve">Example of researchers sounding the alarm on Intergovernmental Panel on Climate Change (IPCC) because they observe that findings on mitigation of climate change are watered down too much</w:t>
      </w:r>
      <w:r>
        <w:t xml:space="preserve"> </w:t>
      </w:r>
      <w:r>
        <w:t xml:space="preserve">(Harvey &amp; Tremlett, 2021)</w:t>
      </w:r>
      <w:r>
        <w:t xml:space="preserve">.</w:t>
      </w:r>
    </w:p>
    <w:p>
      <w:pPr>
        <w:numPr>
          <w:ilvl w:val="2"/>
          <w:numId w:val="1006"/>
        </w:numPr>
        <w:pStyle w:val="Compact"/>
      </w:pPr>
      <w:r>
        <w:t xml:space="preserve">The group adopted the name Scientist Rebellion and includes Nobel Prize winner Jacques Dubochet. In 2021, the group leaked a draft section of the IPCC’s Sixth Assessment Report climate change, due to be the year after. The draft states that</w:t>
      </w:r>
      <w:r>
        <w:t xml:space="preserve"> </w:t>
      </w:r>
      <w:r>
        <w:t xml:space="preserve">“</w:t>
      </w:r>
      <w:r>
        <w:t xml:space="preserve">individual behavioral changes alone are insignificant</w:t>
      </w:r>
      <w:r>
        <w:t xml:space="preserve">”</w:t>
      </w:r>
      <w:r>
        <w:t xml:space="preserve"> </w:t>
      </w:r>
      <w:r>
        <w:t xml:space="preserve">and raises concern about</w:t>
      </w:r>
      <w:r>
        <w:t xml:space="preserve"> </w:t>
      </w:r>
      <w:r>
        <w:t xml:space="preserve">“</w:t>
      </w:r>
      <w:r>
        <w:t xml:space="preserve">governments [that are] pressured and bribed by fossil fuel and other industries</w:t>
      </w:r>
      <w:r>
        <w:t xml:space="preserve">”</w:t>
      </w:r>
      <w:r>
        <w:t xml:space="preserve"> </w:t>
      </w:r>
      <w:r>
        <w:t xml:space="preserve">(Vogt et al., 2021)</w:t>
      </w:r>
      <w:r>
        <w:t xml:space="preserve">.</w:t>
      </w:r>
    </w:p>
    <w:p>
      <w:pPr>
        <w:numPr>
          <w:ilvl w:val="2"/>
          <w:numId w:val="1006"/>
        </w:numPr>
        <w:pStyle w:val="Compact"/>
      </w:pPr>
      <w:r>
        <w:t xml:space="preserve">Probably don’t want to put the full illustrative example here, but I wanted to provide context.</w:t>
      </w:r>
    </w:p>
    <w:p>
      <w:pPr>
        <w:numPr>
          <w:ilvl w:val="1"/>
          <w:numId w:val="1002"/>
        </w:numPr>
        <w:pStyle w:val="Compact"/>
      </w:pPr>
      <w:r>
        <w:t xml:space="preserve">Let’s analyze this phenomenon as an issue of organizing, from an organization theory perspective.</w:t>
      </w:r>
    </w:p>
    <w:bookmarkEnd w:id="20"/>
    <w:bookmarkStart w:id="21" w:name="Xc8e133ac879d15eb65e24513ccaf439afa5fe3a"/>
    <w:p>
      <w:pPr>
        <w:pStyle w:val="Heading2"/>
      </w:pPr>
      <w:r>
        <w:t xml:space="preserve">Second paragraph–existing research and research questions.</w:t>
      </w:r>
    </w:p>
    <w:p>
      <w:pPr>
        <w:numPr>
          <w:ilvl w:val="0"/>
          <w:numId w:val="1007"/>
        </w:numPr>
        <w:pStyle w:val="Compact"/>
      </w:pPr>
      <w:r>
        <w:t xml:space="preserve">Existing research enters the phenomenon through a piecemeal approach.</w:t>
      </w:r>
    </w:p>
    <w:p>
      <w:pPr>
        <w:numPr>
          <w:ilvl w:val="1"/>
          <w:numId w:val="1008"/>
        </w:numPr>
        <w:pStyle w:val="Compact"/>
      </w:pPr>
      <w:r>
        <w:t xml:space="preserve">Inaction/greenwashing:</w:t>
      </w:r>
    </w:p>
    <w:p>
      <w:pPr>
        <w:numPr>
          <w:ilvl w:val="2"/>
          <w:numId w:val="1009"/>
        </w:numPr>
        <w:pStyle w:val="Compact"/>
      </w:pPr>
      <w:r>
        <w:t xml:space="preserve">Decoupling, symbolic management, impression management</w:t>
      </w:r>
    </w:p>
    <w:p>
      <w:pPr>
        <w:numPr>
          <w:ilvl w:val="2"/>
          <w:numId w:val="1009"/>
        </w:numPr>
        <w:pStyle w:val="Compact"/>
      </w:pPr>
      <w:r>
        <w:t xml:space="preserve">This one is the most critical and underresearched in regard to climate change/the Anthropocene. Will receive special attention.</w:t>
      </w:r>
    </w:p>
    <w:p>
      <w:pPr>
        <w:numPr>
          <w:ilvl w:val="1"/>
          <w:numId w:val="1008"/>
        </w:numPr>
        <w:pStyle w:val="Compact"/>
      </w:pPr>
      <w:r>
        <w:t xml:space="preserve">The generation of technical knowledge:</w:t>
      </w:r>
    </w:p>
    <w:p>
      <w:pPr>
        <w:numPr>
          <w:ilvl w:val="2"/>
          <w:numId w:val="1010"/>
        </w:numPr>
        <w:pStyle w:val="Compact"/>
      </w:pPr>
      <w:r>
        <w:t xml:space="preserve">Arena: science.</w:t>
      </w:r>
    </w:p>
    <w:p>
      <w:pPr>
        <w:numPr>
          <w:ilvl w:val="2"/>
          <w:numId w:val="1010"/>
        </w:numPr>
        <w:pStyle w:val="Compact"/>
      </w:pPr>
      <w:r>
        <w:t xml:space="preserve">Incarnation: Intergovernmental Panel on Climate Change (IPCC) reports.</w:t>
      </w:r>
    </w:p>
    <w:p>
      <w:pPr>
        <w:numPr>
          <w:ilvl w:val="1"/>
          <w:numId w:val="1008"/>
        </w:numPr>
        <w:pStyle w:val="Compact"/>
      </w:pPr>
      <w:r>
        <w:t xml:space="preserve">The implementation of technical knowledge: politics/regulatory process.</w:t>
      </w:r>
    </w:p>
    <w:p>
      <w:pPr>
        <w:numPr>
          <w:ilvl w:val="2"/>
          <w:numId w:val="1011"/>
        </w:numPr>
        <w:pStyle w:val="Compact"/>
      </w:pPr>
      <w:r>
        <w:t xml:space="preserve">Arena: politics and regulatory process.</w:t>
      </w:r>
    </w:p>
    <w:p>
      <w:pPr>
        <w:numPr>
          <w:ilvl w:val="2"/>
          <w:numId w:val="1011"/>
        </w:numPr>
        <w:pStyle w:val="Compact"/>
      </w:pPr>
      <w:r>
        <w:t xml:space="preserve">Incarnation: Conference of the Parties (COP), also known as UN climate change conferences.</w:t>
      </w:r>
    </w:p>
    <w:p>
      <w:pPr>
        <w:numPr>
          <w:ilvl w:val="1"/>
          <w:numId w:val="1008"/>
        </w:numPr>
        <w:pStyle w:val="Compact"/>
      </w:pPr>
      <w:r>
        <w:t xml:space="preserve">Social movements</w:t>
      </w:r>
    </w:p>
    <w:p>
      <w:pPr>
        <w:numPr>
          <w:ilvl w:val="1"/>
          <w:numId w:val="1008"/>
        </w:numPr>
        <w:pStyle w:val="Compact"/>
      </w:pPr>
      <w:r>
        <w:t xml:space="preserve">Business sustainability</w:t>
      </w:r>
    </w:p>
    <w:p>
      <w:pPr>
        <w:numPr>
          <w:ilvl w:val="1"/>
          <w:numId w:val="1008"/>
        </w:numPr>
        <w:pStyle w:val="Compact"/>
      </w:pPr>
      <w:r>
        <w:t xml:space="preserve">Climate denial</w:t>
      </w:r>
    </w:p>
    <w:p>
      <w:pPr>
        <w:numPr>
          <w:ilvl w:val="1"/>
          <w:numId w:val="1008"/>
        </w:numPr>
        <w:pStyle w:val="Compact"/>
      </w:pPr>
      <w:r>
        <w:t xml:space="preserve">Various forms of manipulation, ranging from inaction and greenwashing to active resistance against institutional change?</w:t>
      </w:r>
    </w:p>
    <w:p>
      <w:pPr>
        <w:numPr>
          <w:ilvl w:val="0"/>
          <w:numId w:val="1007"/>
        </w:numPr>
        <w:pStyle w:val="Compact"/>
      </w:pPr>
      <w:r>
        <w:t xml:space="preserve">Research question</w:t>
      </w:r>
    </w:p>
    <w:p>
      <w:pPr>
        <w:numPr>
          <w:ilvl w:val="1"/>
          <w:numId w:val="1012"/>
        </w:numPr>
        <w:pStyle w:val="Compact"/>
      </w:pPr>
      <w:r>
        <w:t xml:space="preserve">What is happening in the literature at the extreme end of the spectrum, on inaction, greenwashing and active resistance against institutional change?</w:t>
      </w:r>
    </w:p>
    <w:p>
      <w:pPr>
        <w:numPr>
          <w:ilvl w:val="2"/>
          <w:numId w:val="1013"/>
        </w:numPr>
        <w:pStyle w:val="Compact"/>
      </w:pPr>
      <w:r>
        <w:t xml:space="preserve">How can we give this literature or these literatures a new direction?</w:t>
      </w:r>
    </w:p>
    <w:p>
      <w:pPr>
        <w:numPr>
          <w:ilvl w:val="1"/>
          <w:numId w:val="1012"/>
        </w:numPr>
        <w:pStyle w:val="Compact"/>
      </w:pPr>
      <w:r>
        <w:t xml:space="preserve">How do interactions between opposed actors play out?</w:t>
      </w:r>
    </w:p>
    <w:p>
      <w:pPr>
        <w:numPr>
          <w:ilvl w:val="1"/>
          <w:numId w:val="1012"/>
        </w:numPr>
        <w:pStyle w:val="Compact"/>
      </w:pPr>
      <w:r>
        <w:t xml:space="preserve">How does more generally environmental discourse play out?</w:t>
      </w:r>
    </w:p>
    <w:p>
      <w:pPr>
        <w:numPr>
          <w:ilvl w:val="1"/>
          <w:numId w:val="1012"/>
        </w:numPr>
        <w:pStyle w:val="Compact"/>
      </w:pPr>
      <w:r>
        <w:t xml:space="preserve">How can we integrate these disparate phenoma in one framework?</w:t>
      </w:r>
    </w:p>
    <w:p>
      <w:pPr>
        <w:numPr>
          <w:ilvl w:val="0"/>
          <w:numId w:val="1007"/>
        </w:numPr>
        <w:pStyle w:val="Compact"/>
      </w:pPr>
      <w:r>
        <w:t xml:space="preserve">Strategy: Review extreme end, enter through general phenomenon, and return to the broader context.</w:t>
      </w:r>
    </w:p>
    <w:bookmarkEnd w:id="21"/>
    <w:bookmarkStart w:id="22" w:name="Xee36765cd53a1ba829a0c980f3f9e4bab3d582b"/>
    <w:p>
      <w:pPr>
        <w:pStyle w:val="Heading2"/>
      </w:pPr>
      <w:r>
        <w:t xml:space="preserve">Third paragraph–research team, studies, and hiring.</w:t>
      </w:r>
    </w:p>
    <w:p>
      <w:pPr>
        <w:numPr>
          <w:ilvl w:val="0"/>
          <w:numId w:val="1014"/>
        </w:numPr>
        <w:pStyle w:val="Compact"/>
      </w:pPr>
      <w:r>
        <w:t xml:space="preserve">Content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25" w:name="ref-Harvey2021"/>
    <w:p>
      <w:pPr>
        <w:pStyle w:val="Bibliography"/>
      </w:pPr>
      <w:r>
        <w:t xml:space="preserve">Harvey, F., &amp; Tremlett, G. (2021, August 12). Greenhouse gas emissions must peak within 4 years, says leaked</w:t>
      </w:r>
      <w:r>
        <w:t xml:space="preserve"> </w:t>
      </w:r>
      <w:r>
        <w:t xml:space="preserve">UN</w:t>
      </w:r>
      <w:r>
        <w:t xml:space="preserve"> </w:t>
      </w:r>
      <w:r>
        <w:t xml:space="preserve">report.</w:t>
      </w:r>
      <w:r>
        <w:t xml:space="preserve"> </w:t>
      </w:r>
      <w:r>
        <w:rPr>
          <w:iCs/>
          <w:i/>
        </w:rPr>
        <w:t xml:space="preserve">The Guardian: Science</w:t>
      </w:r>
      <w:r>
        <w:t xml:space="preserve">. Retrieved from</w:t>
      </w:r>
      <w:r>
        <w:t xml:space="preserve"> </w:t>
      </w:r>
      <w:hyperlink r:id="rId24">
        <w:r>
          <w:rPr>
            <w:rStyle w:val="Hyperlink"/>
          </w:rPr>
          <w:t xml:space="preserve">https://www.theguardian.com/environment/2021/aug/12/greenhouse-gas-emissions-must-peak-within-4-years-says-leaked-un-report</w:t>
        </w:r>
      </w:hyperlink>
    </w:p>
    <w:bookmarkEnd w:id="25"/>
    <w:bookmarkStart w:id="27" w:name="ref-Heffernan2011"/>
    <w:p>
      <w:pPr>
        <w:pStyle w:val="Bibliography"/>
      </w:pPr>
      <w:r>
        <w:t xml:space="preserve">Heffernan, O., Thorpe, J., &amp; Brown, A. (2011). Whole-system science.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1–1.</w:t>
      </w:r>
      <w:r>
        <w:t xml:space="preserve"> </w:t>
      </w:r>
      <w:hyperlink r:id="rId26">
        <w:r>
          <w:rPr>
            <w:rStyle w:val="Hyperlink"/>
          </w:rPr>
          <w:t xml:space="preserve">https://doi.org/10.1038/nclimate1083</w:t>
        </w:r>
      </w:hyperlink>
    </w:p>
    <w:bookmarkEnd w:id="27"/>
    <w:bookmarkStart w:id="29" w:name="ref-Latour2015"/>
    <w:p>
      <w:pPr>
        <w:pStyle w:val="Bibliography"/>
      </w:pPr>
      <w:r>
        <w:t xml:space="preserve">Latour, B. (2015). Telling</w:t>
      </w:r>
      <w:r>
        <w:t xml:space="preserve"> </w:t>
      </w:r>
      <w:r>
        <w:t xml:space="preserve">Friends</w:t>
      </w:r>
      <w:r>
        <w:t xml:space="preserve"> </w:t>
      </w:r>
      <w:r>
        <w:t xml:space="preserve">from</w:t>
      </w:r>
      <w:r>
        <w:t xml:space="preserve"> </w:t>
      </w:r>
      <w:r>
        <w:t xml:space="preserve">Foes</w:t>
      </w:r>
      <w:r>
        <w:t xml:space="preserve"> </w:t>
      </w:r>
      <w:r>
        <w:t xml:space="preserve">in the</w:t>
      </w:r>
      <w:r>
        <w:t xml:space="preserve"> </w:t>
      </w:r>
      <w:r>
        <w:t xml:space="preserve">Time</w:t>
      </w:r>
      <w:r>
        <w:t xml:space="preserve"> </w:t>
      </w:r>
      <w:r>
        <w:t xml:space="preserve">of the</w:t>
      </w:r>
      <w:r>
        <w:t xml:space="preserve"> </w:t>
      </w:r>
      <w:r>
        <w:t xml:space="preserve">Anthropocene</w:t>
      </w:r>
      <w:r>
        <w:t xml:space="preserve">. In C. Hamilton, C. Bonneuil, &amp; F. Gemenne (Eds.),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Anthropocene</w:t>
      </w:r>
      <w:r>
        <w:rPr>
          <w:iCs/>
          <w:i/>
        </w:rPr>
        <w:t xml:space="preserve"> </w:t>
      </w:r>
      <w:r>
        <w:rPr>
          <w:iCs/>
          <w:i/>
        </w:rPr>
        <w:t xml:space="preserve">and the</w:t>
      </w:r>
      <w:r>
        <w:rPr>
          <w:iCs/>
          <w:i/>
        </w:rPr>
        <w:t xml:space="preserve"> </w:t>
      </w:r>
      <w:r>
        <w:rPr>
          <w:iCs/>
          <w:i/>
        </w:rPr>
        <w:t xml:space="preserve">Global Environmental Crisis</w:t>
      </w:r>
      <w:r>
        <w:t xml:space="preserve"> </w:t>
      </w:r>
      <w:r>
        <w:t xml:space="preserve">(1st ed., pp. 145–155).</w:t>
      </w:r>
      <w:r>
        <w:t xml:space="preserve"> </w:t>
      </w:r>
      <w:r>
        <w:t xml:space="preserve">Routledge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https://doi.org/10.4324/9781315743424-12</w:t>
        </w:r>
      </w:hyperlink>
    </w:p>
    <w:bookmarkEnd w:id="29"/>
    <w:bookmarkStart w:id="31" w:name="ref-Vogt2021"/>
    <w:p>
      <w:pPr>
        <w:pStyle w:val="Bibliography"/>
      </w:pPr>
      <w:r>
        <w:t xml:space="preserve">Vogt, T., Berthold, A., Grüning, N.-M., Dubois-Mouro, H., Voehl, M., Valentini, E., … Adkins, D. C. (2021).</w:t>
      </w:r>
      <w:r>
        <w:t xml:space="preserve"> </w:t>
      </w:r>
      <w:r>
        <w:rPr>
          <w:iCs/>
          <w:i/>
        </w:rPr>
        <w:t xml:space="preserve">We leaked the upcoming</w:t>
      </w:r>
      <w:r>
        <w:rPr>
          <w:iCs/>
          <w:i/>
        </w:rPr>
        <w:t xml:space="preserve"> </w:t>
      </w:r>
      <w:r>
        <w:rPr>
          <w:iCs/>
          <w:i/>
        </w:rPr>
        <w:t xml:space="preserve">IPCC</w:t>
      </w:r>
      <w:r>
        <w:rPr>
          <w:iCs/>
          <w:i/>
        </w:rPr>
        <w:t xml:space="preserve"> </w:t>
      </w:r>
      <w:r>
        <w:rPr>
          <w:iCs/>
          <w:i/>
        </w:rPr>
        <w:t xml:space="preserve">report!</w:t>
      </w:r>
      <w:r>
        <w:t xml:space="preserve"> </w:t>
      </w:r>
      <w:r>
        <w:t xml:space="preserve">Scientist Rebellion</w:t>
      </w:r>
      <w:r>
        <w:t xml:space="preserve">. Retrieved from</w:t>
      </w:r>
      <w:r>
        <w:t xml:space="preserve"> </w:t>
      </w:r>
      <w:r>
        <w:t xml:space="preserve">Scientist Rebellion</w:t>
      </w:r>
      <w:r>
        <w:t xml:space="preserve"> </w:t>
      </w:r>
      <w:r>
        <w:t xml:space="preserve">website:</w:t>
      </w:r>
      <w:r>
        <w:t xml:space="preserve"> </w:t>
      </w:r>
      <w:hyperlink r:id="rId30">
        <w:r>
          <w:rPr>
            <w:rStyle w:val="Hyperlink"/>
          </w:rPr>
          <w:t xml:space="preserve">https://scientistrebellion.com/we-leaked-the-upcoming-ipcc-report/</w:t>
        </w:r>
      </w:hyperlink>
    </w:p>
    <w:bookmarkEnd w:id="31"/>
    <w:bookmarkEnd w:id="32"/>
    <w:bookmarkEnd w:id="33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288527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D6DBB"/>
    <w:pPr>
      <w:spacing w:after="0" w:before="240"/>
      <w:contextualSpacing/>
    </w:pPr>
  </w:style>
  <w:style w:styleId="Heading1" w:type="paragraph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cs="Arial" w:eastAsiaTheme="majorEastAsia" w:hAnsi="Arial"/>
      <w:b/>
      <w:bCs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D6DB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4D6DBB"/>
    <w:pPr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cs="Arial" w:eastAsiaTheme="majorEastAsia" w:hAnsi="Arial"/>
      <w:b/>
      <w:bCs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4D6DBB"/>
    <w:pPr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95396E"/>
    <w:tblPr>
      <w:tblBorders>
        <w:top w:color="auto" w:space="0" w:sz="8" w:val="single"/>
        <w:bottom w:color="auto" w:space="0" w:sz="4" w:val="single"/>
      </w:tblBorders>
    </w:tbl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4D6DB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  <w:spacing w:before="0"/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  <w:spacing w:before="0"/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6" Target="https://doi.org/10.1038/nclimate1083" TargetMode="External" /><Relationship Type="http://schemas.openxmlformats.org/officeDocument/2006/relationships/hyperlink" Id="rId28" Target="https://doi.org/10.4324/9781315743424-12" TargetMode="External" /><Relationship Type="http://schemas.openxmlformats.org/officeDocument/2006/relationships/hyperlink" Id="rId30" Target="https://scientistrebellion.com/we-leaked-the-upcoming-ipcc-report/" TargetMode="External" /><Relationship Type="http://schemas.openxmlformats.org/officeDocument/2006/relationships/hyperlink" Id="rId24" Target="https://www.theguardian.com/environment/2021/aug/12/greenhouse-gas-emissions-must-peak-within-4-years-says-leaked-un-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38/nclimate1083" TargetMode="External" /><Relationship Type="http://schemas.openxmlformats.org/officeDocument/2006/relationships/hyperlink" Id="rId28" Target="https://doi.org/10.4324/9781315743424-12" TargetMode="External" /><Relationship Type="http://schemas.openxmlformats.org/officeDocument/2006/relationships/hyperlink" Id="rId30" Target="https://scientistrebellion.com/we-leaked-the-upcoming-ipcc-report/" TargetMode="External" /><Relationship Type="http://schemas.openxmlformats.org/officeDocument/2006/relationships/hyperlink" Id="rId24" Target="https://www.theguardian.com/environment/2021/aug/12/greenhouse-gas-emissions-must-peak-within-4-years-says-leaked-un-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M-J IDG Application 2021</dc:title>
  <dc:creator/>
  <cp:keywords/>
  <dcterms:created xsi:type="dcterms:W3CDTF">2021-12-10T01:07:24Z</dcterms:created>
  <dcterms:modified xsi:type="dcterms:W3CDTF">2021-12-10T01:07:24Z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/home/julian/bibliography.bib</vt:lpwstr>
  </property>
  <property fmtid="{D5CDD505-2E9C-101B-9397-08002B2CF9AE}" pid="3" name="csl">
    <vt:lpwstr>/home/julian/apa-6th-edition.csl</vt:lpwstr>
  </property>
</Properties>
</file>