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Discourse</w:t>
      </w:r>
      <w:r>
        <w:t xml:space="preserve"> </w:t>
      </w:r>
      <w:r>
        <w:t xml:space="preserve">and</w:t>
      </w:r>
      <w:r>
        <w:t xml:space="preserve"> </w:t>
      </w:r>
      <w:r>
        <w:t xml:space="preserve">Institutions:</w:t>
      </w:r>
      <w:r>
        <w:t xml:space="preserve"> </w:t>
      </w:r>
      <w:r>
        <w:t xml:space="preserve">Why</w:t>
      </w:r>
      <w:r>
        <w:t xml:space="preserve"> </w:t>
      </w:r>
      <w:r>
        <w:t xml:space="preserve">Keystone</w:t>
      </w:r>
      <w:r>
        <w:t xml:space="preserve"> </w:t>
      </w:r>
      <w:r>
        <w:t xml:space="preserve">XL</w:t>
      </w:r>
      <w:r>
        <w:t xml:space="preserve"> </w:t>
      </w:r>
      <w:r>
        <w:t xml:space="preserve">Was</w:t>
      </w:r>
      <w:r>
        <w:t xml:space="preserve"> </w:t>
      </w:r>
      <w:r>
        <w:t xml:space="preserve">Approved,</w:t>
      </w:r>
      <w:r>
        <w:t xml:space="preserve"> </w:t>
      </w:r>
      <w:r>
        <w:t xml:space="preserve">and</w:t>
      </w:r>
      <w:r>
        <w:t xml:space="preserve"> </w:t>
      </w:r>
      <w:r>
        <w:t xml:space="preserve">Why</w:t>
      </w:r>
      <w:r>
        <w:t xml:space="preserve"> </w:t>
      </w:r>
      <w:r>
        <w:t xml:space="preserve">It</w:t>
      </w:r>
      <w:r>
        <w:t xml:space="preserve"> </w:t>
      </w:r>
      <w:r>
        <w:t xml:space="preserve">Was</w:t>
      </w:r>
      <w:r>
        <w:t xml:space="preserve"> </w:t>
      </w:r>
      <w:r>
        <w:t xml:space="preserve">Not</w:t>
      </w:r>
    </w:p>
    <w:p>
      <w:pPr>
        <w:pStyle w:val="Author"/>
      </w:pPr>
      <w:r>
        <w:rPr>
          <w:rStyle w:val="VerbatimChar"/>
        </w:rPr>
        <w:t xml:space="preserve">jbarg.phd@ivey.ca</w:t>
      </w:r>
      <w:r>
        <w:br/>
      </w:r>
      <w:r>
        <w:t xml:space="preserve">Ivey</w:t>
      </w:r>
      <w:r>
        <w:t xml:space="preserve"> </w:t>
      </w:r>
      <w:r>
        <w:t xml:space="preserve">Business</w:t>
      </w:r>
      <w:r>
        <w:t xml:space="preserve"> </w:t>
      </w:r>
      <w:r>
        <w:t xml:space="preserve">School</w:t>
      </w:r>
    </w:p>
    <w:p>
      <w:pPr>
        <w:pStyle w:val="BlockText"/>
      </w:pPr>
      <w:r>
        <w:t xml:space="preserve">Current public debate about oil-sands development focuses on individual pipeline decisions. Each is presented as an ultimatum — a binary choice between project approval and lost economic opportunity. This approach artificially restricts discussions to only a fraction of the consequences of oil development, such as short-term economic gains and job creation, and local impacts on human health and the environment. Lost is a broader conversation about national and international energy and economic strategies, and their trade-offs with environmental justice and conservation.</w:t>
      </w:r>
    </w:p>
    <w:p>
      <w:pPr>
        <w:pStyle w:val="BlockText"/>
      </w:pPr>
      <w:r>
        <w:t xml:space="preserve">–</w:t>
      </w:r>
      <w:r>
        <w:t xml:space="preserve"> </w:t>
      </w:r>
      <w:r>
        <w:t xml:space="preserve">Palen et al. (2014, 466)</w:t>
      </w:r>
    </w:p>
    <w:p>
      <w:pPr>
        <w:pStyle w:val="FirstParagraph"/>
      </w:pPr>
      <w:r>
        <w:t xml:space="preserve">Over the last 30 years, the business community and business scholars have taken up a great interest in environmental impacts, and environmental sustainability. The academic landscape in this area is characterized by a giant chasm right through the middle. At the heart is an enormous amount of environmental data that has been produced by businesses, for businesses. On one side of the chasm, this abstract data is assembled into neat insights on business and environmental impacts, or investor attitudes</w:t>
      </w:r>
      <w:r>
        <w:t xml:space="preserve"> </w:t>
      </w:r>
      <w:r>
        <w:t xml:space="preserve">(Flammer and Bansal 2017; Yan, Almandoz, and Ferraro 2021e.g.,)</w:t>
      </w:r>
      <w:r>
        <w:t xml:space="preserve">. On the other side of the chasm, there is a stream of literature that disassembles and question the validity of the metrics and indicators</w:t>
      </w:r>
      <w:r>
        <w:t xml:space="preserve"> </w:t>
      </w:r>
      <w:r>
        <w:t xml:space="preserve">(Chatterji, Levine, and Toffel 2009; Chatterji et al. 2016; Eccles, Lee, and Stroehle 2020e.g.,)</w:t>
      </w:r>
      <w:r>
        <w:t xml:space="preserve">.</w:t>
      </w:r>
    </w:p>
    <w:p>
      <w:pPr>
        <w:pStyle w:val="BodyText"/>
      </w:pPr>
      <w:r>
        <w:t xml:space="preserve">Institutional theory scholarship</w:t>
      </w:r>
      <w:r>
        <w:t xml:space="preserve"> </w:t>
      </w:r>
      <w:r>
        <w:rPr>
          <w:iCs/>
          <w:i/>
        </w:rPr>
        <w:t xml:space="preserve">has</w:t>
      </w:r>
      <w:r>
        <w:t xml:space="preserve"> </w:t>
      </w:r>
      <w:r>
        <w:t xml:space="preserve">previously been used to circumnavigated the chasm.</w:t>
      </w:r>
    </w:p>
    <w:p>
      <w:pPr>
        <w:pStyle w:val="BodyText"/>
      </w:pPr>
      <w:r>
        <w:t xml:space="preserve">Maguire and Hardy (2009)</w:t>
      </w:r>
      <w:r>
        <w:t xml:space="preserve"> </w:t>
      </w:r>
      <w:r>
        <w:t xml:space="preserve">tackle the deinstitutionalization of DDT–a pesticide with clear environmental impacts.</w:t>
      </w:r>
    </w:p>
    <w:p>
      <w:pPr>
        <w:pStyle w:val="BodyText"/>
      </w:pPr>
      <w:r>
        <w:t xml:space="preserve">This research represents an effort to circumnavigate the chasm by focusing research on a</w:t>
      </w:r>
      <w:r>
        <w:t xml:space="preserve"> </w:t>
      </w:r>
      <w:r>
        <w:rPr>
          <w:iCs/>
          <w:i/>
        </w:rPr>
        <w:t xml:space="preserve">Ding</w:t>
      </w:r>
      <w:r>
        <w:t xml:space="preserve"> </w:t>
      </w:r>
      <w:r>
        <w:t xml:space="preserve">(Latour 2005)</w:t>
      </w:r>
      <w:r>
        <w:t xml:space="preserve">–a specific instance or source of environmental impacts. Institutional scholarship</w:t>
      </w:r>
      <w:r>
        <w:t xml:space="preserve"> </w:t>
      </w:r>
      <w:r>
        <w:rPr>
          <w:iCs/>
          <w:i/>
        </w:rPr>
        <w:t xml:space="preserve">has</w:t>
      </w:r>
      <w:r>
        <w:t xml:space="preserve"> </w:t>
      </w:r>
      <w:r>
        <w:t xml:space="preserve">previously</w:t>
      </w:r>
    </w:p>
    <w:p>
      <w:pPr>
        <w:pStyle w:val="BodyText"/>
      </w:pPr>
      <w:r>
        <w:t xml:space="preserve">the opportunity afforded by Keystone XL is that</w:t>
      </w:r>
    </w:p>
    <w:p>
      <w:pPr>
        <w:pStyle w:val="BodyText"/>
      </w:pPr>
      <w:r>
        <w:t xml:space="preserve">remains abstract</w:t>
      </w:r>
    </w:p>
    <w:bookmarkStart w:id="36" w:name="references"/>
    <w:p>
      <w:pPr>
        <w:pStyle w:val="Heading1"/>
      </w:pPr>
      <w:r>
        <w:t xml:space="preserve">References</w:t>
      </w:r>
    </w:p>
    <w:bookmarkStart w:id="35" w:name="refs"/>
    <w:bookmarkStart w:id="21" w:name="ref-Chatterji2016"/>
    <w:p>
      <w:pPr>
        <w:pStyle w:val="Bibliography"/>
      </w:pPr>
      <w:r>
        <w:t xml:space="preserve">Chatterji, Aaron K., Rodolphe Durand, David I. Levine, and Samuel Touboul. 2016.</w:t>
      </w:r>
      <w:r>
        <w:t xml:space="preserve"> </w:t>
      </w:r>
      <w:r>
        <w:t xml:space="preserve">“Do</w:t>
      </w:r>
      <w:r>
        <w:t xml:space="preserve"> </w:t>
      </w:r>
      <w:r>
        <w:t xml:space="preserve">Ratings</w:t>
      </w:r>
      <w:r>
        <w:t xml:space="preserve"> </w:t>
      </w:r>
      <w:r>
        <w:t xml:space="preserve">of</w:t>
      </w:r>
      <w:r>
        <w:t xml:space="preserve"> </w:t>
      </w:r>
      <w:r>
        <w:t xml:space="preserve">Firms Converge</w:t>
      </w:r>
      <w:r>
        <w:t xml:space="preserve">?</w:t>
      </w:r>
      <w:r>
        <w:t xml:space="preserve"> </w:t>
      </w:r>
      <w:r>
        <w:t xml:space="preserve">Implications</w:t>
      </w:r>
      <w:r>
        <w:t xml:space="preserve"> </w:t>
      </w:r>
      <w:r>
        <w:t xml:space="preserve">for</w:t>
      </w:r>
      <w:r>
        <w:t xml:space="preserve"> </w:t>
      </w:r>
      <w:r>
        <w:t xml:space="preserve">Managers</w:t>
      </w:r>
      <w:r>
        <w:t xml:space="preserve">,</w:t>
      </w:r>
      <w:r>
        <w:t xml:space="preserve"> </w:t>
      </w:r>
      <w:r>
        <w:t xml:space="preserve">Investors</w:t>
      </w:r>
      <w:r>
        <w:t xml:space="preserve"> </w:t>
      </w:r>
      <w:r>
        <w:t xml:space="preserve">and</w:t>
      </w:r>
      <w:r>
        <w:t xml:space="preserve"> </w:t>
      </w:r>
      <w:r>
        <w:t xml:space="preserve">Strategy Researchers</w:t>
      </w:r>
      <w:r>
        <w:t xml:space="preserve">.”</w:t>
      </w:r>
      <w:r>
        <w:t xml:space="preserve"> </w:t>
      </w:r>
      <w:r>
        <w:rPr>
          <w:iCs/>
          <w:i/>
        </w:rPr>
        <w:t xml:space="preserve">Strategic Management Journal</w:t>
      </w:r>
      <w:r>
        <w:t xml:space="preserve"> </w:t>
      </w:r>
      <w:r>
        <w:t xml:space="preserve">37 (8): 1597–1614.</w:t>
      </w:r>
      <w:r>
        <w:t xml:space="preserve"> </w:t>
      </w:r>
      <w:hyperlink r:id="rId20">
        <w:r>
          <w:rPr>
            <w:rStyle w:val="Hyperlink"/>
          </w:rPr>
          <w:t xml:space="preserve">https://doi.org/10.1002/smj.2407</w:t>
        </w:r>
      </w:hyperlink>
      <w:r>
        <w:t xml:space="preserve">.</w:t>
      </w:r>
    </w:p>
    <w:bookmarkEnd w:id="21"/>
    <w:bookmarkStart w:id="23" w:name="ref-Chatterji2009"/>
    <w:p>
      <w:pPr>
        <w:pStyle w:val="Bibliography"/>
      </w:pPr>
      <w:r>
        <w:t xml:space="preserve">Chatterji, Aaron K., David I. Levine, and Michael W. Toffel. 2009.</w:t>
      </w:r>
      <w:r>
        <w:t xml:space="preserve"> </w:t>
      </w:r>
      <w:r>
        <w:t xml:space="preserve">“How</w:t>
      </w:r>
      <w:r>
        <w:t xml:space="preserve"> </w:t>
      </w:r>
      <w:r>
        <w:t xml:space="preserve">Well Do Social Ratings Actually Measure Corporate Social Responsibility</w:t>
      </w:r>
      <w:r>
        <w:t xml:space="preserve">?”</w:t>
      </w:r>
      <w:r>
        <w:t xml:space="preserve"> </w:t>
      </w:r>
      <w:r>
        <w:rPr>
          <w:iCs/>
          <w:i/>
        </w:rPr>
        <w:t xml:space="preserve">Journal of Economics &amp; Management Strategy</w:t>
      </w:r>
      <w:r>
        <w:t xml:space="preserve"> </w:t>
      </w:r>
      <w:r>
        <w:t xml:space="preserve">18 (1): 125–69.</w:t>
      </w:r>
      <w:r>
        <w:t xml:space="preserve"> </w:t>
      </w:r>
      <w:hyperlink r:id="rId22">
        <w:r>
          <w:rPr>
            <w:rStyle w:val="Hyperlink"/>
          </w:rPr>
          <w:t xml:space="preserve">https://doi.org/10.1111/j.1530-9134.2009.00210.x</w:t>
        </w:r>
      </w:hyperlink>
      <w:r>
        <w:t xml:space="preserve">.</w:t>
      </w:r>
    </w:p>
    <w:bookmarkEnd w:id="23"/>
    <w:bookmarkStart w:id="25" w:name="ref-Eccles2020"/>
    <w:p>
      <w:pPr>
        <w:pStyle w:val="Bibliography"/>
      </w:pPr>
      <w:r>
        <w:t xml:space="preserve">Eccles, Robert G., Linda-Eling Lee, and Judith C. Stroehle. 2020.</w:t>
      </w:r>
      <w:r>
        <w:t xml:space="preserve"> </w:t>
      </w:r>
      <w:r>
        <w:t xml:space="preserve">“The</w:t>
      </w:r>
      <w:r>
        <w:t xml:space="preserve"> </w:t>
      </w:r>
      <w:r>
        <w:t xml:space="preserve">Social Origins</w:t>
      </w:r>
      <w:r>
        <w:t xml:space="preserve"> </w:t>
      </w:r>
      <w:r>
        <w:t xml:space="preserve">of</w:t>
      </w:r>
      <w:r>
        <w:t xml:space="preserve"> </w:t>
      </w:r>
      <w:r>
        <w:t xml:space="preserve">ESG</w:t>
      </w:r>
      <w:r>
        <w:t xml:space="preserve">:</w:t>
      </w:r>
      <w:r>
        <w:t xml:space="preserve"> </w:t>
      </w:r>
      <w:r>
        <w:t xml:space="preserve">An Analysis</w:t>
      </w:r>
      <w:r>
        <w:t xml:space="preserve"> </w:t>
      </w:r>
      <w:r>
        <w:t xml:space="preserve">of</w:t>
      </w:r>
      <w:r>
        <w:t xml:space="preserve"> </w:t>
      </w:r>
      <w:r>
        <w:t xml:space="preserve">Innovest</w:t>
      </w:r>
      <w:r>
        <w:t xml:space="preserve"> </w:t>
      </w:r>
      <w:r>
        <w:t xml:space="preserve">and</w:t>
      </w:r>
      <w:r>
        <w:t xml:space="preserve"> </w:t>
      </w:r>
      <w:r>
        <w:t xml:space="preserve">KLD</w:t>
      </w:r>
      <w:r>
        <w:t xml:space="preserve">.”</w:t>
      </w:r>
      <w:r>
        <w:t xml:space="preserve"> </w:t>
      </w:r>
      <w:r>
        <w:rPr>
          <w:iCs/>
          <w:i/>
        </w:rPr>
        <w:t xml:space="preserve">Organization &amp; Environment</w:t>
      </w:r>
      <w:r>
        <w:t xml:space="preserve"> </w:t>
      </w:r>
      <w:r>
        <w:t xml:space="preserve">33 (4): 575–96.</w:t>
      </w:r>
      <w:r>
        <w:t xml:space="preserve"> </w:t>
      </w:r>
      <w:hyperlink r:id="rId24">
        <w:r>
          <w:rPr>
            <w:rStyle w:val="Hyperlink"/>
          </w:rPr>
          <w:t xml:space="preserve">https://doi.org/10.1177/1086026619888994</w:t>
        </w:r>
      </w:hyperlink>
      <w:r>
        <w:t xml:space="preserve">.</w:t>
      </w:r>
    </w:p>
    <w:bookmarkEnd w:id="25"/>
    <w:bookmarkStart w:id="27" w:name="ref-Flammer2017"/>
    <w:p>
      <w:pPr>
        <w:pStyle w:val="Bibliography"/>
      </w:pPr>
      <w:r>
        <w:t xml:space="preserve">Flammer, Caroline, and Pratima Bansal. 2017.</w:t>
      </w:r>
      <w:r>
        <w:t xml:space="preserve"> </w:t>
      </w:r>
      <w:r>
        <w:t xml:space="preserve">“Does a</w:t>
      </w:r>
      <w:r>
        <w:t xml:space="preserve"> </w:t>
      </w:r>
      <w:r>
        <w:t xml:space="preserve">Long</w:t>
      </w:r>
      <w:r>
        <w:t xml:space="preserve">-</w:t>
      </w:r>
      <w:r>
        <w:t xml:space="preserve">Term Orientation Create Value</w:t>
      </w:r>
      <w:r>
        <w:t xml:space="preserve">?</w:t>
      </w:r>
      <w:r>
        <w:t xml:space="preserve"> </w:t>
      </w:r>
      <w:r>
        <w:t xml:space="preserve">Evidence</w:t>
      </w:r>
      <w:r>
        <w:t xml:space="preserve"> </w:t>
      </w:r>
      <w:r>
        <w:t xml:space="preserve">from a</w:t>
      </w:r>
      <w:r>
        <w:t xml:space="preserve"> </w:t>
      </w:r>
      <w:r>
        <w:t xml:space="preserve">Regression Discontinuity</w:t>
      </w:r>
      <w:r>
        <w:t xml:space="preserve">.”</w:t>
      </w:r>
      <w:r>
        <w:t xml:space="preserve"> </w:t>
      </w:r>
      <w:r>
        <w:rPr>
          <w:iCs/>
          <w:i/>
        </w:rPr>
        <w:t xml:space="preserve">Strategic Management Journal</w:t>
      </w:r>
      <w:r>
        <w:t xml:space="preserve"> </w:t>
      </w:r>
      <w:r>
        <w:t xml:space="preserve">38 (9): 1827–47.</w:t>
      </w:r>
      <w:r>
        <w:t xml:space="preserve"> </w:t>
      </w:r>
      <w:hyperlink r:id="rId26">
        <w:r>
          <w:rPr>
            <w:rStyle w:val="Hyperlink"/>
          </w:rPr>
          <w:t xml:space="preserve">https://doi.org/10.1002/smj.2629</w:t>
        </w:r>
      </w:hyperlink>
      <w:r>
        <w:t xml:space="preserve">.</w:t>
      </w:r>
    </w:p>
    <w:bookmarkEnd w:id="27"/>
    <w:bookmarkStart w:id="28" w:name="ref-Latour2005"/>
    <w:p>
      <w:pPr>
        <w:pStyle w:val="Bibliography"/>
      </w:pPr>
      <w:r>
        <w:t xml:space="preserve">Latour, Bruno. 2005.</w:t>
      </w:r>
      <w:r>
        <w:t xml:space="preserve"> </w:t>
      </w:r>
      <w:r>
        <w:t xml:space="preserve">“From</w:t>
      </w:r>
      <w:r>
        <w:t xml:space="preserve"> </w:t>
      </w:r>
      <w:r>
        <w:t xml:space="preserve">Realpolitik</w:t>
      </w:r>
      <w:r>
        <w:t xml:space="preserve"> </w:t>
      </w:r>
      <w:r>
        <w:t xml:space="preserve">to</w:t>
      </w:r>
      <w:r>
        <w:t xml:space="preserve"> </w:t>
      </w:r>
      <w:r>
        <w:t xml:space="preserve">Dingpolitik</w:t>
      </w:r>
      <w:r>
        <w:t xml:space="preserve">. Or</w:t>
      </w:r>
      <w:r>
        <w:t xml:space="preserve"> </w:t>
      </w:r>
      <w:r>
        <w:t xml:space="preserve">How</w:t>
      </w:r>
      <w:r>
        <w:t xml:space="preserve"> </w:t>
      </w:r>
      <w:r>
        <w:t xml:space="preserve">to</w:t>
      </w:r>
      <w:r>
        <w:t xml:space="preserve"> </w:t>
      </w:r>
      <w:r>
        <w:t xml:space="preserve">Make Things Public</w:t>
      </w:r>
      <w:r>
        <w:t xml:space="preserve">.”</w:t>
      </w:r>
      <w:r>
        <w:t xml:space="preserve"> </w:t>
      </w:r>
      <w:r>
        <w:t xml:space="preserve">In</w:t>
      </w:r>
      <w:r>
        <w:t xml:space="preserve"> </w:t>
      </w:r>
      <w:r>
        <w:rPr>
          <w:iCs/>
          <w:i/>
        </w:rPr>
        <w:t xml:space="preserve">Making</w:t>
      </w:r>
      <w:r>
        <w:rPr>
          <w:iCs/>
          <w:i/>
        </w:rPr>
        <w:t xml:space="preserve"> </w:t>
      </w:r>
      <w:r>
        <w:rPr>
          <w:iCs/>
          <w:i/>
        </w:rPr>
        <w:t xml:space="preserve">Things Public</w:t>
      </w:r>
      <w:r>
        <w:rPr>
          <w:iCs/>
          <w:i/>
        </w:rPr>
        <w:t xml:space="preserve">.</w:t>
      </w:r>
      <w:r>
        <w:rPr>
          <w:iCs/>
          <w:i/>
        </w:rPr>
        <w:t xml:space="preserve"> </w:t>
      </w:r>
      <w:r>
        <w:rPr>
          <w:iCs/>
          <w:i/>
        </w:rPr>
        <w:t xml:space="preserve">Atmospheres</w:t>
      </w:r>
      <w:r>
        <w:rPr>
          <w:iCs/>
          <w:i/>
        </w:rPr>
        <w:t xml:space="preserve"> </w:t>
      </w:r>
      <w:r>
        <w:rPr>
          <w:iCs/>
          <w:i/>
        </w:rPr>
        <w:t xml:space="preserve">of</w:t>
      </w:r>
      <w:r>
        <w:rPr>
          <w:iCs/>
          <w:i/>
        </w:rPr>
        <w:t xml:space="preserve"> </w:t>
      </w:r>
      <w:r>
        <w:rPr>
          <w:iCs/>
          <w:i/>
        </w:rPr>
        <w:t xml:space="preserve">Democracy</w:t>
      </w:r>
      <w:r>
        <w:t xml:space="preserve">, 14–41.</w:t>
      </w:r>
      <w:r>
        <w:t xml:space="preserve"> </w:t>
      </w:r>
      <w:r>
        <w:t xml:space="preserve">Cambridge, MA</w:t>
      </w:r>
      <w:r>
        <w:t xml:space="preserve">:</w:t>
      </w:r>
      <w:r>
        <w:t xml:space="preserve"> </w:t>
      </w:r>
      <w:r>
        <w:t xml:space="preserve">The MIT Press</w:t>
      </w:r>
      <w:r>
        <w:t xml:space="preserve">.</w:t>
      </w:r>
    </w:p>
    <w:bookmarkEnd w:id="28"/>
    <w:bookmarkStart w:id="30" w:name="ref-Maguire2009"/>
    <w:p>
      <w:pPr>
        <w:pStyle w:val="Bibliography"/>
      </w:pPr>
      <w:r>
        <w:t xml:space="preserve">Maguire, Steve, and Cynthia Hardy. 2009.</w:t>
      </w:r>
      <w:r>
        <w:t xml:space="preserve"> </w:t>
      </w:r>
      <w:r>
        <w:t xml:space="preserve">“Discourse and</w:t>
      </w:r>
      <w:r>
        <w:t xml:space="preserve"> </w:t>
      </w:r>
      <w:r>
        <w:t xml:space="preserve">Deinstitutionalization</w:t>
      </w:r>
      <w:r>
        <w:t xml:space="preserve">: The</w:t>
      </w:r>
      <w:r>
        <w:t xml:space="preserve"> </w:t>
      </w:r>
      <w:r>
        <w:t xml:space="preserve">Decline</w:t>
      </w:r>
      <w:r>
        <w:t xml:space="preserve"> </w:t>
      </w:r>
      <w:r>
        <w:t xml:space="preserve">of</w:t>
      </w:r>
      <w:r>
        <w:t xml:space="preserve"> </w:t>
      </w:r>
      <w:r>
        <w:t xml:space="preserve">DDT</w:t>
      </w:r>
      <w:r>
        <w:t xml:space="preserve">.”</w:t>
      </w:r>
      <w:r>
        <w:t xml:space="preserve"> </w:t>
      </w:r>
      <w:r>
        <w:rPr>
          <w:iCs/>
          <w:i/>
        </w:rPr>
        <w:t xml:space="preserve">Academy of Management Journal</w:t>
      </w:r>
      <w:r>
        <w:t xml:space="preserve"> </w:t>
      </w:r>
      <w:r>
        <w:t xml:space="preserve">52 (1): 148–78.</w:t>
      </w:r>
      <w:r>
        <w:t xml:space="preserve"> </w:t>
      </w:r>
      <w:hyperlink r:id="rId29">
        <w:r>
          <w:rPr>
            <w:rStyle w:val="Hyperlink"/>
          </w:rPr>
          <w:t xml:space="preserve">https://doi.org/10.5465/amj.2009.36461993</w:t>
        </w:r>
      </w:hyperlink>
      <w:r>
        <w:t xml:space="preserve">.</w:t>
      </w:r>
    </w:p>
    <w:bookmarkEnd w:id="30"/>
    <w:bookmarkStart w:id="32" w:name="ref-Palen2014"/>
    <w:p>
      <w:pPr>
        <w:pStyle w:val="Bibliography"/>
      </w:pPr>
      <w:r>
        <w:t xml:space="preserve">Palen, Wendy J., Thomas D. Sisk, Maureen E. Ryan, Joseph L. Árvai, Mark Jaccard, Anne K. Salomon, Thomas Homer-Dixon, and Ken P. Lertzman. 2014.</w:t>
      </w:r>
      <w:r>
        <w:t xml:space="preserve"> </w:t>
      </w:r>
      <w:r>
        <w:t xml:space="preserve">“Energy:</w:t>
      </w:r>
      <w:r>
        <w:t xml:space="preserve"> </w:t>
      </w:r>
      <w:r>
        <w:t xml:space="preserve">Consider</w:t>
      </w:r>
      <w:r>
        <w:t xml:space="preserve"> </w:t>
      </w:r>
      <w:r>
        <w:t xml:space="preserve">the Global Impacts of Oil Pipelines.”</w:t>
      </w:r>
      <w:r>
        <w:t xml:space="preserve"> </w:t>
      </w:r>
      <w:r>
        <w:rPr>
          <w:iCs/>
          <w:i/>
        </w:rPr>
        <w:t xml:space="preserve">Nature</w:t>
      </w:r>
      <w:r>
        <w:t xml:space="preserve"> </w:t>
      </w:r>
      <w:r>
        <w:t xml:space="preserve">510 (7506): 465–67.</w:t>
      </w:r>
      <w:r>
        <w:t xml:space="preserve"> </w:t>
      </w:r>
      <w:hyperlink r:id="rId31">
        <w:r>
          <w:rPr>
            <w:rStyle w:val="Hyperlink"/>
          </w:rPr>
          <w:t xml:space="preserve">https://doi.org/10.1038/510465a</w:t>
        </w:r>
      </w:hyperlink>
      <w:r>
        <w:t xml:space="preserve">.</w:t>
      </w:r>
    </w:p>
    <w:bookmarkEnd w:id="32"/>
    <w:bookmarkStart w:id="34" w:name="ref-Yan2021"/>
    <w:p>
      <w:pPr>
        <w:pStyle w:val="Bibliography"/>
      </w:pPr>
      <w:r>
        <w:t xml:space="preserve">Yan, Shipeng, Juan (John) Almandoz, and Fabrizio Ferraro. 2021.</w:t>
      </w:r>
      <w:r>
        <w:t xml:space="preserve"> </w:t>
      </w:r>
      <w:r>
        <w:t xml:space="preserve">“The</w:t>
      </w:r>
      <w:r>
        <w:t xml:space="preserve"> </w:t>
      </w:r>
      <w:r>
        <w:t xml:space="preserve">Impact</w:t>
      </w:r>
      <w:r>
        <w:t xml:space="preserve"> </w:t>
      </w:r>
      <w:r>
        <w:t xml:space="preserve">of</w:t>
      </w:r>
      <w:r>
        <w:t xml:space="preserve"> </w:t>
      </w:r>
      <w:r>
        <w:t xml:space="preserve">Logic</w:t>
      </w:r>
      <w:r>
        <w:t xml:space="preserve"> </w:t>
      </w:r>
      <w:r>
        <w:t xml:space="preserve">(</w:t>
      </w:r>
      <w:r>
        <w:t xml:space="preserve">In</w:t>
      </w:r>
      <w:r>
        <w:t xml:space="preserve">)</w:t>
      </w:r>
      <w:r>
        <w:t xml:space="preserve">Compatibility</w:t>
      </w:r>
      <w:r>
        <w:t xml:space="preserve">:</w:t>
      </w:r>
      <w:r>
        <w:t xml:space="preserve"> </w:t>
      </w:r>
      <w:r>
        <w:t xml:space="preserve">Green Investing</w:t>
      </w:r>
      <w:r>
        <w:t xml:space="preserve">,</w:t>
      </w:r>
      <w:r>
        <w:t xml:space="preserve"> </w:t>
      </w:r>
      <w:r>
        <w:t xml:space="preserve">State Policy</w:t>
      </w:r>
      <w:r>
        <w:t xml:space="preserve">, and</w:t>
      </w:r>
      <w:r>
        <w:t xml:space="preserve"> </w:t>
      </w:r>
      <w:r>
        <w:t xml:space="preserve">Corporate Environmental Performance</w:t>
      </w:r>
      <w:r>
        <w:t xml:space="preserve">.”</w:t>
      </w:r>
      <w:r>
        <w:t xml:space="preserve"> </w:t>
      </w:r>
      <w:r>
        <w:rPr>
          <w:iCs/>
          <w:i/>
        </w:rPr>
        <w:t xml:space="preserve">Administrative Science Quarterly</w:t>
      </w:r>
      <w:r>
        <w:t xml:space="preserve">, March, 00018392211005756.</w:t>
      </w:r>
      <w:r>
        <w:t xml:space="preserve"> </w:t>
      </w:r>
      <w:hyperlink r:id="rId33">
        <w:r>
          <w:rPr>
            <w:rStyle w:val="Hyperlink"/>
          </w:rPr>
          <w:t xml:space="preserve">https://doi.org/10.1177/00018392211005756</w:t>
        </w:r>
      </w:hyperlink>
      <w:r>
        <w:t xml:space="preserve">.</w:t>
      </w:r>
    </w:p>
    <w:bookmarkEnd w:id="34"/>
    <w:bookmarkEnd w:id="35"/>
    <w:bookmarkEnd w:id="36"/>
    <w:sectPr w:rsidR="000E24AE" w:rsidSect="000B2557">
      <w:footerReference r:id="rId9" w:type="default"/>
      <w:pgSz w:h="15840" w:w="12240"/>
      <w:pgMar w:bottom="1440" w:footer="0" w:gutter="0" w:header="0" w:left="1440" w:right="1440" w:top="1440"/>
      <w:cols w:space="720"/>
      <w:formProt w:val="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6096"/>
      <w:docPartObj>
        <w:docPartGallery w:val="Page Numbers (Bottom of Page)"/>
        <w:docPartUnique/>
      </w:docPartObj>
    </w:sdtPr>
    <w:sdtContent>
      <w:sdt>
        <w:sdtPr>
          <w:id w:val="-1769616900"/>
          <w:docPartObj>
            <w:docPartGallery w:val="Page Numbers (Top of Page)"/>
            <w:docPartUnique/>
          </w:docPartObj>
        </w:sdtPr>
        <w:sdtContent>
          <w:p w14:paraId="5E48C461" w14:textId="00E6A7CE" w:rsidR="000B2557" w:rsidRDefault="000B255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FD1B0C0" w14:textId="77777777" w:rsidR="000B2557" w:rsidRDefault="000B255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autoHyphenatio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Cs w:val="24"/>
        <w:lang w:bidi="ar-SA" w:eastAsia="en-US" w:val="en-US"/>
      </w:rPr>
    </w:rPrDefault>
    <w:pPrDefault>
      <w:pPr>
        <w:suppressAutoHyphens/>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spacing w:after="200"/>
    </w:pPr>
    <w:rPr>
      <w:sz w:val="24"/>
    </w:rPr>
  </w:style>
  <w:style w:styleId="Heading1" w:type="paragraph">
    <w:name w:val="heading 1"/>
    <w:basedOn w:val="Normal"/>
    <w:next w:val="BodyText"/>
    <w:uiPriority w:val="9"/>
    <w:qFormat/>
    <w:pPr>
      <w:keepNext/>
      <w:keepLines/>
      <w:spacing w:after="245" w:before="475"/>
      <w:outlineLvl w:val="0"/>
    </w:pPr>
    <w:rPr>
      <w:rFonts w:ascii="Arial" w:cstheme="majorBidi" w:eastAsiaTheme="majorEastAsia" w:hAnsi="Arial"/>
      <w:b/>
      <w:bCs/>
      <w:color w:val="000000"/>
      <w:szCs w:val="32"/>
    </w:rPr>
  </w:style>
  <w:style w:styleId="Heading2" w:type="paragraph">
    <w:name w:val="heading 2"/>
    <w:basedOn w:val="Normal"/>
    <w:next w:val="BodyText"/>
    <w:uiPriority w:val="9"/>
    <w:unhideWhenUsed/>
    <w:qFormat/>
    <w:pPr>
      <w:keepNext/>
      <w:keepLines/>
      <w:spacing w:after="245" w:before="475"/>
      <w:outlineLvl w:val="1"/>
    </w:pPr>
    <w:rPr>
      <w:rFonts w:ascii="Arial" w:cstheme="majorBidi" w:eastAsiaTheme="majorEastAsia" w:hAnsi="Arial"/>
      <w:b/>
      <w:bCs/>
      <w:i/>
      <w:color w:val="000000"/>
      <w:szCs w:val="28"/>
    </w:rPr>
  </w:style>
  <w:style w:styleId="Heading3" w:type="paragraph">
    <w:name w:val="heading 3"/>
    <w:basedOn w:val="Normal"/>
    <w:next w:val="BodyText"/>
    <w:uiPriority w:val="9"/>
    <w:unhideWhenUsed/>
    <w:qFormat/>
    <w:pPr>
      <w:keepNext/>
      <w:keepLines/>
      <w:spacing w:after="245" w:before="475"/>
      <w:outlineLvl w:val="2"/>
    </w:pPr>
    <w:rPr>
      <w:rFonts w:ascii="Arial" w:cstheme="majorBidi" w:eastAsiaTheme="majorEastAsia" w:hAnsi="Arial"/>
      <w:bCs/>
      <w:i/>
      <w:color w:val="000000"/>
    </w:rPr>
  </w:style>
  <w:style w:styleId="Heading4" w:type="paragraph">
    <w:name w:val="heading 4"/>
    <w:basedOn w:val="Normal"/>
    <w:next w:val="BodyText"/>
    <w:uiPriority w:val="9"/>
    <w:unhideWhenUsed/>
    <w:qFormat/>
    <w:pPr>
      <w:keepNext/>
      <w:keepLines/>
      <w:spacing w:after="245" w:before="475"/>
      <w:outlineLvl w:val="3"/>
    </w:pPr>
    <w:rPr>
      <w:rFonts w:ascii="Arial" w:cstheme="majorBidi" w:eastAsiaTheme="majorEastAsia" w:hAnsi="Arial"/>
      <w:bCs/>
      <w:color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aptionChar" w:type="character">
    <w:name w:val="Caption Char"/>
    <w:basedOn w:val="DefaultParagraphFont"/>
    <w:link w:val="Caption"/>
    <w:qFormat/>
  </w:style>
  <w:style w:customStyle="1" w:styleId="VerbatimChar" w:type="character">
    <w:name w:val="Verbatim Char"/>
    <w:basedOn w:val="CaptionChar"/>
    <w:qFormat/>
    <w:rPr>
      <w:rFonts w:ascii="Consolas" w:hAnsi="Consolas"/>
      <w:sz w:val="22"/>
    </w:rPr>
  </w:style>
  <w:style w:customStyle="1" w:styleId="SectionNumber" w:type="character">
    <w:name w:val="Section Number"/>
    <w:basedOn w:val="CaptionChar"/>
    <w:qFormat/>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Hyperlink" w:type="character">
    <w:name w:val="Hyperlink"/>
    <w:basedOn w:val="CaptionChar"/>
    <w:rPr>
      <w:color w:themeColor="accent1" w:val="4F81BD"/>
    </w:rPr>
  </w:style>
  <w:style w:customStyle="1" w:styleId="EndnoteAnchor" w:type="character">
    <w:name w:val="Endnote Anchor"/>
    <w:rPr>
      <w:vertAlign w:val="superscript"/>
    </w:rPr>
  </w:style>
  <w:style w:customStyle="1" w:styleId="EndnoteCharacters" w:type="character">
    <w:name w:val="Endnote Characters"/>
    <w:qFormat/>
  </w:style>
  <w:style w:customStyle="1" w:styleId="Heading" w:type="paragraph">
    <w:name w:val="Heading"/>
    <w:basedOn w:val="Normal"/>
    <w:next w:val="BodyText"/>
    <w:qFormat/>
    <w:pPr>
      <w:keepNext/>
      <w:spacing w:after="120" w:before="240"/>
    </w:pPr>
    <w:rPr>
      <w:rFonts w:ascii="Liberation Sans" w:cs="Lohit Devanagari" w:eastAsia="Noto Sans CJK SC" w:hAnsi="Liberation Sans"/>
      <w:sz w:val="28"/>
      <w:szCs w:val="28"/>
    </w:rPr>
  </w:style>
  <w:style w:styleId="BodyText" w:type="paragraph">
    <w:name w:val="Body Text"/>
    <w:basedOn w:val="Normal"/>
    <w:qFormat/>
    <w:pPr>
      <w:spacing w:after="0" w:line="480" w:lineRule="auto"/>
      <w:ind w:firstLine="720"/>
      <w:contextualSpacing/>
    </w:pPr>
    <w:rPr>
      <w:rFonts w:ascii="Times New Roman" w:hAnsi="Times New Roman"/>
    </w:rPr>
  </w:style>
  <w:style w:styleId="List" w:type="paragraph">
    <w:name w:val="List"/>
    <w:basedOn w:val="BodyText"/>
    <w:rPr>
      <w:rFonts w:cs="Lohit Devanagari"/>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Lohit Devanagari"/>
    </w:rPr>
  </w:style>
  <w:style w:customStyle="1" w:styleId="FirstParagraph" w:type="paragraph">
    <w:name w:val="First Paragraph"/>
    <w:basedOn w:val="BodyText"/>
    <w:next w:val="BodyText"/>
    <w:qFormat/>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Arial" w:cstheme="majorBidi" w:eastAsiaTheme="majorEastAsia" w:hAnsi="Arial"/>
      <w:b/>
      <w:bCs/>
      <w:color w:val="000000"/>
      <w:szCs w:val="36"/>
    </w:rPr>
  </w:style>
  <w:style w:styleId="Subtitle" w:type="paragraph">
    <w:name w:val="Subtitle"/>
    <w:basedOn w:val="Title"/>
    <w:next w:val="BodyText"/>
    <w:qFormat/>
    <w:pPr>
      <w:spacing w:before="240"/>
    </w:pPr>
    <w:rPr>
      <w:szCs w:val="30"/>
    </w:rPr>
  </w:style>
  <w:style w:customStyle="1" w:styleId="Author" w:type="paragraph">
    <w:name w:val="Author"/>
    <w:next w:val="BodyText"/>
    <w:qFormat/>
    <w:pPr>
      <w:keepNext/>
      <w:keepLines/>
      <w:spacing w:after="200"/>
      <w:jc w:val="center"/>
    </w:pPr>
    <w:rPr>
      <w:rFonts w:ascii="Arial" w:hAnsi="Arial"/>
      <w:sz w:val="24"/>
    </w:rPr>
  </w:style>
  <w:style w:styleId="Date" w:type="paragraph">
    <w:name w:val="Date"/>
    <w:next w:val="BodyText"/>
    <w:qFormat/>
    <w:pPr>
      <w:keepNext/>
      <w:keepLines/>
      <w:spacing w:after="200"/>
      <w:jc w:val="center"/>
    </w:pPr>
    <w:rPr>
      <w:rFonts w:ascii="Arial" w:hAnsi="Arial"/>
      <w:sz w:val="24"/>
    </w:rPr>
  </w:style>
  <w:style w:customStyle="1" w:styleId="Abstract" w:type="paragraph">
    <w:name w:val="Abstract"/>
    <w:basedOn w:val="Normal"/>
    <w:next w:val="BodyText"/>
    <w:qFormat/>
    <w:pPr>
      <w:keepNext/>
      <w:keepLines/>
      <w:spacing w:after="300" w:before="300"/>
    </w:pPr>
    <w:rPr>
      <w:rFonts w:ascii="Times New Roman" w:hAnsi="Times New Roman"/>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line="240" w:lineRule="auto"/>
      <w:ind w:firstLine="0" w:left="480" w:right="480"/>
    </w:pPr>
  </w:style>
  <w:style w:styleId="FootnoteText" w:type="paragraph">
    <w:name w:val="footnote text"/>
    <w:basedOn w:val="Normal"/>
    <w:uiPriority w:val="9"/>
    <w:unhideWhenUsed/>
    <w:qFormat/>
    <w:pPr>
      <w:spacing w:after="202"/>
      <w:contextualSpacing/>
    </w:pPr>
    <w:rPr>
      <w:sz w:val="20"/>
    </w:rPr>
  </w:style>
  <w:style w:customStyle="1" w:styleId="DefinitionTerm" w:type="paragraph">
    <w:name w:val="Definition Term"/>
    <w:basedOn w:val="Normal"/>
    <w:next w:val="Definition"/>
    <w:qFormat/>
    <w:pPr>
      <w:keepNext/>
      <w:keepLines/>
      <w:spacing w:after="0"/>
    </w:pPr>
    <w:rPr>
      <w:b/>
    </w:rPr>
  </w:style>
  <w:style w:customStyle="1" w:styleId="Definition" w:type="paragraph">
    <w:name w:val="Definition"/>
    <w:basedOn w:val="Normal"/>
    <w:qFormat/>
  </w:style>
  <w:style w:customStyle="1" w:styleId="TableCaption" w:type="paragraph">
    <w:name w:val="Table Caption"/>
    <w:basedOn w:val="Caption"/>
    <w:qFormat/>
    <w:pPr>
      <w:keepNext/>
    </w:pPr>
  </w:style>
  <w:style w:customStyle="1" w:styleId="ImageCaption" w:type="paragraph">
    <w:name w:val="Image Caption"/>
    <w:basedOn w:val="Caption"/>
    <w:qFormat/>
  </w:style>
  <w:style w:customStyle="1" w:styleId="Figure" w:type="paragraph">
    <w:name w:val="Figure"/>
    <w:basedOn w:val="Normal"/>
    <w:qFormat/>
  </w:style>
  <w:style w:customStyle="1" w:styleId="CaptionedFigure" w:type="paragraph">
    <w:name w:val="Captioned Figure"/>
    <w:basedOn w:val="Figure"/>
    <w:qFormat/>
    <w:pPr>
      <w:keepNext/>
    </w:pPr>
  </w:style>
  <w:style w:styleId="TOCHeading" w:type="paragraph">
    <w:name w:val="TOC Heading"/>
    <w:basedOn w:val="Heading1"/>
    <w:next w:val="BodyText"/>
    <w:uiPriority w:val="39"/>
    <w:unhideWhenUsed/>
    <w:qFormat/>
    <w:pPr>
      <w:spacing w:after="0" w:before="240" w:line="259" w:lineRule="auto"/>
    </w:pPr>
    <w:rPr>
      <w:rFonts w:asciiTheme="majorHAnsi" w:hAnsiTheme="majorHAnsi"/>
      <w:b w:val="0"/>
      <w:bCs w:val="0"/>
      <w:color w:themeColor="accent1" w:themeShade="BF" w:val="365F91"/>
    </w:rPr>
  </w:style>
  <w:style w:styleId="BodyTextIndent" w:type="paragraph">
    <w:name w:val="Body Text Indent"/>
    <w:basedOn w:val="BodyText"/>
    <w:qFormat/>
    <w:pPr>
      <w:ind w:firstLine="283"/>
    </w:pPr>
  </w:style>
  <w:style w:customStyle="1" w:styleId="HeaderandFooter" w:type="paragraph">
    <w:name w:val="Header and Footer"/>
    <w:basedOn w:val="Normal"/>
    <w:qFormat/>
    <w:pPr>
      <w:suppressLineNumbers/>
      <w:tabs>
        <w:tab w:pos="4680" w:val="center"/>
        <w:tab w:pos="9360" w:val="right"/>
      </w:tabs>
    </w:pPr>
  </w:style>
  <w:style w:styleId="Footer" w:type="paragraph">
    <w:name w:val="footer"/>
    <w:basedOn w:val="HeaderandFooter"/>
    <w:link w:val="FooterChar"/>
    <w:uiPriority w:val="99"/>
    <w:pPr>
      <w:spacing w:after="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tcPr>
        <w:tcBorders>
          <w:bottom w:color="auto" w:space="0" w:sz="0" w:val="single"/>
        </w:tcBorders>
        <w:vAlign w:val="bottom"/>
      </w:tcPr>
    </w:tblStylePr>
  </w:style>
  <w:style w:styleId="Header" w:type="paragraph">
    <w:name w:val="header"/>
    <w:basedOn w:val="Normal"/>
    <w:link w:val="HeaderChar"/>
    <w:unhideWhenUsed/>
    <w:rsid w:val="000B2557"/>
    <w:pPr>
      <w:tabs>
        <w:tab w:pos="4680" w:val="center"/>
        <w:tab w:pos="9360" w:val="right"/>
      </w:tabs>
      <w:spacing w:after="0"/>
    </w:pPr>
  </w:style>
  <w:style w:customStyle="1" w:styleId="HeaderChar" w:type="character">
    <w:name w:val="Header Char"/>
    <w:basedOn w:val="DefaultParagraphFont"/>
    <w:link w:val="Header"/>
    <w:rsid w:val="000B2557"/>
    <w:rPr>
      <w:sz w:val="24"/>
    </w:rPr>
  </w:style>
  <w:style w:customStyle="1" w:styleId="FooterChar" w:type="character">
    <w:name w:val="Footer Char"/>
    <w:basedOn w:val="DefaultParagraphFont"/>
    <w:link w:val="Footer"/>
    <w:uiPriority w:val="99"/>
    <w:rsid w:val="000B2557"/>
    <w:rPr>
      <w:sz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https://doi.org/10.1002/smj.2407" TargetMode="External" /><Relationship Type="http://schemas.openxmlformats.org/officeDocument/2006/relationships/hyperlink" Id="rId26" Target="https://doi.org/10.1002/smj.2629" TargetMode="External" /><Relationship Type="http://schemas.openxmlformats.org/officeDocument/2006/relationships/hyperlink" Id="rId31" Target="https://doi.org/10.1038/510465a" TargetMode="External" /><Relationship Type="http://schemas.openxmlformats.org/officeDocument/2006/relationships/hyperlink" Id="rId22" Target="https://doi.org/10.1111/j.1530-9134.2009.00210.x" TargetMode="External" /><Relationship Type="http://schemas.openxmlformats.org/officeDocument/2006/relationships/hyperlink" Id="rId33" Target="https://doi.org/10.1177/00018392211005756" TargetMode="External" /><Relationship Type="http://schemas.openxmlformats.org/officeDocument/2006/relationships/hyperlink" Id="rId24" Target="https://doi.org/10.1177/1086026619888994" TargetMode="External" /><Relationship Type="http://schemas.openxmlformats.org/officeDocument/2006/relationships/hyperlink" Id="rId29" Target="https://doi.org/10.5465/amj.2009.3646199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02/smj.2407" TargetMode="External" /><Relationship Type="http://schemas.openxmlformats.org/officeDocument/2006/relationships/hyperlink" Id="rId26" Target="https://doi.org/10.1002/smj.2629" TargetMode="External" /><Relationship Type="http://schemas.openxmlformats.org/officeDocument/2006/relationships/hyperlink" Id="rId31" Target="https://doi.org/10.1038/510465a" TargetMode="External" /><Relationship Type="http://schemas.openxmlformats.org/officeDocument/2006/relationships/hyperlink" Id="rId22" Target="https://doi.org/10.1111/j.1530-9134.2009.00210.x" TargetMode="External" /><Relationship Type="http://schemas.openxmlformats.org/officeDocument/2006/relationships/hyperlink" Id="rId33" Target="https://doi.org/10.1177/00018392211005756" TargetMode="External" /><Relationship Type="http://schemas.openxmlformats.org/officeDocument/2006/relationships/hyperlink" Id="rId24" Target="https://doi.org/10.1177/1086026619888994" TargetMode="External" /><Relationship Type="http://schemas.openxmlformats.org/officeDocument/2006/relationships/hyperlink" Id="rId29" Target="https://doi.org/10.5465/amj.2009.364619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Discourse and Institutions: Why Keystone XL Was Approved, and Why It Was Not</dc:title>
  <dc:creator>jbarg.phd@ivey.ca Ivey Business School</dc:creator>
  <cp:keywords/>
  <dcterms:created xsi:type="dcterms:W3CDTF">2021-07-06T18:47:31Z</dcterms:created>
  <dcterms:modified xsi:type="dcterms:W3CDTF">2021-07-06T18:47:31Z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ies>
</file>