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Discourse–Theory</w:t>
      </w:r>
      <w:r>
        <w:t xml:space="preserve"> </w:t>
      </w:r>
      <w:r>
        <w:t xml:space="preserve">and</w:t>
      </w:r>
      <w:r>
        <w:t xml:space="preserve"> </w:t>
      </w:r>
      <w:r>
        <w:t xml:space="preserve">Literature</w:t>
      </w:r>
    </w:p>
    <w:p>
      <w:pPr>
        <w:pStyle w:val="Author"/>
      </w:pPr>
      <w:r>
        <w:t xml:space="preserve">Barg,</w:t>
      </w:r>
      <w:r>
        <w:t xml:space="preserve"> </w:t>
      </w:r>
      <w:r>
        <w:t xml:space="preserve">Julian</w:t>
      </w:r>
      <w:r>
        <w:br/>
      </w:r>
      <w:r>
        <w:rPr>
          <w:rStyle w:val="VerbatimChar"/>
        </w:rPr>
        <w:t xml:space="preserve">jbarg.phd@ivey.ca</w:t>
      </w:r>
      <w:r>
        <w:br/>
      </w:r>
      <w:r>
        <w:t xml:space="preserve">Ivey</w:t>
      </w:r>
      <w:r>
        <w:t xml:space="preserve"> </w:t>
      </w:r>
      <w:r>
        <w:t xml:space="preserve">Business</w:t>
      </w:r>
      <w:r>
        <w:t xml:space="preserve"> </w:t>
      </w:r>
      <w:r>
        <w:t xml:space="preserve">School</w:t>
      </w:r>
    </w:p>
    <w:p>
      <w:pPr>
        <w:pStyle w:val="FirstParagraph"/>
      </w:pPr>
      <w:r>
        <w:rPr>
          <w:iCs/>
          <w:i/>
        </w:rPr>
        <w:t xml:space="preserve">Discourse</w:t>
      </w:r>
      <w:r>
        <w:t xml:space="preserve"> </w:t>
      </w:r>
      <w:r>
        <w:t xml:space="preserve">is not an imposing concept. The name of the accompanying method–</w:t>
      </w:r>
      <w:r>
        <w:rPr>
          <w:iCs/>
          <w:i/>
        </w:rPr>
        <w:t xml:space="preserve">discourse analysis</w:t>
      </w:r>
      <w:r>
        <w:t xml:space="preserve">–pretty much speaks for itself. A layman’s understanding of "discourse" is not too far off (except for the way that Foucault uses the term). The word</w:t>
      </w:r>
      <w:r>
        <w:t xml:space="preserve"> </w:t>
      </w:r>
      <w:r>
        <w:rPr>
          <w:iCs/>
          <w:i/>
        </w:rPr>
        <w:t xml:space="preserve">discourse</w:t>
      </w:r>
      <w:r>
        <w:t xml:space="preserve"> </w:t>
      </w:r>
      <w:r>
        <w:t xml:space="preserve">is often casually used in the OT literature. And qualitative empirical work, such as</w:t>
      </w:r>
      <w:r>
        <w:t xml:space="preserve"> </w:t>
      </w:r>
      <w:r>
        <w:rPr>
          <w:iCs/>
          <w:i/>
        </w:rPr>
        <w:t xml:space="preserve">frame analysis</w:t>
      </w:r>
      <w:r>
        <w:t xml:space="preserve">, often constitutes a sort of discourse analysis. But few are talking</w:t>
      </w:r>
      <w:r>
        <w:t xml:space="preserve"> </w:t>
      </w:r>
      <w:r>
        <w:rPr>
          <w:iCs/>
          <w:i/>
        </w:rPr>
        <w:t xml:space="preserve">specifically</w:t>
      </w:r>
      <w:r>
        <w:t xml:space="preserve"> </w:t>
      </w:r>
      <w:r>
        <w:t xml:space="preserve">about discourse as a concept or process. In the OT literature Maguire and Hardy hold a virtual monopoly on</w:t>
      </w:r>
      <w:r>
        <w:t xml:space="preserve"> </w:t>
      </w:r>
      <w:r>
        <w:rPr>
          <w:iCs/>
          <w:i/>
        </w:rPr>
        <w:t xml:space="preserve">recent</w:t>
      </w:r>
      <w:r>
        <w:t xml:space="preserve"> </w:t>
      </w:r>
      <w:r>
        <w:t xml:space="preserve">work: there are two dormant conversations–one in</w:t>
      </w:r>
      <w:r>
        <w:t xml:space="preserve"> </w:t>
      </w:r>
      <w:r>
        <w:rPr>
          <w:iCs/>
          <w:i/>
        </w:rPr>
        <w:t xml:space="preserve">Organizations</w:t>
      </w:r>
      <w:r>
        <w:t xml:space="preserve"> </w:t>
      </w:r>
      <w:r>
        <w:t xml:space="preserve">(e.g., Burrell 2000)</w:t>
      </w:r>
      <w:r>
        <w:t xml:space="preserve"> </w:t>
      </w:r>
      <w:r>
        <w:t xml:space="preserve">and one in</w:t>
      </w:r>
      <w:r>
        <w:t xml:space="preserve"> </w:t>
      </w:r>
      <w:r>
        <w:rPr>
          <w:iCs/>
          <w:i/>
        </w:rPr>
        <w:t xml:space="preserve">Organization Science</w:t>
      </w:r>
      <w:r>
        <w:t xml:space="preserve"> </w:t>
      </w:r>
      <w:r>
        <w:t xml:space="preserve">(e.g., Grant and Hardy 2004)</w:t>
      </w:r>
      <w:r>
        <w:t xml:space="preserve">.</w:t>
      </w:r>
    </w:p>
    <w:p>
      <w:pPr>
        <w:pStyle w:val="BodyText"/>
      </w:pPr>
      <w:r>
        <w:t xml:space="preserve">Most works of Maguire and Hardy follow a similar pattern, with only slight changes over time. The articles shine light on the discourse around chemicals–specifically, DDT, BPA, and VAM. The articles usually take after the work of</w:t>
      </w:r>
      <w:r>
        <w:t xml:space="preserve"> </w:t>
      </w:r>
      <w:r>
        <w:t xml:space="preserve">(Fairclough 1992)</w:t>
      </w:r>
      <w:r>
        <w:t xml:space="preserve">, who attempted a synthesis of authors as diverse as Foucault, Giddens and Habermas. In the front end, their papers generally provide some form of introduction to discourse, beginning with very basic concepts in the early years. For instance, the first empirical paper introduces front and center the</w:t>
      </w:r>
      <w:r>
        <w:t xml:space="preserve"> </w:t>
      </w:r>
      <w:r>
        <w:rPr>
          <w:iCs/>
          <w:i/>
        </w:rPr>
        <w:t xml:space="preserve">social construction</w:t>
      </w:r>
      <w:r>
        <w:t xml:space="preserve"> </w:t>
      </w:r>
      <w:r>
        <w:t xml:space="preserve">of</w:t>
      </w:r>
      <w:r>
        <w:t xml:space="preserve"> </w:t>
      </w:r>
      <w:r>
        <w:rPr>
          <w:iCs/>
          <w:i/>
        </w:rPr>
        <w:t xml:space="preserve">objects</w:t>
      </w:r>
      <w:r>
        <w:t xml:space="preserve"> </w:t>
      </w:r>
      <w:r>
        <w:t xml:space="preserve">through discourse, and the crucial role of this process for the formation of institutional fields</w:t>
      </w:r>
      <w:r>
        <w:t xml:space="preserve"> </w:t>
      </w:r>
      <w:r>
        <w:t xml:space="preserve">(Hardy and Phillips 1999)</w:t>
      </w:r>
      <w:r>
        <w:t xml:space="preserve">.</w:t>
      </w:r>
    </w:p>
    <w:p>
      <w:pPr>
        <w:pStyle w:val="BodyText"/>
      </w:pPr>
      <w:r>
        <w:t xml:space="preserve">A full discussion of the theoretical underpinnings of this current strain of discourse analysis in the mainstream OT literature can be found in</w:t>
      </w:r>
      <w:r>
        <w:t xml:space="preserve"> </w:t>
      </w:r>
      <w:r>
        <w:t xml:space="preserve">Phillips, Lawrence, and Hardy (2004)</w:t>
      </w:r>
      <w:r>
        <w:t xml:space="preserve">. The article highlights the importance of language for the formation of institutions. Institutions, so the claim, cannot be understood without an analysis of the accompanying language in the form of "a discourse that constitutes [the institution]" (p. 647). The article holds a promise: find me the appropriate body of corpus of texts, and I can show you the world. And in the conclusion a preview of things to come: an analysis of texts and their fate–either being ignored or becoming canon–"reconnects institutional theory to a concern with power and politics" (p. 648).</w:t>
      </w:r>
    </w:p>
    <w:p>
      <w:pPr>
        <w:pStyle w:val="BodyText"/>
      </w:pPr>
      <w:r>
        <w:t xml:space="preserve">Two examples of their early work shall illuminate the kinds of texts usually selected for analysis</w:t>
      </w:r>
      <w:r>
        <w:t xml:space="preserve"> </w:t>
      </w:r>
      <w:r>
        <w:t xml:space="preserve">(Maguire and Hardy 2006; Hardy and Maguire 2010)</w:t>
      </w:r>
      <w:r>
        <w:t xml:space="preserve">. The articles analyze the Stockholm Convention on Persistent Organic Pollutants. As with their other works, Maguire &amp; Hardy focus on the specific discursive event, with most data being either conference documents, or documents that directly influence the debate. The coded data reveals a discursive construction process that is bound in time and space. The contribution stems both from empirically demonstrating the process of social construction of the new object through discourse, and from shedding additional light on specific concepts within the discourse literature. For instance,</w:t>
      </w:r>
      <w:r>
        <w:t xml:space="preserve"> </w:t>
      </w:r>
      <w:r>
        <w:t xml:space="preserve">Maguire and Hardy (2006)</w:t>
      </w:r>
      <w:r>
        <w:t xml:space="preserve"> </w:t>
      </w:r>
      <w:r>
        <w:t xml:space="preserve">demonstrates how the present and the past are intertwined in discourse. Actors either</w:t>
      </w:r>
      <w:r>
        <w:t xml:space="preserve"> </w:t>
      </w:r>
      <w:r>
        <w:rPr>
          <w:iCs/>
          <w:i/>
        </w:rPr>
        <w:t xml:space="preserve">reconcile</w:t>
      </w:r>
      <w:r>
        <w:t xml:space="preserve"> </w:t>
      </w:r>
      <w:r>
        <w:t xml:space="preserve">their standpoint or with legacy discourse, or they</w:t>
      </w:r>
      <w:r>
        <w:t xml:space="preserve"> </w:t>
      </w:r>
      <w:r>
        <w:rPr>
          <w:iCs/>
          <w:i/>
        </w:rPr>
        <w:t xml:space="preserve">challenge</w:t>
      </w:r>
      <w:r>
        <w:t xml:space="preserve"> </w:t>
      </w:r>
      <w:r>
        <w:t xml:space="preserve">the existing discourse–regardless, past discourse acts as a reference point and new texts do not stand in a vacuum. Similarly,</w:t>
      </w:r>
      <w:r>
        <w:t xml:space="preserve"> </w:t>
      </w:r>
      <w:r>
        <w:t xml:space="preserve">Hardy and Maguire (2010)</w:t>
      </w:r>
      <w:r>
        <w:t xml:space="preserve"> </w:t>
      </w:r>
      <w:r>
        <w:t xml:space="preserve">focuses on the role of</w:t>
      </w:r>
      <w:r>
        <w:t xml:space="preserve"> </w:t>
      </w:r>
      <w:r>
        <w:rPr>
          <w:iCs/>
          <w:i/>
        </w:rPr>
        <w:t xml:space="preserve">narratives</w:t>
      </w:r>
      <w:r>
        <w:t xml:space="preserve">.</w:t>
      </w:r>
    </w:p>
    <w:p>
      <w:pPr>
        <w:pStyle w:val="BodyText"/>
      </w:pPr>
      <w:r>
        <w:t xml:space="preserve">At the same time,</w:t>
      </w:r>
      <w:r>
        <w:t xml:space="preserve"> </w:t>
      </w:r>
      <w:r>
        <w:t xml:space="preserve">Lok and Willmott (2006)</w:t>
      </w:r>
      <w:r>
        <w:t xml:space="preserve"> </w:t>
      </w:r>
      <w:r>
        <w:t xml:space="preserve">point out that the analysis of language is not followed all the way through–we shall return to their comments later. In Maguire &amp; Hardy’s empirical work, there is an–arguably necessary–selection taking place. What makes their work stand out</w:t>
      </w:r>
      <w:r>
        <w:rPr>
          <w:rStyle w:val="FootnoteReference"/>
        </w:rPr>
        <w:footnoteReference w:id="20"/>
      </w:r>
      <w:r>
        <w:t xml:space="preserve"> </w:t>
      </w:r>
      <w:r>
        <w:t xml:space="preserve">is their resolute focus on texts, and the entirely empirical demonstration of concepts, that allows for their work to stand side by side with quantitative work</w:t>
      </w:r>
      <w:r>
        <w:t xml:space="preserve"> </w:t>
      </w:r>
      <w:r>
        <w:t xml:space="preserve">(cf. Phillips, Lawrence, and Hardy 2004)</w:t>
      </w:r>
      <w:r>
        <w:t xml:space="preserve">. Over time, they have included a broader array of materials in their work, as a comparison between two of their articles on</w:t>
      </w:r>
      <w:r>
        <w:t xml:space="preserve"> </w:t>
      </w:r>
      <w:r>
        <w:rPr>
          <w:iCs/>
          <w:i/>
        </w:rPr>
        <w:t xml:space="preserve">translation</w:t>
      </w:r>
      <w:r>
        <w:t xml:space="preserve"> </w:t>
      </w:r>
      <w:r>
        <w:t xml:space="preserve">shall demonstrate</w:t>
      </w:r>
      <w:r>
        <w:t xml:space="preserve"> </w:t>
      </w:r>
      <w:r>
        <w:t xml:space="preserve">(Maguire and Hardy 2009; Hardy and Maguire 2020)</w:t>
      </w:r>
      <w:r>
        <w:t xml:space="preserve">.</w:t>
      </w:r>
    </w:p>
    <w:bookmarkStart w:id="22" w:name="translation-and-chains-of-actors"/>
    <w:p>
      <w:pPr>
        <w:pStyle w:val="Heading2"/>
      </w:pPr>
      <w:r>
        <w:t xml:space="preserve">Translation and Chains of Actors</w:t>
      </w:r>
    </w:p>
    <w:p>
      <w:pPr>
        <w:pStyle w:val="FirstParagraph"/>
      </w:pPr>
      <w:r>
        <w:rPr>
          <w:iCs/>
          <w:i/>
        </w:rPr>
        <w:t xml:space="preserve">Translation</w:t>
      </w:r>
      <w:r>
        <w:t xml:space="preserve"> </w:t>
      </w:r>
      <w:r>
        <w:t xml:space="preserve">is a great example both of the merit of Maguire &amp; Hardy’s work, and on opportunities for extension, as translation is a central concept in Actor-Network Theory. It describes how a sign or token–such as "DDT"–does not take its meaning from an initial power or force with enough inertia for it to "survive" rounds of transmission. Rather, the meaning of the sign is derived from the entirety of translations that have taken place. Each and every participant in the chain of translations is an actor who has a part in the perpetuation and inevitable alteration of the sign</w:t>
      </w:r>
      <w:r>
        <w:t xml:space="preserve"> </w:t>
      </w:r>
      <w:r>
        <w:t xml:space="preserve">(Latour 2005)</w:t>
      </w:r>
      <w:r>
        <w:t xml:space="preserve">. For instance power is not constituted by the existence of the "power</w:t>
      </w:r>
      <w:r>
        <w:rPr>
          <w:iCs/>
          <w:i/>
        </w:rPr>
        <w:t xml:space="preserve">ful</w:t>
      </w:r>
      <w:r>
        <w:t xml:space="preserve">", an individual who "hoards" power. Rather it is the many individuals who act on command–and while doing so interpret the order–who allow for power to exist. Power, like other signs, is constituted by its application and cannot be directly stored</w:t>
      </w:r>
      <w:r>
        <w:t xml:space="preserve"> </w:t>
      </w:r>
      <w:r>
        <w:t xml:space="preserve">(Latour 1984)</w:t>
      </w:r>
      <w:r>
        <w:t xml:space="preserve">.</w:t>
      </w:r>
      <w:r>
        <w:rPr>
          <w:rStyle w:val="FootnoteReference"/>
        </w:rPr>
        <w:footnoteReference w:id="21"/>
      </w:r>
      <w:r>
        <w:t xml:space="preserve"> </w:t>
      </w:r>
      <w:r>
        <w:t xml:space="preserve">The result is a</w:t>
      </w:r>
      <w:r>
        <w:t xml:space="preserve"> </w:t>
      </w:r>
      <w:r>
        <w:rPr>
          <w:iCs/>
          <w:i/>
        </w:rPr>
        <w:t xml:space="preserve">star-shaped</w:t>
      </w:r>
      <w:r>
        <w:t xml:space="preserve"> </w:t>
      </w:r>
      <w:r>
        <w:t xml:space="preserve">(cf. Nicolini 2009)</w:t>
      </w:r>
      <w:r>
        <w:t xml:space="preserve"> </w:t>
      </w:r>
      <w:r>
        <w:t xml:space="preserve">practice as connected individuals share common understandings of signs that can be identified through research.</w:t>
      </w:r>
    </w:p>
    <w:p>
      <w:pPr>
        <w:pStyle w:val="BodyText"/>
      </w:pPr>
      <w:r>
        <w:t xml:space="preserve">Maguire and Hardy (2009)</w:t>
      </w:r>
      <w:r>
        <w:t xml:space="preserve"> </w:t>
      </w:r>
      <w:r>
        <w:t xml:space="preserve">emphasizes the transformative character of translation. The article begins to introduces the notion of a negotiated understanding of DDT. The final understanding is shown not to be a direct adoption of the findings in Rachel Carson’s</w:t>
      </w:r>
      <w:r>
        <w:t xml:space="preserve"> </w:t>
      </w:r>
      <w:r>
        <w:rPr>
          <w:iCs/>
          <w:i/>
        </w:rPr>
        <w:t xml:space="preserve">Silent Spring</w:t>
      </w:r>
      <w:r>
        <w:t xml:space="preserve">.</w:t>
      </w:r>
      <w:r>
        <w:t xml:space="preserve"> </w:t>
      </w:r>
      <w:r>
        <w:rPr>
          <w:iCs/>
          <w:i/>
        </w:rPr>
        <w:t xml:space="preserve">Silent Spring</w:t>
      </w:r>
      <w:r>
        <w:t xml:space="preserve"> </w:t>
      </w:r>
      <w:r>
        <w:t xml:space="preserve">problematizes multiple issues concerning DDT and pesticides more generally. As experts in other areas investigate those problematizations, some persist, relatively unscathed, while others are dropped or altered. Rachel Carson’s claim regarding the dangers for human health for instance is qualified–its negative impacts are subsequently regarded as neither proven, nor disproven.</w:t>
      </w:r>
      <w:r>
        <w:t xml:space="preserve"> </w:t>
      </w:r>
      <w:r>
        <w:t xml:space="preserve">Maguire and Hardy (2009)</w:t>
      </w:r>
      <w:r>
        <w:t xml:space="preserve"> </w:t>
      </w:r>
      <w:r>
        <w:t xml:space="preserve">only begins to shake the image of the "hypermaskular"</w:t>
      </w:r>
      <w:r>
        <w:t xml:space="preserve"> </w:t>
      </w:r>
      <w:r>
        <w:t xml:space="preserve">(cf. Suddaby, Bitektine, and Haack 2017)</w:t>
      </w:r>
      <w:r>
        <w:t xml:space="preserve"> </w:t>
      </w:r>
      <w:r>
        <w:t xml:space="preserve">institutional actor. The agency of others only comes into play when they interpret her accounts.</w:t>
      </w:r>
    </w:p>
    <w:p>
      <w:pPr>
        <w:pStyle w:val="BodyText"/>
      </w:pPr>
      <w:r>
        <w:t xml:space="preserve">In contrast–and while the conceptualization of translation in the front end changes relatively little–</w:t>
      </w:r>
      <w:r>
        <w:t xml:space="preserve">Hardy and Maguire (2020)</w:t>
      </w:r>
      <w:r>
        <w:t xml:space="preserve"> </w:t>
      </w:r>
      <w:r>
        <w:t xml:space="preserve">demonstrates the simultaneous investigation into BPA at multiple points in a network, by researchers from different disciplines, governments, and businesses in different countries. The translation process here is an inherently social one, where multiple events occur at multiple places at the same time. Toxicologists question the notion that the "dose makes the poison", while endocrinologists research the potential for BPA to interact with cellular hormone receptors, and Canadian retailers reconsider their reputational risk and the potential backlash from consumers, returning products in the thousands. In the words of</w:t>
      </w:r>
      <w:r>
        <w:t xml:space="preserve"> </w:t>
      </w:r>
      <w:r>
        <w:t xml:space="preserve">Latour (1984)</w:t>
      </w:r>
      <w:r>
        <w:t xml:space="preserve">: "the chain is made of</w:t>
      </w:r>
      <w:r>
        <w:t xml:space="preserve"> </w:t>
      </w:r>
      <w:r>
        <w:rPr>
          <w:iCs/>
          <w:i/>
        </w:rPr>
        <w:t xml:space="preserve">actors</w:t>
      </w:r>
      <w:r>
        <w:t xml:space="preserve">" (p. 269, emphasis in original).</w:t>
      </w:r>
    </w:p>
    <w:bookmarkEnd w:id="22"/>
    <w:bookmarkStart w:id="23" w:name="production-of-texts"/>
    <w:p>
      <w:pPr>
        <w:pStyle w:val="Heading2"/>
      </w:pPr>
      <w:r>
        <w:t xml:space="preserve">Production of Texts</w:t>
      </w:r>
    </w:p>
    <w:p>
      <w:pPr>
        <w:pStyle w:val="FirstParagraph"/>
      </w:pPr>
      <w:r>
        <w:t xml:space="preserve">Over time, Maguire &amp; Hardy redirected the attention of their empirical inquiry toward interaction between many actors. Yet, the conceptualization of institutional work processes underlying Maguire &amp; Hardy’s empirical work–</w:t>
      </w:r>
      <w:r>
        <w:t xml:space="preserve">Phillips, Lawrence, and Hardy (2004)</w:t>
      </w:r>
      <w:r>
        <w:t xml:space="preserve">–is incomplete</w:t>
      </w:r>
      <w:r>
        <w:t xml:space="preserve"> </w:t>
      </w:r>
      <w:r>
        <w:t xml:space="preserve">(Lok and Willmott 2006)</w:t>
      </w:r>
      <w:r>
        <w:t xml:space="preserve">. Their approach to discourse analysis applies a constructivist lens only to the production of knowledge on objects. When attending to texts, Maguire &amp; Hardy tend to switch to a "realist mode":</w:t>
      </w:r>
    </w:p>
    <w:p>
      <w:pPr>
        <w:pStyle w:val="BlockText"/>
      </w:pPr>
      <w:r>
        <w:t xml:space="preserve">"Symptomatic of this realist mode is the absence of any indication of (reflexive) awareness of how the identification of actions, texts, and so forth is itself an articulation of specific (and contested) language games. Instead, key components of Phillips et al.’s ’discursive model of institutionalization’ [...] are represented as if they are immediately accessible"</w:t>
      </w:r>
      <w:r>
        <w:t xml:space="preserve"> </w:t>
      </w:r>
      <w:r>
        <w:t xml:space="preserve">(Lok and Willmott 2006, 478)</w:t>
      </w:r>
      <w:r>
        <w:t xml:space="preserve">.</w:t>
      </w:r>
    </w:p>
    <w:p>
      <w:pPr>
        <w:pStyle w:val="FirstParagraph"/>
      </w:pPr>
      <w:r>
        <w:t xml:space="preserve">In the empirical work on discourse,</w:t>
      </w:r>
      <w:r>
        <w:t xml:space="preserve"> </w:t>
      </w:r>
      <w:r>
        <w:t xml:space="preserve">Maguire and Hardy (2009)</w:t>
      </w:r>
      <w:r>
        <w:t xml:space="preserve"> </w:t>
      </w:r>
      <w:r>
        <w:t xml:space="preserve">provides a lonely glance of what the constructivist mode would look like in the empirical analysis of texts. After Carlson publishes</w:t>
      </w:r>
      <w:r>
        <w:t xml:space="preserve"> </w:t>
      </w:r>
      <w:r>
        <w:rPr>
          <w:iCs/>
          <w:i/>
        </w:rPr>
        <w:t xml:space="preserve">Silent Spring</w:t>
      </w:r>
      <w:r>
        <w:t xml:space="preserve">, the chemical industry publishes various countertexts that try to disrupt Carson’s participation in the discourse. These countertexts are not limited to</w:t>
      </w:r>
      <w:r>
        <w:t xml:space="preserve"> </w:t>
      </w:r>
      <w:r>
        <w:rPr>
          <w:iCs/>
          <w:i/>
        </w:rPr>
        <w:t xml:space="preserve">challenging</w:t>
      </w:r>
      <w:r>
        <w:t xml:space="preserve"> </w:t>
      </w:r>
      <w:r>
        <w:t xml:space="preserve">the validity of Carson’s statements in her book</w:t>
      </w:r>
      <w:r>
        <w:t xml:space="preserve"> </w:t>
      </w:r>
      <w:r>
        <w:t xml:space="preserve">(cf. Maguire and Hardy 2006)</w:t>
      </w:r>
      <w:r>
        <w:t xml:space="preserve">. Rather, they challenge the legitimacy of Carson’s participation in the discourse. Carson’s "allegations" meet industry "facts" and her words should not be taken "at face value"</w:t>
      </w:r>
      <w:r>
        <w:t xml:space="preserve"> </w:t>
      </w:r>
      <w:r>
        <w:t xml:space="preserve">(Maguire and Hardy 2009, 165)</w:t>
      </w:r>
      <w:r>
        <w:t xml:space="preserve">. Concerns are raised about the "emotional outbursts" in her book and because she is a women</w:t>
      </w:r>
      <w:r>
        <w:t xml:space="preserve"> </w:t>
      </w:r>
      <w:r>
        <w:t xml:space="preserve">(Nicolini 2009, 166)</w:t>
      </w:r>
      <w:r>
        <w:t xml:space="preserve">. These findings speak to the taken-for-grantedness of the institution, ad how it is defended</w:t>
      </w:r>
      <w:r>
        <w:t xml:space="preserve"> </w:t>
      </w:r>
      <w:r>
        <w:t xml:space="preserve">(Steele 2021)</w:t>
      </w:r>
      <w:r>
        <w:t xml:space="preserve">. Arguments are not limited to</w:t>
      </w:r>
      <w:r>
        <w:t xml:space="preserve"> </w:t>
      </w:r>
      <w:r>
        <w:rPr>
          <w:iCs/>
          <w:i/>
        </w:rPr>
        <w:t xml:space="preserve">challenging</w:t>
      </w:r>
      <w:r>
        <w:t xml:space="preserve"> </w:t>
      </w:r>
      <w:r>
        <w:t xml:space="preserve">and</w:t>
      </w:r>
      <w:r>
        <w:t xml:space="preserve"> </w:t>
      </w:r>
      <w:r>
        <w:rPr>
          <w:iCs/>
          <w:i/>
        </w:rPr>
        <w:t xml:space="preserve">reconciling</w:t>
      </w:r>
      <w:r>
        <w:t xml:space="preserve"> </w:t>
      </w:r>
      <w:r>
        <w:t xml:space="preserve">(Maguire and Hardy 2006)</w:t>
      </w:r>
      <w:r>
        <w:t xml:space="preserve"> </w:t>
      </w:r>
      <w:r>
        <w:t xml:space="preserve">but concern the admissibility of accounts into the discourse.</w:t>
      </w:r>
    </w:p>
    <w:bookmarkEnd w:id="23"/>
    <w:bookmarkStart w:id="25" w:name="research-opportunity"/>
    <w:p>
      <w:pPr>
        <w:pStyle w:val="Heading2"/>
      </w:pPr>
      <w:r>
        <w:t xml:space="preserve">Research Opportunity</w:t>
      </w:r>
    </w:p>
    <w:p>
      <w:pPr>
        <w:pStyle w:val="FirstParagraph"/>
      </w:pPr>
      <w:r>
        <w:t xml:space="preserve">We can build on Maguire &amp; Hardy’s empirical research on discourse and extend their models by focusing on the construction of accounts. What texts and accounts become "officially sanctioned" and enter the discourse? My last note included five empirical examples that I will interpret accordingly.</w:t>
      </w:r>
    </w:p>
    <w:p>
      <w:pPr>
        <w:pStyle w:val="BlockText"/>
      </w:pPr>
      <w:r>
        <w:t xml:space="preserve">(1) In an official meeting of the Nebraska Natural Resource Committee between the legislature, TransCanada, and the Sierra Club, the participants celebrate the latest decision to reroute Keystone XL and conduct a state-funded Environmental Impact Assessment. Senator Mark Christensen presses for Ken Winston of the Sierra Club to abide by the new status quo and cease resistance against the new route, since the demands of the Sierra Club were met</w:t>
      </w:r>
      <w:r>
        <w:t xml:space="preserve"> </w:t>
      </w:r>
      <w:r>
        <w:t xml:space="preserve">(NRC 2011)</w:t>
      </w:r>
      <w:r>
        <w:t xml:space="preserve">.</w:t>
      </w:r>
    </w:p>
    <w:p>
      <w:pPr>
        <w:pStyle w:val="FirstParagraph"/>
      </w:pPr>
      <w:r>
        <w:t xml:space="preserve">Previous exchanges between the Sierra Club and the Nebraska legislature focused on the rerouting of the Keystone XL pipeline. Senator Mark Christensen attempts to exert social pressure on the representative of the Sierra Club and hold him to his past stance as calls for the cancellation of Keystone XL are on the horizon.</w:t>
      </w:r>
    </w:p>
    <w:p>
      <w:pPr>
        <w:pStyle w:val="BlockText"/>
      </w:pPr>
      <w:r>
        <w:t xml:space="preserve">(2) A public hearing on Keystone XL in Nebraska. A majority of participants seems concerned about the issue of pipeline safety. All questions concerning pipeline safety are rejected, since it is a matter for a national agency (PHSMA).</w:t>
      </w:r>
    </w:p>
    <w:p>
      <w:pPr>
        <w:pStyle w:val="FirstParagraph"/>
      </w:pPr>
      <w:r>
        <w:t xml:space="preserve">In the existing institutional order, pipeline safety falls under the jurisdiction of the Pipeline and Hazardous Materials Safety Administration (PHSMA). The Nebraska Department of Environmental Quality</w:t>
      </w:r>
      <w:r>
        <w:rPr>
          <w:rStyle w:val="FootnoteReference"/>
        </w:rPr>
        <w:footnoteReference w:id="24"/>
      </w:r>
      <w:r>
        <w:t xml:space="preserve"> </w:t>
      </w:r>
      <w:r>
        <w:t xml:space="preserve">effectively enforces this segmentation of the discourse through formal rules. PHSMA holds no public hearings on the issue, effectively limiting the scope of the discourse.</w:t>
      </w:r>
    </w:p>
    <w:p>
      <w:pPr>
        <w:pStyle w:val="BlockText"/>
      </w:pPr>
      <w:r>
        <w:t xml:space="preserve">(3) Following the President’s decision to revoke the permit for Keystone XL, TransCanada files a claim with the NAFTA arbitration in the amount of $15 billion.</w:t>
      </w:r>
    </w:p>
    <w:p>
      <w:pPr>
        <w:pStyle w:val="FirstParagraph"/>
      </w:pPr>
      <w:r>
        <w:t xml:space="preserve">Segments of the discourse on Keystone XL are regulated through formal rules. The NAFTA arbitration institution might find that under these formal rules, the revocation of the permit by the president is not a sanctioned contribution to the discourse.</w:t>
      </w:r>
    </w:p>
    <w:p>
      <w:pPr>
        <w:pStyle w:val="BlockText"/>
      </w:pPr>
      <w:r>
        <w:t xml:space="preserve">(4) Although indigenous groups make for some of the most persistent opponents of Keystone XL, their voice is rarely heard in the official discourse. Many of their claims revolve around treaty rights–the relevant authority is the national government.</w:t>
      </w:r>
    </w:p>
    <w:p>
      <w:pPr>
        <w:pStyle w:val="FirstParagraph"/>
      </w:pPr>
      <w:r>
        <w:t xml:space="preserve">The discourse on treaty rights between indigenous groups goes back decades. Their claims to the lands are not taken for granted and not sanctioned to enter into the discourse. Note–this issue is much more salient with the Dakota Access Pipeline.</w:t>
      </w:r>
    </w:p>
    <w:p>
      <w:pPr>
        <w:pStyle w:val="BlockText"/>
      </w:pPr>
      <w:r>
        <w:t xml:space="preserve">(5) Ahead of planned protests in Montana, governmental agencies create a "joint terrorism task force". A police department vows to stop the protesters "by any means".</w:t>
      </w:r>
    </w:p>
    <w:p>
      <w:pPr>
        <w:pStyle w:val="FirstParagraph"/>
      </w:pPr>
      <w:r>
        <w:t xml:space="preserve">An additional level of conflict becomes relevant as presumably conservative leaning police forces and more liberal-minded protesters are about to clash. Terms such as "tree hugger" highlight that in the conservative eye, environmental protesters may be seen as anti-modernist and illusory–in other words, as a potentially dangerous mindset that should be suppressed. For the protesters, successful nonviolent action is a way of breaking into the discourse without having to follow the many formal rules that have been set up as barriers around it.</w:t>
      </w:r>
    </w:p>
    <w:bookmarkEnd w:id="25"/>
    <w:bookmarkStart w:id="57" w:name="references"/>
    <w:p>
      <w:pPr>
        <w:pStyle w:val="Heading1"/>
      </w:pPr>
      <w:r>
        <w:t xml:space="preserve">References</w:t>
      </w:r>
    </w:p>
    <w:bookmarkStart w:id="56" w:name="refs"/>
    <w:bookmarkStart w:id="27" w:name="ref-Burrell2000"/>
    <w:p>
      <w:pPr>
        <w:pStyle w:val="Bibliography"/>
      </w:pPr>
      <w:r>
        <w:t xml:space="preserve">Burrell, Gibson. 2000.</w:t>
      </w:r>
      <w:r>
        <w:t xml:space="preserve"> </w:t>
      </w:r>
      <w:r>
        <w:t xml:space="preserve">“Time and</w:t>
      </w:r>
      <w:r>
        <w:t xml:space="preserve"> </w:t>
      </w:r>
      <w:r>
        <w:t xml:space="preserve">Talk</w:t>
      </w:r>
      <w:r>
        <w:t xml:space="preserve">.”</w:t>
      </w:r>
      <w:r>
        <w:t xml:space="preserve"> </w:t>
      </w:r>
      <w:r>
        <w:rPr>
          <w:iCs/>
          <w:i/>
        </w:rPr>
        <w:t xml:space="preserve">Organization</w:t>
      </w:r>
      <w:r>
        <w:t xml:space="preserve"> </w:t>
      </w:r>
      <w:r>
        <w:t xml:space="preserve">7 (3): 371–72.</w:t>
      </w:r>
      <w:r>
        <w:t xml:space="preserve"> </w:t>
      </w:r>
      <w:hyperlink r:id="rId26">
        <w:r>
          <w:rPr>
            <w:rStyle w:val="Hyperlink"/>
          </w:rPr>
          <w:t xml:space="preserve">https://doi.org/10.1177/135050840073001</w:t>
        </w:r>
      </w:hyperlink>
      <w:r>
        <w:t xml:space="preserve">.</w:t>
      </w:r>
    </w:p>
    <w:bookmarkEnd w:id="27"/>
    <w:bookmarkStart w:id="28" w:name="ref-Fairclough1992"/>
    <w:p>
      <w:pPr>
        <w:pStyle w:val="Bibliography"/>
      </w:pPr>
      <w:r>
        <w:t xml:space="preserve">Fairclough, Norman. 1992.</w:t>
      </w:r>
      <w:r>
        <w:t xml:space="preserve"> </w:t>
      </w:r>
      <w:r>
        <w:rPr>
          <w:iCs/>
          <w:i/>
        </w:rPr>
        <w:t xml:space="preserve">Discourse and</w:t>
      </w:r>
      <w:r>
        <w:rPr>
          <w:iCs/>
          <w:i/>
        </w:rPr>
        <w:t xml:space="preserve"> </w:t>
      </w:r>
      <w:r>
        <w:rPr>
          <w:iCs/>
          <w:i/>
        </w:rPr>
        <w:t xml:space="preserve">Social Change</w:t>
      </w:r>
      <w:r>
        <w:t xml:space="preserve">.</w:t>
      </w:r>
      <w:r>
        <w:t xml:space="preserve"> </w:t>
      </w:r>
      <w:r>
        <w:t xml:space="preserve">Cambridge, UK ; Cambridge, MA</w:t>
      </w:r>
      <w:r>
        <w:t xml:space="preserve">:</w:t>
      </w:r>
      <w:r>
        <w:t xml:space="preserve"> </w:t>
      </w:r>
      <w:r>
        <w:t xml:space="preserve">Polity Press</w:t>
      </w:r>
      <w:r>
        <w:t xml:space="preserve">.</w:t>
      </w:r>
    </w:p>
    <w:bookmarkEnd w:id="28"/>
    <w:bookmarkStart w:id="30" w:name="ref-Grant2004"/>
    <w:p>
      <w:pPr>
        <w:pStyle w:val="Bibliography"/>
      </w:pPr>
      <w:r>
        <w:t xml:space="preserve">Grant, David, and Cynthia Hardy. 2004.</w:t>
      </w:r>
      <w:r>
        <w:t xml:space="preserve"> </w:t>
      </w:r>
      <w:r>
        <w:t xml:space="preserve">“Introduction:</w:t>
      </w:r>
      <w:r>
        <w:t xml:space="preserve"> </w:t>
      </w:r>
      <w:r>
        <w:t xml:space="preserve">Struggles</w:t>
      </w:r>
      <w:r>
        <w:t xml:space="preserve"> </w:t>
      </w:r>
      <w:r>
        <w:t xml:space="preserve">with</w:t>
      </w:r>
      <w:r>
        <w:t xml:space="preserve"> </w:t>
      </w:r>
      <w:r>
        <w:t xml:space="preserve">Organizational Discourse</w:t>
      </w:r>
      <w:r>
        <w:t xml:space="preserve">.”</w:t>
      </w:r>
      <w:r>
        <w:t xml:space="preserve"> </w:t>
      </w:r>
      <w:r>
        <w:rPr>
          <w:iCs/>
          <w:i/>
        </w:rPr>
        <w:t xml:space="preserve">Organization Studies</w:t>
      </w:r>
      <w:r>
        <w:t xml:space="preserve"> </w:t>
      </w:r>
      <w:r>
        <w:t xml:space="preserve">25 (1): 5–13.</w:t>
      </w:r>
      <w:r>
        <w:t xml:space="preserve"> </w:t>
      </w:r>
      <w:hyperlink r:id="rId29">
        <w:r>
          <w:rPr>
            <w:rStyle w:val="Hyperlink"/>
          </w:rPr>
          <w:t xml:space="preserve">https://doi.org/10.1177/0170840604038173</w:t>
        </w:r>
      </w:hyperlink>
      <w:r>
        <w:t xml:space="preserve">.</w:t>
      </w:r>
    </w:p>
    <w:bookmarkEnd w:id="30"/>
    <w:bookmarkStart w:id="32" w:name="ref-Hardy2010"/>
    <w:p>
      <w:pPr>
        <w:pStyle w:val="Bibliography"/>
      </w:pPr>
      <w:r>
        <w:t xml:space="preserve">Hardy, Cynthia, and Steve Maguire. 2010.</w:t>
      </w:r>
      <w:r>
        <w:t xml:space="preserve"> </w:t>
      </w:r>
      <w:r>
        <w:t xml:space="preserve">“Discourse,</w:t>
      </w:r>
      <w:r>
        <w:t xml:space="preserve"> </w:t>
      </w:r>
      <w:r>
        <w:t xml:space="preserve">Field</w:t>
      </w:r>
      <w:r>
        <w:t xml:space="preserve">-</w:t>
      </w:r>
      <w:r>
        <w:t xml:space="preserve">Configuring Events</w:t>
      </w:r>
      <w:r>
        <w:t xml:space="preserve">, and</w:t>
      </w:r>
      <w:r>
        <w:t xml:space="preserve"> </w:t>
      </w:r>
      <w:r>
        <w:t xml:space="preserve">Change</w:t>
      </w:r>
      <w:r>
        <w:t xml:space="preserve"> </w:t>
      </w:r>
      <w:r>
        <w:t xml:space="preserve">in</w:t>
      </w:r>
      <w:r>
        <w:t xml:space="preserve"> </w:t>
      </w:r>
      <w:r>
        <w:t xml:space="preserve">Organizations</w:t>
      </w:r>
      <w:r>
        <w:t xml:space="preserve"> </w:t>
      </w:r>
      <w:r>
        <w:t xml:space="preserve">and</w:t>
      </w:r>
      <w:r>
        <w:t xml:space="preserve"> </w:t>
      </w:r>
      <w:r>
        <w:t xml:space="preserve">Institutional Fields</w:t>
      </w:r>
      <w:r>
        <w:t xml:space="preserve">:</w:t>
      </w:r>
      <w:r>
        <w:t xml:space="preserve"> </w:t>
      </w:r>
      <w:r>
        <w:t xml:space="preserve">Narratives</w:t>
      </w:r>
      <w:r>
        <w:t xml:space="preserve"> </w:t>
      </w:r>
      <w:r>
        <w:t xml:space="preserve">of</w:t>
      </w:r>
      <w:r>
        <w:t xml:space="preserve"> </w:t>
      </w:r>
      <w:r>
        <w:t xml:space="preserve">DDT</w:t>
      </w:r>
      <w:r>
        <w:t xml:space="preserve"> </w:t>
      </w:r>
      <w:r>
        <w:t xml:space="preserve">and the</w:t>
      </w:r>
      <w:r>
        <w:t xml:space="preserve"> </w:t>
      </w:r>
      <w:r>
        <w:t xml:space="preserve">Stockholm Convention</w:t>
      </w:r>
      <w:r>
        <w:t xml:space="preserve">.”</w:t>
      </w:r>
      <w:r>
        <w:t xml:space="preserve"> </w:t>
      </w:r>
      <w:r>
        <w:rPr>
          <w:iCs/>
          <w:i/>
        </w:rPr>
        <w:t xml:space="preserve">Academy of Management Journal</w:t>
      </w:r>
      <w:r>
        <w:t xml:space="preserve"> </w:t>
      </w:r>
      <w:r>
        <w:t xml:space="preserve">53 (6): 1365–92.</w:t>
      </w:r>
      <w:r>
        <w:t xml:space="preserve"> </w:t>
      </w:r>
      <w:hyperlink r:id="rId31">
        <w:r>
          <w:rPr>
            <w:rStyle w:val="Hyperlink"/>
          </w:rPr>
          <w:t xml:space="preserve">https://doi.org/10.5465/amj.2010.57318384</w:t>
        </w:r>
      </w:hyperlink>
      <w:r>
        <w:t xml:space="preserve">.</w:t>
      </w:r>
    </w:p>
    <w:bookmarkEnd w:id="32"/>
    <w:bookmarkStart w:id="34" w:name="ref-Hardy2020"/>
    <w:p>
      <w:pPr>
        <w:pStyle w:val="Bibliography"/>
      </w:pPr>
      <w:r>
        <w:t xml:space="preserve">———. 2020.</w:t>
      </w:r>
      <w:r>
        <w:t xml:space="preserve"> </w:t>
      </w:r>
      <w:r>
        <w:t xml:space="preserve">“Organizations,</w:t>
      </w:r>
      <w:r>
        <w:t xml:space="preserve"> </w:t>
      </w:r>
      <w:r>
        <w:t xml:space="preserve">Risk Translation</w:t>
      </w:r>
      <w:r>
        <w:t xml:space="preserve">, and the</w:t>
      </w:r>
      <w:r>
        <w:t xml:space="preserve"> </w:t>
      </w:r>
      <w:r>
        <w:t xml:space="preserve">Ecology</w:t>
      </w:r>
      <w:r>
        <w:t xml:space="preserve"> </w:t>
      </w:r>
      <w:r>
        <w:t xml:space="preserve">of</w:t>
      </w:r>
      <w:r>
        <w:t xml:space="preserve"> </w:t>
      </w:r>
      <w:r>
        <w:t xml:space="preserve">Risks</w:t>
      </w:r>
      <w:r>
        <w:t xml:space="preserve">:</w:t>
      </w:r>
      <w:r>
        <w:t xml:space="preserve"> </w:t>
      </w:r>
      <w:r>
        <w:t xml:space="preserve">The Discursive Construction</w:t>
      </w:r>
      <w:r>
        <w:t xml:space="preserve"> </w:t>
      </w:r>
      <w:r>
        <w:t xml:space="preserve">of a</w:t>
      </w:r>
      <w:r>
        <w:t xml:space="preserve"> </w:t>
      </w:r>
      <w:r>
        <w:t xml:space="preserve">Novel Risk</w:t>
      </w:r>
      <w:r>
        <w:t xml:space="preserve">.”</w:t>
      </w:r>
      <w:r>
        <w:t xml:space="preserve"> </w:t>
      </w:r>
      <w:r>
        <w:rPr>
          <w:iCs/>
          <w:i/>
        </w:rPr>
        <w:t xml:space="preserve">Academy of Management Journal</w:t>
      </w:r>
      <w:r>
        <w:t xml:space="preserve"> </w:t>
      </w:r>
      <w:r>
        <w:t xml:space="preserve">63 (3): 685–716.</w:t>
      </w:r>
      <w:r>
        <w:t xml:space="preserve"> </w:t>
      </w:r>
      <w:hyperlink r:id="rId33">
        <w:r>
          <w:rPr>
            <w:rStyle w:val="Hyperlink"/>
          </w:rPr>
          <w:t xml:space="preserve">https://doi.org/10.5465/amj.2017.0987</w:t>
        </w:r>
      </w:hyperlink>
      <w:r>
        <w:t xml:space="preserve">.</w:t>
      </w:r>
    </w:p>
    <w:bookmarkEnd w:id="34"/>
    <w:bookmarkStart w:id="36" w:name="ref-Hardy1999"/>
    <w:p>
      <w:pPr>
        <w:pStyle w:val="Bibliography"/>
      </w:pPr>
      <w:r>
        <w:t xml:space="preserve">Hardy, Cynthia, and Nelson Phillips. 1999.</w:t>
      </w:r>
      <w:r>
        <w:t xml:space="preserve"> </w:t>
      </w:r>
      <w:r>
        <w:t xml:space="preserve">“No</w:t>
      </w:r>
      <w:r>
        <w:t xml:space="preserve"> </w:t>
      </w:r>
      <w:r>
        <w:t xml:space="preserve">Joking Matter</w:t>
      </w:r>
      <w:r>
        <w:t xml:space="preserve">:</w:t>
      </w:r>
      <w:r>
        <w:t xml:space="preserve"> </w:t>
      </w:r>
      <w:r>
        <w:t xml:space="preserve">Discursive Struggle</w:t>
      </w:r>
      <w:r>
        <w:t xml:space="preserve"> </w:t>
      </w:r>
      <w:r>
        <w:t xml:space="preserve">in the</w:t>
      </w:r>
      <w:r>
        <w:t xml:space="preserve"> </w:t>
      </w:r>
      <w:r>
        <w:t xml:space="preserve">Canadian Refugee System</w:t>
      </w:r>
      <w:r>
        <w:t xml:space="preserve">.”</w:t>
      </w:r>
      <w:r>
        <w:t xml:space="preserve"> </w:t>
      </w:r>
      <w:r>
        <w:rPr>
          <w:iCs/>
          <w:i/>
        </w:rPr>
        <w:t xml:space="preserve">Organization Studies</w:t>
      </w:r>
      <w:r>
        <w:t xml:space="preserve"> </w:t>
      </w:r>
      <w:r>
        <w:t xml:space="preserve">20 (1): 1–24.</w:t>
      </w:r>
      <w:r>
        <w:t xml:space="preserve"> </w:t>
      </w:r>
      <w:hyperlink r:id="rId35">
        <w:r>
          <w:rPr>
            <w:rStyle w:val="Hyperlink"/>
          </w:rPr>
          <w:t xml:space="preserve">https://doi.org/10.1177/0170840699201001</w:t>
        </w:r>
      </w:hyperlink>
      <w:r>
        <w:t xml:space="preserve">.</w:t>
      </w:r>
    </w:p>
    <w:bookmarkEnd w:id="36"/>
    <w:bookmarkStart w:id="38" w:name="ref-Latour1984"/>
    <w:p>
      <w:pPr>
        <w:pStyle w:val="Bibliography"/>
      </w:pPr>
      <w:r>
        <w:t xml:space="preserve">Latour, Bruno. 1984.</w:t>
      </w:r>
      <w:r>
        <w:t xml:space="preserve"> </w:t>
      </w:r>
      <w:r>
        <w:t xml:space="preserve">“The</w:t>
      </w:r>
      <w:r>
        <w:t xml:space="preserve"> </w:t>
      </w:r>
      <w:r>
        <w:t xml:space="preserve">Powers</w:t>
      </w:r>
      <w:r>
        <w:t xml:space="preserve"> </w:t>
      </w:r>
      <w:r>
        <w:t xml:space="preserve">of</w:t>
      </w:r>
      <w:r>
        <w:t xml:space="preserve"> </w:t>
      </w:r>
      <w:r>
        <w:t xml:space="preserve">Association</w:t>
      </w:r>
      <w:r>
        <w:t xml:space="preserve">.”</w:t>
      </w:r>
      <w:r>
        <w:t xml:space="preserve"> </w:t>
      </w:r>
      <w:r>
        <w:rPr>
          <w:iCs/>
          <w:i/>
        </w:rPr>
        <w:t xml:space="preserve">The Sociological Review</w:t>
      </w:r>
      <w:r>
        <w:t xml:space="preserve"> </w:t>
      </w:r>
      <w:r>
        <w:t xml:space="preserve">32 (May): 264–80.</w:t>
      </w:r>
      <w:r>
        <w:t xml:space="preserve"> </w:t>
      </w:r>
      <w:hyperlink r:id="rId37">
        <w:r>
          <w:rPr>
            <w:rStyle w:val="Hyperlink"/>
          </w:rPr>
          <w:t xml:space="preserve">https://doi.org/10.1111/j.1467-954X.1984.tb00115.x</w:t>
        </w:r>
      </w:hyperlink>
      <w:r>
        <w:t xml:space="preserve">.</w:t>
      </w:r>
    </w:p>
    <w:bookmarkEnd w:id="38"/>
    <w:bookmarkStart w:id="39" w:name="ref-Latour2005b"/>
    <w:p>
      <w:pPr>
        <w:pStyle w:val="Bibliography"/>
      </w:pPr>
      <w:r>
        <w:t xml:space="preserve">———. 2005.</w:t>
      </w:r>
      <w:r>
        <w:t xml:space="preserve"> </w:t>
      </w:r>
      <w:r>
        <w:t xml:space="preserve">“Fourth</w:t>
      </w:r>
      <w:r>
        <w:t xml:space="preserve"> </w:t>
      </w:r>
      <w:r>
        <w:t xml:space="preserve">Source</w:t>
      </w:r>
      <w:r>
        <w:t xml:space="preserve"> </w:t>
      </w:r>
      <w:r>
        <w:t xml:space="preserve">of</w:t>
      </w:r>
      <w:r>
        <w:t xml:space="preserve"> </w:t>
      </w:r>
      <w:r>
        <w:t xml:space="preserve">Uncertainty</w:t>
      </w:r>
      <w:r>
        <w:t xml:space="preserve">:</w:t>
      </w:r>
      <w:r>
        <w:t xml:space="preserve"> </w:t>
      </w:r>
      <w:r>
        <w:t xml:space="preserve">Matters</w:t>
      </w:r>
      <w:r>
        <w:t xml:space="preserve"> </w:t>
      </w:r>
      <w:r>
        <w:t xml:space="preserve">of</w:t>
      </w:r>
      <w:r>
        <w:t xml:space="preserve"> </w:t>
      </w:r>
      <w:r>
        <w:t xml:space="preserve">Fact</w:t>
      </w:r>
      <w:r>
        <w:t xml:space="preserve"> </w:t>
      </w:r>
      <w:r>
        <w:t xml:space="preserve">Vs.</w:t>
      </w:r>
      <w:r>
        <w:t xml:space="preserve"> </w:t>
      </w:r>
      <w:r>
        <w:t xml:space="preserve">Matters</w:t>
      </w:r>
      <w:r>
        <w:t xml:space="preserve"> </w:t>
      </w:r>
      <w:r>
        <w:t xml:space="preserve">of</w:t>
      </w:r>
      <w:r>
        <w:t xml:space="preserve"> </w:t>
      </w:r>
      <w:r>
        <w:t xml:space="preserve">Concern</w:t>
      </w:r>
      <w:r>
        <w:t xml:space="preserve">.”</w:t>
      </w:r>
      <w:r>
        <w:t xml:space="preserve"> </w:t>
      </w:r>
      <w:r>
        <w:t xml:space="preserve">In</w:t>
      </w:r>
      <w:r>
        <w:t xml:space="preserve"> </w:t>
      </w:r>
      <w:r>
        <w:rPr>
          <w:iCs/>
          <w:i/>
        </w:rPr>
        <w:t xml:space="preserve">Reassembling the</w:t>
      </w:r>
      <w:r>
        <w:rPr>
          <w:iCs/>
          <w:i/>
        </w:rPr>
        <w:t xml:space="preserve"> </w:t>
      </w:r>
      <w:r>
        <w:rPr>
          <w:iCs/>
          <w:i/>
        </w:rPr>
        <w:t xml:space="preserve">Social</w:t>
      </w:r>
      <w:r>
        <w:rPr>
          <w:iCs/>
          <w:i/>
        </w:rPr>
        <w:t xml:space="preserve">: 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Actor</w:t>
      </w:r>
      <w:r>
        <w:rPr>
          <w:iCs/>
          <w:i/>
        </w:rPr>
        <w:t xml:space="preserve">-</w:t>
      </w:r>
      <w:r>
        <w:rPr>
          <w:iCs/>
          <w:i/>
        </w:rPr>
        <w:t xml:space="preserve">Network</w:t>
      </w:r>
      <w:r>
        <w:rPr>
          <w:iCs/>
          <w:i/>
        </w:rPr>
        <w:t xml:space="preserve">-</w:t>
      </w:r>
      <w:r>
        <w:rPr>
          <w:iCs/>
          <w:i/>
        </w:rPr>
        <w:t xml:space="preserve">Theory</w:t>
      </w:r>
      <w:r>
        <w:t xml:space="preserve">, 87–120. Clarendon Lectures in Management Studies.</w:t>
      </w:r>
      <w:r>
        <w:t xml:space="preserve"> </w:t>
      </w:r>
      <w:r>
        <w:t xml:space="preserve">Oxford</w:t>
      </w:r>
      <w:r>
        <w:t xml:space="preserve">:</w:t>
      </w:r>
      <w:r>
        <w:t xml:space="preserve"> </w:t>
      </w:r>
      <w:r>
        <w:t xml:space="preserve">Oxford University Press</w:t>
      </w:r>
      <w:r>
        <w:t xml:space="preserve">.</w:t>
      </w:r>
    </w:p>
    <w:bookmarkEnd w:id="39"/>
    <w:bookmarkStart w:id="41" w:name="ref-Lok2006"/>
    <w:p>
      <w:pPr>
        <w:pStyle w:val="Bibliography"/>
      </w:pPr>
      <w:r>
        <w:t xml:space="preserve">Lok, Jaco, and Hugh Willmott. 2006.</w:t>
      </w:r>
      <w:r>
        <w:t xml:space="preserve"> </w:t>
      </w:r>
      <w:r>
        <w:t xml:space="preserve">“Institutional</w:t>
      </w:r>
      <w:r>
        <w:t xml:space="preserve"> </w:t>
      </w:r>
      <w:r>
        <w:t xml:space="preserve">Theory</w:t>
      </w:r>
      <w:r>
        <w:t xml:space="preserve">,</w:t>
      </w:r>
      <w:r>
        <w:t xml:space="preserve"> </w:t>
      </w:r>
      <w:r>
        <w:t xml:space="preserve">Language</w:t>
      </w:r>
      <w:r>
        <w:t xml:space="preserve">, and</w:t>
      </w:r>
      <w:r>
        <w:t xml:space="preserve"> </w:t>
      </w:r>
      <w:r>
        <w:t xml:space="preserve">Discourse Analysis</w:t>
      </w:r>
      <w:r>
        <w:t xml:space="preserve">:</w:t>
      </w:r>
      <w:r>
        <w:t xml:space="preserve"> </w:t>
      </w:r>
      <w:r>
        <w:t xml:space="preserve">A Comment</w:t>
      </w:r>
      <w:r>
        <w:t xml:space="preserve"> </w:t>
      </w:r>
      <w:r>
        <w:t xml:space="preserve">on</w:t>
      </w:r>
      <w:r>
        <w:t xml:space="preserve"> </w:t>
      </w:r>
      <w:r>
        <w:t xml:space="preserve">Phillips</w:t>
      </w:r>
      <w:r>
        <w:t xml:space="preserve">,</w:t>
      </w:r>
      <w:r>
        <w:t xml:space="preserve"> </w:t>
      </w:r>
      <w:r>
        <w:t xml:space="preserve">Lawrence</w:t>
      </w:r>
      <w:r>
        <w:t xml:space="preserve">, and</w:t>
      </w:r>
      <w:r>
        <w:t xml:space="preserve"> </w:t>
      </w:r>
      <w:r>
        <w:t xml:space="preserve">Hardy</w:t>
      </w:r>
      <w:r>
        <w:t xml:space="preserve">.”</w:t>
      </w:r>
      <w:r>
        <w:t xml:space="preserve"> </w:t>
      </w:r>
      <w:r>
        <w:rPr>
          <w:iCs/>
          <w:i/>
        </w:rPr>
        <w:t xml:space="preserve">Academy of Management Review</w:t>
      </w:r>
      <w:r>
        <w:t xml:space="preserve"> </w:t>
      </w:r>
      <w:r>
        <w:t xml:space="preserve">31 (2): 477–80.</w:t>
      </w:r>
      <w:r>
        <w:t xml:space="preserve"> </w:t>
      </w:r>
      <w:hyperlink r:id="rId40">
        <w:r>
          <w:rPr>
            <w:rStyle w:val="Hyperlink"/>
          </w:rPr>
          <w:t xml:space="preserve">https://doi.org/10.5465/amr.2006.20208692</w:t>
        </w:r>
      </w:hyperlink>
      <w:r>
        <w:t xml:space="preserve">.</w:t>
      </w:r>
    </w:p>
    <w:bookmarkEnd w:id="41"/>
    <w:bookmarkStart w:id="43" w:name="ref-Maguire2006"/>
    <w:p>
      <w:pPr>
        <w:pStyle w:val="Bibliography"/>
      </w:pPr>
      <w:r>
        <w:t xml:space="preserve">Maguire, Steve, and Cynthia Hardy. 2006.</w:t>
      </w:r>
      <w:r>
        <w:t xml:space="preserve"> </w:t>
      </w:r>
      <w:r>
        <w:t xml:space="preserve">“The</w:t>
      </w:r>
      <w:r>
        <w:t xml:space="preserve"> </w:t>
      </w:r>
      <w:r>
        <w:t xml:space="preserve">Emergence</w:t>
      </w:r>
      <w:r>
        <w:t xml:space="preserve"> </w:t>
      </w:r>
      <w:r>
        <w:t xml:space="preserve">of</w:t>
      </w:r>
      <w:r>
        <w:t xml:space="preserve"> </w:t>
      </w:r>
      <w:r>
        <w:t xml:space="preserve">New Global Institutions</w:t>
      </w:r>
      <w:r>
        <w:t xml:space="preserve">:</w:t>
      </w:r>
      <w:r>
        <w:t xml:space="preserve"> </w:t>
      </w:r>
      <w:r>
        <w:t xml:space="preserve">A Discursive Perspective</w:t>
      </w:r>
      <w:r>
        <w:t xml:space="preserve">.”</w:t>
      </w:r>
      <w:r>
        <w:t xml:space="preserve"> </w:t>
      </w:r>
      <w:r>
        <w:rPr>
          <w:iCs/>
          <w:i/>
        </w:rPr>
        <w:t xml:space="preserve">Organization Studies</w:t>
      </w:r>
      <w:r>
        <w:t xml:space="preserve"> </w:t>
      </w:r>
      <w:r>
        <w:t xml:space="preserve">27 (1): 7–29.</w:t>
      </w:r>
      <w:r>
        <w:t xml:space="preserve"> </w:t>
      </w:r>
      <w:hyperlink r:id="rId42">
        <w:r>
          <w:rPr>
            <w:rStyle w:val="Hyperlink"/>
          </w:rPr>
          <w:t xml:space="preserve">https://doi.org/10.1177/0170840606061807</w:t>
        </w:r>
      </w:hyperlink>
      <w:r>
        <w:t xml:space="preserve">.</w:t>
      </w:r>
    </w:p>
    <w:bookmarkEnd w:id="43"/>
    <w:bookmarkStart w:id="45" w:name="ref-Maguire2009"/>
    <w:p>
      <w:pPr>
        <w:pStyle w:val="Bibliography"/>
      </w:pPr>
      <w:r>
        <w:t xml:space="preserve">———. 2009.</w:t>
      </w:r>
      <w:r>
        <w:t xml:space="preserve"> </w:t>
      </w:r>
      <w:r>
        <w:t xml:space="preserve">“Discourse and</w:t>
      </w:r>
      <w:r>
        <w:t xml:space="preserve"> </w:t>
      </w:r>
      <w:r>
        <w:t xml:space="preserve">Deinstitutionalization</w:t>
      </w:r>
      <w:r>
        <w:t xml:space="preserve">: The</w:t>
      </w:r>
      <w:r>
        <w:t xml:space="preserve"> </w:t>
      </w:r>
      <w:r>
        <w:t xml:space="preserve">Decline</w:t>
      </w:r>
      <w:r>
        <w:t xml:space="preserve"> </w:t>
      </w:r>
      <w:r>
        <w:t xml:space="preserve">of</w:t>
      </w:r>
      <w:r>
        <w:t xml:space="preserve"> </w:t>
      </w:r>
      <w:r>
        <w:t xml:space="preserve">DDT</w:t>
      </w:r>
      <w:r>
        <w:t xml:space="preserve">.”</w:t>
      </w:r>
      <w:r>
        <w:t xml:space="preserve"> </w:t>
      </w:r>
      <w:r>
        <w:rPr>
          <w:iCs/>
          <w:i/>
        </w:rPr>
        <w:t xml:space="preserve">Academy of Management Journal</w:t>
      </w:r>
      <w:r>
        <w:t xml:space="preserve"> </w:t>
      </w:r>
      <w:r>
        <w:t xml:space="preserve">52 (1): 148–78.</w:t>
      </w:r>
      <w:r>
        <w:t xml:space="preserve"> </w:t>
      </w:r>
      <w:hyperlink r:id="rId44">
        <w:r>
          <w:rPr>
            <w:rStyle w:val="Hyperlink"/>
          </w:rPr>
          <w:t xml:space="preserve">https://doi.org/10.5465/amj.2009.36461993</w:t>
        </w:r>
      </w:hyperlink>
      <w:r>
        <w:t xml:space="preserve">.</w:t>
      </w:r>
    </w:p>
    <w:bookmarkEnd w:id="45"/>
    <w:bookmarkStart w:id="47" w:name="ref-Nicolini2009"/>
    <w:p>
      <w:pPr>
        <w:pStyle w:val="Bibliography"/>
      </w:pPr>
      <w:r>
        <w:t xml:space="preserve">Nicolini, Davide. 2009.</w:t>
      </w:r>
      <w:r>
        <w:t xml:space="preserve"> </w:t>
      </w:r>
      <w:r>
        <w:t xml:space="preserve">“Zooming</w:t>
      </w:r>
      <w:r>
        <w:t xml:space="preserve"> </w:t>
      </w:r>
      <w:r>
        <w:t xml:space="preserve">In</w:t>
      </w:r>
      <w:r>
        <w:t xml:space="preserve"> </w:t>
      </w:r>
      <w:r>
        <w:t xml:space="preserve">and</w:t>
      </w:r>
      <w:r>
        <w:t xml:space="preserve"> </w:t>
      </w:r>
      <w:r>
        <w:t xml:space="preserve">Out</w:t>
      </w:r>
      <w:r>
        <w:t xml:space="preserve">:</w:t>
      </w:r>
      <w:r>
        <w:t xml:space="preserve"> </w:t>
      </w:r>
      <w:r>
        <w:t xml:space="preserve">Studying Practices</w:t>
      </w:r>
      <w:r>
        <w:t xml:space="preserve"> </w:t>
      </w:r>
      <w:r>
        <w:t xml:space="preserve">by</w:t>
      </w:r>
      <w:r>
        <w:t xml:space="preserve"> </w:t>
      </w:r>
      <w:r>
        <w:t xml:space="preserve">Switching Theoretical Lenses</w:t>
      </w:r>
      <w:r>
        <w:t xml:space="preserve"> </w:t>
      </w:r>
      <w:r>
        <w:t xml:space="preserve">and</w:t>
      </w:r>
      <w:r>
        <w:t xml:space="preserve"> </w:t>
      </w:r>
      <w:r>
        <w:t xml:space="preserve">Trailing Connections</w:t>
      </w:r>
      <w:r>
        <w:t xml:space="preserve">.”</w:t>
      </w:r>
      <w:r>
        <w:t xml:space="preserve"> </w:t>
      </w:r>
      <w:r>
        <w:rPr>
          <w:iCs/>
          <w:i/>
        </w:rPr>
        <w:t xml:space="preserve">Organization Studies</w:t>
      </w:r>
      <w:r>
        <w:t xml:space="preserve"> </w:t>
      </w:r>
      <w:r>
        <w:t xml:space="preserve">30 (12): 1391–1418.</w:t>
      </w:r>
      <w:r>
        <w:t xml:space="preserve"> </w:t>
      </w:r>
      <w:hyperlink r:id="rId46">
        <w:r>
          <w:rPr>
            <w:rStyle w:val="Hyperlink"/>
          </w:rPr>
          <w:t xml:space="preserve">https://doi.org/10.1177/0170840609349875</w:t>
        </w:r>
      </w:hyperlink>
      <w:r>
        <w:t xml:space="preserve">.</w:t>
      </w:r>
    </w:p>
    <w:bookmarkEnd w:id="47"/>
    <w:bookmarkStart w:id="49" w:name="ref-NRC2011"/>
    <w:p>
      <w:pPr>
        <w:pStyle w:val="Bibliography"/>
      </w:pPr>
      <w:r>
        <w:t xml:space="preserve">NRC. 2011.</w:t>
      </w:r>
      <w:r>
        <w:t xml:space="preserve"> </w:t>
      </w:r>
      <w:r>
        <w:t xml:space="preserve">“Transcript.”</w:t>
      </w:r>
      <w:r>
        <w:t xml:space="preserve"> </w:t>
      </w:r>
      <w:r>
        <w:t xml:space="preserve">Lincoln, NE</w:t>
      </w:r>
      <w:r>
        <w:t xml:space="preserve">:</w:t>
      </w:r>
      <w:r>
        <w:t xml:space="preserve"> </w:t>
      </w:r>
      <w:r>
        <w:t xml:space="preserve">Natural Resource Committee of the Nebraska Legislature</w:t>
      </w:r>
      <w:r>
        <w:t xml:space="preserve">.</w:t>
      </w:r>
      <w:r>
        <w:t xml:space="preserve"> </w:t>
      </w:r>
      <w:hyperlink r:id="rId48">
        <w:r>
          <w:rPr>
            <w:rStyle w:val="Hyperlink"/>
          </w:rPr>
          <w:t xml:space="preserve">https://www.nebraskalegislature.gov/FloorDocs/102/PDF/Transcripts/Natural/2011-11-15.pdf</w:t>
        </w:r>
      </w:hyperlink>
      <w:r>
        <w:t xml:space="preserve">.</w:t>
      </w:r>
    </w:p>
    <w:bookmarkEnd w:id="49"/>
    <w:bookmarkStart w:id="51" w:name="ref-Phillips2004"/>
    <w:p>
      <w:pPr>
        <w:pStyle w:val="Bibliography"/>
      </w:pPr>
      <w:r>
        <w:t xml:space="preserve">Phillips, Nelson, Thomas B. Lawrence, and Cynthia Hardy. 2004.</w:t>
      </w:r>
      <w:r>
        <w:t xml:space="preserve"> </w:t>
      </w:r>
      <w:r>
        <w:t xml:space="preserve">“Discourse and</w:t>
      </w:r>
      <w:r>
        <w:t xml:space="preserve"> </w:t>
      </w:r>
      <w:r>
        <w:t xml:space="preserve">Institutions</w:t>
      </w:r>
      <w:r>
        <w:t xml:space="preserve">.”</w:t>
      </w:r>
      <w:r>
        <w:t xml:space="preserve"> </w:t>
      </w:r>
      <w:r>
        <w:rPr>
          <w:iCs/>
          <w:i/>
        </w:rPr>
        <w:t xml:space="preserve">Academy of Management Review</w:t>
      </w:r>
      <w:r>
        <w:t xml:space="preserve"> </w:t>
      </w:r>
      <w:r>
        <w:t xml:space="preserve">29 (4): 635–52.</w:t>
      </w:r>
      <w:r>
        <w:t xml:space="preserve"> </w:t>
      </w:r>
      <w:hyperlink r:id="rId50">
        <w:r>
          <w:rPr>
            <w:rStyle w:val="Hyperlink"/>
          </w:rPr>
          <w:t xml:space="preserve">https://doi.org/10.5465/amr.2004.14497617</w:t>
        </w:r>
      </w:hyperlink>
      <w:r>
        <w:t xml:space="preserve">.</w:t>
      </w:r>
    </w:p>
    <w:bookmarkEnd w:id="51"/>
    <w:bookmarkStart w:id="53" w:name="ref-Steele2021"/>
    <w:p>
      <w:pPr>
        <w:pStyle w:val="Bibliography"/>
      </w:pPr>
      <w:r>
        <w:t xml:space="preserve">Steele, Christopher W. J. 2021.</w:t>
      </w:r>
      <w:r>
        <w:t xml:space="preserve"> </w:t>
      </w:r>
      <w:r>
        <w:t xml:space="preserve">“When</w:t>
      </w:r>
      <w:r>
        <w:t xml:space="preserve"> </w:t>
      </w:r>
      <w:r>
        <w:t xml:space="preserve">Things Get Odd</w:t>
      </w:r>
      <w:r>
        <w:t xml:space="preserve">:</w:t>
      </w:r>
      <w:r>
        <w:t xml:space="preserve"> </w:t>
      </w:r>
      <w:r>
        <w:t xml:space="preserve">Exploring</w:t>
      </w:r>
      <w:r>
        <w:t xml:space="preserve"> </w:t>
      </w:r>
      <w:r>
        <w:t xml:space="preserve">the</w:t>
      </w:r>
      <w:r>
        <w:t xml:space="preserve"> </w:t>
      </w:r>
      <w:r>
        <w:t xml:space="preserve">Interactional Choreography</w:t>
      </w:r>
      <w:r>
        <w:t xml:space="preserve"> </w:t>
      </w:r>
      <w:r>
        <w:t xml:space="preserve">of</w:t>
      </w:r>
      <w:r>
        <w:t xml:space="preserve"> </w:t>
      </w:r>
      <w:r>
        <w:t xml:space="preserve">Taken</w:t>
      </w:r>
      <w:r>
        <w:t xml:space="preserve">-for-</w:t>
      </w:r>
      <w:r>
        <w:t xml:space="preserve">Grantedness</w:t>
      </w:r>
      <w:r>
        <w:t xml:space="preserve">.”</w:t>
      </w:r>
      <w:r>
        <w:t xml:space="preserve"> </w:t>
      </w:r>
      <w:r>
        <w:rPr>
          <w:iCs/>
          <w:i/>
        </w:rPr>
        <w:t xml:space="preserve">Academy of Management Review</w:t>
      </w:r>
      <w:r>
        <w:t xml:space="preserve"> </w:t>
      </w:r>
      <w:r>
        <w:t xml:space="preserve">46 (2): 341–61.</w:t>
      </w:r>
      <w:r>
        <w:t xml:space="preserve"> </w:t>
      </w:r>
      <w:hyperlink r:id="rId52">
        <w:r>
          <w:rPr>
            <w:rStyle w:val="Hyperlink"/>
          </w:rPr>
          <w:t xml:space="preserve">https://doi.org/10.5465/amr.2017.0392</w:t>
        </w:r>
      </w:hyperlink>
      <w:r>
        <w:t xml:space="preserve">.</w:t>
      </w:r>
    </w:p>
    <w:bookmarkEnd w:id="53"/>
    <w:bookmarkStart w:id="55" w:name="ref-Suddaby2017"/>
    <w:p>
      <w:pPr>
        <w:pStyle w:val="Bibliography"/>
      </w:pPr>
      <w:r>
        <w:t xml:space="preserve">Suddaby, Roy, Alex Bitektine, and Patrick Haack. 2017.</w:t>
      </w:r>
      <w:r>
        <w:t xml:space="preserve"> </w:t>
      </w:r>
      <w:r>
        <w:t xml:space="preserve">“Legitimacy.”</w:t>
      </w:r>
      <w:r>
        <w:t xml:space="preserve"> </w:t>
      </w:r>
      <w:r>
        <w:rPr>
          <w:iCs/>
          <w:i/>
        </w:rPr>
        <w:t xml:space="preserve">Academy of Management Annals</w:t>
      </w:r>
      <w:r>
        <w:t xml:space="preserve"> </w:t>
      </w:r>
      <w:r>
        <w:t xml:space="preserve">11 (1): 451–78.</w:t>
      </w:r>
      <w:r>
        <w:t xml:space="preserve"> </w:t>
      </w:r>
      <w:hyperlink r:id="rId54">
        <w:r>
          <w:rPr>
            <w:rStyle w:val="Hyperlink"/>
          </w:rPr>
          <w:t xml:space="preserve">https://doi.org/10.5465/annals.2015.0101</w:t>
        </w:r>
      </w:hyperlink>
      <w:r>
        <w:t xml:space="preserve">.</w:t>
      </w:r>
    </w:p>
    <w:bookmarkEnd w:id="55"/>
    <w:bookmarkEnd w:id="56"/>
    <w:bookmarkEnd w:id="57"/>
    <w:sectPr w:rsidR="000E24AE" w:rsidSect="000B2557">
      <w:footerReference r:id="rId9" w:type="default"/>
      <w:pgSz w:h="15840" w:w="12240"/>
      <w:pgMar w:bottom="1440" w:footer="0" w:gutter="0" w:header="0" w:left="1440" w:right="1440" w:top="1440"/>
      <w:cols w:space="720"/>
      <w:formProt w:val="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76096"/>
      <w:docPartObj>
        <w:docPartGallery w:val="Page Numbers (Bottom of Page)"/>
        <w:docPartUnique/>
      </w:docPartObj>
    </w:sdtPr>
    <w:sdtContent>
      <w:sdt>
        <w:sdtPr>
          <w:id w:val="-1769616900"/>
          <w:docPartObj>
            <w:docPartGallery w:val="Page Numbers (Top of Page)"/>
            <w:docPartUnique/>
          </w:docPartObj>
        </w:sdtPr>
        <w:sdtContent>
          <w:p w14:paraId="5E48C461" w14:textId="00E6A7CE" w:rsidR="000B2557" w:rsidRDefault="000B255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FD1B0C0" w14:textId="77777777" w:rsidR="000B2557" w:rsidRDefault="000B255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Especially in their journal of choice, AMJ.</w:t>
      </w:r>
    </w:p>
  </w:footnote>
  <w:footnote w:id="21">
    <w:p>
      <w:pPr>
        <w:pStyle w:val="FootnoteText"/>
      </w:pPr>
      <w:r>
        <w:rPr>
          <w:rStyle w:val="FootnoteReference"/>
        </w:rPr>
        <w:footnoteRef/>
      </w:r>
      <w:r>
        <w:t xml:space="preserve"> </w:t>
      </w:r>
      <w:r>
        <w:t xml:space="preserve">This derivation of power is the purpose of Latour’s original work on the concept.</w:t>
      </w:r>
    </w:p>
  </w:footnote>
  <w:footnote w:id="24">
    <w:p>
      <w:pPr>
        <w:pStyle w:val="FootnoteText"/>
      </w:pPr>
      <w:r>
        <w:rPr>
          <w:rStyle w:val="FootnoteReference"/>
        </w:rPr>
        <w:footnoteRef/>
      </w:r>
      <w:r>
        <w:t xml:space="preserve"> </w:t>
      </w:r>
      <w:r>
        <w:t xml:space="preserve">At least I believe they organized the meeting...</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autoHyphenatio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Cs w:val="24"/>
        <w:lang w:bidi="ar-SA" w:eastAsia="en-US" w:val="en-US"/>
      </w:rPr>
    </w:rPrDefault>
    <w:pPrDefault>
      <w:pPr>
        <w:suppressAutoHyphens/>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spacing w:after="200"/>
    </w:pPr>
    <w:rPr>
      <w:sz w:val="24"/>
    </w:rPr>
  </w:style>
  <w:style w:styleId="Heading1" w:type="paragraph">
    <w:name w:val="heading 1"/>
    <w:basedOn w:val="Normal"/>
    <w:next w:val="BodyText"/>
    <w:uiPriority w:val="9"/>
    <w:qFormat/>
    <w:pPr>
      <w:keepNext/>
      <w:keepLines/>
      <w:spacing w:after="245" w:before="475"/>
      <w:outlineLvl w:val="0"/>
    </w:pPr>
    <w:rPr>
      <w:rFonts w:ascii="Arial" w:cstheme="majorBidi" w:eastAsiaTheme="majorEastAsia" w:hAnsi="Arial"/>
      <w:b/>
      <w:bCs/>
      <w:color w:val="000000"/>
      <w:szCs w:val="32"/>
    </w:rPr>
  </w:style>
  <w:style w:styleId="Heading2" w:type="paragraph">
    <w:name w:val="heading 2"/>
    <w:basedOn w:val="Normal"/>
    <w:next w:val="BodyText"/>
    <w:uiPriority w:val="9"/>
    <w:unhideWhenUsed/>
    <w:qFormat/>
    <w:pPr>
      <w:keepNext/>
      <w:keepLines/>
      <w:spacing w:after="245" w:before="475"/>
      <w:outlineLvl w:val="1"/>
    </w:pPr>
    <w:rPr>
      <w:rFonts w:ascii="Arial" w:cstheme="majorBidi" w:eastAsiaTheme="majorEastAsia" w:hAnsi="Arial"/>
      <w:b/>
      <w:bCs/>
      <w:i/>
      <w:color w:val="000000"/>
      <w:szCs w:val="28"/>
    </w:rPr>
  </w:style>
  <w:style w:styleId="Heading3" w:type="paragraph">
    <w:name w:val="heading 3"/>
    <w:basedOn w:val="Normal"/>
    <w:next w:val="BodyText"/>
    <w:uiPriority w:val="9"/>
    <w:unhideWhenUsed/>
    <w:qFormat/>
    <w:pPr>
      <w:keepNext/>
      <w:keepLines/>
      <w:spacing w:after="245" w:before="475"/>
      <w:outlineLvl w:val="2"/>
    </w:pPr>
    <w:rPr>
      <w:rFonts w:ascii="Arial" w:cstheme="majorBidi" w:eastAsiaTheme="majorEastAsia" w:hAnsi="Arial"/>
      <w:bCs/>
      <w:i/>
      <w:color w:val="000000"/>
    </w:rPr>
  </w:style>
  <w:style w:styleId="Heading4" w:type="paragraph">
    <w:name w:val="heading 4"/>
    <w:basedOn w:val="Normal"/>
    <w:next w:val="BodyText"/>
    <w:uiPriority w:val="9"/>
    <w:unhideWhenUsed/>
    <w:qFormat/>
    <w:pPr>
      <w:keepNext/>
      <w:keepLines/>
      <w:spacing w:after="245" w:before="475"/>
      <w:outlineLvl w:val="3"/>
    </w:pPr>
    <w:rPr>
      <w:rFonts w:ascii="Arial" w:cstheme="majorBidi" w:eastAsiaTheme="majorEastAsia" w:hAnsi="Arial"/>
      <w:bCs/>
      <w:color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CaptionChar" w:type="character">
    <w:name w:val="Caption Char"/>
    <w:basedOn w:val="DefaultParagraphFont"/>
    <w:link w:val="Caption"/>
    <w:qFormat/>
  </w:style>
  <w:style w:customStyle="1" w:styleId="VerbatimChar" w:type="character">
    <w:name w:val="Verbatim Char"/>
    <w:basedOn w:val="CaptionChar"/>
    <w:qFormat/>
    <w:rPr>
      <w:rFonts w:ascii="Consolas" w:hAnsi="Consolas"/>
      <w:sz w:val="22"/>
    </w:rPr>
  </w:style>
  <w:style w:customStyle="1" w:styleId="SectionNumber" w:type="character">
    <w:name w:val="Section Number"/>
    <w:basedOn w:val="CaptionChar"/>
    <w:qFormat/>
  </w:style>
  <w:style w:customStyle="1" w:styleId="FootnoteCharacters" w:type="character">
    <w:name w:val="Footnote Characters"/>
    <w:basedOn w:val="CaptionChar"/>
    <w:qFormat/>
    <w:rPr>
      <w:vertAlign w:val="superscript"/>
    </w:rPr>
  </w:style>
  <w:style w:customStyle="1" w:styleId="FootnoteAnchor" w:type="character">
    <w:name w:val="Footnote Anchor"/>
    <w:rPr>
      <w:vertAlign w:val="superscript"/>
    </w:rPr>
  </w:style>
  <w:style w:styleId="Hyperlink" w:type="character">
    <w:name w:val="Hyperlink"/>
    <w:basedOn w:val="CaptionChar"/>
    <w:rPr>
      <w:color w:themeColor="accent1" w:val="4F81BD"/>
    </w:rPr>
  </w:style>
  <w:style w:customStyle="1" w:styleId="EndnoteAnchor" w:type="character">
    <w:name w:val="Endnote Anchor"/>
    <w:rPr>
      <w:vertAlign w:val="superscript"/>
    </w:rPr>
  </w:style>
  <w:style w:customStyle="1" w:styleId="EndnoteCharacters" w:type="character">
    <w:name w:val="Endnote Characters"/>
    <w:qFormat/>
  </w:style>
  <w:style w:customStyle="1" w:styleId="Heading" w:type="paragraph">
    <w:name w:val="Heading"/>
    <w:basedOn w:val="Normal"/>
    <w:next w:val="BodyText"/>
    <w:qFormat/>
    <w:pPr>
      <w:keepNext/>
      <w:spacing w:after="120" w:before="240"/>
    </w:pPr>
    <w:rPr>
      <w:rFonts w:ascii="Liberation Sans" w:cs="Lohit Devanagari" w:eastAsia="Noto Sans CJK SC" w:hAnsi="Liberation Sans"/>
      <w:sz w:val="28"/>
      <w:szCs w:val="28"/>
    </w:rPr>
  </w:style>
  <w:style w:styleId="BodyText" w:type="paragraph">
    <w:name w:val="Body Text"/>
    <w:basedOn w:val="Normal"/>
    <w:qFormat/>
    <w:pPr>
      <w:spacing w:after="0" w:line="480" w:lineRule="auto"/>
      <w:ind w:firstLine="720"/>
      <w:contextualSpacing/>
    </w:pPr>
    <w:rPr>
      <w:rFonts w:ascii="Times New Roman" w:hAnsi="Times New Roman"/>
    </w:rPr>
  </w:style>
  <w:style w:styleId="List" w:type="paragraph">
    <w:name w:val="List"/>
    <w:basedOn w:val="BodyText"/>
    <w:rPr>
      <w:rFonts w:cs="Lohit Devanagari"/>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Lohit Devanagari"/>
    </w:rPr>
  </w:style>
  <w:style w:customStyle="1" w:styleId="FirstParagraph" w:type="paragraph">
    <w:name w:val="First Paragraph"/>
    <w:basedOn w:val="BodyText"/>
    <w:next w:val="BodyText"/>
    <w:qFormat/>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Arial" w:cstheme="majorBidi" w:eastAsiaTheme="majorEastAsia" w:hAnsi="Arial"/>
      <w:b/>
      <w:bCs/>
      <w:color w:val="000000"/>
      <w:szCs w:val="36"/>
    </w:rPr>
  </w:style>
  <w:style w:styleId="Subtitle" w:type="paragraph">
    <w:name w:val="Subtitle"/>
    <w:basedOn w:val="Title"/>
    <w:next w:val="BodyText"/>
    <w:qFormat/>
    <w:pPr>
      <w:spacing w:before="240"/>
    </w:pPr>
    <w:rPr>
      <w:szCs w:val="30"/>
    </w:rPr>
  </w:style>
  <w:style w:customStyle="1" w:styleId="Author" w:type="paragraph">
    <w:name w:val="Author"/>
    <w:next w:val="BodyText"/>
    <w:qFormat/>
    <w:pPr>
      <w:keepNext/>
      <w:keepLines/>
      <w:spacing w:after="200"/>
      <w:jc w:val="center"/>
    </w:pPr>
    <w:rPr>
      <w:rFonts w:ascii="Arial" w:hAnsi="Arial"/>
      <w:sz w:val="24"/>
    </w:rPr>
  </w:style>
  <w:style w:styleId="Date" w:type="paragraph">
    <w:name w:val="Date"/>
    <w:next w:val="BodyText"/>
    <w:qFormat/>
    <w:pPr>
      <w:keepNext/>
      <w:keepLines/>
      <w:spacing w:after="200"/>
      <w:jc w:val="center"/>
    </w:pPr>
    <w:rPr>
      <w:rFonts w:ascii="Arial" w:hAnsi="Arial"/>
      <w:sz w:val="24"/>
    </w:rPr>
  </w:style>
  <w:style w:customStyle="1" w:styleId="Abstract" w:type="paragraph">
    <w:name w:val="Abstract"/>
    <w:basedOn w:val="Normal"/>
    <w:next w:val="BodyText"/>
    <w:qFormat/>
    <w:pPr>
      <w:keepNext/>
      <w:keepLines/>
      <w:spacing w:after="300" w:before="300"/>
    </w:pPr>
    <w:rPr>
      <w:rFonts w:ascii="Times New Roman" w:hAnsi="Times New Roman"/>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line="240" w:lineRule="auto"/>
      <w:ind w:firstLine="0" w:left="480" w:right="480"/>
    </w:pPr>
  </w:style>
  <w:style w:styleId="FootnoteText" w:type="paragraph">
    <w:name w:val="footnote text"/>
    <w:basedOn w:val="Normal"/>
    <w:uiPriority w:val="9"/>
    <w:unhideWhenUsed/>
    <w:qFormat/>
    <w:pPr>
      <w:spacing w:after="202"/>
      <w:contextualSpacing/>
    </w:pPr>
    <w:rPr>
      <w:sz w:val="20"/>
    </w:rPr>
  </w:style>
  <w:style w:customStyle="1" w:styleId="DefinitionTerm" w:type="paragraph">
    <w:name w:val="Definition Term"/>
    <w:basedOn w:val="Normal"/>
    <w:next w:val="Definition"/>
    <w:qFormat/>
    <w:pPr>
      <w:keepNext/>
      <w:keepLines/>
      <w:spacing w:after="0"/>
    </w:pPr>
    <w:rPr>
      <w:b/>
    </w:rPr>
  </w:style>
  <w:style w:customStyle="1" w:styleId="Definition" w:type="paragraph">
    <w:name w:val="Definition"/>
    <w:basedOn w:val="Normal"/>
    <w:qFormat/>
  </w:style>
  <w:style w:customStyle="1" w:styleId="TableCaption" w:type="paragraph">
    <w:name w:val="Table Caption"/>
    <w:basedOn w:val="Caption"/>
    <w:qFormat/>
    <w:pPr>
      <w:keepNext/>
    </w:pPr>
  </w:style>
  <w:style w:customStyle="1" w:styleId="ImageCaption" w:type="paragraph">
    <w:name w:val="Image Caption"/>
    <w:basedOn w:val="Caption"/>
    <w:qFormat/>
  </w:style>
  <w:style w:customStyle="1" w:styleId="Figure" w:type="paragraph">
    <w:name w:val="Figure"/>
    <w:basedOn w:val="Normal"/>
    <w:qFormat/>
  </w:style>
  <w:style w:customStyle="1" w:styleId="CaptionedFigure" w:type="paragraph">
    <w:name w:val="Captioned Figure"/>
    <w:basedOn w:val="Figure"/>
    <w:qFormat/>
    <w:pPr>
      <w:keepNext/>
    </w:pPr>
  </w:style>
  <w:style w:styleId="TOCHeading" w:type="paragraph">
    <w:name w:val="TOC Heading"/>
    <w:basedOn w:val="Heading1"/>
    <w:next w:val="BodyText"/>
    <w:uiPriority w:val="39"/>
    <w:unhideWhenUsed/>
    <w:qFormat/>
    <w:pPr>
      <w:spacing w:after="0" w:before="240" w:line="259" w:lineRule="auto"/>
    </w:pPr>
    <w:rPr>
      <w:rFonts w:asciiTheme="majorHAnsi" w:hAnsiTheme="majorHAnsi"/>
      <w:b w:val="0"/>
      <w:bCs w:val="0"/>
      <w:color w:themeColor="accent1" w:themeShade="BF" w:val="365F91"/>
    </w:rPr>
  </w:style>
  <w:style w:styleId="BodyTextIndent" w:type="paragraph">
    <w:name w:val="Body Text Indent"/>
    <w:basedOn w:val="BodyText"/>
    <w:qFormat/>
    <w:pPr>
      <w:ind w:firstLine="283"/>
    </w:pPr>
  </w:style>
  <w:style w:customStyle="1" w:styleId="HeaderandFooter" w:type="paragraph">
    <w:name w:val="Header and Footer"/>
    <w:basedOn w:val="Normal"/>
    <w:qFormat/>
    <w:pPr>
      <w:suppressLineNumbers/>
      <w:tabs>
        <w:tab w:pos="4680" w:val="center"/>
        <w:tab w:pos="9360" w:val="right"/>
      </w:tabs>
    </w:pPr>
  </w:style>
  <w:style w:styleId="Footer" w:type="paragraph">
    <w:name w:val="footer"/>
    <w:basedOn w:val="HeaderandFooter"/>
    <w:link w:val="FooterChar"/>
    <w:uiPriority w:val="99"/>
    <w:pPr>
      <w:spacing w:after="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tcPr>
        <w:tcBorders>
          <w:bottom w:color="auto" w:space="0" w:sz="0" w:val="single"/>
        </w:tcBorders>
        <w:vAlign w:val="bottom"/>
      </w:tcPr>
    </w:tblStylePr>
  </w:style>
  <w:style w:styleId="Header" w:type="paragraph">
    <w:name w:val="header"/>
    <w:basedOn w:val="Normal"/>
    <w:link w:val="HeaderChar"/>
    <w:unhideWhenUsed/>
    <w:rsid w:val="000B2557"/>
    <w:pPr>
      <w:tabs>
        <w:tab w:pos="4680" w:val="center"/>
        <w:tab w:pos="9360" w:val="right"/>
      </w:tabs>
      <w:spacing w:after="0"/>
    </w:pPr>
  </w:style>
  <w:style w:customStyle="1" w:styleId="HeaderChar" w:type="character">
    <w:name w:val="Header Char"/>
    <w:basedOn w:val="DefaultParagraphFont"/>
    <w:link w:val="Header"/>
    <w:rsid w:val="000B2557"/>
    <w:rPr>
      <w:sz w:val="24"/>
    </w:rPr>
  </w:style>
  <w:style w:customStyle="1" w:styleId="FooterChar" w:type="character">
    <w:name w:val="Footer Char"/>
    <w:basedOn w:val="DefaultParagraphFont"/>
    <w:link w:val="Footer"/>
    <w:uiPriority w:val="99"/>
    <w:rsid w:val="000B2557"/>
    <w:rPr>
      <w:sz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37" Target="https://doi.org/10.1111/j.1467-954X.1984.tb00115.x" TargetMode="External" /><Relationship Type="http://schemas.openxmlformats.org/officeDocument/2006/relationships/hyperlink" Id="rId29" Target="https://doi.org/10.1177/0170840604038173" TargetMode="External" /><Relationship Type="http://schemas.openxmlformats.org/officeDocument/2006/relationships/hyperlink" Id="rId42" Target="https://doi.org/10.1177/0170840606061807" TargetMode="External" /><Relationship Type="http://schemas.openxmlformats.org/officeDocument/2006/relationships/hyperlink" Id="rId46" Target="https://doi.org/10.1177/0170840609349875" TargetMode="External" /><Relationship Type="http://schemas.openxmlformats.org/officeDocument/2006/relationships/hyperlink" Id="rId35" Target="https://doi.org/10.1177/0170840699201001" TargetMode="External" /><Relationship Type="http://schemas.openxmlformats.org/officeDocument/2006/relationships/hyperlink" Id="rId26" Target="https://doi.org/10.1177/135050840073001" TargetMode="External" /><Relationship Type="http://schemas.openxmlformats.org/officeDocument/2006/relationships/hyperlink" Id="rId44" Target="https://doi.org/10.5465/amj.2009.36461993" TargetMode="External" /><Relationship Type="http://schemas.openxmlformats.org/officeDocument/2006/relationships/hyperlink" Id="rId31" Target="https://doi.org/10.5465/amj.2010.57318384" TargetMode="External" /><Relationship Type="http://schemas.openxmlformats.org/officeDocument/2006/relationships/hyperlink" Id="rId33" Target="https://doi.org/10.5465/amj.2017.0987" TargetMode="External" /><Relationship Type="http://schemas.openxmlformats.org/officeDocument/2006/relationships/hyperlink" Id="rId50" Target="https://doi.org/10.5465/amr.2004.14497617" TargetMode="External" /><Relationship Type="http://schemas.openxmlformats.org/officeDocument/2006/relationships/hyperlink" Id="rId40" Target="https://doi.org/10.5465/amr.2006.20208692" TargetMode="External" /><Relationship Type="http://schemas.openxmlformats.org/officeDocument/2006/relationships/hyperlink" Id="rId52" Target="https://doi.org/10.5465/amr.2017.0392" TargetMode="External" /><Relationship Type="http://schemas.openxmlformats.org/officeDocument/2006/relationships/hyperlink" Id="rId54" Target="https://doi.org/10.5465/annals.2015.0101" TargetMode="External" /><Relationship Type="http://schemas.openxmlformats.org/officeDocument/2006/relationships/hyperlink" Id="rId48" Target="https://www.nebraskalegislature.gov/FloorDocs/102/PDF/Transcripts/Natural/2011-11-15.pdf" TargetMode="External" /></Relationships>
</file>

<file path=word/_rels/footnotes.xml.rels><?xml version="1.0" encoding="UTF-8"?><Relationships xmlns="http://schemas.openxmlformats.org/package/2006/relationships"><Relationship Type="http://schemas.openxmlformats.org/officeDocument/2006/relationships/hyperlink" Id="rId37" Target="https://doi.org/10.1111/j.1467-954X.1984.tb00115.x" TargetMode="External" /><Relationship Type="http://schemas.openxmlformats.org/officeDocument/2006/relationships/hyperlink" Id="rId29" Target="https://doi.org/10.1177/0170840604038173" TargetMode="External" /><Relationship Type="http://schemas.openxmlformats.org/officeDocument/2006/relationships/hyperlink" Id="rId42" Target="https://doi.org/10.1177/0170840606061807" TargetMode="External" /><Relationship Type="http://schemas.openxmlformats.org/officeDocument/2006/relationships/hyperlink" Id="rId46" Target="https://doi.org/10.1177/0170840609349875" TargetMode="External" /><Relationship Type="http://schemas.openxmlformats.org/officeDocument/2006/relationships/hyperlink" Id="rId35" Target="https://doi.org/10.1177/0170840699201001" TargetMode="External" /><Relationship Type="http://schemas.openxmlformats.org/officeDocument/2006/relationships/hyperlink" Id="rId26" Target="https://doi.org/10.1177/135050840073001" TargetMode="External" /><Relationship Type="http://schemas.openxmlformats.org/officeDocument/2006/relationships/hyperlink" Id="rId44" Target="https://doi.org/10.5465/amj.2009.36461993" TargetMode="External" /><Relationship Type="http://schemas.openxmlformats.org/officeDocument/2006/relationships/hyperlink" Id="rId31" Target="https://doi.org/10.5465/amj.2010.57318384" TargetMode="External" /><Relationship Type="http://schemas.openxmlformats.org/officeDocument/2006/relationships/hyperlink" Id="rId33" Target="https://doi.org/10.5465/amj.2017.0987" TargetMode="External" /><Relationship Type="http://schemas.openxmlformats.org/officeDocument/2006/relationships/hyperlink" Id="rId50" Target="https://doi.org/10.5465/amr.2004.14497617" TargetMode="External" /><Relationship Type="http://schemas.openxmlformats.org/officeDocument/2006/relationships/hyperlink" Id="rId40" Target="https://doi.org/10.5465/amr.2006.20208692" TargetMode="External" /><Relationship Type="http://schemas.openxmlformats.org/officeDocument/2006/relationships/hyperlink" Id="rId52" Target="https://doi.org/10.5465/amr.2017.0392" TargetMode="External" /><Relationship Type="http://schemas.openxmlformats.org/officeDocument/2006/relationships/hyperlink" Id="rId54" Target="https://doi.org/10.5465/annals.2015.0101" TargetMode="External" /><Relationship Type="http://schemas.openxmlformats.org/officeDocument/2006/relationships/hyperlink" Id="rId48" Target="https://www.nebraskalegislature.gov/FloorDocs/102/PDF/Transcripts/Natural/2011-11-15.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63</Words>
  <Characters>364</Characters>
  <Application>Microsoft Office Word</Application>
  <DocSecurity>0</DocSecurity>
  <Lines>3</Lines>
  <Paragraphs>1</Paragraphs>
  <ScaleCrop>false</ScaleCrop>
  <Company/>
  <LinksUpToDate>false</LinksUpToDate>
  <CharactersWithSpaces>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Discourse–Theory and Literature</dc:title>
  <dc:creator>Barg, Julian jbarg.phd@ivey.ca Ivey Business School</dc:creator>
  <cp:keywords/>
  <dcterms:created xsi:type="dcterms:W3CDTF">2021-08-30T19:53:02Z</dcterms:created>
  <dcterms:modified xsi:type="dcterms:W3CDTF">2021-08-30T19:53:02Z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ies>
</file>