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Institutional</w:t>
      </w:r>
      <w:r>
        <w:t xml:space="preserve"> </w:t>
      </w:r>
      <w:r>
        <w:t xml:space="preserve">Defense</w:t>
      </w:r>
    </w:p>
    <w:p>
      <w:pPr>
        <w:pStyle w:val="Author"/>
      </w:pPr>
      <w:r>
        <w:rPr>
          <w:rStyle w:val="VerbatimChar"/>
        </w:rPr>
        <w:t xml:space="preserve">jbarg.phd@ivey.ca</w:t>
      </w:r>
      <w:r>
        <w:br/>
      </w:r>
      <w:r>
        <w:t xml:space="preserve">Ivey</w:t>
      </w:r>
      <w:r>
        <w:t xml:space="preserve"> </w:t>
      </w:r>
      <w:r>
        <w:t xml:space="preserve">Business</w:t>
      </w:r>
      <w:r>
        <w:t xml:space="preserve"> </w:t>
      </w:r>
      <w:r>
        <w:t xml:space="preserve">School</w:t>
      </w:r>
    </w:p>
    <w:p>
      <w:pPr>
        <w:pStyle w:val="FirstParagraph"/>
      </w:pPr>
      <w:r>
        <w:t xml:space="preserve">Recently, there have been complaints by institutional theorists about strains of the literature that showcase</w:t>
      </w:r>
      <w:r>
        <w:t xml:space="preserve"> </w:t>
      </w:r>
      <w:r>
        <w:rPr>
          <w:iCs/>
          <w:i/>
        </w:rPr>
        <w:t xml:space="preserve">heroic</w:t>
      </w:r>
      <w:r>
        <w:t xml:space="preserve"> </w:t>
      </w:r>
      <w:r>
        <w:t xml:space="preserve">actors who all too easily change institutions,</w:t>
      </w:r>
      <w:r>
        <w:t xml:space="preserve"> </w:t>
      </w:r>
      <w:r>
        <w:rPr>
          <w:iCs/>
          <w:i/>
        </w:rPr>
        <w:t xml:space="preserve">singlehandedly</w:t>
      </w:r>
      <w:r>
        <w:t xml:space="preserve"> </w:t>
      </w:r>
      <w:r>
        <w:t xml:space="preserve">(e.g., Suddaby, Bitektine, and Haack 2017)</w:t>
      </w:r>
      <w:r>
        <w:t xml:space="preserve">. These strains of literature, they argue, import ideas from other fields and thereby destroy the theoretical assumptions of institutional theory</w:t>
      </w:r>
      <w:r>
        <w:t xml:space="preserve"> </w:t>
      </w:r>
      <w:r>
        <w:t xml:space="preserve">(Suddaby 2010)</w:t>
      </w:r>
      <w:r>
        <w:t xml:space="preserve">. In other words, institutions should be mighty and unwieldy, towering over the actor.</w:t>
      </w:r>
    </w:p>
    <w:p>
      <w:pPr>
        <w:pStyle w:val="BodyText"/>
      </w:pPr>
      <w:r>
        <w:t xml:space="preserve">The</w:t>
      </w:r>
      <w:r>
        <w:t xml:space="preserve"> </w:t>
      </w:r>
      <w:r>
        <w:rPr>
          <w:iCs/>
          <w:i/>
        </w:rPr>
        <w:t xml:space="preserve">procedural</w:t>
      </w:r>
      <w:r>
        <w:t xml:space="preserve"> </w:t>
      </w:r>
      <w:r>
        <w:t xml:space="preserve">or</w:t>
      </w:r>
      <w:r>
        <w:t xml:space="preserve"> </w:t>
      </w:r>
      <w:r>
        <w:rPr>
          <w:iCs/>
          <w:i/>
        </w:rPr>
        <w:t xml:space="preserve">discoursive</w:t>
      </w:r>
      <w:r>
        <w:t xml:space="preserve"> </w:t>
      </w:r>
      <w:r>
        <w:t xml:space="preserve">strain of institutional theory draws on the work of e.g.,</w:t>
      </w:r>
      <w:r>
        <w:t xml:space="preserve"> </w:t>
      </w:r>
      <w:r>
        <w:t xml:space="preserve">Maguire and Hardy (2009)</w:t>
      </w:r>
      <w:r>
        <w:t xml:space="preserve">, who highlight the agentic actions of Rachel Carson taking on DDT and, by extension, the American chemical industry</w:t>
      </w:r>
      <w:r>
        <w:t xml:space="preserve"> </w:t>
      </w:r>
      <w:r>
        <w:t xml:space="preserve">(Suddaby, Bitektine, and Haack 2017)</w:t>
      </w:r>
      <w:r>
        <w:t xml:space="preserve">. Certainly, giving the impetus for the deinstitutionalization of DDT is not a small feat and should be appreciated. But at the end of the day, Suddaby argues, institutional change is typically "an inherently distributed effort of diverse change agents at multiple levels who engage in the day-to-day effort of legitimacy work"</w:t>
      </w:r>
      <w:r>
        <w:t xml:space="preserve"> </w:t>
      </w:r>
      <w:r>
        <w:t xml:space="preserve">(Suddaby, Bitektine, and Haack 2017, 462)</w:t>
      </w:r>
      <w:r>
        <w:t xml:space="preserve">.</w:t>
      </w:r>
    </w:p>
    <w:p>
      <w:pPr>
        <w:pStyle w:val="BodyText"/>
      </w:pPr>
      <w:r>
        <w:t xml:space="preserve">Maguire and Hardy (2009)</w:t>
      </w:r>
      <w:r>
        <w:t xml:space="preserve"> </w:t>
      </w:r>
      <w:r>
        <w:t xml:space="preserve">do let it shine through though that it</w:t>
      </w:r>
      <w:r>
        <w:t xml:space="preserve"> </w:t>
      </w:r>
      <w:r>
        <w:rPr>
          <w:iCs/>
          <w:i/>
        </w:rPr>
        <w:t xml:space="preserve">has not</w:t>
      </w:r>
      <w:r>
        <w:t xml:space="preserve"> </w:t>
      </w:r>
      <w:r>
        <w:t xml:space="preserve">been that easy for Rachel Carson. Before she succeeded in her noble goal of protecting the environment and people from a dangerous pesticide, she had to suffer through a barrage of attacks from the industry on her hypotheses and her person. So how easy or difficult is it changing and institution?</w:t>
      </w:r>
      <w:r>
        <w:t xml:space="preserve"> </w:t>
      </w:r>
      <w:r>
        <w:t xml:space="preserve">Oliver (1991)</w:t>
      </w:r>
      <w:r>
        <w:t xml:space="preserve"> </w:t>
      </w:r>
      <w:r>
        <w:t xml:space="preserve">suggests a plethora of weapons an organizations can wield in response to institutional threats.</w:t>
      </w:r>
    </w:p>
    <w:p>
      <w:pPr>
        <w:pStyle w:val="BodyText"/>
      </w:pPr>
      <w:r>
        <w:t xml:space="preserve">There are two possible responses to Suddaby when he laments the "hypermaskular"</w:t>
      </w:r>
      <w:r>
        <w:t xml:space="preserve"> </w:t>
      </w:r>
      <w:r>
        <w:t xml:space="preserve">(Suddaby 2010; Suddaby, Bitektine, and Haack 2017)</w:t>
      </w:r>
      <w:r>
        <w:t xml:space="preserve"> </w:t>
      </w:r>
      <w:r>
        <w:t xml:space="preserve">actor. One possibility would be to investigate what happened</w:t>
      </w:r>
      <w:r>
        <w:t xml:space="preserve"> </w:t>
      </w:r>
      <w:r>
        <w:rPr>
          <w:iCs/>
          <w:i/>
        </w:rPr>
        <w:t xml:space="preserve">after</w:t>
      </w:r>
      <w:r>
        <w:t xml:space="preserve"> </w:t>
      </w:r>
      <w:r>
        <w:t xml:space="preserve">Rachel Carson published her book. To identify her multipliers. And to showcase the texts that constitute the day-to-day work of delegitimization.</w:t>
      </w:r>
      <w:r>
        <w:rPr>
          <w:rStyle w:val="FootnoteReference"/>
        </w:rPr>
        <w:footnoteReference w:id="20"/>
      </w:r>
      <w:r>
        <w:t xml:space="preserve"> </w:t>
      </w:r>
      <w:r>
        <w:t xml:space="preserve">Another route is to take a second look at her counterparts. Who are the institutional defenders? What steps do they take to protect the legitimacy of the institution? That is the second route. We counter the image of institutions towering over actors, with an image of two larger-than-life actors–or sometimes an actually hopelessly out of his league David and a Goliath–locked into an epic fight over the legitimacy of an institution.</w:t>
      </w:r>
    </w:p>
    <w:p>
      <w:pPr>
        <w:pStyle w:val="BodyText"/>
      </w:pPr>
      <w:r>
        <w:t xml:space="preserve">Notably,</w:t>
      </w:r>
      <w:r>
        <w:t xml:space="preserve"> </w:t>
      </w:r>
      <w:r>
        <w:t xml:space="preserve">Oliver (1991)</w:t>
      </w:r>
      <w:r>
        <w:t xml:space="preserve"> </w:t>
      </w:r>
      <w:r>
        <w:t xml:space="preserve">laid the groundwork for this inquiry into institutional actions. Oliver noted that organizations sometimes acquiesce, and compromise, but they may also engage in avoidance, defiance, and manipulation when they sense a threat. More recently, the "agency heavy" literature includes</w:t>
      </w:r>
      <w:r>
        <w:t xml:space="preserve"> </w:t>
      </w:r>
      <w:r>
        <w:t xml:space="preserve">Suddaby and Greenwood (2005)</w:t>
      </w:r>
      <w:r>
        <w:t xml:space="preserve"> </w:t>
      </w:r>
      <w:r>
        <w:t xml:space="preserve">analyzing how one pioneering bank changed the typical structure of the Big Five accounting firms by purchasing a law firm. Or</w:t>
      </w:r>
      <w:r>
        <w:t xml:space="preserve"> </w:t>
      </w:r>
      <w:r>
        <w:t xml:space="preserve">Delmestri and Greenwood (2016)</w:t>
      </w:r>
      <w:r>
        <w:t xml:space="preserve"> </w:t>
      </w:r>
      <w:r>
        <w:t xml:space="preserve">showcasing how an Italian distiller successfully recategorized its product to fit a high status niche. And as a final example,</w:t>
      </w:r>
      <w:r>
        <w:t xml:space="preserve"> </w:t>
      </w:r>
      <w:r>
        <w:t xml:space="preserve">Navis and Glynn (2010)</w:t>
      </w:r>
      <w:r>
        <w:t xml:space="preserve"> </w:t>
      </w:r>
      <w:r>
        <w:t xml:space="preserve">study the establishment of satellite radio as a new market category. True to the nature of the</w:t>
      </w:r>
      <w:r>
        <w:t xml:space="preserve"> </w:t>
      </w:r>
      <w:r>
        <w:rPr>
          <w:iCs/>
          <w:i/>
        </w:rPr>
        <w:t xml:space="preserve">procedural</w:t>
      </w:r>
      <w:r>
        <w:t xml:space="preserve"> </w:t>
      </w:r>
      <w:r>
        <w:t xml:space="preserve">or</w:t>
      </w:r>
      <w:r>
        <w:t xml:space="preserve"> </w:t>
      </w:r>
      <w:r>
        <w:rPr>
          <w:iCs/>
          <w:i/>
        </w:rPr>
        <w:t xml:space="preserve">discoursive</w:t>
      </w:r>
      <w:r>
        <w:t xml:space="preserve"> </w:t>
      </w:r>
      <w:r>
        <w:t xml:space="preserve">strain of institutional theory, these are all examples of institutions in flux–not to our surprise we find examples of examples that kick off significant change.</w:t>
      </w:r>
    </w:p>
    <w:p>
      <w:pPr>
        <w:pStyle w:val="BodyText"/>
      </w:pPr>
      <w:r>
        <w:t xml:space="preserve">Where would we look for examples of "the other side" of institutional change? A preferred choice would be a context where the threat to legitimacy is salient, and the institutional incumbents have sufficient organizational resources–experience, network, and finances aka</w:t>
      </w:r>
      <w:r>
        <w:t xml:space="preserve"> </w:t>
      </w:r>
      <w:r>
        <w:rPr>
          <w:iCs/>
          <w:i/>
        </w:rPr>
        <w:t xml:space="preserve">power</w:t>
      </w:r>
      <w:r>
        <w:t xml:space="preserve">–to face off against the threat. In the next section, I argue that the pipeline industry is one such context, and that there are multiple suitable events to study in that context.</w:t>
      </w:r>
    </w:p>
    <w:p>
      <w:pPr>
        <w:pStyle w:val="BodyText"/>
      </w:pPr>
      <w:r>
        <w:t xml:space="preserve">Using this approach of theorizing based on a very salient case, we have to live with the obvious disadvantage that it provides us with a view of the world that is not just "hypermaskular", but "hyperaggressiv". Just like the rather plain descriptions by</w:t>
      </w:r>
      <w:r>
        <w:t xml:space="preserve"> </w:t>
      </w:r>
      <w:r>
        <w:t xml:space="preserve">Heracleous and Barrett (2001)</w:t>
      </w:r>
      <w:r>
        <w:t xml:space="preserve"> </w:t>
      </w:r>
      <w:r>
        <w:t xml:space="preserve">of the London Insurance Market’s early venture into electronic risk placing are probably not representative of the great lot of important processes that we try to capture with institutional theory</w:t>
      </w:r>
      <w:r>
        <w:t xml:space="preserve"> </w:t>
      </w:r>
      <w:r>
        <w:t xml:space="preserve">(Hoffman and Jennings 2015)</w:t>
      </w:r>
      <w:r>
        <w:t xml:space="preserve">, so do these ones from the pipeline industry provide a skewed view. I would concur that while the case of the pipeline industry may be exceptional in its intensity, it is representative of processes that matter, and that the viciousness of the discourse on an institution may be a good indicator that it is a process worth paying attention to</w:t>
      </w:r>
      <w:r>
        <w:t xml:space="preserve"> </w:t>
      </w:r>
      <w:r>
        <w:t xml:space="preserve">(cf. Ergene, Banerjee, and Hoffman 2020)</w:t>
      </w:r>
      <w:r>
        <w:t xml:space="preserve">.</w:t>
      </w:r>
    </w:p>
    <w:bookmarkStart w:id="24" w:name="empirical-context"/>
    <w:p>
      <w:pPr>
        <w:pStyle w:val="Heading2"/>
      </w:pPr>
      <w:r>
        <w:t xml:space="preserve">Empirical context</w:t>
      </w:r>
    </w:p>
    <w:p>
      <w:pPr>
        <w:pStyle w:val="FirstParagraph"/>
      </w:pPr>
      <w:r>
        <w:t xml:space="preserve">Before the Deepwater Horizon oil spill in 2010, the construction of pipelines in the US went over virtually unchallenged. Keystone and Keystone XL are a useful yardstick: the approval process for the original</w:t>
      </w:r>
      <w:r>
        <w:t xml:space="preserve"> </w:t>
      </w:r>
      <w:r>
        <w:rPr>
          <w:iCs/>
          <w:i/>
        </w:rPr>
        <w:t xml:space="preserve">Keystone</w:t>
      </w:r>
      <w:r>
        <w:t xml:space="preserve"> </w:t>
      </w:r>
      <w:r>
        <w:t xml:space="preserve">pipeline from 2005-2009 garnered almost no public attention, whereas the approval process for</w:t>
      </w:r>
      <w:r>
        <w:t xml:space="preserve"> </w:t>
      </w:r>
      <w:r>
        <w:rPr>
          <w:iCs/>
          <w:i/>
        </w:rPr>
        <w:t xml:space="preserve">Keystone XL</w:t>
      </w:r>
      <w:r>
        <w:t xml:space="preserve"> </w:t>
      </w:r>
      <w:r>
        <w:t xml:space="preserve">was drawn out from 2008-2019, and in 2021 the permit was canceled. While in 2009, there is one hit for the Keystone pipeline</w:t>
      </w:r>
      <w:r>
        <w:rPr>
          <w:rStyle w:val="FootnoteReference"/>
        </w:rPr>
        <w:footnoteReference w:id="21"/>
      </w:r>
      <w:r>
        <w:t xml:space="preserve"> </w:t>
      </w:r>
      <w:r>
        <w:t xml:space="preserve">in the ten major national newspapers in the US, in 2011 there are 105.</w:t>
      </w:r>
      <w:r>
        <w:rPr>
          <w:rStyle w:val="FootnoteReference"/>
        </w:rPr>
        <w:footnoteReference w:id="22"/>
      </w:r>
      <w:r>
        <w:t xml:space="preserve"> </w:t>
      </w:r>
      <w:r>
        <w:t xml:space="preserve">Keystone XL in particular became a highly symbolic project, both for the oil and gas industry, and for its opponents. The oil and gas industry is concerned that the defeat of Keystone XL will embolden opponents of fossil fuels</w:t>
      </w:r>
      <w:r>
        <w:t xml:space="preserve"> </w:t>
      </w:r>
      <w:r>
        <w:t xml:space="preserve">(Freitas, Adams-Heard, and Gilmer 2021)</w:t>
      </w:r>
      <w:r>
        <w:t xml:space="preserve">. For the opponents of Keystone XL, the pipeline has become a symbol for the recklessness of the fossil fuel industry–Keystone XL was intended to carry oil sands, which also started to come under fire for their environmental impacts at around 2010</w:t>
      </w:r>
      <w:r>
        <w:t xml:space="preserve"> </w:t>
      </w:r>
      <w:r>
        <w:t xml:space="preserve">(Schindler 2010)</w:t>
      </w:r>
      <w:r>
        <w:t xml:space="preserve">.</w:t>
      </w:r>
    </w:p>
    <w:p>
      <w:pPr>
        <w:pStyle w:val="BodyText"/>
      </w:pPr>
      <w:r>
        <w:t xml:space="preserve">Since the onset of this challenge to the legitimacy of pipelines, two notable pipeline projects have been attempted. First, there is Keystone XL itself. Keystone XL has been challenged on the national, state, and local level. It was a repeated target of demonstrations in Washington, and subject of debate in the 2015 and 2020 Presidential elections. Environmental NGOs raised challenges against the pipeline throughout the approval process in all three states that were to be crossed. And at the local level, activists engaged in blockades against material and equipment.</w:t>
      </w:r>
    </w:p>
    <w:p>
      <w:pPr>
        <w:pStyle w:val="BodyText"/>
      </w:pPr>
      <w:r>
        <w:t xml:space="preserve">The Dakota Access Pipeline (DAPL) faced fewer regulatory challenges. The approval process was swift, since DAPL does not cross any international border. In contrast, the physical resistance against DAPL was much more fierce, culminating in a showdown in South Dakota that has become known as the "Battle at Standing Rock"</w:t>
      </w:r>
      <w:r>
        <w:t xml:space="preserve"> </w:t>
      </w:r>
      <w:r>
        <w:t xml:space="preserve">(Read 2016)</w:t>
      </w:r>
      <w:r>
        <w:t xml:space="preserve">. As of 2021, DAPL is transporting oil across the Great Prairies, but has been caught up in legal battles with environmental interest groups that have more than once come close to shutting down the pipeline.</w:t>
      </w:r>
    </w:p>
    <w:p>
      <w:pPr>
        <w:pStyle w:val="BodyText"/>
      </w:pPr>
      <w:r>
        <w:t xml:space="preserve">In addition to these big projects, there were a number of smaller projects that attracted resistance. These include Enbridge Line 5, which is under threat of being shut down by the government of Michigan. The shutdown would indicate a new quality of enforcement action against existing pipelines that are believed to be unsafe. Enbridge Line 3 has been caught up in the storm of resistance that brewed up against Keystone XL–Enbridge originally intended to increase the capacity of the line by adding a new segment, but so far the efforts have been halted by Minnesotans.</w:t>
      </w:r>
    </w:p>
    <w:bookmarkEnd w:id="24"/>
    <w:bookmarkStart w:id="26" w:name="strategic-responses"/>
    <w:p>
      <w:pPr>
        <w:pStyle w:val="Heading2"/>
      </w:pPr>
      <w:r>
        <w:t xml:space="preserve">Strategic Responses</w:t>
      </w:r>
    </w:p>
    <w:p>
      <w:pPr>
        <w:pStyle w:val="FirstParagraph"/>
      </w:pPr>
      <w:r>
        <w:t xml:space="preserve">This section includes a selection of the strategic responses of the pipeline industry to the legitimacy threat that appeared in 2010. The criteria for inclusion is that the events covered in one of the ten largest newspapers in the US. The responses range from direct–preventing pipeline opponents from voicing their opinion–to indirect attempt to influence opinion leaders.</w:t>
      </w:r>
    </w:p>
    <w:p>
      <w:pPr>
        <w:pStyle w:val="BodyText"/>
      </w:pPr>
      <w:r>
        <w:drawing>
          <wp:inline>
            <wp:extent cx="1220556" cy="7009043"/>
            <wp:effectExtent b="0" l="0" r="0" t="0"/>
            <wp:docPr descr="image" title="" id="1" name="Picture"/>
            <a:graphic>
              <a:graphicData uri="http://schemas.openxmlformats.org/drawingml/2006/picture">
                <pic:pic>
                  <pic:nvPicPr>
                    <pic:cNvPr descr="tables/events.png" id="0" name="Picture"/>
                    <pic:cNvPicPr>
                      <a:picLocks noChangeArrowheads="1" noChangeAspect="1"/>
                    </pic:cNvPicPr>
                  </pic:nvPicPr>
                  <pic:blipFill>
                    <a:blip r:embed="rId25"/>
                    <a:stretch>
                      <a:fillRect/>
                    </a:stretch>
                  </pic:blipFill>
                  <pic:spPr bwMode="auto">
                    <a:xfrm>
                      <a:off x="0" y="0"/>
                      <a:ext cx="1220556" cy="7009043"/>
                    </a:xfrm>
                    <a:prstGeom prst="rect">
                      <a:avLst/>
                    </a:prstGeom>
                    <a:noFill/>
                    <a:ln w="9525">
                      <a:noFill/>
                      <a:headEnd/>
                      <a:tailEnd/>
                    </a:ln>
                  </pic:spPr>
                </pic:pic>
              </a:graphicData>
            </a:graphic>
          </wp:inline>
        </w:drawing>
      </w:r>
    </w:p>
    <w:bookmarkEnd w:id="26"/>
    <w:bookmarkStart w:id="54" w:name="references"/>
    <w:p>
      <w:pPr>
        <w:pStyle w:val="Heading1"/>
      </w:pPr>
      <w:r>
        <w:t xml:space="preserve">References</w:t>
      </w:r>
    </w:p>
    <w:bookmarkStart w:id="53" w:name="refs"/>
    <w:bookmarkStart w:id="28" w:name="ref-Delmestri2016"/>
    <w:p>
      <w:pPr>
        <w:pStyle w:val="Bibliography"/>
      </w:pPr>
      <w:r>
        <w:t xml:space="preserve">Delmestri, Giuseppe, and Royston Greenwood. 2016.</w:t>
      </w:r>
      <w:r>
        <w:t xml:space="preserve"> </w:t>
      </w:r>
      <w:r>
        <w:t xml:space="preserve">“How</w:t>
      </w:r>
      <w:r>
        <w:t xml:space="preserve"> </w:t>
      </w:r>
      <w:r>
        <w:t xml:space="preserve">Cinderella Became</w:t>
      </w:r>
      <w:r>
        <w:t xml:space="preserve"> </w:t>
      </w:r>
      <w:r>
        <w:t xml:space="preserve">a</w:t>
      </w:r>
      <w:r>
        <w:t xml:space="preserve"> </w:t>
      </w:r>
      <w:r>
        <w:t xml:space="preserve">Queen</w:t>
      </w:r>
      <w:r>
        <w:t xml:space="preserve">:</w:t>
      </w:r>
      <w:r>
        <w:t xml:space="preserve"> </w:t>
      </w:r>
      <w:r>
        <w:t xml:space="preserve">Theorizing Radical Status Change</w:t>
      </w:r>
      <w:r>
        <w:t xml:space="preserve">.”</w:t>
      </w:r>
      <w:r>
        <w:t xml:space="preserve"> </w:t>
      </w:r>
      <w:r>
        <w:rPr>
          <w:iCs/>
          <w:i/>
        </w:rPr>
        <w:t xml:space="preserve">Administrative Science Quarterly</w:t>
      </w:r>
      <w:r>
        <w:t xml:space="preserve"> </w:t>
      </w:r>
      <w:r>
        <w:t xml:space="preserve">61 (4): 507–50.</w:t>
      </w:r>
      <w:r>
        <w:t xml:space="preserve"> </w:t>
      </w:r>
      <w:hyperlink r:id="rId27">
        <w:r>
          <w:rPr>
            <w:rStyle w:val="Hyperlink"/>
          </w:rPr>
          <w:t xml:space="preserve">https://doi.org/10.1177/0001839216644253</w:t>
        </w:r>
      </w:hyperlink>
      <w:r>
        <w:t xml:space="preserve">.</w:t>
      </w:r>
    </w:p>
    <w:bookmarkEnd w:id="28"/>
    <w:bookmarkStart w:id="30" w:name="ref-Ergene2020"/>
    <w:p>
      <w:pPr>
        <w:pStyle w:val="Bibliography"/>
      </w:pPr>
      <w:r>
        <w:t xml:space="preserve">Ergene, Seray, Subhabrata Bobby Banerjee, and Andrew J. Hoffman. 2020.</w:t>
      </w:r>
      <w:r>
        <w:t xml:space="preserve"> </w:t>
      </w:r>
      <w:r>
        <w:t xml:space="preserve">“(</w:t>
      </w:r>
      <w:r>
        <w:t xml:space="preserve">Un</w:t>
      </w:r>
      <w:r>
        <w:t xml:space="preserve">)</w:t>
      </w:r>
      <w:r>
        <w:t xml:space="preserve">Sustainability</w:t>
      </w:r>
      <w:r>
        <w:t xml:space="preserve"> </w:t>
      </w:r>
      <w:r>
        <w:t xml:space="preserve">and</w:t>
      </w:r>
      <w:r>
        <w:t xml:space="preserve"> </w:t>
      </w:r>
      <w:r>
        <w:t xml:space="preserve">Organization Studies</w:t>
      </w:r>
      <w:r>
        <w:t xml:space="preserve">:</w:t>
      </w:r>
      <w:r>
        <w:t xml:space="preserve"> </w:t>
      </w:r>
      <w:r>
        <w:t xml:space="preserve">Towards</w:t>
      </w:r>
      <w:r>
        <w:t xml:space="preserve"> </w:t>
      </w:r>
      <w:r>
        <w:t xml:space="preserve">a</w:t>
      </w:r>
      <w:r>
        <w:t xml:space="preserve"> </w:t>
      </w:r>
      <w:r>
        <w:t xml:space="preserve">Radical Engagement</w:t>
      </w:r>
      <w:r>
        <w:t xml:space="preserve">.”</w:t>
      </w:r>
      <w:r>
        <w:t xml:space="preserve"> </w:t>
      </w:r>
      <w:r>
        <w:rPr>
          <w:iCs/>
          <w:i/>
        </w:rPr>
        <w:t xml:space="preserve">Organization Studies</w:t>
      </w:r>
      <w:r>
        <w:t xml:space="preserve">, 017084062093789.</w:t>
      </w:r>
      <w:r>
        <w:t xml:space="preserve"> </w:t>
      </w:r>
      <w:hyperlink r:id="rId29">
        <w:r>
          <w:rPr>
            <w:rStyle w:val="Hyperlink"/>
          </w:rPr>
          <w:t xml:space="preserve">https://doi.org/10.1177/0170840620937892</w:t>
        </w:r>
      </w:hyperlink>
      <w:r>
        <w:t xml:space="preserve">.</w:t>
      </w:r>
    </w:p>
    <w:bookmarkEnd w:id="30"/>
    <w:bookmarkStart w:id="32" w:name="ref-Freitas2021"/>
    <w:p>
      <w:pPr>
        <w:pStyle w:val="Bibliography"/>
      </w:pPr>
      <w:r>
        <w:t xml:space="preserve">Freitas, Gerson, Rachel Adams-Heard, and Ellen Gilmer. 2021.</w:t>
      </w:r>
      <w:r>
        <w:t xml:space="preserve"> </w:t>
      </w:r>
      <w:r>
        <w:t xml:space="preserve">“Keystone</w:t>
      </w:r>
      <w:r>
        <w:t xml:space="preserve"> </w:t>
      </w:r>
      <w:r>
        <w:t xml:space="preserve">XL</w:t>
      </w:r>
      <w:r>
        <w:t xml:space="preserve"> </w:t>
      </w:r>
      <w:r>
        <w:t xml:space="preserve">Shutdown May Signal the End of Major</w:t>
      </w:r>
      <w:r>
        <w:t xml:space="preserve"> </w:t>
      </w:r>
      <w:r>
        <w:t xml:space="preserve">U</w:t>
      </w:r>
      <w:r>
        <w:t xml:space="preserve">.</w:t>
      </w:r>
      <w:r>
        <w:t xml:space="preserve">S</w:t>
      </w:r>
      <w:r>
        <w:t xml:space="preserve">. Oil Infrastructure.”</w:t>
      </w:r>
      <w:r>
        <w:t xml:space="preserve"> </w:t>
      </w:r>
      <w:r>
        <w:rPr>
          <w:iCs/>
          <w:i/>
        </w:rPr>
        <w:t xml:space="preserve">World Oil</w:t>
      </w:r>
      <w:r>
        <w:t xml:space="preserve">, January 20, 2021.</w:t>
      </w:r>
      <w:r>
        <w:t xml:space="preserve"> </w:t>
      </w:r>
      <w:hyperlink r:id="rId31">
        <w:r>
          <w:rPr>
            <w:rStyle w:val="Hyperlink"/>
          </w:rPr>
          <w:t xml:space="preserve">https://www.worldoil.com/news/2021/1/20/keystone-xl-shutdown-may-signal-the-end-of-major-us-oil-infrastructure</w:t>
        </w:r>
      </w:hyperlink>
      <w:r>
        <w:t xml:space="preserve">.</w:t>
      </w:r>
    </w:p>
    <w:bookmarkEnd w:id="32"/>
    <w:bookmarkStart w:id="34" w:name="ref-Heracleous2001"/>
    <w:p>
      <w:pPr>
        <w:pStyle w:val="Bibliography"/>
      </w:pPr>
      <w:r>
        <w:t xml:space="preserve">Heracleous, Loizos, and Michael Barrett. 2001.</w:t>
      </w:r>
      <w:r>
        <w:t xml:space="preserve"> </w:t>
      </w:r>
      <w:r>
        <w:t xml:space="preserve">“Organizational</w:t>
      </w:r>
      <w:r>
        <w:t xml:space="preserve"> </w:t>
      </w:r>
      <w:r>
        <w:t xml:space="preserve">Change</w:t>
      </w:r>
      <w:r>
        <w:t xml:space="preserve"> </w:t>
      </w:r>
      <w:r>
        <w:t xml:space="preserve">as</w:t>
      </w:r>
      <w:r>
        <w:t xml:space="preserve"> </w:t>
      </w:r>
      <w:r>
        <w:t xml:space="preserve">Discourse</w:t>
      </w:r>
      <w:r>
        <w:t xml:space="preserve">:</w:t>
      </w:r>
      <w:r>
        <w:t xml:space="preserve"> </w:t>
      </w:r>
      <w:r>
        <w:t xml:space="preserve">Communicative Actions</w:t>
      </w:r>
      <w:r>
        <w:t xml:space="preserve"> </w:t>
      </w:r>
      <w:r>
        <w:t xml:space="preserve">and</w:t>
      </w:r>
      <w:r>
        <w:t xml:space="preserve"> </w:t>
      </w:r>
      <w:r>
        <w:t xml:space="preserve">Deep Structures</w:t>
      </w:r>
      <w:r>
        <w:t xml:space="preserve"> </w:t>
      </w:r>
      <w:r>
        <w:t xml:space="preserve">in the</w:t>
      </w:r>
      <w:r>
        <w:t xml:space="preserve"> </w:t>
      </w:r>
      <w:r>
        <w:t xml:space="preserve">Context</w:t>
      </w:r>
      <w:r>
        <w:t xml:space="preserve"> </w:t>
      </w:r>
      <w:r>
        <w:t xml:space="preserve">of</w:t>
      </w:r>
      <w:r>
        <w:t xml:space="preserve"> </w:t>
      </w:r>
      <w:r>
        <w:t xml:space="preserve">Information Technology Implementation</w:t>
      </w:r>
      <w:r>
        <w:t xml:space="preserve">.”</w:t>
      </w:r>
      <w:r>
        <w:t xml:space="preserve"> </w:t>
      </w:r>
      <w:r>
        <w:rPr>
          <w:iCs/>
          <w:i/>
        </w:rPr>
        <w:t xml:space="preserve">Academy of Management Journal</w:t>
      </w:r>
      <w:r>
        <w:t xml:space="preserve"> </w:t>
      </w:r>
      <w:r>
        <w:t xml:space="preserve">44 (4): 755–78.</w:t>
      </w:r>
      <w:r>
        <w:t xml:space="preserve"> </w:t>
      </w:r>
      <w:hyperlink r:id="rId33">
        <w:r>
          <w:rPr>
            <w:rStyle w:val="Hyperlink"/>
          </w:rPr>
          <w:t xml:space="preserve">https://doi.org/10.5465/3069414</w:t>
        </w:r>
      </w:hyperlink>
      <w:r>
        <w:t xml:space="preserve">.</w:t>
      </w:r>
    </w:p>
    <w:bookmarkEnd w:id="34"/>
    <w:bookmarkStart w:id="36" w:name="ref-Hoffman2015"/>
    <w:p>
      <w:pPr>
        <w:pStyle w:val="Bibliography"/>
      </w:pPr>
      <w:r>
        <w:t xml:space="preserve">Hoffman, Andrew J., and P. Devereaux Jennings. 2015.</w:t>
      </w:r>
      <w:r>
        <w:t xml:space="preserve"> </w:t>
      </w:r>
      <w:r>
        <w:t xml:space="preserve">“Institutional</w:t>
      </w:r>
      <w:r>
        <w:t xml:space="preserve"> </w:t>
      </w:r>
      <w:r>
        <w:t xml:space="preserve">Theory</w:t>
      </w:r>
      <w:r>
        <w:t xml:space="preserve"> </w:t>
      </w:r>
      <w:r>
        <w:t xml:space="preserve">and the</w:t>
      </w:r>
      <w:r>
        <w:t xml:space="preserve"> </w:t>
      </w:r>
      <w:r>
        <w:t xml:space="preserve">Natural Environment</w:t>
      </w:r>
      <w:r>
        <w:t xml:space="preserve">:</w:t>
      </w:r>
      <w:r>
        <w:t xml:space="preserve"> </w:t>
      </w:r>
      <w:r>
        <w:t xml:space="preserve">Research</w:t>
      </w:r>
      <w:r>
        <w:t xml:space="preserve"> </w:t>
      </w:r>
      <w:r>
        <w:t xml:space="preserve">in (and on) the</w:t>
      </w:r>
      <w:r>
        <w:t xml:space="preserve"> </w:t>
      </w:r>
      <w:r>
        <w:t xml:space="preserve">Anthropocene</w:t>
      </w:r>
      <w:r>
        <w:t xml:space="preserve">.”</w:t>
      </w:r>
      <w:r>
        <w:t xml:space="preserve"> </w:t>
      </w:r>
      <w:r>
        <w:rPr>
          <w:iCs/>
          <w:i/>
        </w:rPr>
        <w:t xml:space="preserve">Organization &amp; Environment</w:t>
      </w:r>
      <w:r>
        <w:t xml:space="preserve"> </w:t>
      </w:r>
      <w:r>
        <w:t xml:space="preserve">28 (1): 8–31.</w:t>
      </w:r>
      <w:r>
        <w:t xml:space="preserve"> </w:t>
      </w:r>
      <w:hyperlink r:id="rId35">
        <w:r>
          <w:rPr>
            <w:rStyle w:val="Hyperlink"/>
          </w:rPr>
          <w:t xml:space="preserve">https://doi.org/10.1177/1086026615575331</w:t>
        </w:r>
      </w:hyperlink>
      <w:r>
        <w:t xml:space="preserve">.</w:t>
      </w:r>
    </w:p>
    <w:bookmarkEnd w:id="36"/>
    <w:bookmarkStart w:id="38" w:name="ref-Maguire2009"/>
    <w:p>
      <w:pPr>
        <w:pStyle w:val="Bibliography"/>
      </w:pPr>
      <w:r>
        <w:t xml:space="preserve">Maguire, Steve, and Cynthia Hardy. 2009.</w:t>
      </w:r>
      <w:r>
        <w:t xml:space="preserve"> </w:t>
      </w:r>
      <w:r>
        <w:t xml:space="preserve">“Discourse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 </w:t>
      </w:r>
      <w:r>
        <w:t xml:space="preserve">52 (1): 148–78.</w:t>
      </w:r>
      <w:r>
        <w:t xml:space="preserve"> </w:t>
      </w:r>
      <w:hyperlink r:id="rId37">
        <w:r>
          <w:rPr>
            <w:rStyle w:val="Hyperlink"/>
          </w:rPr>
          <w:t xml:space="preserve">https://doi.org/10.5465/amj.2009.36461993</w:t>
        </w:r>
      </w:hyperlink>
      <w:r>
        <w:t xml:space="preserve">.</w:t>
      </w:r>
    </w:p>
    <w:bookmarkEnd w:id="38"/>
    <w:bookmarkStart w:id="40" w:name="ref-Navis2010"/>
    <w:p>
      <w:pPr>
        <w:pStyle w:val="Bibliography"/>
      </w:pPr>
      <w:r>
        <w:t xml:space="preserve">Navis, Chad, and Mary Ann Glynn. 2010.</w:t>
      </w:r>
      <w:r>
        <w:t xml:space="preserve"> </w:t>
      </w:r>
      <w:r>
        <w:t xml:space="preserve">“How</w:t>
      </w:r>
      <w:r>
        <w:t xml:space="preserve"> </w:t>
      </w:r>
      <w:r>
        <w:t xml:space="preserve">New Market Categories Emerge</w:t>
      </w:r>
      <w:r>
        <w:t xml:space="preserve">:</w:t>
      </w:r>
      <w:r>
        <w:t xml:space="preserve"> </w:t>
      </w:r>
      <w:r>
        <w:t xml:space="preserve">Temporal Dynamics</w:t>
      </w:r>
      <w:r>
        <w:t xml:space="preserve"> </w:t>
      </w:r>
      <w:r>
        <w:t xml:space="preserve">of</w:t>
      </w:r>
      <w:r>
        <w:t xml:space="preserve"> </w:t>
      </w:r>
      <w:r>
        <w:t xml:space="preserve">Legitimacy</w:t>
      </w:r>
      <w:r>
        <w:t xml:space="preserve">,</w:t>
      </w:r>
      <w:r>
        <w:t xml:space="preserve"> </w:t>
      </w:r>
      <w:r>
        <w:t xml:space="preserve">Identity</w:t>
      </w:r>
      <w:r>
        <w:t xml:space="preserve">, and</w:t>
      </w:r>
      <w:r>
        <w:t xml:space="preserve"> </w:t>
      </w:r>
      <w:r>
        <w:t xml:space="preserve">Entrepreneurship</w:t>
      </w:r>
      <w:r>
        <w:t xml:space="preserve"> </w:t>
      </w:r>
      <w:r>
        <w:t xml:space="preserve">in</w:t>
      </w:r>
      <w:r>
        <w:t xml:space="preserve"> </w:t>
      </w:r>
      <w:r>
        <w:t xml:space="preserve">Satellite Radio</w:t>
      </w:r>
      <w:r>
        <w:t xml:space="preserve">, 1990–2005.”</w:t>
      </w:r>
      <w:r>
        <w:t xml:space="preserve"> </w:t>
      </w:r>
      <w:r>
        <w:rPr>
          <w:iCs/>
          <w:i/>
        </w:rPr>
        <w:t xml:space="preserve">Administrative Science Quarterly</w:t>
      </w:r>
      <w:r>
        <w:t xml:space="preserve"> </w:t>
      </w:r>
      <w:r>
        <w:t xml:space="preserve">55 (3): 439–71.</w:t>
      </w:r>
      <w:r>
        <w:t xml:space="preserve"> </w:t>
      </w:r>
      <w:hyperlink r:id="rId39">
        <w:r>
          <w:rPr>
            <w:rStyle w:val="Hyperlink"/>
          </w:rPr>
          <w:t xml:space="preserve">https://doi.org/10.2189/asqu.2010.55.3.439</w:t>
        </w:r>
      </w:hyperlink>
      <w:r>
        <w:t xml:space="preserve">.</w:t>
      </w:r>
    </w:p>
    <w:bookmarkEnd w:id="40"/>
    <w:bookmarkStart w:id="42" w:name="ref-Oliver1991"/>
    <w:p>
      <w:pPr>
        <w:pStyle w:val="Bibliography"/>
      </w:pPr>
      <w:r>
        <w:t xml:space="preserve">Oliver, Christine. 1991.</w:t>
      </w:r>
      <w:r>
        <w:t xml:space="preserve"> </w:t>
      </w:r>
      <w:r>
        <w:t xml:space="preserve">“Strategic</w:t>
      </w:r>
      <w:r>
        <w:t xml:space="preserve"> </w:t>
      </w:r>
      <w:r>
        <w:t xml:space="preserve">Responses</w:t>
      </w:r>
      <w:r>
        <w:t xml:space="preserve"> </w:t>
      </w:r>
      <w:r>
        <w:t xml:space="preserve">to</w:t>
      </w:r>
      <w:r>
        <w:t xml:space="preserve"> </w:t>
      </w:r>
      <w:r>
        <w:t xml:space="preserve">Institutional Pressures</w:t>
      </w:r>
      <w:r>
        <w:t xml:space="preserve">.”</w:t>
      </w:r>
      <w:r>
        <w:t xml:space="preserve"> </w:t>
      </w:r>
      <w:r>
        <w:rPr>
          <w:iCs/>
          <w:i/>
        </w:rPr>
        <w:t xml:space="preserve">Academy of Management Review</w:t>
      </w:r>
      <w:r>
        <w:t xml:space="preserve"> </w:t>
      </w:r>
      <w:r>
        <w:t xml:space="preserve">16 (1): 145–79.</w:t>
      </w:r>
      <w:r>
        <w:t xml:space="preserve"> </w:t>
      </w:r>
      <w:hyperlink r:id="rId41">
        <w:r>
          <w:rPr>
            <w:rStyle w:val="Hyperlink"/>
          </w:rPr>
          <w:t xml:space="preserve">https://doi.org/10.5465/AMR.1991.4279002</w:t>
        </w:r>
      </w:hyperlink>
      <w:r>
        <w:t xml:space="preserve">.</w:t>
      </w:r>
    </w:p>
    <w:bookmarkEnd w:id="42"/>
    <w:bookmarkStart w:id="44" w:name="ref-Read2016"/>
    <w:p>
      <w:pPr>
        <w:pStyle w:val="Bibliography"/>
      </w:pPr>
      <w:r>
        <w:t xml:space="preserve">Read, Lucian. 2016.</w:t>
      </w:r>
      <w:r>
        <w:t xml:space="preserve"> </w:t>
      </w:r>
      <w:r>
        <w:t xml:space="preserve">“The</w:t>
      </w:r>
      <w:r>
        <w:t xml:space="preserve"> </w:t>
      </w:r>
      <w:r>
        <w:t xml:space="preserve">Battle</w:t>
      </w:r>
      <w:r>
        <w:t xml:space="preserve"> </w:t>
      </w:r>
      <w:r>
        <w:t xml:space="preserve">at</w:t>
      </w:r>
      <w:r>
        <w:t xml:space="preserve"> </w:t>
      </w:r>
      <w:r>
        <w:t xml:space="preserve">Standing Rock</w:t>
      </w:r>
      <w:r>
        <w:t xml:space="preserve">.”</w:t>
      </w:r>
      <w:r>
        <w:t xml:space="preserve"> </w:t>
      </w:r>
      <w:r>
        <w:t xml:space="preserve">The</w:t>
      </w:r>
      <w:r>
        <w:t xml:space="preserve"> </w:t>
      </w:r>
      <w:r>
        <w:t xml:space="preserve">Atlantic Selects</w:t>
      </w:r>
      <w:r>
        <w:t xml:space="preserve">.</w:t>
      </w:r>
      <w:r>
        <w:t xml:space="preserve"> </w:t>
      </w:r>
      <w:r>
        <w:t xml:space="preserve">Divided Films</w:t>
      </w:r>
      <w:r>
        <w:t xml:space="preserve">.</w:t>
      </w:r>
      <w:r>
        <w:t xml:space="preserve"> </w:t>
      </w:r>
      <w:hyperlink r:id="rId43">
        <w:r>
          <w:rPr>
            <w:rStyle w:val="Hyperlink"/>
          </w:rPr>
          <w:t xml:space="preserve">https://www.theatlantic.com/video/index/507728/solidarity-standing-rock/</w:t>
        </w:r>
      </w:hyperlink>
      <w:r>
        <w:t xml:space="preserve">.</w:t>
      </w:r>
    </w:p>
    <w:bookmarkEnd w:id="44"/>
    <w:bookmarkStart w:id="46" w:name="ref-Schindler2010"/>
    <w:p>
      <w:pPr>
        <w:pStyle w:val="Bibliography"/>
      </w:pPr>
      <w:r>
        <w:t xml:space="preserve">Schindler, David. 2010.</w:t>
      </w:r>
      <w:r>
        <w:t xml:space="preserve"> </w:t>
      </w:r>
      <w:r>
        <w:t xml:space="preserve">“Tar Sands Need Solid Science.”</w:t>
      </w:r>
      <w:r>
        <w:t xml:space="preserve"> </w:t>
      </w:r>
      <w:r>
        <w:rPr>
          <w:iCs/>
          <w:i/>
        </w:rPr>
        <w:t xml:space="preserve">Nature</w:t>
      </w:r>
      <w:r>
        <w:t xml:space="preserve"> </w:t>
      </w:r>
      <w:r>
        <w:t xml:space="preserve">468 (7323, 7323): 499–501.</w:t>
      </w:r>
      <w:r>
        <w:t xml:space="preserve"> </w:t>
      </w:r>
      <w:hyperlink r:id="rId45">
        <w:r>
          <w:rPr>
            <w:rStyle w:val="Hyperlink"/>
          </w:rPr>
          <w:t xml:space="preserve">https://doi.org/10.1038/468499a</w:t>
        </w:r>
      </w:hyperlink>
      <w:r>
        <w:t xml:space="preserve">.</w:t>
      </w:r>
    </w:p>
    <w:bookmarkEnd w:id="46"/>
    <w:bookmarkStart w:id="48" w:name="ref-Suddaby2010"/>
    <w:p>
      <w:pPr>
        <w:pStyle w:val="Bibliography"/>
      </w:pPr>
      <w:r>
        <w:t xml:space="preserve">Suddaby, Roy. 2010.</w:t>
      </w:r>
      <w:r>
        <w:t xml:space="preserve"> </w:t>
      </w:r>
      <w:r>
        <w:t xml:space="preserve">“Challenges for</w:t>
      </w:r>
      <w:r>
        <w:t xml:space="preserve"> </w:t>
      </w:r>
      <w:r>
        <w:t xml:space="preserve">Institutional Theory</w:t>
      </w:r>
      <w:r>
        <w:t xml:space="preserve">.”</w:t>
      </w:r>
      <w:r>
        <w:t xml:space="preserve"> </w:t>
      </w:r>
      <w:r>
        <w:rPr>
          <w:iCs/>
          <w:i/>
        </w:rPr>
        <w:t xml:space="preserve">Journal of Management Inquiry</w:t>
      </w:r>
      <w:r>
        <w:t xml:space="preserve"> </w:t>
      </w:r>
      <w:r>
        <w:t xml:space="preserve">19 (1): 14–20.</w:t>
      </w:r>
      <w:r>
        <w:t xml:space="preserve"> </w:t>
      </w:r>
      <w:hyperlink r:id="rId47">
        <w:r>
          <w:rPr>
            <w:rStyle w:val="Hyperlink"/>
          </w:rPr>
          <w:t xml:space="preserve">https://doi.org/10.1177/1056492609347564</w:t>
        </w:r>
      </w:hyperlink>
      <w:r>
        <w:t xml:space="preserve">.</w:t>
      </w:r>
    </w:p>
    <w:bookmarkEnd w:id="48"/>
    <w:bookmarkStart w:id="50" w:name="ref-Suddaby2017"/>
    <w:p>
      <w:pPr>
        <w:pStyle w:val="Bibliography"/>
      </w:pPr>
      <w:r>
        <w:t xml:space="preserve">Suddaby, Roy, Alex Bitektine, and Patrick Haack. 2017.</w:t>
      </w:r>
      <w:r>
        <w:t xml:space="preserve"> </w:t>
      </w:r>
      <w:r>
        <w:t xml:space="preserve">“Legitimacy.”</w:t>
      </w:r>
      <w:r>
        <w:t xml:space="preserve"> </w:t>
      </w:r>
      <w:r>
        <w:rPr>
          <w:iCs/>
          <w:i/>
        </w:rPr>
        <w:t xml:space="preserve">Academy of Management Annals</w:t>
      </w:r>
      <w:r>
        <w:t xml:space="preserve"> </w:t>
      </w:r>
      <w:r>
        <w:t xml:space="preserve">11 (1): 451–78.</w:t>
      </w:r>
      <w:r>
        <w:t xml:space="preserve"> </w:t>
      </w:r>
      <w:hyperlink r:id="rId49">
        <w:r>
          <w:rPr>
            <w:rStyle w:val="Hyperlink"/>
          </w:rPr>
          <w:t xml:space="preserve">https://doi.org/10.5465/annals.2015.0101</w:t>
        </w:r>
      </w:hyperlink>
      <w:r>
        <w:t xml:space="preserve">.</w:t>
      </w:r>
    </w:p>
    <w:bookmarkEnd w:id="50"/>
    <w:bookmarkStart w:id="52" w:name="ref-Suddaby2005"/>
    <w:p>
      <w:pPr>
        <w:pStyle w:val="Bibliography"/>
      </w:pPr>
      <w:r>
        <w:t xml:space="preserve">Suddaby, Roy, and Royston Greenwood. 2005.</w:t>
      </w:r>
      <w:r>
        <w:t xml:space="preserve"> </w:t>
      </w:r>
      <w:r>
        <w:t xml:space="preserve">“Rhetorical</w:t>
      </w:r>
      <w:r>
        <w:t xml:space="preserve"> </w:t>
      </w:r>
      <w:r>
        <w:t xml:space="preserve">Strategies</w:t>
      </w:r>
      <w:r>
        <w:t xml:space="preserve"> </w:t>
      </w:r>
      <w:r>
        <w:t xml:space="preserve">of</w:t>
      </w:r>
      <w:r>
        <w:t xml:space="preserve"> </w:t>
      </w:r>
      <w:r>
        <w:t xml:space="preserve">Legitimacy</w:t>
      </w:r>
      <w:r>
        <w:t xml:space="preserve">.”</w:t>
      </w:r>
      <w:r>
        <w:t xml:space="preserve"> </w:t>
      </w:r>
      <w:r>
        <w:rPr>
          <w:iCs/>
          <w:i/>
        </w:rPr>
        <w:t xml:space="preserve">Administrative Science Quarterly</w:t>
      </w:r>
      <w:r>
        <w:t xml:space="preserve"> </w:t>
      </w:r>
      <w:r>
        <w:t xml:space="preserve">50 (1): 35–67.</w:t>
      </w:r>
      <w:r>
        <w:t xml:space="preserve"> </w:t>
      </w:r>
      <w:hyperlink r:id="rId51">
        <w:r>
          <w:rPr>
            <w:rStyle w:val="Hyperlink"/>
          </w:rPr>
          <w:t xml:space="preserve">https://doi.org/10.2189/asqu.2005.50.1.35</w:t>
        </w:r>
      </w:hyperlink>
      <w:r>
        <w:t xml:space="preserve">.</w:t>
      </w:r>
    </w:p>
    <w:bookmarkEnd w:id="52"/>
    <w:bookmarkEnd w:id="53"/>
    <w:bookmarkEnd w:id="54"/>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Aka the second chapter of my dissertation.</w:t>
      </w:r>
    </w:p>
  </w:footnote>
  <w:footnote w:id="21">
    <w:p>
      <w:pPr>
        <w:pStyle w:val="FootnoteText"/>
      </w:pPr>
      <w:r>
        <w:rPr>
          <w:rStyle w:val="FootnoteReference"/>
        </w:rPr>
        <w:footnoteRef/>
      </w:r>
      <w:r>
        <w:t xml:space="preserve"> </w:t>
      </w:r>
      <w:r>
        <w:t xml:space="preserve">Combined keywords "Keystone", "pipeline", and "TransCanada" via Factiva.</w:t>
      </w:r>
    </w:p>
  </w:footnote>
  <w:footnote w:id="22">
    <w:p>
      <w:pPr>
        <w:pStyle w:val="FootnoteText"/>
      </w:pPr>
      <w:r>
        <w:rPr>
          <w:rStyle w:val="FootnoteReference"/>
        </w:rPr>
        <w:footnoteRef/>
      </w:r>
      <w:r>
        <w:t xml:space="preserve"> </w:t>
      </w:r>
      <w:r>
        <w:t xml:space="preserve">Google Trends shows a similar trend, see</w:t>
      </w:r>
      <w:r>
        <w:t xml:space="preserve"> </w:t>
      </w:r>
      <w:hyperlink r:id="rId23">
        <w:r>
          <w:rPr>
            <w:rStyle w:val="Hyperlink"/>
          </w:rPr>
          <w:t xml:space="preserve">https://trends.google.com/trends/explore?date=all&amp;geo=CA&amp;q=%22Keystone%20pipeline%22</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45" Target="https://doi.org/10.1038/468499a" TargetMode="External" /><Relationship Type="http://schemas.openxmlformats.org/officeDocument/2006/relationships/hyperlink" Id="rId27" Target="https://doi.org/10.1177/0001839216644253" TargetMode="External" /><Relationship Type="http://schemas.openxmlformats.org/officeDocument/2006/relationships/hyperlink" Id="rId29" Target="https://doi.org/10.1177/0170840620937892" TargetMode="External" /><Relationship Type="http://schemas.openxmlformats.org/officeDocument/2006/relationships/hyperlink" Id="rId47" Target="https://doi.org/10.1177/1056492609347564" TargetMode="External" /><Relationship Type="http://schemas.openxmlformats.org/officeDocument/2006/relationships/hyperlink" Id="rId35" Target="https://doi.org/10.1177/1086026615575331" TargetMode="External" /><Relationship Type="http://schemas.openxmlformats.org/officeDocument/2006/relationships/hyperlink" Id="rId51" Target="https://doi.org/10.2189/asqu.2005.50.1.35" TargetMode="External" /><Relationship Type="http://schemas.openxmlformats.org/officeDocument/2006/relationships/hyperlink" Id="rId39" Target="https://doi.org/10.2189/asqu.2010.55.3.439" TargetMode="External" /><Relationship Type="http://schemas.openxmlformats.org/officeDocument/2006/relationships/hyperlink" Id="rId33" Target="https://doi.org/10.5465/3069414" TargetMode="External" /><Relationship Type="http://schemas.openxmlformats.org/officeDocument/2006/relationships/hyperlink" Id="rId41" Target="https://doi.org/10.5465/AMR.1991.4279002" TargetMode="External" /><Relationship Type="http://schemas.openxmlformats.org/officeDocument/2006/relationships/hyperlink" Id="rId37" Target="https://doi.org/10.5465/amj.2009.36461993" TargetMode="External" /><Relationship Type="http://schemas.openxmlformats.org/officeDocument/2006/relationships/hyperlink" Id="rId49" Target="https://doi.org/10.5465/annals.2015.0101" TargetMode="External" /><Relationship Type="http://schemas.openxmlformats.org/officeDocument/2006/relationships/hyperlink" Id="rId23" Target="https://trends.google.com/trends/explore?date=all&amp;geo=CA&amp;q=%22Keystone%20pipeline%22" TargetMode="External" /><Relationship Type="http://schemas.openxmlformats.org/officeDocument/2006/relationships/hyperlink" Id="rId43" Target="https://www.theatlantic.com/video/index/507728/solidarity-standing-rock/" TargetMode="External" /><Relationship Type="http://schemas.openxmlformats.org/officeDocument/2006/relationships/hyperlink" Id="rId31" Target="https://www.worldoil.com/news/2021/1/20/keystone-xl-shutdown-may-signal-the-end-of-major-us-oil-infrastructure"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38/468499a" TargetMode="External" /><Relationship Type="http://schemas.openxmlformats.org/officeDocument/2006/relationships/hyperlink" Id="rId27" Target="https://doi.org/10.1177/0001839216644253" TargetMode="External" /><Relationship Type="http://schemas.openxmlformats.org/officeDocument/2006/relationships/hyperlink" Id="rId29" Target="https://doi.org/10.1177/0170840620937892" TargetMode="External" /><Relationship Type="http://schemas.openxmlformats.org/officeDocument/2006/relationships/hyperlink" Id="rId47" Target="https://doi.org/10.1177/1056492609347564" TargetMode="External" /><Relationship Type="http://schemas.openxmlformats.org/officeDocument/2006/relationships/hyperlink" Id="rId35" Target="https://doi.org/10.1177/1086026615575331" TargetMode="External" /><Relationship Type="http://schemas.openxmlformats.org/officeDocument/2006/relationships/hyperlink" Id="rId51" Target="https://doi.org/10.2189/asqu.2005.50.1.35" TargetMode="External" /><Relationship Type="http://schemas.openxmlformats.org/officeDocument/2006/relationships/hyperlink" Id="rId39" Target="https://doi.org/10.2189/asqu.2010.55.3.439" TargetMode="External" /><Relationship Type="http://schemas.openxmlformats.org/officeDocument/2006/relationships/hyperlink" Id="rId33" Target="https://doi.org/10.5465/3069414" TargetMode="External" /><Relationship Type="http://schemas.openxmlformats.org/officeDocument/2006/relationships/hyperlink" Id="rId41" Target="https://doi.org/10.5465/AMR.1991.4279002" TargetMode="External" /><Relationship Type="http://schemas.openxmlformats.org/officeDocument/2006/relationships/hyperlink" Id="rId37" Target="https://doi.org/10.5465/amj.2009.36461993" TargetMode="External" /><Relationship Type="http://schemas.openxmlformats.org/officeDocument/2006/relationships/hyperlink" Id="rId49" Target="https://doi.org/10.5465/annals.2015.0101" TargetMode="External" /><Relationship Type="http://schemas.openxmlformats.org/officeDocument/2006/relationships/hyperlink" Id="rId23" Target="https://trends.google.com/trends/explore?date=all&amp;geo=CA&amp;q=%22Keystone%20pipeline%22" TargetMode="External" /><Relationship Type="http://schemas.openxmlformats.org/officeDocument/2006/relationships/hyperlink" Id="rId43" Target="https://www.theatlantic.com/video/index/507728/solidarity-standing-rock/" TargetMode="External" /><Relationship Type="http://schemas.openxmlformats.org/officeDocument/2006/relationships/hyperlink" Id="rId31" Target="https://www.worldoil.com/news/2021/1/20/keystone-xl-shutdown-may-signal-the-end-of-major-us-oi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Defense</dc:title>
  <dc:creator>jbarg.phd@ivey.ca Ivey Business School</dc:creator>
  <cp:keywords/>
  <dcterms:created xsi:type="dcterms:W3CDTF">2021-06-10T19:57:14Z</dcterms:created>
  <dcterms:modified xsi:type="dcterms:W3CDTF">2021-06-10T19:57:14Z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