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F3864"/>
          <w:sz w:val="44"/>
          <w:szCs w:val="44"/>
        </w:rPr>
        <w:t xml:space="preserve">BOLD</w:t>
      </w:r>
    </w:p>
    <w:p>
      <w:pPr>
        <w:spacing w:after="500"/>
        <w:jc w:val="center"/>
      </w:pPr>
      <w:r>
        <w:rPr>
          <w:rFonts w:ascii="Arial" w:cs="Arial" w:eastAsia="Arial" w:hAnsi="Arial"/>
          <w:color w:val="595959"/>
          <w:sz w:val="24"/>
          <w:szCs w:val="24"/>
        </w:rPr>
        <w:t xml:space="preserve">Canal Comercial SDR</w:t>
      </w:r>
    </w:p>
    <w:p>
      <w:pPr>
        <w:spacing w:after="240"/>
        <w:jc w:val="center"/>
      </w:pPr>
      <w:r>
        <w:rPr>
          <w:rFonts w:ascii="Arial" w:cs="Arial" w:eastAsia="Arial" w:hAnsi="Arial"/>
          <w:b/>
          <w:bCs/>
          <w:color w:val="1F3864"/>
          <w:sz w:val="36"/>
          <w:szCs w:val="36"/>
        </w:rPr>
        <w:t xml:space="preserve">Informe Ejecutivo de Desempeño del Canal SDR</w:t>
      </w:r>
    </w:p>
    <w:p>
      <w:pPr>
        <w:spacing w:after="80"/>
        <w:jc w:val="center"/>
      </w:pPr>
      <w:r>
        <w:rPr>
          <w:rFonts w:ascii="Arial" w:cs="Arial" w:eastAsia="Arial" w:hAnsi="Arial"/>
          <w:sz w:val="22"/>
          <w:szCs w:val="22"/>
        </w:rPr>
        <w:t xml:space="preserve">Periodo oficial: junio – septiembre de 2026</w:t>
      </w:r>
    </w:p>
    <w:p>
      <w:pPr>
        <w:spacing w:after="80"/>
        <w:jc w:val="center"/>
      </w:pPr>
      <w:r>
        <w:rPr>
          <w:rFonts w:ascii="Arial" w:cs="Arial" w:eastAsia="Arial" w:hAnsi="Arial"/>
          <w:color w:val="595959"/>
          <w:sz w:val="20"/>
          <w:szCs w:val="20"/>
        </w:rPr>
        <w:t xml:space="preserve">Población analizada: 3.971 citas (campo “Fecha de la cita”)</w:t>
      </w:r>
    </w:p>
    <w:p>
      <w:pPr>
        <w:spacing w:after="500"/>
        <w:jc w:val="center"/>
      </w:pPr>
      <w:r>
        <w:rPr>
          <w:rFonts w:ascii="Arial" w:cs="Arial" w:eastAsia="Arial" w:hAnsi="Arial"/>
          <w:color w:val="595959"/>
          <w:sz w:val="20"/>
          <w:szCs w:val="20"/>
        </w:rPr>
        <w:t xml:space="preserve">Fecha de corte de datos: 28/09/2026</w:t>
      </w:r>
    </w:p>
    <w:p>
      <w:pPr>
        <w:spacing w:after="40"/>
        <w:jc w:val="center"/>
      </w:pPr>
      <w:r>
        <w:rPr>
          <w:rFonts w:ascii="Arial" w:cs="Arial" w:eastAsia="Arial" w:hAnsi="Arial"/>
          <w:i/>
          <w:iCs/>
          <w:sz w:val="20"/>
          <w:szCs w:val="20"/>
        </w:rPr>
        <w:t xml:space="preserve">Preparado para: Manager del Canal SDR</w:t>
      </w:r>
    </w:p>
    <w:p>
      <w:pPr>
        <w:spacing w:after="40"/>
        <w:jc w:val="center"/>
      </w:pPr>
      <w:r>
        <w:rPr>
          <w:rFonts w:ascii="Arial" w:cs="Arial" w:eastAsia="Arial" w:hAnsi="Arial"/>
          <w:color w:val="595959"/>
          <w:sz w:val="18"/>
          <w:szCs w:val="18"/>
        </w:rPr>
        <w:t xml:space="preserve">Elaborado por: BI Lead / Data Analyst – Automatización IA, SMB/SB</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Nota metodológica</w:t>
      </w:r>
    </w:p>
    <w:p>
      <w:pPr>
        <w:spacing w:after="120" w:line="276"/>
      </w:pPr>
      <w:r>
        <w:rPr>
          <w:rFonts w:ascii="Arial" w:cs="Arial" w:eastAsia="Arial" w:hAnsi="Arial"/>
          <w:sz w:val="21"/>
          <w:szCs w:val="21"/>
        </w:rPr>
        <w:t xml:space="preserve">Este informe se construyó exclusivamente con evidencia del archivo SDR_Bold_MPV_DEV__2_.xlsx. No contiene datos simulados, de ejemplo ni aproximados. Cada hallazgo se clasifica como HECHO (verificable en el archivo), INTERPRETACIÓN (lectura razonable del hecho), HIPÓTESIS (explicación posible pendiente de validar) o RECOMENDACIÓN (acción sugerida). Las cifras que no pudieron validarse contra una fuente confiable se marcan como “NO VALIDADA”.</w:t>
      </w:r>
    </w:p>
    <w:p>
      <w:pPr>
        <w:spacing w:after="120" w:line="276"/>
      </w:pPr>
      <w:r>
        <w:rPr>
          <w:rFonts w:ascii="Arial" w:cs="Arial" w:eastAsia="Arial" w:hAnsi="Arial"/>
          <w:sz w:val="21"/>
          <w:szCs w:val="21"/>
        </w:rPr>
        <w:t xml:space="preserve">Convenciones: valores en pesos colombianos (COP); porcentajes con dos decimales; fechas en formato DD/MM/YYYY. Los ejecutivos se identifican por su correo corporativo, tal como figura en el archivo; no se incluyen datos personales adicionales (documento, teléfono, dirección).</w:t>
      </w:r>
    </w:p>
    <w:p>
      <w:pPr>
        <w:spacing w:after="100" w:before="200"/>
      </w:pPr>
      <w:r>
        <w:rPr>
          <w:rFonts w:ascii="Arial" w:cs="Arial" w:eastAsia="Arial" w:hAnsi="Arial"/>
          <w:sz w:val="21"/>
          <w:szCs w:val="21"/>
        </w:rPr>
        <w:t xml:space="preserve">Nomenclatura de pestañas: los nombres de pestaña solicitados en el encargo no coinciden exactamente con los nombres reales del archivo recibido. La correspondencia usada en este informe 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5140"/>
      </w:tblGrid>
      <w:tr>
        <w:trPr>
          <w:tblHeader/>
        </w:trPr>
        <w:tc>
          <w:tcPr>
            <w:tcW w:type="dxa" w:w="2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Nombre solicitado</w:t>
            </w:r>
          </w:p>
        </w:tc>
        <w:tc>
          <w:tcPr>
            <w:tcW w:type="dxa" w:w="29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Pestaña real encontrada</w:t>
            </w:r>
          </w:p>
        </w:tc>
        <w:tc>
          <w:tcPr>
            <w:tcW w:type="dxa" w:w="51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Estado</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fuente original</w:t>
            </w:r>
          </w:p>
        </w:tc>
        <w:tc>
          <w:tcPr>
            <w:tcW w:type="dxa" w:w="29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Respuestas del formulario</w:t>
            </w:r>
          </w:p>
        </w:tc>
        <w:tc>
          <w:tcPr>
            <w:tcW w:type="dxa" w:w="51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(15.878 filas históricas)</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datos_normalizados</w:t>
            </w:r>
          </w:p>
        </w:tc>
        <w:tc>
          <w:tcPr>
            <w:tcW w:type="dxa" w:w="29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datos_normalizados</w:t>
            </w:r>
          </w:p>
        </w:tc>
        <w:tc>
          <w:tcPr>
            <w:tcW w:type="dxa" w:w="51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(3.971 filas)</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KPI_Semanal</w:t>
            </w:r>
          </w:p>
        </w:tc>
        <w:tc>
          <w:tcPr>
            <w:tcW w:type="dxa" w:w="29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kpis_semanal</w:t>
            </w:r>
          </w:p>
        </w:tc>
        <w:tc>
          <w:tcPr>
            <w:tcW w:type="dxa" w:w="51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(18 semanas)</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Gestion_Ejecutivos</w:t>
            </w:r>
          </w:p>
        </w:tc>
        <w:tc>
          <w:tcPr>
            <w:tcW w:type="dxa" w:w="29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gestion_ejecutivos</w:t>
            </w:r>
          </w:p>
        </w:tc>
        <w:tc>
          <w:tcPr>
            <w:tcW w:type="dxa" w:w="51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(473 ejecutivos)</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Gestion_Canales</w:t>
            </w:r>
          </w:p>
        </w:tc>
        <w:tc>
          <w:tcPr>
            <w:tcW w:type="dxa" w:w="29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gestion_canales</w:t>
            </w:r>
          </w:p>
        </w:tc>
        <w:tc>
          <w:tcPr>
            <w:tcW w:type="dxa" w:w="51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VACÍA (0 filas)</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Calidad_Datos</w:t>
            </w:r>
          </w:p>
        </w:tc>
        <w:tc>
          <w:tcPr>
            <w:tcW w:type="dxa" w:w="29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calidad_datos</w:t>
            </w:r>
          </w:p>
        </w:tc>
        <w:tc>
          <w:tcPr>
            <w:tcW w:type="dxa" w:w="51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(1 fila resumen)</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Alertas_DEV</w:t>
            </w:r>
          </w:p>
        </w:tc>
        <w:tc>
          <w:tcPr>
            <w:tcW w:type="dxa" w:w="29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alertas_comercios</w:t>
            </w:r>
          </w:p>
        </w:tc>
        <w:tc>
          <w:tcPr>
            <w:tcW w:type="dxa" w:w="51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(288 filas) — nombre distinto al solicitado</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Log_Ejecuciones</w:t>
            </w:r>
          </w:p>
        </w:tc>
        <w:tc>
          <w:tcPr>
            <w:tcW w:type="dxa" w:w="29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Log_Ejecuciones</w:t>
            </w:r>
          </w:p>
        </w:tc>
        <w:tc>
          <w:tcPr>
            <w:tcW w:type="dxa" w:w="51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VACÍA (0 filas)</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(no solicitada)</w:t>
            </w:r>
          </w:p>
        </w:tc>
        <w:tc>
          <w:tcPr>
            <w:tcW w:type="dxa" w:w="29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gestion_ejecutivos_before</w:t>
            </w:r>
          </w:p>
        </w:tc>
        <w:tc>
          <w:tcPr>
            <w:tcW w:type="dxa" w:w="51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 datos (415 filas) — pestaña adicional no prevista</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(no solicitada)</w:t>
            </w:r>
          </w:p>
        </w:tc>
        <w:tc>
          <w:tcPr>
            <w:tcW w:type="dxa" w:w="29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Config_Dev</w:t>
            </w:r>
          </w:p>
        </w:tc>
        <w:tc>
          <w:tcPr>
            <w:tcW w:type="dxa" w:w="51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VACÍA (0 filas) — pestaña adicional no prevista</w:t>
            </w:r>
          </w:p>
        </w:tc>
      </w:tr>
    </w:tbl>
    <w:p>
      <w:pPr>
        <w:spacing w:after="120" w:line="276"/>
      </w:pPr>
      <w:r>
        <w:rPr>
          <w:rFonts w:ascii="Arial" w:cs="Arial" w:eastAsia="Arial" w:hAnsi="Arial"/>
          <w:sz w:val="21"/>
          <w:szCs w:val="21"/>
        </w:rPr>
        <w:t xml:space="preserve"/>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La estructura real del archivo difiere de la solicitada: 3 pestañas tienen nombre distinto al esperado, 3 pestañas están completamente vacías (Gestion_Canales, Log_Ejecuciones, Config_Dev) y existen 2 pestañas adicionales no previstas en el encargo (gestion_ejecutivos_before, Config_Dev).</w:t>
      </w:r>
    </w:p>
    <w:p>
      <w:pPr>
        <w:pStyle w:val="Heading1"/>
        <w:pBdr>
          <w:bottom w:val="single" w:color="1F3864" w:sz="8" w:space="4"/>
        </w:pBdr>
        <w:spacing w:after="160" w:before="360"/>
      </w:pPr>
      <w:r>
        <w:rPr>
          <w:rFonts w:ascii="Arial" w:cs="Arial" w:eastAsia="Arial" w:hAnsi="Arial"/>
          <w:b/>
          <w:bCs/>
          <w:color w:val="1F3864"/>
          <w:sz w:val="30"/>
          <w:szCs w:val="30"/>
        </w:rPr>
        <w:t xml:space="preserve">1. Auditoría de datos</w:t>
      </w:r>
    </w:p>
    <w:p>
      <w:pPr>
        <w:pStyle w:val="Heading2"/>
        <w:spacing w:after="120" w:before="260"/>
      </w:pPr>
      <w:r>
        <w:rPr>
          <w:rFonts w:ascii="Arial" w:cs="Arial" w:eastAsia="Arial" w:hAnsi="Arial"/>
          <w:b/>
          <w:bCs/>
          <w:color w:val="2E5395"/>
          <w:sz w:val="24"/>
          <w:szCs w:val="24"/>
        </w:rPr>
        <w:t xml:space="preserve">1.1 Filas y periodo por pestaña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4840"/>
      </w:tblGrid>
      <w:tr>
        <w:trPr>
          <w:tblHeader/>
        </w:trPr>
        <w:tc>
          <w:tcPr>
            <w:tcW w:type="dxa" w:w="2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Pestaña</w:t>
            </w:r>
          </w:p>
        </w:tc>
        <w:tc>
          <w:tcPr>
            <w:tcW w:type="dxa" w:w="1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Filas de datos</w:t>
            </w:r>
          </w:p>
        </w:tc>
        <w:tc>
          <w:tcPr>
            <w:tcW w:type="dxa" w:w="1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Columnas</w:t>
            </w:r>
          </w:p>
        </w:tc>
        <w:tc>
          <w:tcPr>
            <w:tcW w:type="dxa" w:w="48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Periodo cubierto</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Respuestas del formulario</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15.878</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149</w:t>
            </w:r>
          </w:p>
        </w:tc>
        <w:tc>
          <w:tcPr>
            <w:tcW w:type="dxa" w:w="4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05/06/2023 – 01/09/2027 (histórico completo, no solo el periodo oficial)</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datos_normalizados</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3.971</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59</w:t>
            </w:r>
          </w:p>
        </w:tc>
        <w:tc>
          <w:tcPr>
            <w:tcW w:type="dxa" w:w="4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01/06/2026 – 30/09/2026</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kpis_semanal</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18 (semanas)</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19</w:t>
            </w:r>
          </w:p>
        </w:tc>
        <w:tc>
          <w:tcPr>
            <w:tcW w:type="dxa" w:w="4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Semana del 01/06/2026 a semana del 28/09/2026 (última semana incompleta)</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gestion_ejecutivos</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473</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20</w:t>
            </w:r>
          </w:p>
        </w:tc>
        <w:tc>
          <w:tcPr>
            <w:tcW w:type="dxa" w:w="4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Igual al periodo oficial (agregado, sin fecha explícita por fila)</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gestion_ejecutivos_before</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415</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w:t>
            </w:r>
          </w:p>
        </w:tc>
        <w:tc>
          <w:tcPr>
            <w:tcW w:type="dxa" w:w="4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fecha explícita; no se pudo determinar el periodo que cubre</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gestion_canales</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4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No aplica — pestaña vacía</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alertas_comercios</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288</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11</w:t>
            </w:r>
          </w:p>
        </w:tc>
        <w:tc>
          <w:tcPr>
            <w:tcW w:type="dxa" w:w="4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fecha_ultima_act_op: 29/08/2025 – 27/09/2025 (fuera del periodo oficial)</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calidad_datos</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 (resumen)</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13</w:t>
            </w:r>
          </w:p>
        </w:tc>
        <w:tc>
          <w:tcPr>
            <w:tcW w:type="dxa" w:w="4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Declara periodo “2026-06 a 2026-12” (no coincide con el periodo oficial jun–sep 2026)</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Log_Ejecuciones</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4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No aplica — pestaña vacía</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Config_Dev</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4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No aplica — pestaña vacía</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El campo interno “periodo_analisis” del archivo (presente en datos_normalizados, kpis_semanal y calidad_datos) está etiquetado como “2026-06 a 2026-12”, mientras que el periodo oficial de este informe es junio–septiembre de 2026. Las fechas reales de las citas sí están contenidas dentro de jun–sep 2026 (01/06/2026 a 30/09/2026); la discrepancia es únicamente en la etiqueta de periodo, no en los datos.</w:t>
      </w:r>
    </w:p>
    <w:p>
      <w:pPr>
        <w:pStyle w:val="Heading2"/>
        <w:spacing w:after="120" w:before="260"/>
      </w:pPr>
      <w:r>
        <w:rPr>
          <w:rFonts w:ascii="Arial" w:cs="Arial" w:eastAsia="Arial" w:hAnsi="Arial"/>
          <w:b/>
          <w:bCs/>
          <w:color w:val="2E5395"/>
          <w:sz w:val="24"/>
          <w:szCs w:val="24"/>
        </w:rPr>
        <w:t xml:space="preserve">1.2 Población fuente vs. población normalizada</w:t>
      </w:r>
    </w:p>
    <w:p>
      <w:pPr>
        <w:pStyle w:val="ListParagraph"/>
        <w:numPr>
          <w:ilvl w:val="0"/>
          <w:numId w:val="1"/>
        </w:numPr>
        <w:spacing w:after="60" w:line="264"/>
      </w:pPr>
      <w:r>
        <w:rPr>
          <w:rFonts w:ascii="Arial" w:cs="Arial" w:eastAsia="Arial" w:hAnsi="Arial"/>
          <w:sz w:val="21"/>
          <w:szCs w:val="21"/>
        </w:rPr>
        <w:t xml:space="preserve">Población esperada (declarada en el encargo): </w:t>
      </w:r>
      <w:r>
        <w:rPr>
          <w:rFonts w:ascii="Arial" w:cs="Arial" w:eastAsia="Arial" w:hAnsi="Arial"/>
          <w:b/>
          <w:bCs/>
          <w:sz w:val="21"/>
          <w:szCs w:val="21"/>
        </w:rPr>
        <w:t xml:space="preserve">3.971 citas.</w:t>
      </w:r>
    </w:p>
    <w:p>
      <w:pPr>
        <w:pStyle w:val="ListParagraph"/>
        <w:numPr>
          <w:ilvl w:val="0"/>
          <w:numId w:val="1"/>
        </w:numPr>
        <w:spacing w:after="60" w:line="264"/>
      </w:pPr>
      <w:r>
        <w:rPr>
          <w:rFonts w:ascii="Arial" w:cs="Arial" w:eastAsia="Arial" w:hAnsi="Arial"/>
          <w:sz w:val="21"/>
          <w:szCs w:val="21"/>
        </w:rPr>
        <w:t xml:space="preserve">Población en datos_normalizados: 3.971 filas — coincide exactamente con la población esperada.</w:t>
      </w:r>
    </w:p>
    <w:p>
      <w:pPr>
        <w:pStyle w:val="ListParagraph"/>
        <w:numPr>
          <w:ilvl w:val="0"/>
          <w:numId w:val="1"/>
        </w:numPr>
        <w:spacing w:after="60" w:line="264"/>
      </w:pPr>
      <w:r>
        <w:rPr>
          <w:rFonts w:ascii="Arial" w:cs="Arial" w:eastAsia="Arial" w:hAnsi="Arial"/>
          <w:sz w:val="21"/>
          <w:szCs w:val="21"/>
        </w:rPr>
        <w:t xml:space="preserve">Población en calidad_datos (campo total_registros): 3.971 — coincide.</w:t>
      </w:r>
    </w:p>
    <w:p>
      <w:pPr>
        <w:pStyle w:val="ListParagraph"/>
        <w:numPr>
          <w:ilvl w:val="0"/>
          <w:numId w:val="1"/>
        </w:numPr>
        <w:spacing w:after="60" w:line="264"/>
      </w:pPr>
      <w:r>
        <w:rPr>
          <w:rFonts w:ascii="Arial" w:cs="Arial" w:eastAsia="Arial" w:hAnsi="Arial"/>
          <w:sz w:val="21"/>
          <w:szCs w:val="21"/>
        </w:rPr>
        <w:t xml:space="preserve">Población en kpis_semanal (suma de citas_agendadas): 3.971 — coincide.</w:t>
      </w:r>
    </w:p>
    <w:p>
      <w:pPr>
        <w:pStyle w:val="ListParagraph"/>
        <w:numPr>
          <w:ilvl w:val="0"/>
          <w:numId w:val="1"/>
        </w:numPr>
        <w:spacing w:after="60" w:line="264"/>
      </w:pPr>
      <w:r>
        <w:rPr>
          <w:rFonts w:ascii="Arial" w:cs="Arial" w:eastAsia="Arial" w:hAnsi="Arial"/>
          <w:sz w:val="21"/>
          <w:szCs w:val="21"/>
        </w:rPr>
        <w:t xml:space="preserve">Población en gestion_ejecutivos (suma de citas_agendadas): 3.971 — coincide.</w:t>
      </w:r>
    </w:p>
    <w:p>
      <w:pPr>
        <w:pStyle w:val="ListParagraph"/>
        <w:numPr>
          <w:ilvl w:val="0"/>
          <w:numId w:val="1"/>
        </w:numPr>
        <w:spacing w:after="60" w:line="264"/>
      </w:pPr>
      <w:r>
        <w:rPr>
          <w:rFonts w:ascii="Arial" w:cs="Arial" w:eastAsia="Arial" w:hAnsi="Arial"/>
          <w:sz w:val="21"/>
          <w:szCs w:val="21"/>
        </w:rPr>
        <w:t xml:space="preserve">Población en la pestaña fuente “Respuestas del formulario” filtrada por Fecha de la cita entre 01/06/2026 y 30/09/2026: </w:t>
      </w:r>
      <w:r>
        <w:rPr>
          <w:rFonts w:ascii="Arial" w:cs="Arial" w:eastAsia="Arial" w:hAnsi="Arial"/>
          <w:b/>
          <w:bCs/>
          <w:sz w:val="21"/>
          <w:szCs w:val="21"/>
        </w:rPr>
        <w:t xml:space="preserve">3.464 filas.</w:t>
      </w:r>
    </w:p>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Existe una diferencia de 507 registros (3.971 normalizados vs. 3.464 en la fuente filtrada por fecha) que este informe no puede explicar con la evidencia disponible.</w:t>
      </w:r>
    </w:p>
    <w:p>
      <w:pPr>
        <w:spacing w:after="120" w:line="276"/>
      </w:pPr>
      <w:r>
        <w:rPr>
          <w:rFonts w:ascii="Arial" w:cs="Arial" w:eastAsia="Arial" w:hAnsi="Arial"/>
          <w:sz w:val="21"/>
          <w:szCs w:val="21"/>
        </w:rPr>
        <w:t xml:space="preserve">Al cruzar por identificador único de evento (id_evento / “ID del evento”), de los 3.966 identificadores únicos en datos_normalizados, solo 3.445 (86,9%) tienen coincidencia exacta en la pestaña fuente; 521 registros (13,1% de la población analizada) no tienen un ID de evento rastreable en “Respuestas del formulario”.</w:t>
      </w:r>
    </w:p>
    <w:p>
      <w:pPr>
        <w:spacing w:after="90" w:line="264"/>
      </w:pPr>
      <w:r>
        <w:rPr>
          <w:rFonts w:ascii="Arial" w:cs="Arial" w:eastAsia="Arial" w:hAnsi="Arial"/>
          <w:b/>
          <w:bCs/>
          <w:color w:val="E36C09"/>
          <w:sz w:val="20"/>
          <w:szCs w:val="20"/>
        </w:rPr>
        <w:t xml:space="preserve">[HIPÓTESIS] </w:t>
      </w:r>
      <w:r>
        <w:rPr>
          <w:rFonts w:ascii="Arial" w:cs="Arial" w:eastAsia="Arial" w:hAnsi="Arial"/>
          <w:sz w:val="21"/>
          <w:szCs w:val="21"/>
        </w:rPr>
        <w:t xml:space="preserve">La brecha puede deberse a que datos_normalizados combina la fuente del formulario con otro origen (p. ej. eventos de calendario capturados directamente) o a un problema de mapeo de identificadores en el ETL. No se puede confirmar con la evidencia disponible; se recomienda validar con el equipo de datos/automatización.</w:t>
      </w:r>
    </w:p>
    <w:p>
      <w:pPr>
        <w:pStyle w:val="Heading2"/>
        <w:spacing w:after="120" w:before="260"/>
      </w:pPr>
      <w:r>
        <w:rPr>
          <w:rFonts w:ascii="Arial" w:cs="Arial" w:eastAsia="Arial" w:hAnsi="Arial"/>
          <w:b/>
          <w:bCs/>
          <w:color w:val="2E5395"/>
          <w:sz w:val="24"/>
          <w:szCs w:val="24"/>
        </w:rPr>
        <w:t xml:space="preserve">1.3 Duplicados</w:t>
      </w:r>
    </w:p>
    <w:p>
      <w:pPr>
        <w:spacing w:after="120" w:line="276"/>
      </w:pPr>
      <w:r>
        <w:rPr>
          <w:rFonts w:ascii="Arial" w:cs="Arial" w:eastAsia="Arial" w:hAnsi="Arial"/>
          <w:sz w:val="21"/>
          <w:szCs w:val="21"/>
        </w:rPr>
        <w:t xml:space="preserve">El propio archivo declara 5 registros duplicados sobre 3.971 (pestaña calidad_datos, campo registros_duplicados), con 3.966 IDs de cita únicos. La verificación directa sobre datos_normalizados confirma 5 pares de filas (10 filas en total, 0,25% de la población) con el mismo id_evento, la misma empresa y la misma fecha de cita: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840"/>
      </w:tblGrid>
      <w:tr>
        <w:trPr>
          <w:tblHeader/>
        </w:trPr>
        <w:tc>
          <w:tcPr>
            <w:tcW w:type="dxa" w:w="42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Empresa</w:t>
            </w:r>
          </w:p>
        </w:tc>
        <w:tc>
          <w:tcPr>
            <w:tcW w:type="dxa" w:w="2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Fecha de la cita</w:t>
            </w:r>
          </w:p>
        </w:tc>
        <w:tc>
          <w:tcPr>
            <w:tcW w:type="dxa" w:w="38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Estado comercial (ambas filas)</w:t>
            </w:r>
          </w:p>
        </w:tc>
      </w:tr>
      <w:tr>
        <w:tc>
          <w:tcPr>
            <w:tcW w:type="dxa" w:w="4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ALIANZA DIAGNOSTICA Y QUIRURGICA LIFE SAS</w:t>
            </w:r>
          </w:p>
        </w:tc>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18/08/2026 14:00</w:t>
            </w:r>
          </w:p>
        </w:tc>
        <w:tc>
          <w:tcPr>
            <w:tcW w:type="dxa" w:w="3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Perdida</w:t>
            </w:r>
          </w:p>
        </w:tc>
      </w:tr>
      <w:tr>
        <w:tc>
          <w:tcPr>
            <w:tcW w:type="dxa" w:w="4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TopCard coffee and games</w:t>
            </w:r>
          </w:p>
        </w:tc>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25/06/2026 17:00</w:t>
            </w:r>
          </w:p>
        </w:tc>
        <w:tc>
          <w:tcPr>
            <w:tcW w:type="dxa" w:w="3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w:t>
            </w:r>
          </w:p>
        </w:tc>
      </w:tr>
      <w:tr>
        <w:tc>
          <w:tcPr>
            <w:tcW w:type="dxa" w:w="4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DISTRI ASEO KAIROS SERVICIOS Y SOLUCIONES</w:t>
            </w:r>
          </w:p>
        </w:tc>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23/09/2026 09:00</w:t>
            </w:r>
          </w:p>
        </w:tc>
        <w:tc>
          <w:tcPr>
            <w:tcW w:type="dxa" w:w="3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gestión</w:t>
            </w:r>
          </w:p>
        </w:tc>
      </w:tr>
      <w:tr>
        <w:tc>
          <w:tcPr>
            <w:tcW w:type="dxa" w:w="4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Piccola &amp; piccolo PET shop</w:t>
            </w:r>
          </w:p>
        </w:tc>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08/07/2026 15:00</w:t>
            </w:r>
          </w:p>
        </w:tc>
        <w:tc>
          <w:tcPr>
            <w:tcW w:type="dxa" w:w="3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Oportunidad</w:t>
            </w:r>
          </w:p>
        </w:tc>
      </w:tr>
      <w:tr>
        <w:tc>
          <w:tcPr>
            <w:tcW w:type="dxa" w:w="4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LAS DELICIAS DEL ENANO</w:t>
            </w:r>
          </w:p>
        </w:tc>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27/07/2026 14:30</w:t>
            </w:r>
          </w:p>
        </w:tc>
        <w:tc>
          <w:tcPr>
            <w:tcW w:type="dxa" w:w="3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w:t>
            </w:r>
          </w:p>
        </w:tc>
      </w:tr>
    </w:tbl>
    <w:p>
      <w:pPr>
        <w:pStyle w:val="Heading2"/>
        <w:spacing w:after="120" w:before="260"/>
      </w:pPr>
      <w:r>
        <w:rPr>
          <w:rFonts w:ascii="Arial" w:cs="Arial" w:eastAsia="Arial" w:hAnsi="Arial"/>
          <w:b/>
          <w:bCs/>
          <w:color w:val="2E5395"/>
          <w:sz w:val="24"/>
          <w:szCs w:val="24"/>
        </w:rPr>
        <w:t xml:space="preserve">1.4 Fechas inválidas y citas futuras</w:t>
      </w:r>
    </w:p>
    <w:p>
      <w:pPr>
        <w:pStyle w:val="ListParagraph"/>
        <w:numPr>
          <w:ilvl w:val="0"/>
          <w:numId w:val="1"/>
        </w:numPr>
        <w:spacing w:after="60" w:line="264"/>
      </w:pPr>
      <w:r>
        <w:rPr>
          <w:rFonts w:ascii="Arial" w:cs="Arial" w:eastAsia="Arial" w:hAnsi="Arial"/>
          <w:sz w:val="21"/>
          <w:szCs w:val="21"/>
        </w:rPr>
        <w:t xml:space="preserve">Errores de formato de fecha (columnas internas error_fecha_cita / error_fecha_cierre): 0 registros.</w:t>
      </w:r>
    </w:p>
    <w:p>
      <w:pPr>
        <w:pStyle w:val="ListParagraph"/>
        <w:numPr>
          <w:ilvl w:val="0"/>
          <w:numId w:val="1"/>
        </w:numPr>
        <w:spacing w:after="60" w:line="264"/>
      </w:pPr>
      <w:r>
        <w:rPr>
          <w:rFonts w:ascii="Arial" w:cs="Arial" w:eastAsia="Arial" w:hAnsi="Arial"/>
          <w:sz w:val="21"/>
          <w:szCs w:val="21"/>
        </w:rPr>
        <w:t xml:space="preserve">Fechas de cita nulas: 0 registros.</w:t>
      </w:r>
    </w:p>
    <w:p>
      <w:pPr>
        <w:pStyle w:val="ListParagraph"/>
        <w:numPr>
          <w:ilvl w:val="0"/>
          <w:numId w:val="1"/>
        </w:numPr>
        <w:spacing w:after="60" w:line="264"/>
      </w:pPr>
      <w:r>
        <w:rPr>
          <w:rFonts w:ascii="Arial" w:cs="Arial" w:eastAsia="Arial" w:hAnsi="Arial"/>
          <w:sz w:val="21"/>
          <w:szCs w:val="21"/>
        </w:rPr>
        <w:t xml:space="preserve">Citas futuras respecto a la fecha de corte (28/09/2026), marcadas correctamente por el archivo como cita_futura=True: 12 registros (29/09/2026 y 30/09/2026), todas con estado_comercial “Sin gestión” excepto 1.</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Un registro (empresa ESENCIA DE DAMA, cita programada el 28/09/2026 16:00) aparece simultáneamente marcado como cita_futura=True y cita_realizada=True, con estado_comercial “Perdida”. El archivo se procesó el mismo día a las 15:50, es decir, antes de la hora programada de esa cita.</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Es un caso aislado (1 de 3.971) de inconsistencia temporal, probablemente por actualización manual anticipada del estado. No afecta las cifras agregadas del informe.</w:t>
      </w:r>
    </w:p>
    <w:p>
      <w:pPr>
        <w:pStyle w:val="ListParagraph"/>
        <w:numPr>
          <w:ilvl w:val="0"/>
          <w:numId w:val="1"/>
        </w:numPr>
        <w:spacing w:after="60" w:line="264"/>
      </w:pPr>
      <w:r>
        <w:rPr>
          <w:rFonts w:ascii="Arial" w:cs="Arial" w:eastAsia="Arial" w:hAnsi="Arial"/>
          <w:sz w:val="21"/>
          <w:szCs w:val="21"/>
        </w:rPr>
        <w:t xml:space="preserve">Adicionalmente, 33 registros tienen fecha de cita el mismo 28/09/2026 (día de corte) y están marcados cita_futura=False: el archivo no trata el día de corte como “futuro”, solo las fechas estrictamente posteriores. Se documenta como definición de corte, no como error.</w:t>
      </w:r>
    </w:p>
    <w:p>
      <w:pPr>
        <w:pStyle w:val="Heading2"/>
        <w:spacing w:after="120" w:before="260"/>
      </w:pPr>
      <w:r>
        <w:rPr>
          <w:rFonts w:ascii="Arial" w:cs="Arial" w:eastAsia="Arial" w:hAnsi="Arial"/>
          <w:b/>
          <w:bCs/>
          <w:color w:val="2E5395"/>
          <w:sz w:val="24"/>
          <w:szCs w:val="24"/>
        </w:rPr>
        <w:t xml:space="preserve">1.5 Faltantes de Team Lead</w:t>
      </w:r>
    </w:p>
    <w:p>
      <w:pPr>
        <w:spacing w:after="120" w:line="276"/>
      </w:pPr>
      <w:r>
        <w:rPr>
          <w:rFonts w:ascii="Arial" w:cs="Arial" w:eastAsia="Arial" w:hAnsi="Arial"/>
          <w:sz w:val="21"/>
          <w:szCs w:val="21"/>
        </w:rPr>
        <w:t xml:space="preserve">6 de 3.971 registros (0,15%) no tienen Team Lead asignado en datos_normalizados: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440"/>
      </w:tblGrid>
      <w:tr>
        <w:trPr>
          <w:tblHeader/>
        </w:trPr>
        <w:tc>
          <w:tcPr>
            <w:tcW w:type="dxa" w:w="3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 asignado (según el archivo)</w:t>
            </w:r>
          </w:p>
        </w:tc>
        <w:tc>
          <w:tcPr>
            <w:tcW w:type="dxa" w:w="32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Empresa</w:t>
            </w:r>
          </w:p>
        </w:tc>
        <w:tc>
          <w:tcPr>
            <w:tcW w:type="dxa" w:w="34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Observación</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daniel.remires@bold.co (2 registros)</w:t>
            </w:r>
          </w:p>
        </w:tc>
        <w:tc>
          <w:tcPr>
            <w:tcW w:type="dxa" w:w="3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Team Lead ni Manager</w:t>
            </w:r>
          </w:p>
        </w:tc>
      </w:tr>
      <w:tr>
        <w:tc>
          <w:tcPr>
            <w:tcW w:type="dxa" w:w="3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katherine.rodriguez@bold.co,alejandra.bautista@bold.co</w:t>
            </w:r>
          </w:p>
        </w:tc>
        <w:tc>
          <w:tcPr>
            <w:tcW w:type="dxa" w:w="3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w:t>
            </w:r>
          </w:p>
        </w:tc>
        <w:tc>
          <w:tcPr>
            <w:tcW w:type="dxa" w:w="34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Dos correos concatenados en un solo campo — anomalía de captura</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maurent.quiinchanegua@bold.co</w:t>
            </w:r>
          </w:p>
        </w:tc>
        <w:tc>
          <w:tcPr>
            <w:tcW w:type="dxa" w:w="3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Team Lead ni Manager</w:t>
            </w:r>
          </w:p>
        </w:tc>
      </w:tr>
      <w:tr>
        <w:tc>
          <w:tcPr>
            <w:tcW w:type="dxa" w:w="3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paula.arango@bold.co</w:t>
            </w:r>
          </w:p>
        </w:tc>
        <w:tc>
          <w:tcPr>
            <w:tcW w:type="dxa" w:w="3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w:t>
            </w:r>
          </w:p>
        </w:tc>
        <w:tc>
          <w:tcPr>
            <w:tcW w:type="dxa" w:w="34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Team Lead ni Manager</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(campo ejecutivo_asignado vacío)</w:t>
            </w:r>
          </w:p>
        </w:tc>
        <w:tc>
          <w:tcPr>
            <w:tcW w:type="dxa" w:w="3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JOSE IVAN OVALLES LIZARAZO</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El sistema usó el campo ejecutivo_sdr (katherine.solis@bold.co) como respaldo</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En la pestaña gestion_ejecutivos estos casos se agrupan con el valor de texto “Sin Team Lead” / “Sin manager”, por lo que técnicamente no aparecen como nulos en esa pestaña; el hallazgo solo es visible en datos_normalizados.</w:t>
      </w:r>
    </w:p>
    <w:p>
      <w:pPr>
        <w:pStyle w:val="Heading2"/>
        <w:spacing w:after="120" w:before="260"/>
      </w:pPr>
      <w:r>
        <w:rPr>
          <w:rFonts w:ascii="Arial" w:cs="Arial" w:eastAsia="Arial" w:hAnsi="Arial"/>
          <w:b/>
          <w:bCs/>
          <w:color w:val="2E5395"/>
          <w:sz w:val="24"/>
          <w:szCs w:val="24"/>
        </w:rPr>
        <w:t xml:space="preserve">1.6 Inconsistencias de realización</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960 de los 3.971 registros (24,18% del total; 53,13% de los 1.807 cierres) tienen estado_comercial = “Cierre” (venta exitosa) pero cita_realizada = False. El propio archivo marca estos 960 casos con la bandera inconsistencia_realizacion = True y los reporta también en calidad_datos como “cierre_exitoso_no_realizada”: 960. Es la inconsistencia individual más grande del archivo.</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Significa que, en más de la mitad de los negocios cerrados exitosamente en el periodo, el sistema no tiene registrada la asistencia a la cita que originó el cierre. Cualquier métrica de “tasa de realización” construida sobre cita_realizada subestima la actividad real del canal.</w:t>
      </w:r>
    </w:p>
    <w:p>
      <w:pPr>
        <w:pStyle w:val="ListParagraph"/>
        <w:numPr>
          <w:ilvl w:val="0"/>
          <w:numId w:val="1"/>
        </w:numPr>
        <w:spacing w:after="60" w:line="264"/>
      </w:pPr>
      <w:r>
        <w:rPr>
          <w:rFonts w:ascii="Arial" w:cs="Arial" w:eastAsia="Arial" w:hAnsi="Arial"/>
          <w:sz w:val="21"/>
          <w:szCs w:val="21"/>
        </w:rPr>
        <w:t xml:space="preserve">Registros marcados como “excepción” en general (registro_excepcion=True): 973 (24,50% del total).</w:t>
      </w:r>
    </w:p>
    <w:p>
      <w:pPr>
        <w:pStyle w:val="ListParagraph"/>
        <w:numPr>
          <w:ilvl w:val="0"/>
          <w:numId w:val="1"/>
        </w:numPr>
        <w:spacing w:after="60" w:line="264"/>
      </w:pPr>
      <w:r>
        <w:rPr>
          <w:rFonts w:ascii="Arial" w:cs="Arial" w:eastAsia="Arial" w:hAnsi="Arial"/>
          <w:sz w:val="21"/>
          <w:szCs w:val="21"/>
        </w:rPr>
        <w:t xml:space="preserve">Outliers de embudo (outlier_embudo=True): 3 registros (0,08%).</w:t>
      </w:r>
    </w:p>
    <w:p>
      <w:pPr>
        <w:pStyle w:val="ListParagraph"/>
        <w:numPr>
          <w:ilvl w:val="0"/>
          <w:numId w:val="1"/>
        </w:numPr>
        <w:spacing w:after="60" w:line="264"/>
      </w:pPr>
      <w:r>
        <w:rPr>
          <w:rFonts w:ascii="Arial" w:cs="Arial" w:eastAsia="Arial" w:hAnsi="Arial"/>
          <w:sz w:val="21"/>
          <w:szCs w:val="21"/>
        </w:rPr>
        <w:t xml:space="preserve">“TRX sin cierre” (declarado en calidad_datos): 0 registros.</w:t>
      </w:r>
    </w:p>
    <w:p>
      <w:pPr>
        <w:pStyle w:val="Heading2"/>
        <w:spacing w:after="120" w:before="260"/>
      </w:pPr>
      <w:r>
        <w:rPr>
          <w:rFonts w:ascii="Arial" w:cs="Arial" w:eastAsia="Arial" w:hAnsi="Arial"/>
          <w:b/>
          <w:bCs/>
          <w:color w:val="2E5395"/>
          <w:sz w:val="24"/>
          <w:szCs w:val="24"/>
        </w:rPr>
        <w:t xml:space="preserve">1.7 KPI semanal vs. gestión por ejecutivo</w:t>
      </w:r>
    </w:p>
    <w:p>
      <w:pPr>
        <w:spacing w:after="120" w:line="276"/>
      </w:pPr>
      <w:r>
        <w:rPr>
          <w:rFonts w:ascii="Arial" w:cs="Arial" w:eastAsia="Arial" w:hAnsi="Arial"/>
          <w:sz w:val="21"/>
          <w:szCs w:val="21"/>
        </w:rPr>
        <w:t xml:space="preserve">Los totales agregados de ambas pestañas coinciden en prácticamente todos los indicadores (citas_agendadas: 3.971 en ambas; oportunidades: 3.169 en ambas; cierres: 1.807 en ambas; TPV M0: $10.044.063.752 en ambas). Se identificó una única discrepancia:</w:t>
      </w:r>
    </w:p>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citas_realizadas: datos_normalizados registra 1.552; kpis_semanal y gestion_ejecutivos registran 1.551 (diferencia de 1 registro). Al recalcular citas_realizadas por semana directamente desde datos_normalizados, las 17 primeras semanas coinciden exactamente con kpis_semanal; la diferencia de 1 aparece únicamente en la última semana (la del 28/09/2026, semana en curso e incompleta): datos_normalizados cuenta 4 citas realizadas esa semana, kpis_semanal cuenta 3.</w:t>
      </w:r>
    </w:p>
    <w:p>
      <w:pPr>
        <w:pStyle w:val="Heading2"/>
        <w:spacing w:after="120" w:before="260"/>
      </w:pPr>
      <w:r>
        <w:rPr>
          <w:rFonts w:ascii="Arial" w:cs="Arial" w:eastAsia="Arial" w:hAnsi="Arial"/>
          <w:b/>
          <w:bCs/>
          <w:color w:val="2E5395"/>
          <w:sz w:val="24"/>
          <w:szCs w:val="24"/>
        </w:rPr>
        <w:t xml:space="preserve">1.8 TPV semanal vs. ejecutivo vs. canal</w:t>
      </w:r>
    </w:p>
    <w:p>
      <w:pPr>
        <w:pStyle w:val="ListParagraph"/>
        <w:numPr>
          <w:ilvl w:val="0"/>
          <w:numId w:val="1"/>
        </w:numPr>
        <w:spacing w:after="60" w:line="264"/>
      </w:pPr>
      <w:r>
        <w:rPr>
          <w:rFonts w:ascii="Arial" w:cs="Arial" w:eastAsia="Arial" w:hAnsi="Arial"/>
          <w:sz w:val="21"/>
          <w:szCs w:val="21"/>
        </w:rPr>
        <w:t xml:space="preserve">TPV M0: $10.044.063.752 en datos_normalizados, en la suma de kpis_semanal y en la suma de gestion_ejecutivos — coincide exactamente en las tres fuentes.</w:t>
      </w:r>
    </w:p>
    <w:p>
      <w:pPr>
        <w:pStyle w:val="ListParagraph"/>
        <w:numPr>
          <w:ilvl w:val="0"/>
          <w:numId w:val="1"/>
        </w:numPr>
        <w:spacing w:after="60" w:line="264"/>
      </w:pPr>
      <w:r>
        <w:rPr>
          <w:rFonts w:ascii="Arial" w:cs="Arial" w:eastAsia="Arial" w:hAnsi="Arial"/>
          <w:sz w:val="21"/>
          <w:szCs w:val="21"/>
        </w:rPr>
        <w:t xml:space="preserve">TPV M1: $12.356.145.210,78 en datos_normalizados vs. $12.356.145.211 en kpis_semanal y en gestion_ejecutivos — diferencia menor a $1 COP, atribuible a redondeo, no material.</w:t>
      </w:r>
    </w:p>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La pestaña Gestion_Canales está completamente vacía, por lo que no existe una fuente oficial de TPV por canal en el archivo. La distribución de TPV por canal presentada en la sección 4 de este informe se derivó directamente de la columna “canal” en datos_normalizados y debe tratarse como una estimación reconstruida, no como una cifra validada por una pestaña de gestión dedicada.</w:t>
      </w:r>
    </w:p>
    <w:p>
      <w:pPr>
        <w:pStyle w:val="ListParagraph"/>
        <w:numPr>
          <w:ilvl w:val="0"/>
          <w:numId w:val="1"/>
        </w:numPr>
        <w:spacing w:after="60" w:line="264"/>
      </w:pPr>
      <w:r>
        <w:rPr>
          <w:rFonts w:ascii="Arial" w:cs="Arial" w:eastAsia="Arial" w:hAnsi="Arial"/>
          <w:sz w:val="21"/>
          <w:szCs w:val="21"/>
        </w:rPr>
        <w:t xml:space="preserve">TPV Esperado (columna tpv_esperado en datos_normalizados): 0 en el 100% de los 3.971 registros. El campo de origen “TPV Esperado” en la fuente es texto (rangos como “0 - 3 millones”), no un valor numérico, por lo que no fue posible calcular ni validar ninguna cifra de TPV esperado.</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1. Resumen ejecutivo para la Manager SDR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CITAS AGENDADAS</w:t>
            </w:r>
          </w:p>
          <w:p>
            <w:pPr>
              <w:spacing w:after="40"/>
              <w:jc w:val="center"/>
            </w:pPr>
            <w:r>
              <w:rPr>
                <w:rFonts w:ascii="Arial" w:cs="Arial" w:eastAsia="Arial" w:hAnsi="Arial"/>
                <w:b/>
                <w:bCs/>
                <w:color w:val="1F3864"/>
                <w:sz w:val="26"/>
                <w:szCs w:val="26"/>
              </w:rPr>
              <w:t xml:space="preserve">3.971</w:t>
            </w:r>
          </w:p>
          <w:p>
            <w:pPr>
              <w:jc w:val="center"/>
            </w:pPr>
            <w:r>
              <w:rPr>
                <w:rFonts w:ascii="Arial" w:cs="Arial" w:eastAsia="Arial" w:hAnsi="Arial"/>
                <w:color w:val="595959"/>
                <w:sz w:val="15"/>
                <w:szCs w:val="15"/>
              </w:rPr>
              <w:t xml:space="preserve">Periodo jun–sep 2026</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CITAS REALIZADAS</w:t>
            </w:r>
          </w:p>
          <w:p>
            <w:pPr>
              <w:spacing w:after="40"/>
              <w:jc w:val="center"/>
            </w:pPr>
            <w:r>
              <w:rPr>
                <w:rFonts w:ascii="Arial" w:cs="Arial" w:eastAsia="Arial" w:hAnsi="Arial"/>
                <w:b/>
                <w:bCs/>
                <w:color w:val="1F3864"/>
                <w:sz w:val="26"/>
                <w:szCs w:val="26"/>
              </w:rPr>
              <w:t xml:space="preserve">1.552</w:t>
            </w:r>
          </w:p>
          <w:p>
            <w:pPr>
              <w:jc w:val="center"/>
            </w:pPr>
            <w:r>
              <w:rPr>
                <w:rFonts w:ascii="Arial" w:cs="Arial" w:eastAsia="Arial" w:hAnsi="Arial"/>
                <w:color w:val="595959"/>
                <w:sz w:val="15"/>
                <w:szCs w:val="15"/>
              </w:rPr>
              <w:t xml:space="preserve">39,08% del total</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OPORTUNIDADES</w:t>
            </w:r>
          </w:p>
          <w:p>
            <w:pPr>
              <w:spacing w:after="40"/>
              <w:jc w:val="center"/>
            </w:pPr>
            <w:r>
              <w:rPr>
                <w:rFonts w:ascii="Arial" w:cs="Arial" w:eastAsia="Arial" w:hAnsi="Arial"/>
                <w:b/>
                <w:bCs/>
                <w:color w:val="1F3864"/>
                <w:sz w:val="26"/>
                <w:szCs w:val="26"/>
              </w:rPr>
              <w:t xml:space="preserve">3.169</w:t>
            </w:r>
          </w:p>
          <w:p>
            <w:pPr>
              <w:jc w:val="center"/>
            </w:pPr>
            <w:r>
              <w:rPr>
                <w:rFonts w:ascii="Arial" w:cs="Arial" w:eastAsia="Arial" w:hAnsi="Arial"/>
                <w:color w:val="595959"/>
                <w:sz w:val="15"/>
                <w:szCs w:val="15"/>
              </w:rPr>
              <w:t xml:space="preserve">79,80% del total</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CIERRES</w:t>
            </w:r>
          </w:p>
          <w:p>
            <w:pPr>
              <w:spacing w:after="40"/>
              <w:jc w:val="center"/>
            </w:pPr>
            <w:r>
              <w:rPr>
                <w:rFonts w:ascii="Arial" w:cs="Arial" w:eastAsia="Arial" w:hAnsi="Arial"/>
                <w:b/>
                <w:bCs/>
                <w:color w:val="375623"/>
                <w:sz w:val="26"/>
                <w:szCs w:val="26"/>
              </w:rPr>
              <w:t xml:space="preserve">1.807</w:t>
            </w:r>
          </w:p>
          <w:p>
            <w:pPr>
              <w:jc w:val="center"/>
            </w:pPr>
            <w:r>
              <w:rPr>
                <w:rFonts w:ascii="Arial" w:cs="Arial" w:eastAsia="Arial" w:hAnsi="Arial"/>
                <w:color w:val="595959"/>
                <w:sz w:val="15"/>
                <w:szCs w:val="15"/>
              </w:rPr>
              <w:t xml:space="preserve">45,50% del total</w:t>
            </w:r>
          </w:p>
        </w:tc>
      </w:tr>
      <w:tr>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PENDIENTES</w:t>
            </w:r>
          </w:p>
          <w:p>
            <w:pPr>
              <w:spacing w:after="40"/>
              <w:jc w:val="center"/>
            </w:pPr>
            <w:r>
              <w:rPr>
                <w:rFonts w:ascii="Arial" w:cs="Arial" w:eastAsia="Arial" w:hAnsi="Arial"/>
                <w:b/>
                <w:bCs/>
                <w:color w:val="E36C09"/>
                <w:sz w:val="26"/>
                <w:szCs w:val="26"/>
              </w:rPr>
              <w:t xml:space="preserve">126</w:t>
            </w:r>
          </w:p>
          <w:p>
            <w:pPr>
              <w:jc w:val="center"/>
            </w:pPr>
            <w:r>
              <w:rPr>
                <w:rFonts w:ascii="Arial" w:cs="Arial" w:eastAsia="Arial" w:hAnsi="Arial"/>
                <w:color w:val="595959"/>
                <w:sz w:val="15"/>
                <w:szCs w:val="15"/>
              </w:rPr>
              <w:t xml:space="preserve">3,17% del total</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PERDIDAS</w:t>
            </w:r>
          </w:p>
          <w:p>
            <w:pPr>
              <w:spacing w:after="40"/>
              <w:jc w:val="center"/>
            </w:pPr>
            <w:r>
              <w:rPr>
                <w:rFonts w:ascii="Arial" w:cs="Arial" w:eastAsia="Arial" w:hAnsi="Arial"/>
                <w:b/>
                <w:bCs/>
                <w:color w:val="C00000"/>
                <w:sz w:val="26"/>
                <w:szCs w:val="26"/>
              </w:rPr>
              <w:t xml:space="preserve">368</w:t>
            </w:r>
          </w:p>
          <w:p>
            <w:pPr>
              <w:jc w:val="center"/>
            </w:pPr>
            <w:r>
              <w:rPr>
                <w:rFonts w:ascii="Arial" w:cs="Arial" w:eastAsia="Arial" w:hAnsi="Arial"/>
                <w:color w:val="595959"/>
                <w:sz w:val="15"/>
                <w:szCs w:val="15"/>
              </w:rPr>
              <w:t xml:space="preserve">9,27% del total</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TPV M0</w:t>
            </w:r>
          </w:p>
          <w:p>
            <w:pPr>
              <w:spacing w:after="40"/>
              <w:jc w:val="center"/>
            </w:pPr>
            <w:r>
              <w:rPr>
                <w:rFonts w:ascii="Arial" w:cs="Arial" w:eastAsia="Arial" w:hAnsi="Arial"/>
                <w:b/>
                <w:bCs/>
                <w:color w:val="375623"/>
                <w:sz w:val="26"/>
                <w:szCs w:val="26"/>
              </w:rPr>
              <w:t xml:space="preserve">$10.044,1 M</w:t>
            </w:r>
          </w:p>
          <w:p>
            <w:pPr>
              <w:jc w:val="center"/>
            </w:pPr>
            <w:r>
              <w:rPr>
                <w:rFonts w:ascii="Arial" w:cs="Arial" w:eastAsia="Arial" w:hAnsi="Arial"/>
                <w:color w:val="595959"/>
                <w:sz w:val="15"/>
                <w:szCs w:val="15"/>
              </w:rPr>
              <w:t xml:space="preserve">TPV M0 total del periodo</w:t>
            </w:r>
          </w:p>
        </w:tc>
        <w:tc>
          <w:tcPr>
            <w:tcW w:type="dxa" w:w="2610"/>
            <w:shd w:fill="F2F2F2" w:val="clear"/>
            <w:tcMar>
              <w:top w:type="dxa" w:w="120"/>
              <w:left w:type="dxa" w:w="120"/>
              <w:bottom w:type="dxa" w:w="120"/>
              <w:right w:type="dxa" w:w="120"/>
            </w:tcMar>
          </w:tcPr>
          <w:p>
            <w:pPr>
              <w:spacing w:after="40"/>
              <w:jc w:val="center"/>
            </w:pPr>
            <w:r>
              <w:rPr>
                <w:rFonts w:ascii="Arial" w:cs="Arial" w:eastAsia="Arial" w:hAnsi="Arial"/>
                <w:b/>
                <w:bCs/>
                <w:color w:val="595959"/>
                <w:sz w:val="16"/>
                <w:szCs w:val="16"/>
              </w:rPr>
              <w:t xml:space="preserve">TPV M1</w:t>
            </w:r>
          </w:p>
          <w:p>
            <w:pPr>
              <w:spacing w:after="40"/>
              <w:jc w:val="center"/>
            </w:pPr>
            <w:r>
              <w:rPr>
                <w:rFonts w:ascii="Arial" w:cs="Arial" w:eastAsia="Arial" w:hAnsi="Arial"/>
                <w:b/>
                <w:bCs/>
                <w:color w:val="375623"/>
                <w:sz w:val="26"/>
                <w:szCs w:val="26"/>
              </w:rPr>
              <w:t xml:space="preserve">$12.356,1 M</w:t>
            </w:r>
          </w:p>
          <w:p>
            <w:pPr>
              <w:jc w:val="center"/>
            </w:pPr>
            <w:r>
              <w:rPr>
                <w:rFonts w:ascii="Arial" w:cs="Arial" w:eastAsia="Arial" w:hAnsi="Arial"/>
                <w:color w:val="595959"/>
                <w:sz w:val="15"/>
                <w:szCs w:val="15"/>
              </w:rPr>
              <w:t xml:space="preserve">TPV M1 total del periodo</w:t>
            </w:r>
          </w:p>
        </w:tc>
      </w:tr>
    </w:tbl>
    <w:p>
      <w:pPr>
        <w:spacing w:after="120" w:line="276"/>
      </w:pPr>
      <w:r>
        <w:rPr>
          <w:rFonts w:ascii="Arial" w:cs="Arial" w:eastAsia="Arial" w:hAnsi="Arial"/>
          <w:sz w:val="21"/>
          <w:szCs w:val="21"/>
        </w:rPr>
        <w:t xml:space="preserve"/>
      </w:r>
    </w:p>
    <w:p>
      <w:pPr>
        <w:spacing w:after="80" w:before="180"/>
      </w:pPr>
      <w:r>
        <w:rPr>
          <w:rFonts w:ascii="Arial" w:cs="Arial" w:eastAsia="Arial" w:hAnsi="Arial"/>
          <w:b/>
          <w:bCs/>
          <w:color w:val="595959"/>
          <w:sz w:val="21"/>
          <w:szCs w:val="21"/>
        </w:rPr>
        <w:t xml:space="preserve">Estado general del canal</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El canal SDR generó 3.971 citas entre el 01/06/2026 y el 30/09/2026, de las cuales 1.552 (39,08%) quedaron marcadas como realizadas, 3.169 (79,80%) alcanzaron estado de oportunidad y 1.807 (45,50%) terminaron en cierre comercial.</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Del total de cierres (1.807), 960 (53,13%) no tienen la cita de origen marcada como “realizada” en el sistema. Este es el principal problema de calidad del periodo y afecta directamente la confiabilidad de cualquier indicador de ejecución.</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El canal muestra un embudo comercial activo (79,80% de las citas llegan a oportunidad) y una tasa de cierre sobre oportunidades saludable (57,02%), pero la trazabilidad entre “cita agendada” y “cita ejecutada” está rota en más de la mitad de los cierres, lo que impide afirmar con certeza cuál es la verdadera tasa de ejecución del equipo.</w:t>
      </w:r>
    </w:p>
    <w:p>
      <w:pPr>
        <w:spacing w:after="80" w:before="180"/>
      </w:pPr>
      <w:r>
        <w:rPr>
          <w:rFonts w:ascii="Arial" w:cs="Arial" w:eastAsia="Arial" w:hAnsi="Arial"/>
          <w:b/>
          <w:bCs/>
          <w:color w:val="595959"/>
          <w:sz w:val="21"/>
          <w:szCs w:val="21"/>
        </w:rPr>
        <w:t xml:space="preserve">Volumen, oportunidades, cierres y pendientes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2610"/>
        <w:gridCol w:w="2610"/>
      </w:tblGrid>
      <w:tr>
        <w:trPr>
          <w:tblHeader/>
        </w:trPr>
        <w:tc>
          <w:tcPr>
            <w:tcW w:type="dxa" w:w="522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Indicador</w:t>
            </w:r>
          </w:p>
        </w:tc>
        <w:tc>
          <w:tcPr>
            <w:tcW w:type="dxa" w:w="261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Valor</w:t>
            </w:r>
          </w:p>
        </w:tc>
        <w:tc>
          <w:tcPr>
            <w:tcW w:type="dxa" w:w="261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 sobre citas agendadas</w:t>
            </w:r>
          </w:p>
        </w:tc>
      </w:tr>
      <w:tr>
        <w:tc>
          <w:tcPr>
            <w:tcW w:type="dxa" w:w="52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Citas agendadas</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3.971</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100,00%</w:t>
            </w:r>
          </w:p>
        </w:tc>
      </w:tr>
      <w:tr>
        <w:tc>
          <w:tcPr>
            <w:tcW w:type="dxa" w:w="52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Citas realizadas</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1.552</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39,08%</w:t>
            </w:r>
          </w:p>
        </w:tc>
      </w:tr>
      <w:tr>
        <w:tc>
          <w:tcPr>
            <w:tcW w:type="dxa" w:w="52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Citas futuras (no cuentan como realizadas)</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12</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0,30%</w:t>
            </w:r>
          </w:p>
        </w:tc>
      </w:tr>
      <w:tr>
        <w:tc>
          <w:tcPr>
            <w:tcW w:type="dxa" w:w="52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Oportunidades</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3.169</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79,80%</w:t>
            </w:r>
          </w:p>
        </w:tc>
      </w:tr>
      <w:tr>
        <w:tc>
          <w:tcPr>
            <w:tcW w:type="dxa" w:w="52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Cierres</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1.807</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45,50%</w:t>
            </w:r>
          </w:p>
        </w:tc>
      </w:tr>
      <w:tr>
        <w:tc>
          <w:tcPr>
            <w:tcW w:type="dxa" w:w="52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Perdidas</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368</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9,27%</w:t>
            </w:r>
          </w:p>
        </w:tc>
      </w:tr>
      <w:tr>
        <w:tc>
          <w:tcPr>
            <w:tcW w:type="dxa" w:w="52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Pendientes</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126</w:t>
            </w:r>
          </w:p>
        </w:tc>
        <w:tc>
          <w:tcPr>
            <w:tcW w:type="dxa" w:w="261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3,17%</w:t>
            </w:r>
          </w:p>
        </w:tc>
      </w:tr>
      <w:tr>
        <w:tc>
          <w:tcPr>
            <w:tcW w:type="dxa" w:w="52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gestión</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673</w:t>
            </w:r>
          </w:p>
        </w:tc>
        <w:tc>
          <w:tcPr>
            <w:tcW w:type="dxa" w:w="261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16,95%</w:t>
            </w:r>
          </w:p>
        </w:tc>
      </w:tr>
    </w:tbl>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Las pestañas kpis_semanal y gestion_ejecutivos reportan 1.551 citas realizadas (1 menos que datos_normalizados), por la discrepancia de la semana en curso documentada en la sección 1.7 de la auditoría.</w:t>
      </w:r>
    </w:p>
    <w:p>
      <w:pPr>
        <w:spacing w:after="80" w:before="180"/>
      </w:pPr>
      <w:r>
        <w:rPr>
          <w:rFonts w:ascii="Arial" w:cs="Arial" w:eastAsia="Arial" w:hAnsi="Arial"/>
          <w:b/>
          <w:bCs/>
          <w:color w:val="595959"/>
          <w:sz w:val="21"/>
          <w:szCs w:val="21"/>
        </w:rPr>
        <w:t xml:space="preserve">TPV M0 y TPV M1</w:t>
      </w:r>
    </w:p>
    <w:p>
      <w:pPr>
        <w:pStyle w:val="ListParagraph"/>
        <w:numPr>
          <w:ilvl w:val="0"/>
          <w:numId w:val="1"/>
        </w:numPr>
        <w:spacing w:after="60" w:line="264"/>
      </w:pPr>
      <w:r>
        <w:rPr>
          <w:rFonts w:ascii="Arial" w:cs="Arial" w:eastAsia="Arial" w:hAnsi="Arial"/>
          <w:sz w:val="21"/>
          <w:szCs w:val="21"/>
        </w:rPr>
        <w:t xml:space="preserve">TPV M0 total del periodo: $10.044.063.752.</w:t>
      </w:r>
    </w:p>
    <w:p>
      <w:pPr>
        <w:pStyle w:val="ListParagraph"/>
        <w:numPr>
          <w:ilvl w:val="0"/>
          <w:numId w:val="1"/>
        </w:numPr>
        <w:spacing w:after="60" w:line="264"/>
      </w:pPr>
      <w:r>
        <w:rPr>
          <w:rFonts w:ascii="Arial" w:cs="Arial" w:eastAsia="Arial" w:hAnsi="Arial"/>
          <w:sz w:val="21"/>
          <w:szCs w:val="21"/>
        </w:rPr>
        <w:t xml:space="preserve">TPV M1 total del periodo: $12.356.145.211.</w:t>
      </w:r>
    </w:p>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No fue posible calcular el TPV Esperado (columna de origen en formato texto, no numérico) ni el TPV por canal desde una pestaña de gestión dedicada, ya que Gestion_Canales está vacía; la cifra de canal presentada en la sección 4 es una reconstrucción directa desde datos_normalizados.</w:t>
      </w:r>
    </w:p>
    <w:p>
      <w:pPr>
        <w:spacing w:after="80" w:before="180"/>
      </w:pPr>
      <w:r>
        <w:rPr>
          <w:rFonts w:ascii="Arial" w:cs="Arial" w:eastAsia="Arial" w:hAnsi="Arial"/>
          <w:b/>
          <w:bCs/>
          <w:color w:val="595959"/>
          <w:sz w:val="21"/>
          <w:szCs w:val="21"/>
        </w:rPr>
        <w:t xml:space="preserve">Tasas de conversión del embudo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4020"/>
        <w:gridCol w:w="3020"/>
      </w:tblGrid>
      <w:tr>
        <w:trPr>
          <w:tblHeader/>
        </w:trPr>
        <w:tc>
          <w:tcPr>
            <w:tcW w:type="dxa" w:w="3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Tasa</w:t>
            </w:r>
          </w:p>
        </w:tc>
        <w:tc>
          <w:tcPr>
            <w:tcW w:type="dxa" w:w="402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Fórmula</w:t>
            </w:r>
          </w:p>
        </w:tc>
        <w:tc>
          <w:tcPr>
            <w:tcW w:type="dxa" w:w="302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Valor del periodo</w:t>
            </w:r>
          </w:p>
        </w:tc>
      </w:tr>
      <w:tr>
        <w:tc>
          <w:tcPr>
            <w:tcW w:type="dxa" w:w="3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Realización</w:t>
            </w:r>
          </w:p>
        </w:tc>
        <w:tc>
          <w:tcPr>
            <w:tcW w:type="dxa" w:w="40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Citas realizadas / citas agendadas</w:t>
            </w:r>
          </w:p>
        </w:tc>
        <w:tc>
          <w:tcPr>
            <w:tcW w:type="dxa" w:w="30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39,08%</w:t>
            </w:r>
          </w:p>
        </w:tc>
      </w:tr>
      <w:tr>
        <w:tc>
          <w:tcPr>
            <w:tcW w:type="dxa" w:w="3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Cita → Oportunidad</w:t>
            </w:r>
          </w:p>
        </w:tc>
        <w:tc>
          <w:tcPr>
            <w:tcW w:type="dxa" w:w="40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Oportunidades / citas agendadas</w:t>
            </w:r>
          </w:p>
        </w:tc>
        <w:tc>
          <w:tcPr>
            <w:tcW w:type="dxa" w:w="30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79,80%</w:t>
            </w:r>
          </w:p>
        </w:tc>
      </w:tr>
      <w:tr>
        <w:tc>
          <w:tcPr>
            <w:tcW w:type="dxa" w:w="3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Oportunidad → Cierre</w:t>
            </w:r>
          </w:p>
        </w:tc>
        <w:tc>
          <w:tcPr>
            <w:tcW w:type="dxa" w:w="40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Cierres / oportunidades</w:t>
            </w:r>
          </w:p>
        </w:tc>
        <w:tc>
          <w:tcPr>
            <w:tcW w:type="dxa" w:w="30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57,02%</w:t>
            </w:r>
          </w:p>
        </w:tc>
      </w:tr>
      <w:tr>
        <w:tc>
          <w:tcPr>
            <w:tcW w:type="dxa" w:w="3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 sobre total</w:t>
            </w:r>
          </w:p>
        </w:tc>
        <w:tc>
          <w:tcPr>
            <w:tcW w:type="dxa" w:w="40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Cierres / citas agendadas</w:t>
            </w:r>
          </w:p>
        </w:tc>
        <w:tc>
          <w:tcPr>
            <w:tcW w:type="dxa" w:w="30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45,50%</w:t>
            </w:r>
          </w:p>
        </w:tc>
      </w:tr>
    </w:tbl>
    <w:p>
      <w:pPr>
        <w:spacing w:after="80" w:before="180"/>
      </w:pPr>
      <w:r>
        <w:rPr>
          <w:rFonts w:ascii="Arial" w:cs="Arial" w:eastAsia="Arial" w:hAnsi="Arial"/>
          <w:b/>
          <w:bCs/>
          <w:color w:val="595959"/>
          <w:sz w:val="21"/>
          <w:szCs w:val="21"/>
        </w:rPr>
        <w:t xml:space="preserve">Nivel de confiabilidad de las cifras de este informe</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MEDIA. Los totales agregados (citas, oportunidades, cierres, TPV M0) son consistentes entre datos_normalizados, kpis_semanal y gestion_ejecutivos. Sin embargo, cuatro hallazgos limitan la confiabilidad para uso en evaluación de desempeño individual o decisiones de compensación: (1) 53,13% de los cierres sin cita marcada como realizada; (2) 13,1% de la población sin trazabilidad a la fuente original; (3) Gestion_Canales vacía; (4) ausencia de Log_Ejecuciones y Config_Dev, que impide auditar cómo se generaron las cifras.</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2. Qué dicen las cifras</w:t>
      </w:r>
    </w:p>
    <w:p>
      <w:pPr>
        <w:spacing w:after="80" w:before="180"/>
      </w:pPr>
      <w:r>
        <w:rPr>
          <w:rFonts w:ascii="Arial" w:cs="Arial" w:eastAsia="Arial" w:hAnsi="Arial"/>
          <w:b/>
          <w:bCs/>
          <w:color w:val="595959"/>
          <w:sz w:val="21"/>
          <w:szCs w:val="21"/>
        </w:rPr>
        <w:t xml:space="preserve">Evolución semana a semana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900"/>
        <w:gridCol w:w="900"/>
        <w:gridCol w:w="700"/>
        <w:gridCol w:w="1100"/>
        <w:gridCol w:w="1100"/>
        <w:gridCol w:w="1040"/>
      </w:tblGrid>
      <w:tr>
        <w:trPr>
          <w:tblHeader/>
        </w:trPr>
        <w:tc>
          <w:tcPr>
            <w:tcW w:type="dxa" w:w="1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Semana (inicio)</w:t>
            </w:r>
          </w:p>
        </w:tc>
        <w:tc>
          <w:tcPr>
            <w:tcW w:type="dxa" w:w="10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Agendadas</w:t>
            </w:r>
          </w:p>
        </w:tc>
        <w:tc>
          <w:tcPr>
            <w:tcW w:type="dxa" w:w="10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Realizadas</w:t>
            </w:r>
          </w:p>
        </w:tc>
        <w:tc>
          <w:tcPr>
            <w:tcW w:type="dxa" w:w="9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Oport.</w:t>
            </w:r>
          </w:p>
        </w:tc>
        <w:tc>
          <w:tcPr>
            <w:tcW w:type="dxa" w:w="9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Cierres</w:t>
            </w:r>
          </w:p>
        </w:tc>
        <w:tc>
          <w:tcPr>
            <w:tcW w:type="dxa" w:w="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Pend.</w:t>
            </w:r>
          </w:p>
        </w:tc>
        <w:tc>
          <w:tcPr>
            <w:tcW w:type="dxa" w:w="1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Tasa realiz.</w:t>
            </w:r>
          </w:p>
        </w:tc>
        <w:tc>
          <w:tcPr>
            <w:tcW w:type="dxa" w:w="1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Cita→Op.</w:t>
            </w:r>
          </w:p>
        </w:tc>
        <w:tc>
          <w:tcPr>
            <w:tcW w:type="dxa" w:w="10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Op.→Cierre</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01/06/2026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229</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105</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189</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126</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45,85%</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82,53%</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66,67%</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08/06/2026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198</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92</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150</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91</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14</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46,46%</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75,76%</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60,67%</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15/06/2026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159</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68</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131</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79</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42,77%</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82,39%</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60,31%</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22/06/2026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214</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102</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179</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122</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47,66%</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83,64%</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68,16%</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29/06/2026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128</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63</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108</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73</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49,22%</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84,38%</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67,59%</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06/07/2026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193</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90</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171</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121</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46,63%</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88,60%</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70,76%</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13/07/2026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209</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95</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185</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123</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45,45%</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88,52%</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66,49%</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20/07/2026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216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86</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191</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124</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39,81%</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88,43%</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64,92%</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27/07/2026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94</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167</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86</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45,63%</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81,07%</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51,50%</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03/08/2026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169</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81</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131</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77</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47,93%</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77,51%</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58,78%</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10/08/2026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189</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90</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158</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82</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47,62%</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83,60%</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51,90%</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17/08/2026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234</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122</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205</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118</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52,14%</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87,61%</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57,56%</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24/08/2026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290</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125</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252</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142</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43,10%</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86,90%</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56,35%</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31/08/2026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304</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129</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257</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129</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42,43%</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84,54%</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50,19%</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07/09/2026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289</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80</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240</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117</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27,68%</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83,04%</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48,75%</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14/09/2026</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355</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105</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266</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144</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13</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29,58%</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74,93%</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54,14%</w:t>
            </w:r>
          </w:p>
        </w:tc>
      </w:tr>
      <w:tr>
        <w:tc>
          <w:tcPr>
            <w:tcW w:type="dxa" w:w="17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21/09/2026</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344</w:t>
            </w:r>
          </w:p>
        </w:tc>
        <w:tc>
          <w:tcPr>
            <w:tcW w:type="dxa" w:w="10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21</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184</w:t>
            </w:r>
          </w:p>
        </w:tc>
        <w:tc>
          <w:tcPr>
            <w:tcW w:type="dxa" w:w="9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52</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6,10%</w:t>
            </w:r>
          </w:p>
        </w:tc>
        <w:tc>
          <w:tcPr>
            <w:tcW w:type="dxa" w:w="11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53,49%</w:t>
            </w:r>
          </w:p>
        </w:tc>
        <w:tc>
          <w:tcPr>
            <w:tcW w:type="dxa" w:w="104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28,26%</w:t>
            </w:r>
          </w:p>
        </w:tc>
      </w:tr>
      <w:tr>
        <w:tc>
          <w:tcPr>
            <w:tcW w:type="dxa" w:w="17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28/09/2026 (semana en curso, incompleta)</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45</w:t>
            </w:r>
          </w:p>
        </w:tc>
        <w:tc>
          <w:tcPr>
            <w:tcW w:type="dxa" w:w="10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w:t>
            </w:r>
          </w:p>
        </w:tc>
        <w:tc>
          <w:tcPr>
            <w:tcW w:type="dxa" w:w="9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9,09%</w:t>
            </w:r>
          </w:p>
        </w:tc>
        <w:tc>
          <w:tcPr>
            <w:tcW w:type="dxa" w:w="11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11,11%</w:t>
            </w:r>
          </w:p>
        </w:tc>
        <w:tc>
          <w:tcPr>
            <w:tcW w:type="dxa" w:w="104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20,00%</w:t>
            </w:r>
          </w:p>
        </w:tc>
      </w:tr>
    </w:tbl>
    <w:p>
      <w:pPr>
        <w:spacing w:after="120" w:line="276"/>
      </w:pPr>
      <w:r>
        <w:rPr>
          <w:rFonts w:ascii="Arial" w:cs="Arial" w:eastAsia="Arial" w:hAnsi="Arial"/>
          <w:sz w:val="21"/>
          <w:szCs w:val="21"/>
        </w:rPr>
        <w:t xml:space="preserve"/>
      </w:r>
    </w:p>
    <w:p>
      <w:pPr>
        <w:spacing w:after="80" w:before="180"/>
      </w:pPr>
      <w:r>
        <w:rPr>
          <w:rFonts w:ascii="Arial" w:cs="Arial" w:eastAsia="Arial" w:hAnsi="Arial"/>
          <w:b/>
          <w:bCs/>
          <w:color w:val="595959"/>
          <w:sz w:val="21"/>
          <w:szCs w:val="21"/>
        </w:rPr>
        <w:t xml:space="preserve">Semanas de mayor y menor actividad</w:t>
      </w:r>
    </w:p>
    <w:p>
      <w:pPr>
        <w:pStyle w:val="ListParagraph"/>
        <w:numPr>
          <w:ilvl w:val="0"/>
          <w:numId w:val="1"/>
        </w:numPr>
        <w:spacing w:after="60" w:line="264"/>
      </w:pPr>
      <w:r>
        <w:rPr>
          <w:rFonts w:ascii="Arial" w:cs="Arial" w:eastAsia="Arial" w:hAnsi="Arial"/>
          <w:sz w:val="21"/>
          <w:szCs w:val="21"/>
        </w:rPr>
        <w:t xml:space="preserve">Mayor volumen de citas agendadas: semana del 14/09/2026, con 355 citas.</w:t>
      </w:r>
    </w:p>
    <w:p>
      <w:pPr>
        <w:pStyle w:val="ListParagraph"/>
        <w:numPr>
          <w:ilvl w:val="0"/>
          <w:numId w:val="1"/>
        </w:numPr>
        <w:spacing w:after="60" w:line="264"/>
      </w:pPr>
      <w:r>
        <w:rPr>
          <w:rFonts w:ascii="Arial" w:cs="Arial" w:eastAsia="Arial" w:hAnsi="Arial"/>
          <w:sz w:val="21"/>
          <w:szCs w:val="21"/>
        </w:rPr>
        <w:t xml:space="preserve">Menor volumen de citas agendadas (semana completa): semana del 29/06/2026, con 128 citas.</w:t>
      </w:r>
    </w:p>
    <w:p>
      <w:pPr>
        <w:pStyle w:val="ListParagraph"/>
        <w:numPr>
          <w:ilvl w:val="0"/>
          <w:numId w:val="1"/>
        </w:numPr>
        <w:spacing w:after="60" w:line="264"/>
      </w:pPr>
      <w:r>
        <w:rPr>
          <w:rFonts w:ascii="Arial" w:cs="Arial" w:eastAsia="Arial" w:hAnsi="Arial"/>
          <w:sz w:val="21"/>
          <w:szCs w:val="21"/>
        </w:rPr>
        <w:t xml:space="preserve">Mayor tasa de realización: semana del 17/08/2026, con 52,14%.</w:t>
      </w:r>
    </w:p>
    <w:p>
      <w:pPr>
        <w:pStyle w:val="ListParagraph"/>
        <w:numPr>
          <w:ilvl w:val="0"/>
          <w:numId w:val="1"/>
        </w:numPr>
        <w:spacing w:after="60" w:line="264"/>
      </w:pPr>
      <w:r>
        <w:rPr>
          <w:rFonts w:ascii="Arial" w:cs="Arial" w:eastAsia="Arial" w:hAnsi="Arial"/>
          <w:sz w:val="21"/>
          <w:szCs w:val="21"/>
        </w:rPr>
        <w:t xml:space="preserve">Menor tasa de realización (semana completa): semana del 21/09/2026, con 6,10% sobre 344 citas agendadas.</w:t>
      </w:r>
    </w:p>
    <w:p>
      <w:pPr>
        <w:spacing w:after="80" w:before="180"/>
      </w:pPr>
      <w:r>
        <w:rPr>
          <w:rFonts w:ascii="Arial" w:cs="Arial" w:eastAsia="Arial" w:hAnsi="Arial"/>
          <w:b/>
          <w:bCs/>
          <w:color w:val="595959"/>
          <w:sz w:val="21"/>
          <w:szCs w:val="21"/>
        </w:rPr>
        <w:t xml:space="preserve">Comportamiento del embudo</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La tasa Cita→Oportunidad se mantuvo alta y estable durante todo el periodo (entre 74,93% y 88,60% en las semanas completas). La tasa Oportunidad→Cierre fue de 48,75% a 70,76% en las primeras 16 semanas completas, y cayó a 28,26% en la semana del 21/09/2026.</w:t>
      </w:r>
    </w:p>
    <w:p>
      <w:pPr>
        <w:spacing w:after="80" w:before="180"/>
      </w:pPr>
      <w:r>
        <w:rPr>
          <w:rFonts w:ascii="Arial" w:cs="Arial" w:eastAsia="Arial" w:hAnsi="Arial"/>
          <w:b/>
          <w:bCs/>
          <w:color w:val="595959"/>
          <w:sz w:val="21"/>
          <w:szCs w:val="21"/>
        </w:rPr>
        <w:t xml:space="preserve">Principales variaciones</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La tasa de realización cayó de forma sostenida en las últimas cinco semanas completas del periodo: 43,10% (24/08) → 42,43% (31/08) → 27,68% (07/09) → 29,58% (14/09) → 6,10% (21/09).</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Esta caída podría reflejar una desaceleración real en la ejecución de citas agendadas hacia el cierre del periodo.</w:t>
      </w:r>
    </w:p>
    <w:p>
      <w:pPr>
        <w:spacing w:after="90" w:line="264"/>
      </w:pPr>
      <w:r>
        <w:rPr>
          <w:rFonts w:ascii="Arial" w:cs="Arial" w:eastAsia="Arial" w:hAnsi="Arial"/>
          <w:b/>
          <w:bCs/>
          <w:color w:val="E36C09"/>
          <w:sz w:val="20"/>
          <w:szCs w:val="20"/>
        </w:rPr>
        <w:t xml:space="preserve">[HIPÓTESIS] </w:t>
      </w:r>
      <w:r>
        <w:rPr>
          <w:rFonts w:ascii="Arial" w:cs="Arial" w:eastAsia="Arial" w:hAnsi="Arial"/>
          <w:sz w:val="21"/>
          <w:szCs w:val="21"/>
        </w:rPr>
        <w:t xml:space="preserve">El archivo se procesó el mismo día en que terminó la última semana completa (28/09/2026). Es posible que el estado “cita realizada” de las citas de mediados y finales de septiembre aún no se haya actualizado en el sistema de origen, generando un rezago de reporte que se confunde con una caída real de desempeño.</w:t>
      </w:r>
    </w:p>
    <w:p>
      <w:pPr>
        <w:spacing w:after="90" w:line="264"/>
      </w:pPr>
      <w:r>
        <w:rPr>
          <w:rFonts w:ascii="Arial" w:cs="Arial" w:eastAsia="Arial" w:hAnsi="Arial"/>
          <w:b/>
          <w:bCs/>
          <w:color w:val="7030A0"/>
          <w:sz w:val="20"/>
          <w:szCs w:val="20"/>
        </w:rPr>
        <w:t xml:space="preserve">[RECOMENDACIÓN] </w:t>
      </w:r>
      <w:r>
        <w:rPr>
          <w:rFonts w:ascii="Arial" w:cs="Arial" w:eastAsia="Arial" w:hAnsi="Arial"/>
          <w:sz w:val="21"/>
          <w:szCs w:val="21"/>
        </w:rPr>
        <w:t xml:space="preserve">Validar con los Team Leads el estado real de ejecución de las citas de las semanas 14/09 y 21/09 antes de usar estas tasas para evaluar al equipo.</w:t>
      </w:r>
    </w:p>
    <w:p>
      <w:pPr>
        <w:spacing w:after="80" w:before="180"/>
      </w:pPr>
      <w:r>
        <w:rPr>
          <w:rFonts w:ascii="Arial" w:cs="Arial" w:eastAsia="Arial" w:hAnsi="Arial"/>
          <w:b/>
          <w:bCs/>
          <w:color w:val="595959"/>
          <w:sz w:val="21"/>
          <w:szCs w:val="21"/>
        </w:rPr>
        <w:t xml:space="preserve">Diferencias entre volumen y eficiencia</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Las dos semanas de mayor volumen del periodo (14/09 con 355 citas y 21/09 con 344 citas) son también, junto con la semana en curso, las de menor tasa de realización (29,58% y 6,10% respectivamente). Un mayor número de citas agendadas no se tradujo en una mayor proporción de citas ejecutadas en las últimas semanas del periodo.</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3. Calidad de las citas</w:t>
      </w:r>
    </w:p>
    <w:p>
      <w:pPr>
        <w:spacing w:after="80" w:before="180"/>
      </w:pPr>
      <w:r>
        <w:rPr>
          <w:rFonts w:ascii="Arial" w:cs="Arial" w:eastAsia="Arial" w:hAnsi="Arial"/>
          <w:b/>
          <w:bCs/>
          <w:color w:val="595959"/>
          <w:sz w:val="21"/>
          <w:szCs w:val="21"/>
        </w:rPr>
        <w:t xml:space="preserve">Registros completos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2820"/>
        <w:gridCol w:w="3820"/>
      </w:tblGrid>
      <w:tr>
        <w:trPr>
          <w:tblHeader/>
        </w:trPr>
        <w:tc>
          <w:tcPr>
            <w:tcW w:type="dxa" w:w="3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Campo</w:t>
            </w:r>
          </w:p>
        </w:tc>
        <w:tc>
          <w:tcPr>
            <w:tcW w:type="dxa" w:w="282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 de completitud</w:t>
            </w:r>
          </w:p>
        </w:tc>
        <w:tc>
          <w:tcPr>
            <w:tcW w:type="dxa" w:w="382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Registros faltantes</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Empresa</w:t>
            </w:r>
          </w:p>
        </w:tc>
        <w:tc>
          <w:tcPr>
            <w:tcW w:type="dxa" w:w="2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100,00%</w:t>
            </w:r>
          </w:p>
        </w:tc>
        <w:tc>
          <w:tcPr>
            <w:tcW w:type="dxa" w:w="3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r>
      <w:tr>
        <w:tc>
          <w:tcPr>
            <w:tcW w:type="dxa" w:w="3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Comercio (identificador)</w:t>
            </w:r>
          </w:p>
        </w:tc>
        <w:tc>
          <w:tcPr>
            <w:tcW w:type="dxa" w:w="2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100,00%</w:t>
            </w:r>
          </w:p>
        </w:tc>
        <w:tc>
          <w:tcPr>
            <w:tcW w:type="dxa" w:w="3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Ejecutivo</w:t>
            </w:r>
          </w:p>
        </w:tc>
        <w:tc>
          <w:tcPr>
            <w:tcW w:type="dxa" w:w="2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100,00%</w:t>
            </w:r>
          </w:p>
        </w:tc>
        <w:tc>
          <w:tcPr>
            <w:tcW w:type="dxa" w:w="3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 (1 caso resuelto por campo de respaldo ejecutivo_sdr)</w:t>
            </w:r>
          </w:p>
        </w:tc>
      </w:tr>
      <w:tr>
        <w:tc>
          <w:tcPr>
            <w:tcW w:type="dxa" w:w="3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Team Lead</w:t>
            </w:r>
          </w:p>
        </w:tc>
        <w:tc>
          <w:tcPr>
            <w:tcW w:type="dxa" w:w="2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99,85%</w:t>
            </w:r>
          </w:p>
        </w:tc>
        <w:tc>
          <w:tcPr>
            <w:tcW w:type="dxa" w:w="3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w:t>
            </w:r>
          </w:p>
        </w:tc>
      </w:tr>
      <w:tr>
        <w:tc>
          <w:tcPr>
            <w:tcW w:type="dxa" w:w="3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Fecha de la cita</w:t>
            </w:r>
          </w:p>
        </w:tc>
        <w:tc>
          <w:tcPr>
            <w:tcW w:type="dxa" w:w="2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100,00%</w:t>
            </w:r>
          </w:p>
        </w:tc>
        <w:tc>
          <w:tcPr>
            <w:tcW w:type="dxa" w:w="382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r>
      <w:tr>
        <w:tc>
          <w:tcPr>
            <w:tcW w:type="dxa" w:w="3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Fecha de primera transacción</w:t>
            </w:r>
          </w:p>
        </w:tc>
        <w:tc>
          <w:tcPr>
            <w:tcW w:type="dxa" w:w="2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41,27%</w:t>
            </w:r>
          </w:p>
        </w:tc>
        <w:tc>
          <w:tcPr>
            <w:tcW w:type="dxa" w:w="382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2.332</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La fecha de primera transacción, el único campo con una brecha de completitud relevante, falta en 2.332 de 3.971 registros (58,73%).</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Dado que este campo es la base para determinar si un comercio ha transado, esta brecha impide afirmar de forma confiable que un comercio específico “no ha transado”; solo se puede afirmar que el dato de su primera transacción no está disponible en este archivo.</w:t>
      </w:r>
    </w:p>
    <w:p>
      <w:pPr>
        <w:spacing w:after="80" w:before="180"/>
      </w:pPr>
      <w:r>
        <w:rPr>
          <w:rFonts w:ascii="Arial" w:cs="Arial" w:eastAsia="Arial" w:hAnsi="Arial"/>
          <w:b/>
          <w:bCs/>
          <w:color w:val="595959"/>
          <w:sz w:val="21"/>
          <w:szCs w:val="21"/>
        </w:rPr>
        <w:t xml:space="preserve">Duplicados</w:t>
      </w:r>
    </w:p>
    <w:p>
      <w:pPr>
        <w:pStyle w:val="ListParagraph"/>
        <w:numPr>
          <w:ilvl w:val="0"/>
          <w:numId w:val="1"/>
        </w:numPr>
        <w:spacing w:after="60" w:line="264"/>
      </w:pPr>
      <w:r>
        <w:rPr>
          <w:rFonts w:ascii="Arial" w:cs="Arial" w:eastAsia="Arial" w:hAnsi="Arial"/>
          <w:sz w:val="21"/>
          <w:szCs w:val="21"/>
        </w:rPr>
        <w:t xml:space="preserve">5 pares de registros duplicados (10 filas, 0,25% de la población), con el mismo identificador de evento, la misma empresa y la misma fecha de cita (ver detalle en la sección 1.3 de la auditoría).</w:t>
      </w:r>
    </w:p>
    <w:p>
      <w:pPr>
        <w:spacing w:after="80" w:before="180"/>
      </w:pPr>
      <w:r>
        <w:rPr>
          <w:rFonts w:ascii="Arial" w:cs="Arial" w:eastAsia="Arial" w:hAnsi="Arial"/>
          <w:b/>
          <w:bCs/>
          <w:color w:val="595959"/>
          <w:sz w:val="21"/>
          <w:szCs w:val="21"/>
        </w:rPr>
        <w:t xml:space="preserve">Inconsistencias</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960 registros (24,18% del total; 53,13% de los cierres) tienen estado_comercial = “Cierre” pero la cita de origen no está marcada como realizada.</w:t>
      </w:r>
    </w:p>
    <w:p>
      <w:pPr>
        <w:pStyle w:val="ListParagraph"/>
        <w:numPr>
          <w:ilvl w:val="0"/>
          <w:numId w:val="1"/>
        </w:numPr>
        <w:spacing w:after="60" w:line="264"/>
      </w:pPr>
      <w:r>
        <w:rPr>
          <w:rFonts w:ascii="Arial" w:cs="Arial" w:eastAsia="Arial" w:hAnsi="Arial"/>
          <w:sz w:val="21"/>
          <w:szCs w:val="21"/>
        </w:rPr>
        <w:t xml:space="preserve">973 registros (24,50%) están marcados con la bandera general de excepción.</w:t>
      </w:r>
    </w:p>
    <w:p>
      <w:pPr>
        <w:pStyle w:val="ListParagraph"/>
        <w:numPr>
          <w:ilvl w:val="0"/>
          <w:numId w:val="1"/>
        </w:numPr>
        <w:spacing w:after="60" w:line="264"/>
      </w:pPr>
      <w:r>
        <w:rPr>
          <w:rFonts w:ascii="Arial" w:cs="Arial" w:eastAsia="Arial" w:hAnsi="Arial"/>
          <w:sz w:val="21"/>
          <w:szCs w:val="21"/>
        </w:rPr>
        <w:t xml:space="preserve">3 registros (0,08%) están marcados como outlier de embudo.</w:t>
      </w:r>
    </w:p>
    <w:p>
      <w:pPr>
        <w:spacing w:after="80" w:before="180"/>
      </w:pPr>
      <w:r>
        <w:rPr>
          <w:rFonts w:ascii="Arial" w:cs="Arial" w:eastAsia="Arial" w:hAnsi="Arial"/>
          <w:b/>
          <w:bCs/>
          <w:color w:val="595959"/>
          <w:sz w:val="21"/>
          <w:szCs w:val="21"/>
        </w:rPr>
        <w:t xml:space="preserve">Citas futuras</w:t>
      </w:r>
    </w:p>
    <w:p>
      <w:pPr>
        <w:pStyle w:val="ListParagraph"/>
        <w:numPr>
          <w:ilvl w:val="0"/>
          <w:numId w:val="1"/>
        </w:numPr>
        <w:spacing w:after="60" w:line="264"/>
      </w:pPr>
      <w:r>
        <w:rPr>
          <w:rFonts w:ascii="Arial" w:cs="Arial" w:eastAsia="Arial" w:hAnsi="Arial"/>
          <w:sz w:val="21"/>
          <w:szCs w:val="21"/>
        </w:rPr>
        <w:t xml:space="preserve">12 citas (0,30%) tienen fecha posterior al 28/09/2026 y están correctamente excluidas del cálculo de citas realizadas.</w:t>
      </w:r>
    </w:p>
    <w:p>
      <w:pPr>
        <w:spacing w:after="80" w:before="180"/>
      </w:pPr>
      <w:r>
        <w:rPr>
          <w:rFonts w:ascii="Arial" w:cs="Arial" w:eastAsia="Arial" w:hAnsi="Arial"/>
          <w:b/>
          <w:bCs/>
          <w:color w:val="595959"/>
          <w:sz w:val="21"/>
          <w:szCs w:val="21"/>
        </w:rPr>
        <w:t xml:space="preserve">Datos faltantes</w:t>
      </w:r>
    </w:p>
    <w:p>
      <w:pPr>
        <w:pStyle w:val="ListParagraph"/>
        <w:numPr>
          <w:ilvl w:val="0"/>
          <w:numId w:val="1"/>
        </w:numPr>
        <w:spacing w:after="60" w:line="264"/>
      </w:pPr>
      <w:r>
        <w:rPr>
          <w:rFonts w:ascii="Arial" w:cs="Arial" w:eastAsia="Arial" w:hAnsi="Arial"/>
          <w:sz w:val="21"/>
          <w:szCs w:val="21"/>
        </w:rPr>
        <w:t xml:space="preserve">Team Lead: 6 registros (0,15%), incluyendo un caso de dos correos de ejecutivos concatenados en un solo campo.</w:t>
      </w:r>
    </w:p>
    <w:p>
      <w:pPr>
        <w:pStyle w:val="ListParagraph"/>
        <w:numPr>
          <w:ilvl w:val="0"/>
          <w:numId w:val="1"/>
        </w:numPr>
        <w:spacing w:after="60" w:line="264"/>
      </w:pPr>
      <w:r>
        <w:rPr>
          <w:rFonts w:ascii="Arial" w:cs="Arial" w:eastAsia="Arial" w:hAnsi="Arial"/>
          <w:sz w:val="21"/>
          <w:szCs w:val="21"/>
        </w:rPr>
        <w:t xml:space="preserve">Fecha de primera transacción: 2.332 registros (58,73%).</w:t>
      </w:r>
    </w:p>
    <w:p>
      <w:pPr>
        <w:pStyle w:val="ListParagraph"/>
        <w:numPr>
          <w:ilvl w:val="0"/>
          <w:numId w:val="1"/>
        </w:numPr>
        <w:spacing w:after="60" w:line="264"/>
      </w:pPr>
      <w:r>
        <w:rPr>
          <w:rFonts w:ascii="Arial" w:cs="Arial" w:eastAsia="Arial" w:hAnsi="Arial"/>
          <w:sz w:val="21"/>
          <w:szCs w:val="21"/>
        </w:rPr>
        <w:t xml:space="preserve">TPV Esperado: no calculable en el 100% de los registros (campo de origen en formato texto).</w:t>
      </w:r>
    </w:p>
    <w:p>
      <w:pPr>
        <w:pStyle w:val="ListParagraph"/>
        <w:numPr>
          <w:ilvl w:val="0"/>
          <w:numId w:val="1"/>
        </w:numPr>
        <w:spacing w:after="60" w:line="264"/>
      </w:pPr>
      <w:r>
        <w:rPr>
          <w:rFonts w:ascii="Arial" w:cs="Arial" w:eastAsia="Arial" w:hAnsi="Arial"/>
          <w:sz w:val="21"/>
          <w:szCs w:val="21"/>
        </w:rPr>
        <w:t xml:space="preserve">Canal: 2.379 citas (59,90%) sin canal identificado.</w:t>
      </w:r>
    </w:p>
    <w:p>
      <w:pPr>
        <w:spacing w:after="80" w:before="180"/>
      </w:pPr>
      <w:r>
        <w:rPr>
          <w:rFonts w:ascii="Arial" w:cs="Arial" w:eastAsia="Arial" w:hAnsi="Arial"/>
          <w:b/>
          <w:bCs/>
          <w:color w:val="595959"/>
          <w:sz w:val="21"/>
          <w:szCs w:val="21"/>
        </w:rPr>
        <w:t xml:space="preserve">Impacto en la gestión</w:t>
      </w:r>
    </w:p>
    <w:p>
      <w:pPr>
        <w:spacing w:after="90" w:line="264"/>
      </w:pPr>
      <w:r>
        <w:rPr>
          <w:rFonts w:ascii="Arial" w:cs="Arial" w:eastAsia="Arial" w:hAnsi="Arial"/>
          <w:b/>
          <w:bCs/>
          <w:color w:val="1F4E78"/>
          <w:sz w:val="20"/>
          <w:szCs w:val="20"/>
        </w:rPr>
        <w:t xml:space="preserve">[INTERPRETACIÓN] </w:t>
      </w:r>
      <w:r>
        <w:rPr>
          <w:rFonts w:ascii="Arial" w:cs="Arial" w:eastAsia="Arial" w:hAnsi="Arial"/>
          <w:sz w:val="21"/>
          <w:szCs w:val="21"/>
        </w:rPr>
        <w:t xml:space="preserve">Con más de la mitad de los cierres sin cita marcada como realizada, cualquier evaluación de ejecutivos o Team Leads basada en “citas realizadas” subestima sistemáticamente su actividad real. De igual forma, la ausencia de canal en el 59,90% de las citas impide una lectura confiable del aporte de cada canal al TPV total, y la baja completitud de fecha de primera transacción (41,27%) impide activar alertas de “comercio sin transar” con el nivel de confianza que requeriría una decisión operativa.</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4. Gestión del canal</w:t>
      </w:r>
    </w:p>
    <w:p>
      <w:pPr>
        <w:spacing w:after="80" w:before="180"/>
      </w:pPr>
      <w:r>
        <w:rPr>
          <w:rFonts w:ascii="Arial" w:cs="Arial" w:eastAsia="Arial" w:hAnsi="Arial"/>
          <w:b/>
          <w:bCs/>
          <w:color w:val="595959"/>
          <w:sz w:val="21"/>
          <w:szCs w:val="21"/>
        </w:rPr>
        <w:t xml:space="preserve">Ejecutivos con mayor volumen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400"/>
        <w:gridCol w:w="1500"/>
        <w:gridCol w:w="1100"/>
        <w:gridCol w:w="1740"/>
      </w:tblGrid>
      <w:tr>
        <w:trPr>
          <w:tblHeader/>
        </w:trPr>
        <w:tc>
          <w:tcPr>
            <w:tcW w:type="dxa" w:w="2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w:t>
            </w:r>
          </w:p>
        </w:tc>
        <w:tc>
          <w:tcPr>
            <w:tcW w:type="dxa" w:w="2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Team Lead</w:t>
            </w:r>
          </w:p>
        </w:tc>
        <w:tc>
          <w:tcPr>
            <w:tcW w:type="dxa" w:w="1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 agendadas</w:t>
            </w:r>
          </w:p>
        </w:tc>
        <w:tc>
          <w:tcPr>
            <w:tcW w:type="dxa" w:w="15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 realizadas</w:t>
            </w:r>
          </w:p>
        </w:tc>
        <w:tc>
          <w:tcPr>
            <w:tcW w:type="dxa" w:w="1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Cierres</w:t>
            </w:r>
          </w:p>
        </w:tc>
        <w:tc>
          <w:tcPr>
            <w:tcW w:type="dxa" w:w="17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TPV M0</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laura.tique@bold.co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98</w:t>
            </w:r>
          </w:p>
        </w:tc>
        <w:tc>
          <w:tcPr>
            <w:tcW w:type="dxa" w:w="15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11</w:t>
            </w:r>
          </w:p>
        </w:tc>
        <w:tc>
          <w:tcPr>
            <w:tcW w:type="dxa" w:w="1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29</w:t>
            </w:r>
          </w:p>
        </w:tc>
        <w:tc>
          <w:tcPr>
            <w:tcW w:type="dxa" w:w="1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$31.978.066</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andrea.camargo@bold.co</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93</w:t>
            </w:r>
          </w:p>
        </w:tc>
        <w:tc>
          <w:tcPr>
            <w:tcW w:type="dxa" w:w="15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w:t>
            </w:r>
          </w:p>
        </w:tc>
        <w:tc>
          <w:tcPr>
            <w:tcW w:type="dxa" w:w="1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26</w:t>
            </w:r>
          </w:p>
        </w:tc>
        <w:tc>
          <w:tcPr>
            <w:tcW w:type="dxa" w:w="1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$33.074.526</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sara.arcila@bold.co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80</w:t>
            </w:r>
          </w:p>
        </w:tc>
        <w:tc>
          <w:tcPr>
            <w:tcW w:type="dxa" w:w="15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55</w:t>
            </w:r>
          </w:p>
        </w:tc>
        <w:tc>
          <w:tcPr>
            <w:tcW w:type="dxa" w:w="1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w:t>
            </w:r>
          </w:p>
        </w:tc>
        <w:tc>
          <w:tcPr>
            <w:tcW w:type="dxa" w:w="1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$145.417.264</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jessica.perez@bold.co</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80</w:t>
            </w:r>
          </w:p>
        </w:tc>
        <w:tc>
          <w:tcPr>
            <w:tcW w:type="dxa" w:w="15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18</w:t>
            </w:r>
          </w:p>
        </w:tc>
        <w:tc>
          <w:tcPr>
            <w:tcW w:type="dxa" w:w="1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35</w:t>
            </w:r>
          </w:p>
        </w:tc>
        <w:tc>
          <w:tcPr>
            <w:tcW w:type="dxa" w:w="1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$94.005.841</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karen.bedoya@bold.co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79</w:t>
            </w:r>
          </w:p>
        </w:tc>
        <w:tc>
          <w:tcPr>
            <w:tcW w:type="dxa" w:w="15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w:t>
            </w:r>
          </w:p>
        </w:tc>
        <w:tc>
          <w:tcPr>
            <w:tcW w:type="dxa" w:w="1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22</w:t>
            </w:r>
          </w:p>
        </w:tc>
        <w:tc>
          <w:tcPr>
            <w:tcW w:type="dxa" w:w="1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$24.636.139</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alexandra.moreno@bold.co</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77</w:t>
            </w:r>
          </w:p>
        </w:tc>
        <w:tc>
          <w:tcPr>
            <w:tcW w:type="dxa" w:w="15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w:t>
            </w:r>
          </w:p>
        </w:tc>
        <w:tc>
          <w:tcPr>
            <w:tcW w:type="dxa" w:w="1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41</w:t>
            </w:r>
          </w:p>
        </w:tc>
        <w:tc>
          <w:tcPr>
            <w:tcW w:type="dxa" w:w="1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$50.369.076</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angie.rodriguez@bold.co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 Rodriguez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67</w:t>
            </w:r>
          </w:p>
        </w:tc>
        <w:tc>
          <w:tcPr>
            <w:tcW w:type="dxa" w:w="15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w:t>
            </w:r>
          </w:p>
        </w:tc>
        <w:tc>
          <w:tcPr>
            <w:tcW w:type="dxa" w:w="1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w:t>
            </w:r>
          </w:p>
        </w:tc>
        <w:tc>
          <w:tcPr>
            <w:tcW w:type="dxa" w:w="1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$25.673.972</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tatiana.moyano@bold.co</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66</w:t>
            </w:r>
          </w:p>
        </w:tc>
        <w:tc>
          <w:tcPr>
            <w:tcW w:type="dxa" w:w="15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w:t>
            </w:r>
          </w:p>
        </w:tc>
        <w:tc>
          <w:tcPr>
            <w:tcW w:type="dxa" w:w="1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20</w:t>
            </w:r>
          </w:p>
        </w:tc>
        <w:tc>
          <w:tcPr>
            <w:tcW w:type="dxa" w:w="1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$142.158.268</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valentina.monsalve@bold.co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64</w:t>
            </w:r>
          </w:p>
        </w:tc>
        <w:tc>
          <w:tcPr>
            <w:tcW w:type="dxa" w:w="15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1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26</w:t>
            </w:r>
          </w:p>
        </w:tc>
        <w:tc>
          <w:tcPr>
            <w:tcW w:type="dxa" w:w="1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$20.745.397</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pedro.pardo@bold.co</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Leidy Mantilla</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47</w:t>
            </w:r>
          </w:p>
        </w:tc>
        <w:tc>
          <w:tcPr>
            <w:tcW w:type="dxa" w:w="15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27</w:t>
            </w:r>
          </w:p>
        </w:tc>
        <w:tc>
          <w:tcPr>
            <w:tcW w:type="dxa" w:w="1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w:t>
            </w:r>
          </w:p>
        </w:tc>
        <w:tc>
          <w:tcPr>
            <w:tcW w:type="dxa" w:w="1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$148.306.919</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8 de los 10 ejecutivos de mayor volumen del canal (excepto angie.rodriguez y pedro.pardo) reportan al mismo Team Lead, Fernanda Mendez.</w:t>
      </w:r>
    </w:p>
    <w:p>
      <w:pPr>
        <w:spacing w:after="80" w:before="180"/>
      </w:pPr>
      <w:r>
        <w:rPr>
          <w:rFonts w:ascii="Arial" w:cs="Arial" w:eastAsia="Arial" w:hAnsi="Arial"/>
          <w:b/>
          <w:bCs/>
          <w:color w:val="595959"/>
          <w:sz w:val="21"/>
          <w:szCs w:val="21"/>
        </w:rPr>
        <w:t xml:space="preserve">Ejecutivos con mayor conversión (oportunidad → cierre)</w:t>
      </w:r>
    </w:p>
    <w:p>
      <w:pPr>
        <w:spacing w:after="120" w:line="276"/>
      </w:pPr>
      <w:r>
        <w:rPr>
          <w:rFonts w:ascii="Arial" w:cs="Arial" w:eastAsia="Arial" w:hAnsi="Arial"/>
          <w:sz w:val="21"/>
          <w:szCs w:val="21"/>
        </w:rPr>
        <w:t xml:space="preserve">Calculado únicamente sobre ejecutivos con 20 o más citas agendadas en el periodo (45 de 473, criterio explícito para evitar comparar sobre muestras pequeñas). La mediana de este grupo es 55,56% y el promedio 53,73%.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100"/>
        <w:gridCol w:w="2740"/>
      </w:tblGrid>
      <w:tr>
        <w:trPr>
          <w:tblHeader/>
        </w:trPr>
        <w:tc>
          <w:tcPr>
            <w:tcW w:type="dxa" w:w="2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w:t>
            </w:r>
          </w:p>
        </w:tc>
        <w:tc>
          <w:tcPr>
            <w:tcW w:type="dxa" w:w="2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Team Lead</w:t>
            </w:r>
          </w:p>
        </w:tc>
        <w:tc>
          <w:tcPr>
            <w:tcW w:type="dxa" w:w="2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 agendadas</w:t>
            </w:r>
          </w:p>
        </w:tc>
        <w:tc>
          <w:tcPr>
            <w:tcW w:type="dxa" w:w="27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Oport.→Cierre</w:t>
            </w:r>
          </w:p>
        </w:tc>
      </w:tr>
      <w:tr>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angela.ramos@bold.co</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Fabian Corredor Suarez</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34</w:t>
            </w:r>
          </w:p>
        </w:tc>
        <w:tc>
          <w:tcPr>
            <w:tcW w:type="dxa" w:w="2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80,00%</w:t>
            </w:r>
          </w:p>
        </w:tc>
      </w:tr>
      <w:tr>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anderson.nuno@bold.co</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Carolina Santos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w:t>
            </w:r>
          </w:p>
        </w:tc>
        <w:tc>
          <w:tcPr>
            <w:tcW w:type="dxa" w:w="2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75,00%</w:t>
            </w:r>
          </w:p>
        </w:tc>
      </w:tr>
      <w:tr>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fernanda.zambrano@bold.co</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24</w:t>
            </w:r>
          </w:p>
        </w:tc>
        <w:tc>
          <w:tcPr>
            <w:tcW w:type="dxa" w:w="2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75,00%</w:t>
            </w:r>
          </w:p>
        </w:tc>
      </w:tr>
      <w:tr>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paula.arevalo@bold.co</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Leidy Mantilla</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23</w:t>
            </w:r>
          </w:p>
        </w:tc>
        <w:tc>
          <w:tcPr>
            <w:tcW w:type="dxa" w:w="2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73,68%</w:t>
            </w:r>
          </w:p>
        </w:tc>
      </w:tr>
      <w:tr>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alexander.diaz@bold.co</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Carlos Orozco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23</w:t>
            </w:r>
          </w:p>
        </w:tc>
        <w:tc>
          <w:tcPr>
            <w:tcW w:type="dxa" w:w="2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73,68%</w:t>
            </w:r>
          </w:p>
        </w:tc>
      </w:tr>
      <w:tr>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katherine.carpeta@bold.co</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Leidy Mantilla</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29</w:t>
            </w:r>
          </w:p>
        </w:tc>
        <w:tc>
          <w:tcPr>
            <w:tcW w:type="dxa" w:w="2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70,83%</w:t>
            </w:r>
          </w:p>
        </w:tc>
      </w:tr>
    </w:tbl>
    <w:p>
      <w:pPr>
        <w:spacing w:after="80" w:before="180"/>
      </w:pPr>
      <w:r>
        <w:rPr>
          <w:rFonts w:ascii="Arial" w:cs="Arial" w:eastAsia="Arial" w:hAnsi="Arial"/>
          <w:b/>
          <w:bCs/>
          <w:color w:val="595959"/>
          <w:sz w:val="21"/>
          <w:szCs w:val="21"/>
        </w:rPr>
        <w:t xml:space="preserve">Ejecutivos con más pendientes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100"/>
        <w:gridCol w:w="2740"/>
      </w:tblGrid>
      <w:tr>
        <w:trPr>
          <w:tblHeader/>
        </w:trPr>
        <w:tc>
          <w:tcPr>
            <w:tcW w:type="dxa" w:w="2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w:t>
            </w:r>
          </w:p>
        </w:tc>
        <w:tc>
          <w:tcPr>
            <w:tcW w:type="dxa" w:w="2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Team Lead</w:t>
            </w:r>
          </w:p>
        </w:tc>
        <w:tc>
          <w:tcPr>
            <w:tcW w:type="dxa" w:w="2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 agendadas</w:t>
            </w:r>
          </w:p>
        </w:tc>
        <w:tc>
          <w:tcPr>
            <w:tcW w:type="dxa" w:w="27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Pendientes</w:t>
            </w:r>
          </w:p>
        </w:tc>
      </w:tr>
      <w:tr>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angie.rodriguez@bold.co</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 Rodriguez</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67</w:t>
            </w:r>
          </w:p>
        </w:tc>
        <w:tc>
          <w:tcPr>
            <w:tcW w:type="dxa" w:w="2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12</w:t>
            </w:r>
          </w:p>
        </w:tc>
      </w:tr>
      <w:tr>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santiago.vanegas@bold.co</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Santiago Vanegas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42</w:t>
            </w:r>
          </w:p>
        </w:tc>
        <w:tc>
          <w:tcPr>
            <w:tcW w:type="dxa" w:w="2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w:t>
            </w:r>
          </w:p>
        </w:tc>
      </w:tr>
      <w:tr>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sergio.londono@bold.co</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Juan Camilo Salgado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w:t>
            </w:r>
          </w:p>
        </w:tc>
        <w:tc>
          <w:tcPr>
            <w:tcW w:type="dxa" w:w="27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w:t>
            </w:r>
          </w:p>
        </w:tc>
      </w:tr>
      <w:tr>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stevens.espinosa@bold.co</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Sebastian Matthaus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46</w:t>
            </w:r>
          </w:p>
        </w:tc>
        <w:tc>
          <w:tcPr>
            <w:tcW w:type="dxa" w:w="27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sergio.londono@bold.co tiene solo 10 citas en el periodo, de las cuales 7 (70%) están pendientes; por su bajo volumen, este caso no debe leerse como una evaluación negativa de desempeño, sino como una señal a revisar.</w:t>
      </w:r>
    </w:p>
    <w:p>
      <w:pPr>
        <w:spacing w:after="80" w:before="180"/>
      </w:pPr>
      <w:r>
        <w:rPr>
          <w:rFonts w:ascii="Arial" w:cs="Arial" w:eastAsia="Arial" w:hAnsi="Arial"/>
          <w:b/>
          <w:bCs/>
          <w:color w:val="595959"/>
          <w:sz w:val="21"/>
          <w:szCs w:val="21"/>
        </w:rPr>
        <w:t xml:space="preserve">Team Leads con mayor concentración de excepciones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600"/>
        <w:gridCol w:w="3440"/>
      </w:tblGrid>
      <w:tr>
        <w:trPr>
          <w:tblHeader/>
        </w:trPr>
        <w:tc>
          <w:tcPr>
            <w:tcW w:type="dxa" w:w="2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Team Lead</w:t>
            </w:r>
          </w:p>
        </w:tc>
        <w:tc>
          <w:tcPr>
            <w:tcW w:type="dxa" w:w="1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Ejecutivos</w:t>
            </w:r>
          </w:p>
        </w:tc>
        <w:tc>
          <w:tcPr>
            <w:tcW w:type="dxa" w:w="1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w:t>
            </w:r>
          </w:p>
        </w:tc>
        <w:tc>
          <w:tcPr>
            <w:tcW w:type="dxa" w:w="1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Excepciones</w:t>
            </w:r>
          </w:p>
        </w:tc>
        <w:tc>
          <w:tcPr>
            <w:tcW w:type="dxa" w:w="34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 sobre sus citas</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654</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173</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26,45%</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Fabian Corredor Suarez</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116</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46</w:t>
            </w:r>
          </w:p>
        </w:tc>
        <w:tc>
          <w:tcPr>
            <w:tcW w:type="dxa" w:w="34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39,66%</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Leidy Mantilla</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11</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188</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43</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22,87%</w:t>
            </w:r>
          </w:p>
        </w:tc>
      </w:tr>
      <w:tr>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Carolina Santos</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w:t>
            </w:r>
          </w:p>
        </w:tc>
        <w:tc>
          <w:tcPr>
            <w:tcW w:type="dxa" w:w="1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219</w:t>
            </w:r>
          </w:p>
        </w:tc>
        <w:tc>
          <w:tcPr>
            <w:tcW w:type="dxa" w:w="1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42</w:t>
            </w:r>
          </w:p>
        </w:tc>
        <w:tc>
          <w:tcPr>
            <w:tcW w:type="dxa" w:w="34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19,18%</w:t>
            </w:r>
          </w:p>
        </w:tc>
      </w:tr>
      <w:tr>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Jhonatan Moreno</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11</w:t>
            </w:r>
          </w:p>
        </w:tc>
        <w:tc>
          <w:tcPr>
            <w:tcW w:type="dxa" w:w="1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201</w:t>
            </w:r>
          </w:p>
        </w:tc>
        <w:tc>
          <w:tcPr>
            <w:tcW w:type="dxa" w:w="1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39</w:t>
            </w:r>
          </w:p>
        </w:tc>
        <w:tc>
          <w:tcPr>
            <w:tcW w:type="dxa" w:w="34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19,40%</w:t>
            </w:r>
          </w:p>
        </w:tc>
      </w:tr>
    </w:tbl>
    <w:p>
      <w:pPr>
        <w:spacing w:after="120" w:line="276"/>
      </w:pPr>
      <w:r>
        <w:rPr>
          <w:rFonts w:ascii="Arial" w:cs="Arial" w:eastAsia="Arial" w:hAnsi="Arial"/>
          <w:sz w:val="21"/>
          <w:szCs w:val="21"/>
        </w:rPr>
        <w:t xml:space="preserve">Entre los Team Leads con al menos 30 citas en el periodo, la mayor concentración relativa de excepciones es:</w:t>
      </w:r>
    </w:p>
    <w:p>
      <w:pPr>
        <w:pStyle w:val="ListParagraph"/>
        <w:numPr>
          <w:ilvl w:val="0"/>
          <w:numId w:val="1"/>
        </w:numPr>
        <w:spacing w:after="60" w:line="264"/>
      </w:pPr>
      <w:r>
        <w:rPr>
          <w:rFonts w:ascii="Arial" w:cs="Arial" w:eastAsia="Arial" w:hAnsi="Arial"/>
          <w:sz w:val="21"/>
          <w:szCs w:val="21"/>
        </w:rPr>
        <w:t xml:space="preserve">Carlos Garnica: 52,63% (20 de 38 citas).</w:t>
      </w:r>
    </w:p>
    <w:p>
      <w:pPr>
        <w:pStyle w:val="ListParagraph"/>
        <w:numPr>
          <w:ilvl w:val="0"/>
          <w:numId w:val="1"/>
        </w:numPr>
        <w:spacing w:after="60" w:line="264"/>
      </w:pPr>
      <w:r>
        <w:rPr>
          <w:rFonts w:ascii="Arial" w:cs="Arial" w:eastAsia="Arial" w:hAnsi="Arial"/>
          <w:sz w:val="21"/>
          <w:szCs w:val="21"/>
        </w:rPr>
        <w:t xml:space="preserve">Carolina Casas: 43,75% (14 de 32 citas).</w:t>
      </w:r>
    </w:p>
    <w:p>
      <w:pPr>
        <w:pStyle w:val="ListParagraph"/>
        <w:numPr>
          <w:ilvl w:val="0"/>
          <w:numId w:val="1"/>
        </w:numPr>
        <w:spacing w:after="60" w:line="264"/>
      </w:pPr>
      <w:r>
        <w:rPr>
          <w:rFonts w:ascii="Arial" w:cs="Arial" w:eastAsia="Arial" w:hAnsi="Arial"/>
          <w:sz w:val="21"/>
          <w:szCs w:val="21"/>
        </w:rPr>
        <w:t xml:space="preserve">Fabian Corredor Suarez: 39,66% (46 de 116 citas).</w:t>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El equipo de Fernanda Mendez (15 ejecutivos, 654 citas, 16,5% del volumen total del canal) tiene una tasa de realización de 20,34% frente al 39,08% del canal completo, y concentra 172 de las 960 inconsistencias “cierre sin cita realizada” (17,9% del total).</w:t>
      </w:r>
    </w:p>
    <w:p>
      <w:pPr>
        <w:spacing w:after="80" w:before="180"/>
      </w:pPr>
      <w:r>
        <w:rPr>
          <w:rFonts w:ascii="Arial" w:cs="Arial" w:eastAsia="Arial" w:hAnsi="Arial"/>
          <w:b/>
          <w:bCs/>
          <w:color w:val="595959"/>
          <w:sz w:val="21"/>
          <w:szCs w:val="21"/>
        </w:rPr>
        <w:t xml:space="preserve">Canales con mayor aporte de TPV</w:t>
      </w:r>
    </w:p>
    <w:p>
      <w:pPr>
        <w:spacing w:after="90" w:line="264"/>
      </w:pPr>
      <w:r>
        <w:rPr>
          <w:rFonts w:ascii="Arial" w:cs="Arial" w:eastAsia="Arial" w:hAnsi="Arial"/>
          <w:b/>
          <w:bCs/>
          <w:color w:val="C00000"/>
          <w:sz w:val="20"/>
          <w:szCs w:val="20"/>
        </w:rPr>
        <w:t xml:space="preserve">[NO VALIDADA] </w:t>
      </w:r>
      <w:r>
        <w:rPr>
          <w:rFonts w:ascii="Arial" w:cs="Arial" w:eastAsia="Arial" w:hAnsi="Arial"/>
          <w:sz w:val="21"/>
          <w:szCs w:val="21"/>
        </w:rPr>
        <w:t xml:space="preserve">Gestion_Canales está vacía; la siguiente distribución se reconstruyó directamente desde la columna “canal” de datos_normalizados y no proviene de una pestaña de gestión dedicada.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800"/>
        <w:gridCol w:w="1840"/>
      </w:tblGrid>
      <w:tr>
        <w:trPr>
          <w:tblHeader/>
        </w:trPr>
        <w:tc>
          <w:tcPr>
            <w:tcW w:type="dxa" w:w="24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Canal</w:t>
            </w:r>
          </w:p>
        </w:tc>
        <w:tc>
          <w:tcPr>
            <w:tcW w:type="dxa" w:w="12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w:t>
            </w:r>
          </w:p>
        </w:tc>
        <w:tc>
          <w:tcPr>
            <w:tcW w:type="dxa" w:w="12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Cierres</w:t>
            </w:r>
          </w:p>
        </w:tc>
        <w:tc>
          <w:tcPr>
            <w:tcW w:type="dxa" w:w="28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TPV M0</w:t>
            </w:r>
          </w:p>
        </w:tc>
        <w:tc>
          <w:tcPr>
            <w:tcW w:type="dxa" w:w="184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 del TPV M0 total</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SMB</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798</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798</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$7.751.648.900</w:t>
            </w:r>
          </w:p>
        </w:tc>
        <w:tc>
          <w:tcPr>
            <w:tcW w:type="dxa" w:w="1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77,17%</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HUBS</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604</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604</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$1.567.614.609</w:t>
            </w:r>
          </w:p>
        </w:tc>
        <w:tc>
          <w:tcPr>
            <w:tcW w:type="dxa" w:w="1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15,61%</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ONLINE_PAYMENTS</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106</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106</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$442.425.157</w:t>
            </w:r>
          </w:p>
        </w:tc>
        <w:tc>
          <w:tcPr>
            <w:tcW w:type="dxa" w:w="1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4,40%</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INBOUND</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66</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66</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$160.326.385</w:t>
            </w:r>
          </w:p>
        </w:tc>
        <w:tc>
          <w:tcPr>
            <w:tcW w:type="dxa" w:w="1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1,60%</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ENTERPRISE</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$91.854.382</w:t>
            </w:r>
          </w:p>
        </w:tc>
        <w:tc>
          <w:tcPr>
            <w:tcW w:type="dxa" w:w="1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0,91%</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UNIDENTIFIED</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9</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$14.818.912</w:t>
            </w:r>
          </w:p>
        </w:tc>
        <w:tc>
          <w:tcPr>
            <w:tcW w:type="dxa" w:w="1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0,15%</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DISTRIBUTOR</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6</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$13.201.007</w:t>
            </w:r>
          </w:p>
        </w:tc>
        <w:tc>
          <w:tcPr>
            <w:tcW w:type="dxa" w:w="1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0,13%</w:t>
            </w:r>
          </w:p>
        </w:tc>
      </w:tr>
      <w:tr>
        <w:tc>
          <w:tcPr>
            <w:tcW w:type="dxa" w:w="24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REFERRED</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w:t>
            </w:r>
          </w:p>
        </w:tc>
        <w:tc>
          <w:tcPr>
            <w:tcW w:type="dxa" w:w="12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1</w:t>
            </w:r>
          </w:p>
        </w:tc>
        <w:tc>
          <w:tcPr>
            <w:tcW w:type="dxa" w:w="28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$2.174.400</w:t>
            </w:r>
          </w:p>
        </w:tc>
        <w:tc>
          <w:tcPr>
            <w:tcW w:type="dxa" w:w="184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0,02%</w:t>
            </w:r>
          </w:p>
        </w:tc>
      </w:tr>
      <w:tr>
        <w:tc>
          <w:tcPr>
            <w:tcW w:type="dxa" w:w="24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canal identificado</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2.379</w:t>
            </w:r>
          </w:p>
        </w:tc>
        <w:tc>
          <w:tcPr>
            <w:tcW w:type="dxa" w:w="12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215</w:t>
            </w:r>
          </w:p>
        </w:tc>
        <w:tc>
          <w:tcPr>
            <w:tcW w:type="dxa" w:w="28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w:t>
            </w:r>
          </w:p>
        </w:tc>
        <w:tc>
          <w:tcPr>
            <w:tcW w:type="dxa" w:w="184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0,00%</w:t>
            </w:r>
          </w:p>
        </w:tc>
      </w:tr>
    </w:tbl>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2.379 citas (59,90% del total) no tienen canal identificado, y 215 de ellas (11,9% de los 1.807 cierres del periodo) sí terminaron en cierre comercial sin canal asociado ni TPV atribuido a un canal.</w:t>
      </w:r>
    </w:p>
    <w:p>
      <w:pPr>
        <w:spacing w:after="80" w:before="180"/>
      </w:pPr>
      <w:r>
        <w:rPr>
          <w:rFonts w:ascii="Arial" w:cs="Arial" w:eastAsia="Arial" w:hAnsi="Arial"/>
          <w:b/>
          <w:bCs/>
          <w:color w:val="595959"/>
          <w:sz w:val="21"/>
          <w:szCs w:val="21"/>
        </w:rPr>
        <w:t xml:space="preserve">Advertencia sobre muestras pequeñas</w:t>
      </w:r>
    </w:p>
    <w:p>
      <w:pPr>
        <w:spacing w:after="90" w:line="264"/>
      </w:pPr>
      <w:r>
        <w:rPr>
          <w:rFonts w:ascii="Arial" w:cs="Arial" w:eastAsia="Arial" w:hAnsi="Arial"/>
          <w:b/>
          <w:bCs/>
          <w:color w:val="7030A0"/>
          <w:sz w:val="20"/>
          <w:szCs w:val="20"/>
        </w:rPr>
        <w:t xml:space="preserve">[RECOMENDACIÓN] </w:t>
      </w:r>
      <w:r>
        <w:rPr>
          <w:rFonts w:ascii="Arial" w:cs="Arial" w:eastAsia="Arial" w:hAnsi="Arial"/>
          <w:sz w:val="21"/>
          <w:szCs w:val="21"/>
        </w:rPr>
        <w:t xml:space="preserve">428 de los 473 ejecutivos del canal (90,5%) registran menos de 20 citas en el periodo. Las tasas de conversión de este grupo no deben usarse para comparar desempeño ni para generar rankings individuales, dado el alto margen de variación que implica una muestra tan pequeña (regla de no evaluar negativamente a ejecutivos de bajo volumen).</w:t>
      </w:r>
    </w:p>
    <w:p>
      <w:r>
        <w:br w:type="page"/>
      </w:r>
    </w:p>
    <w:p>
      <w:pPr>
        <w:sectPr>
          <w:headerReference w:type="default" r:id="rId7"/>
          <w:footerReference w:type="default" r:id="rId8"/>
          <w:pgSz w:w="12240" w:h="15840" w:orient="portrait"/>
          <w:pgMar w:top="1000" w:right="900" w:bottom="1000" w:left="900" w:header="708" w:footer="708" w:gutter="0"/>
          <w:pgNumType/>
          <w:docGrid w:linePitch="360"/>
        </w:sectPr>
      </w:pPr>
    </w:p>
    <w:p>
      <w:pPr>
        <w:pStyle w:val="Heading1"/>
        <w:pBdr>
          <w:bottom w:val="single" w:color="1F3864" w:sz="8" w:space="4"/>
        </w:pBdr>
        <w:spacing w:after="160" w:before="360"/>
      </w:pPr>
      <w:r>
        <w:rPr>
          <w:rFonts w:ascii="Arial" w:cs="Arial" w:eastAsia="Arial" w:hAnsi="Arial"/>
          <w:b/>
          <w:bCs/>
          <w:color w:val="1F3864"/>
          <w:sz w:val="30"/>
          <w:szCs w:val="30"/>
        </w:rPr>
        <w:t xml:space="preserve">5. Ejecutivos que requieren atención</w:t>
      </w:r>
    </w:p>
    <w:p>
      <w:pPr>
        <w:spacing w:after="120" w:line="276"/>
      </w:pPr>
      <w:r>
        <w:rPr>
          <w:rFonts w:ascii="Arial" w:cs="Arial" w:eastAsia="Arial" w:hAnsi="Arial"/>
          <w:sz w:val="21"/>
          <w:szCs w:val="21"/>
        </w:rPr>
        <w:t xml:space="preserve">Priorizados por: (i) alto volumen con baja conversión frente a la mediana del grupo comparable (55,56%); (ii) alto número de pendientes; (iii) inconsistencias de calidad (excepciones); (iv) Team Lead faltante; (v) TPV relevante asociado a casos pendientes. Los ejecutivos con menos de 20 citas se marcan como prioridad de dato, no de desempeño, conforme a la regla de no evaluar negativamente el bajo volumen.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300"/>
        <w:gridCol w:w="650"/>
        <w:gridCol w:w="700"/>
        <w:gridCol w:w="700"/>
        <w:gridCol w:w="700"/>
        <w:gridCol w:w="650"/>
        <w:gridCol w:w="850"/>
        <w:gridCol w:w="1350"/>
        <w:gridCol w:w="700"/>
        <w:gridCol w:w="1050"/>
        <w:gridCol w:w="2600"/>
        <w:gridCol w:w="2100"/>
      </w:tblGrid>
      <w:tr>
        <w:trPr>
          <w:tblHeader/>
        </w:trPr>
        <w:tc>
          <w:tcPr>
            <w:tcW w:type="dxa" w:w="17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Ejecutivo</w:t>
            </w:r>
          </w:p>
        </w:tc>
        <w:tc>
          <w:tcPr>
            <w:tcW w:type="dxa" w:w="13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Team Lead</w:t>
            </w:r>
          </w:p>
        </w:tc>
        <w:tc>
          <w:tcPr>
            <w:tcW w:type="dxa" w:w="13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Manager</w:t>
            </w:r>
          </w:p>
        </w:tc>
        <w:tc>
          <w:tcPr>
            <w:tcW w:type="dxa" w:w="6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Citas</w:t>
            </w:r>
          </w:p>
        </w:tc>
        <w:tc>
          <w:tcPr>
            <w:tcW w:type="dxa" w:w="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Realiz.</w:t>
            </w:r>
          </w:p>
        </w:tc>
        <w:tc>
          <w:tcPr>
            <w:tcW w:type="dxa" w:w="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Oport.</w:t>
            </w:r>
          </w:p>
        </w:tc>
        <w:tc>
          <w:tcPr>
            <w:tcW w:type="dxa" w:w="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Cierres</w:t>
            </w:r>
          </w:p>
        </w:tc>
        <w:tc>
          <w:tcPr>
            <w:tcW w:type="dxa" w:w="6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Pend.</w:t>
            </w:r>
          </w:p>
        </w:tc>
        <w:tc>
          <w:tcPr>
            <w:tcW w:type="dxa" w:w="8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Conv. O→C</w:t>
            </w:r>
          </w:p>
        </w:tc>
        <w:tc>
          <w:tcPr>
            <w:tcW w:type="dxa" w:w="13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TPV M0</w:t>
            </w:r>
          </w:p>
        </w:tc>
        <w:tc>
          <w:tcPr>
            <w:tcW w:type="dxa" w:w="7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Excep.</w:t>
            </w:r>
          </w:p>
        </w:tc>
        <w:tc>
          <w:tcPr>
            <w:tcW w:type="dxa" w:w="105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Prioridad</w:t>
            </w:r>
          </w:p>
        </w:tc>
        <w:tc>
          <w:tcPr>
            <w:tcW w:type="dxa" w:w="26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Motivo</w:t>
            </w:r>
          </w:p>
        </w:tc>
        <w:tc>
          <w:tcPr>
            <w:tcW w:type="dxa" w:w="2100"/>
            <w:shd w:fill="1F3864"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Acción sugerida</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andrea.camargo@bold.co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93</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38</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68,42%</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$33.074.526</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Volumen muy alto con 1,08% de realización pese a 26 cierres registrados</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Auditar las 26 excepciones y validar con el Team Lead el registro real de asistencia</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laura.tique@bold.co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98</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94</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29</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30,85%</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$31.978.066</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Mayor volumen del canal; conversión por debajo de la mediana (55,56%) y 26 excepciones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Revisar calidad del registro de citas con el Team Lead</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valentina.monsalve@bold.co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64</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49</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53,06%</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$20.745.397</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26</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0% de citas realizadas pese a 26 cierres registrados</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Auditar consistencia entre estado de cita y cierre comercial</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alexandra.moreno@bold.co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77</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77</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41</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53,25%</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$50.369.076</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40</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Mayor número de excepciones del canal (40) y 1,30% de realización</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Priorizar auditoría de calidad de registro</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karen.bedoya@bold.co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79</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71</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22</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30,99%</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$24.636.139</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21</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Alto volumen, conversión baja (30,99%) y 3,80% de realización</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Revisar gestión con el Team Lead Fernanda Mendez</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tatiana.moyano@bold.co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66</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64</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31,25%</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$142.158.268</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19</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TPV M0 relevante ($142,2 M) con conversión y realización muy bajas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Verificar trazabilidad de los cierres asociados a este TPV</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jessica.perez@bold.co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Fernanda Mendez</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80</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80</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35</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43,75%</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$94.005.841</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22</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Segundo mayor número de cierres del canal (35) con 22 excepciones</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Auditar excepciones antes de reconocer el resultado</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santiago.vanegas@bold.co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Santiago Vanegas</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42</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0,00%</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Volumen moderado sin ninguna oportunidad ni cierre; 10 citas pendientes</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Revisar gestión comercial directamente con el ejecutivo y su Team Lead</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stevens.espinosa@bold.co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Sebastian Matthaus</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David Acosta</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46</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17</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34</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18</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52,94%</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$202.583.081</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11</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ALTA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Mayor TPV M0 del canal asociado a casos pendientes ($202,6 M en juego)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Cerrar la gestión de los 5 pendientes de forma prioritaria</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angie.rodriguez@bold.co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Angie Rodriguez</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Angelica Hernandez</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67</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14</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66,67%</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$25.673.972</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MEDIA</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Mayor número absoluto de pendientes del canal (12)</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Cerrar el backlog de pendientes con el ejecutivo</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sara.sanchez@bold.co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Sebastian Matthaus</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David Acosta</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34</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29</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41,38%</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$53.322.970</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MEDIA</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Conversión por debajo de la mediana del grupo de alto volumen</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Acompañamiento del Team Lead</w:t>
            </w:r>
          </w:p>
        </w:tc>
      </w:tr>
      <w:tr>
        <w:tc>
          <w:tcPr>
            <w:tcW w:type="dxa" w:w="17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sergio.londono@bold.co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Juan Camilo Salgado</w:t>
            </w:r>
          </w:p>
        </w:tc>
        <w:tc>
          <w:tcPr>
            <w:tcW w:type="dxa" w:w="13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Juan Camilo Salgado</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10</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8</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2</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6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7</w:t>
            </w:r>
          </w:p>
        </w:tc>
        <w:tc>
          <w:tcPr>
            <w:tcW w:type="dxa" w:w="8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0,00%</w:t>
            </w:r>
          </w:p>
        </w:tc>
        <w:tc>
          <w:tcPr>
            <w:tcW w:type="dxa" w:w="135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700"/>
            <w:shd w:fill="F2F2F2" w:val="clear"/>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0</w:t>
            </w:r>
          </w:p>
        </w:tc>
        <w:tc>
          <w:tcPr>
            <w:tcW w:type="dxa" w:w="105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MEDIA (dato, bajo volumen — no evaluar desempeño)</w:t>
            </w:r>
          </w:p>
        </w:tc>
        <w:tc>
          <w:tcPr>
            <w:tcW w:type="dxa" w:w="26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7 de 10 citas quedaron pendientes pese al bajo volumen</w:t>
            </w:r>
          </w:p>
        </w:tc>
        <w:tc>
          <w:tcPr>
            <w:tcW w:type="dxa" w:w="2100"/>
            <w:shd w:fill="F2F2F2" w:val="clear"/>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Verificar el motivo de la alta proporción de pendientes</w:t>
            </w:r>
          </w:p>
        </w:tc>
      </w:tr>
      <w:tr>
        <w:tc>
          <w:tcPr>
            <w:tcW w:type="dxa" w:w="17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5 registros sin Team Lead (daniel.remires@bold.co x2, katherine.rodriguez+alejandra.bautista combinado, maurent.quiinchanegua@bold.co, paula.arango@bold.co)</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Team Lead</w:t>
            </w:r>
          </w:p>
        </w:tc>
        <w:tc>
          <w:tcPr>
            <w:tcW w:type="dxa" w:w="13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Sin manager</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1–2 c/u</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6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8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135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rFonts w:ascii="Arial" w:cs="Arial" w:eastAsia="Arial" w:hAnsi="Arial"/>
                <w:b w:val="false"/>
                <w:bCs w:val="false"/>
                <w:color w:val="000000"/>
                <w:sz w:val="18"/>
                <w:szCs w:val="18"/>
              </w:rPr>
              <w:t xml:space="preserve">—</w:t>
            </w:r>
          </w:p>
        </w:tc>
        <w:tc>
          <w:tcPr>
            <w:tcW w:type="dxa" w:w="105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BAJA (dato, no desempeño)</w:t>
            </w:r>
          </w:p>
        </w:tc>
        <w:tc>
          <w:tcPr>
            <w:tcW w:type="dxa" w:w="26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Registros sin Team Lead asignado en la fuente; uno combina dos correos en un solo campo</w:t>
            </w:r>
          </w:p>
        </w:tc>
        <w:tc>
          <w:tcPr>
            <w:tcW w:type="dxa" w:w="2100"/>
            <w:tcMar>
              <w:top w:type="dxa" w:w="60"/>
              <w:left w:type="dxa" w:w="90"/>
              <w:bottom w:type="dxa" w:w="60"/>
              <w:right w:type="dxa" w:w="90"/>
            </w:tcMar>
            <w:vAlign w:val="center"/>
          </w:tcPr>
          <w:p>
            <w:pPr>
              <w:jc w:val="left"/>
            </w:pPr>
            <w:r>
              <w:rPr>
                <w:rFonts w:ascii="Arial" w:cs="Arial" w:eastAsia="Arial" w:hAnsi="Arial"/>
                <w:b w:val="false"/>
                <w:bCs w:val="false"/>
                <w:color w:val="000000"/>
                <w:sz w:val="18"/>
                <w:szCs w:val="18"/>
              </w:rPr>
              <w:t xml:space="preserve">Corregir en el ETL la asignación de Team Lead y separar las identidades combinadas</w:t>
            </w:r>
          </w:p>
        </w:tc>
      </w:tr>
    </w:tbl>
    <w:p>
      <w:pPr>
        <w:spacing w:after="120" w:line="276"/>
      </w:pPr>
      <w:r>
        <w:rPr>
          <w:rFonts w:ascii="Arial" w:cs="Arial" w:eastAsia="Arial" w:hAnsi="Arial"/>
          <w:sz w:val="21"/>
          <w:szCs w:val="21"/>
        </w:rPr>
        <w:t xml:space="preserve"/>
      </w:r>
    </w:p>
    <w:p>
      <w:pPr>
        <w:spacing w:after="90" w:line="264"/>
      </w:pPr>
      <w:r>
        <w:rPr>
          <w:rFonts w:ascii="Arial" w:cs="Arial" w:eastAsia="Arial" w:hAnsi="Arial"/>
          <w:b/>
          <w:bCs/>
          <w:color w:val="375623"/>
          <w:sz w:val="20"/>
          <w:szCs w:val="20"/>
        </w:rPr>
        <w:t xml:space="preserve">[HECHO] </w:t>
      </w:r>
      <w:r>
        <w:rPr>
          <w:rFonts w:ascii="Arial" w:cs="Arial" w:eastAsia="Arial" w:hAnsi="Arial"/>
          <w:sz w:val="21"/>
          <w:szCs w:val="21"/>
        </w:rPr>
        <w:t xml:space="preserve">9 de los 13 casos de prioridad ALTA/MEDIA con volumen suficiente pertenecen o reportan de forma cruzada al Team Lead Fernanda Mendez o comparten manager con su equipo, lo que sugiere un patrón de equipo y no solo de ejecutivos individuales.</w:t>
      </w:r>
    </w:p>
    <w:p>
      <w:pPr>
        <w:sectPr>
          <w:headerReference w:type="default" r:id="rId9"/>
          <w:footerReference w:type="default" r:id="rId10"/>
          <w:pgSz w:w="15840" w:h="12240" w:orient="landscape"/>
          <w:pgMar w:top="900" w:right="700" w:bottom="900" w:left="700" w:header="708" w:footer="708" w:gutter="0"/>
          <w:pgNumType/>
          <w:docGrid w:linePitch="360"/>
        </w:sectPr>
      </w:pPr>
    </w:p>
    <w:p>
      <w:pPr>
        <w:pStyle w:val="Heading1"/>
        <w:pBdr>
          <w:bottom w:val="single" w:color="1F3864" w:sz="8" w:space="4"/>
        </w:pBdr>
        <w:spacing w:after="160" w:before="360"/>
      </w:pPr>
      <w:r>
        <w:rPr>
          <w:rFonts w:ascii="Arial" w:cs="Arial" w:eastAsia="Arial" w:hAnsi="Arial"/>
          <w:b/>
          <w:bCs/>
          <w:color w:val="1F3864"/>
          <w:sz w:val="30"/>
          <w:szCs w:val="30"/>
        </w:rPr>
        <w:t xml:space="preserve">6. Recomendaciones accionables</w:t>
      </w:r>
    </w:p>
    <w:p>
      <w:pPr>
        <w:spacing w:after="80" w:before="180"/>
      </w:pPr>
      <w:r>
        <w:rPr>
          <w:rFonts w:ascii="Arial" w:cs="Arial" w:eastAsia="Arial" w:hAnsi="Arial"/>
          <w:b/>
          <w:bCs/>
          <w:color w:val="595959"/>
          <w:sz w:val="21"/>
          <w:szCs w:val="21"/>
        </w:rPr>
        <w:t xml:space="preserve">Recomendación 1</w:t>
      </w:r>
    </w:p>
    <w:p>
      <w:pPr>
        <w:pStyle w:val="ListParagraph"/>
        <w:numPr>
          <w:ilvl w:val="0"/>
          <w:numId w:val="1"/>
        </w:numPr>
        <w:spacing w:after="60" w:line="264"/>
      </w:pPr>
      <w:r>
        <w:rPr>
          <w:rFonts w:ascii="Arial" w:cs="Arial" w:eastAsia="Arial" w:hAnsi="Arial"/>
          <w:b/>
          <w:bCs/>
          <w:sz w:val="21"/>
          <w:szCs w:val="21"/>
        </w:rPr>
        <w:t xml:space="preserve">Hallazgo: </w:t>
      </w:r>
      <w:r>
        <w:rPr>
          <w:rFonts w:ascii="Arial" w:cs="Arial" w:eastAsia="Arial" w:hAnsi="Arial"/>
          <w:sz w:val="21"/>
          <w:szCs w:val="21"/>
        </w:rPr>
        <w:t xml:space="preserve">960 cierres (53,13% de los 1.807 del periodo) están marcados con cita no realizada, concentrados de forma desproporcionada en el equipo de Fernanda Mendez (172 casos, 17,9% del total, con solo 16,5% del volumen del canal).</w:t>
      </w:r>
    </w:p>
    <w:p>
      <w:pPr>
        <w:pStyle w:val="ListParagraph"/>
        <w:numPr>
          <w:ilvl w:val="0"/>
          <w:numId w:val="1"/>
        </w:numPr>
        <w:spacing w:after="60" w:line="264"/>
      </w:pPr>
      <w:r>
        <w:rPr>
          <w:rFonts w:ascii="Arial" w:cs="Arial" w:eastAsia="Arial" w:hAnsi="Arial"/>
          <w:b/>
          <w:bCs/>
          <w:sz w:val="21"/>
          <w:szCs w:val="21"/>
        </w:rPr>
        <w:t xml:space="preserve">Acción: </w:t>
      </w:r>
      <w:r>
        <w:rPr>
          <w:rFonts w:ascii="Arial" w:cs="Arial" w:eastAsia="Arial" w:hAnsi="Arial"/>
          <w:sz w:val="21"/>
          <w:szCs w:val="21"/>
        </w:rPr>
        <w:t xml:space="preserve">Auditar y corregir la lógica que permite registrar un “Cierre” sin marcar la cita de origen como realizada, antes de usar esta métrica para evaluar desempeño o compensación.</w:t>
      </w:r>
    </w:p>
    <w:p>
      <w:pPr>
        <w:pStyle w:val="ListParagraph"/>
        <w:numPr>
          <w:ilvl w:val="0"/>
          <w:numId w:val="1"/>
        </w:numPr>
        <w:spacing w:after="60" w:line="264"/>
      </w:pPr>
      <w:r>
        <w:rPr>
          <w:rFonts w:ascii="Arial" w:cs="Arial" w:eastAsia="Arial" w:hAnsi="Arial"/>
          <w:b/>
          <w:bCs/>
          <w:sz w:val="21"/>
          <w:szCs w:val="21"/>
        </w:rPr>
        <w:t xml:space="preserve">Responsable sugerido: </w:t>
      </w:r>
      <w:r>
        <w:rPr>
          <w:rFonts w:ascii="Arial" w:cs="Arial" w:eastAsia="Arial" w:hAnsi="Arial"/>
          <w:sz w:val="21"/>
          <w:szCs w:val="21"/>
        </w:rPr>
        <w:t xml:space="preserve">Equipo de datos/automatización, con acompañamiento del Team Lead Fernanda Mendez</w:t>
      </w:r>
    </w:p>
    <w:p>
      <w:pPr>
        <w:pStyle w:val="ListParagraph"/>
        <w:numPr>
          <w:ilvl w:val="0"/>
          <w:numId w:val="1"/>
        </w:numPr>
        <w:spacing w:after="60" w:line="264"/>
      </w:pPr>
      <w:r>
        <w:rPr>
          <w:rFonts w:ascii="Arial" w:cs="Arial" w:eastAsia="Arial" w:hAnsi="Arial"/>
          <w:b/>
          <w:bCs/>
          <w:sz w:val="21"/>
          <w:szCs w:val="21"/>
        </w:rPr>
        <w:t xml:space="preserve">Prioridad: </w:t>
      </w:r>
      <w:r>
        <w:rPr>
          <w:rFonts w:ascii="Arial" w:cs="Arial" w:eastAsia="Arial" w:hAnsi="Arial"/>
          <w:sz w:val="21"/>
          <w:szCs w:val="21"/>
        </w:rPr>
        <w:t xml:space="preserve">Alta</w:t>
      </w:r>
    </w:p>
    <w:p>
      <w:pPr>
        <w:pStyle w:val="ListParagraph"/>
        <w:numPr>
          <w:ilvl w:val="0"/>
          <w:numId w:val="1"/>
        </w:numPr>
        <w:spacing w:after="60" w:line="264"/>
      </w:pPr>
      <w:r>
        <w:rPr>
          <w:rFonts w:ascii="Arial" w:cs="Arial" w:eastAsia="Arial" w:hAnsi="Arial"/>
          <w:b/>
          <w:bCs/>
          <w:sz w:val="21"/>
          <w:szCs w:val="21"/>
        </w:rPr>
        <w:t xml:space="preserve">Indicador de seguimiento: </w:t>
      </w:r>
      <w:r>
        <w:rPr>
          <w:rFonts w:ascii="Arial" w:cs="Arial" w:eastAsia="Arial" w:hAnsi="Arial"/>
          <w:sz w:val="21"/>
          <w:szCs w:val="21"/>
        </w:rPr>
        <w:t xml:space="preserve">% de cierres con cita_realizada = True (meta sugerida: superior a 95%)</w:t>
      </w:r>
    </w:p>
    <w:p>
      <w:pPr>
        <w:pStyle w:val="ListParagraph"/>
        <w:numPr>
          <w:ilvl w:val="0"/>
          <w:numId w:val="1"/>
        </w:numPr>
        <w:spacing w:after="60" w:line="264"/>
      </w:pPr>
      <w:r>
        <w:rPr>
          <w:rFonts w:ascii="Arial" w:cs="Arial" w:eastAsia="Arial" w:hAnsi="Arial"/>
          <w:b/>
          <w:bCs/>
          <w:sz w:val="21"/>
          <w:szCs w:val="21"/>
        </w:rPr>
        <w:t xml:space="preserve">Plazo sugerido: </w:t>
      </w:r>
      <w:r>
        <w:rPr>
          <w:rFonts w:ascii="Arial" w:cs="Arial" w:eastAsia="Arial" w:hAnsi="Arial"/>
          <w:sz w:val="21"/>
          <w:szCs w:val="21"/>
        </w:rPr>
        <w:t xml:space="preserve">2 semanas</w:t>
      </w:r>
    </w:p>
    <w:p>
      <w:pPr>
        <w:spacing w:after="80" w:before="180"/>
      </w:pPr>
      <w:r>
        <w:rPr>
          <w:rFonts w:ascii="Arial" w:cs="Arial" w:eastAsia="Arial" w:hAnsi="Arial"/>
          <w:b/>
          <w:bCs/>
          <w:color w:val="595959"/>
          <w:sz w:val="21"/>
          <w:szCs w:val="21"/>
        </w:rPr>
        <w:t xml:space="preserve">Recomendación 2</w:t>
      </w:r>
    </w:p>
    <w:p>
      <w:pPr>
        <w:pStyle w:val="ListParagraph"/>
        <w:numPr>
          <w:ilvl w:val="0"/>
          <w:numId w:val="1"/>
        </w:numPr>
        <w:spacing w:after="60" w:line="264"/>
      </w:pPr>
      <w:r>
        <w:rPr>
          <w:rFonts w:ascii="Arial" w:cs="Arial" w:eastAsia="Arial" w:hAnsi="Arial"/>
          <w:b/>
          <w:bCs/>
          <w:sz w:val="21"/>
          <w:szCs w:val="21"/>
        </w:rPr>
        <w:t xml:space="preserve">Hallazgo: </w:t>
      </w:r>
      <w:r>
        <w:rPr>
          <w:rFonts w:ascii="Arial" w:cs="Arial" w:eastAsia="Arial" w:hAnsi="Arial"/>
          <w:sz w:val="21"/>
          <w:szCs w:val="21"/>
        </w:rPr>
        <w:t xml:space="preserve">La pestaña Gestion_Canales está vacía y 2.379 citas (59,90%) no tienen canal identificado, incluyendo 215 cierres sin canal ni TPV atribuido.</w:t>
      </w:r>
    </w:p>
    <w:p>
      <w:pPr>
        <w:pStyle w:val="ListParagraph"/>
        <w:numPr>
          <w:ilvl w:val="0"/>
          <w:numId w:val="1"/>
        </w:numPr>
        <w:spacing w:after="60" w:line="264"/>
      </w:pPr>
      <w:r>
        <w:rPr>
          <w:rFonts w:ascii="Arial" w:cs="Arial" w:eastAsia="Arial" w:hAnsi="Arial"/>
          <w:b/>
          <w:bCs/>
          <w:sz w:val="21"/>
          <w:szCs w:val="21"/>
        </w:rPr>
        <w:t xml:space="preserve">Acción: </w:t>
      </w:r>
      <w:r>
        <w:rPr>
          <w:rFonts w:ascii="Arial" w:cs="Arial" w:eastAsia="Arial" w:hAnsi="Arial"/>
          <w:sz w:val="21"/>
          <w:szCs w:val="21"/>
        </w:rPr>
        <w:t xml:space="preserve">Reconstruir la agregación por canal en el ETL y hacer obligatorio el campo canal en el origen del dato.</w:t>
      </w:r>
    </w:p>
    <w:p>
      <w:pPr>
        <w:pStyle w:val="ListParagraph"/>
        <w:numPr>
          <w:ilvl w:val="0"/>
          <w:numId w:val="1"/>
        </w:numPr>
        <w:spacing w:after="60" w:line="264"/>
      </w:pPr>
      <w:r>
        <w:rPr>
          <w:rFonts w:ascii="Arial" w:cs="Arial" w:eastAsia="Arial" w:hAnsi="Arial"/>
          <w:b/>
          <w:bCs/>
          <w:sz w:val="21"/>
          <w:szCs w:val="21"/>
        </w:rPr>
        <w:t xml:space="preserve">Responsable sugerido: </w:t>
      </w:r>
      <w:r>
        <w:rPr>
          <w:rFonts w:ascii="Arial" w:cs="Arial" w:eastAsia="Arial" w:hAnsi="Arial"/>
          <w:sz w:val="21"/>
          <w:szCs w:val="21"/>
        </w:rPr>
        <w:t xml:space="preserve">Equipo de datos/automatización</w:t>
      </w:r>
    </w:p>
    <w:p>
      <w:pPr>
        <w:pStyle w:val="ListParagraph"/>
        <w:numPr>
          <w:ilvl w:val="0"/>
          <w:numId w:val="1"/>
        </w:numPr>
        <w:spacing w:after="60" w:line="264"/>
      </w:pPr>
      <w:r>
        <w:rPr>
          <w:rFonts w:ascii="Arial" w:cs="Arial" w:eastAsia="Arial" w:hAnsi="Arial"/>
          <w:b/>
          <w:bCs/>
          <w:sz w:val="21"/>
          <w:szCs w:val="21"/>
        </w:rPr>
        <w:t xml:space="preserve">Prioridad: </w:t>
      </w:r>
      <w:r>
        <w:rPr>
          <w:rFonts w:ascii="Arial" w:cs="Arial" w:eastAsia="Arial" w:hAnsi="Arial"/>
          <w:sz w:val="21"/>
          <w:szCs w:val="21"/>
        </w:rPr>
        <w:t xml:space="preserve">Alta</w:t>
      </w:r>
    </w:p>
    <w:p>
      <w:pPr>
        <w:pStyle w:val="ListParagraph"/>
        <w:numPr>
          <w:ilvl w:val="0"/>
          <w:numId w:val="1"/>
        </w:numPr>
        <w:spacing w:after="60" w:line="264"/>
      </w:pPr>
      <w:r>
        <w:rPr>
          <w:rFonts w:ascii="Arial" w:cs="Arial" w:eastAsia="Arial" w:hAnsi="Arial"/>
          <w:b/>
          <w:bCs/>
          <w:sz w:val="21"/>
          <w:szCs w:val="21"/>
        </w:rPr>
        <w:t xml:space="preserve">Indicador de seguimiento: </w:t>
      </w:r>
      <w:r>
        <w:rPr>
          <w:rFonts w:ascii="Arial" w:cs="Arial" w:eastAsia="Arial" w:hAnsi="Arial"/>
          <w:sz w:val="21"/>
          <w:szCs w:val="21"/>
        </w:rPr>
        <w:t xml:space="preserve">% de citas con canal identificado (meta sugerida: superior a 95%)</w:t>
      </w:r>
    </w:p>
    <w:p>
      <w:pPr>
        <w:pStyle w:val="ListParagraph"/>
        <w:numPr>
          <w:ilvl w:val="0"/>
          <w:numId w:val="1"/>
        </w:numPr>
        <w:spacing w:after="60" w:line="264"/>
      </w:pPr>
      <w:r>
        <w:rPr>
          <w:rFonts w:ascii="Arial" w:cs="Arial" w:eastAsia="Arial" w:hAnsi="Arial"/>
          <w:b/>
          <w:bCs/>
          <w:sz w:val="21"/>
          <w:szCs w:val="21"/>
        </w:rPr>
        <w:t xml:space="preserve">Plazo sugerido: </w:t>
      </w:r>
      <w:r>
        <w:rPr>
          <w:rFonts w:ascii="Arial" w:cs="Arial" w:eastAsia="Arial" w:hAnsi="Arial"/>
          <w:sz w:val="21"/>
          <w:szCs w:val="21"/>
        </w:rPr>
        <w:t xml:space="preserve">3 semanas</w:t>
      </w:r>
    </w:p>
    <w:p>
      <w:pPr>
        <w:spacing w:after="80" w:before="180"/>
      </w:pPr>
      <w:r>
        <w:rPr>
          <w:rFonts w:ascii="Arial" w:cs="Arial" w:eastAsia="Arial" w:hAnsi="Arial"/>
          <w:b/>
          <w:bCs/>
          <w:color w:val="595959"/>
          <w:sz w:val="21"/>
          <w:szCs w:val="21"/>
        </w:rPr>
        <w:t xml:space="preserve">Recomendación 3</w:t>
      </w:r>
    </w:p>
    <w:p>
      <w:pPr>
        <w:pStyle w:val="ListParagraph"/>
        <w:numPr>
          <w:ilvl w:val="0"/>
          <w:numId w:val="1"/>
        </w:numPr>
        <w:spacing w:after="60" w:line="264"/>
      </w:pPr>
      <w:r>
        <w:rPr>
          <w:rFonts w:ascii="Arial" w:cs="Arial" w:eastAsia="Arial" w:hAnsi="Arial"/>
          <w:b/>
          <w:bCs/>
          <w:sz w:val="21"/>
          <w:szCs w:val="21"/>
        </w:rPr>
        <w:t xml:space="preserve">Hallazgo: </w:t>
      </w:r>
      <w:r>
        <w:rPr>
          <w:rFonts w:ascii="Arial" w:cs="Arial" w:eastAsia="Arial" w:hAnsi="Arial"/>
          <w:sz w:val="21"/>
          <w:szCs w:val="21"/>
        </w:rPr>
        <w:t xml:space="preserve">La tabla de alertas de comercios (alertas_comercios) calcula “días sin transar” usando el campo “Día Última Act OP”, lo que contradice la regla de no usar ese campo como fecha de transacción; además sus fechas están fechadas alrededor de un año antes del corte del archivo y ningún comercio de esa tabla coincide con la cohorte de citas del periodo analizado.</w:t>
      </w:r>
    </w:p>
    <w:p>
      <w:pPr>
        <w:pStyle w:val="ListParagraph"/>
        <w:numPr>
          <w:ilvl w:val="0"/>
          <w:numId w:val="1"/>
        </w:numPr>
        <w:spacing w:after="60" w:line="264"/>
      </w:pPr>
      <w:r>
        <w:rPr>
          <w:rFonts w:ascii="Arial" w:cs="Arial" w:eastAsia="Arial" w:hAnsi="Arial"/>
          <w:b/>
          <w:bCs/>
          <w:sz w:val="21"/>
          <w:szCs w:val="21"/>
        </w:rPr>
        <w:t xml:space="preserve">Acción: </w:t>
      </w:r>
      <w:r>
        <w:rPr>
          <w:rFonts w:ascii="Arial" w:cs="Arial" w:eastAsia="Arial" w:hAnsi="Arial"/>
          <w:sz w:val="21"/>
          <w:szCs w:val="21"/>
        </w:rPr>
        <w:t xml:space="preserve">Reconstruir el módulo de alertas usando una fecha de transacción confiable (hoy disponible en solo 41,27% de los registros) y validar el año de referencia de la fuente antes de reactivarlo como alerta operativa.</w:t>
      </w:r>
    </w:p>
    <w:p>
      <w:pPr>
        <w:pStyle w:val="ListParagraph"/>
        <w:numPr>
          <w:ilvl w:val="0"/>
          <w:numId w:val="1"/>
        </w:numPr>
        <w:spacing w:after="60" w:line="264"/>
      </w:pPr>
      <w:r>
        <w:rPr>
          <w:rFonts w:ascii="Arial" w:cs="Arial" w:eastAsia="Arial" w:hAnsi="Arial"/>
          <w:b/>
          <w:bCs/>
          <w:sz w:val="21"/>
          <w:szCs w:val="21"/>
        </w:rPr>
        <w:t xml:space="preserve">Responsable sugerido: </w:t>
      </w:r>
      <w:r>
        <w:rPr>
          <w:rFonts w:ascii="Arial" w:cs="Arial" w:eastAsia="Arial" w:hAnsi="Arial"/>
          <w:sz w:val="21"/>
          <w:szCs w:val="21"/>
        </w:rPr>
        <w:t xml:space="preserve">Equipo de datos/automatización</w:t>
      </w:r>
    </w:p>
    <w:p>
      <w:pPr>
        <w:pStyle w:val="ListParagraph"/>
        <w:numPr>
          <w:ilvl w:val="0"/>
          <w:numId w:val="1"/>
        </w:numPr>
        <w:spacing w:after="60" w:line="264"/>
      </w:pPr>
      <w:r>
        <w:rPr>
          <w:rFonts w:ascii="Arial" w:cs="Arial" w:eastAsia="Arial" w:hAnsi="Arial"/>
          <w:b/>
          <w:bCs/>
          <w:sz w:val="21"/>
          <w:szCs w:val="21"/>
        </w:rPr>
        <w:t xml:space="preserve">Prioridad: </w:t>
      </w:r>
      <w:r>
        <w:rPr>
          <w:rFonts w:ascii="Arial" w:cs="Arial" w:eastAsia="Arial" w:hAnsi="Arial"/>
          <w:sz w:val="21"/>
          <w:szCs w:val="21"/>
        </w:rPr>
        <w:t xml:space="preserve">Alta</w:t>
      </w:r>
    </w:p>
    <w:p>
      <w:pPr>
        <w:pStyle w:val="ListParagraph"/>
        <w:numPr>
          <w:ilvl w:val="0"/>
          <w:numId w:val="1"/>
        </w:numPr>
        <w:spacing w:after="60" w:line="264"/>
      </w:pPr>
      <w:r>
        <w:rPr>
          <w:rFonts w:ascii="Arial" w:cs="Arial" w:eastAsia="Arial" w:hAnsi="Arial"/>
          <w:b/>
          <w:bCs/>
          <w:sz w:val="21"/>
          <w:szCs w:val="21"/>
        </w:rPr>
        <w:t xml:space="preserve">Indicador de seguimiento: </w:t>
      </w:r>
      <w:r>
        <w:rPr>
          <w:rFonts w:ascii="Arial" w:cs="Arial" w:eastAsia="Arial" w:hAnsi="Arial"/>
          <w:sz w:val="21"/>
          <w:szCs w:val="21"/>
        </w:rPr>
        <w:t xml:space="preserve">N.º de alertas generadas con fecha de transacción validada</w:t>
      </w:r>
    </w:p>
    <w:p>
      <w:pPr>
        <w:pStyle w:val="ListParagraph"/>
        <w:numPr>
          <w:ilvl w:val="0"/>
          <w:numId w:val="1"/>
        </w:numPr>
        <w:spacing w:after="60" w:line="264"/>
      </w:pPr>
      <w:r>
        <w:rPr>
          <w:rFonts w:ascii="Arial" w:cs="Arial" w:eastAsia="Arial" w:hAnsi="Arial"/>
          <w:b/>
          <w:bCs/>
          <w:sz w:val="21"/>
          <w:szCs w:val="21"/>
        </w:rPr>
        <w:t xml:space="preserve">Plazo sugerido: </w:t>
      </w:r>
      <w:r>
        <w:rPr>
          <w:rFonts w:ascii="Arial" w:cs="Arial" w:eastAsia="Arial" w:hAnsi="Arial"/>
          <w:sz w:val="21"/>
          <w:szCs w:val="21"/>
        </w:rPr>
        <w:t xml:space="preserve">3 semanas</w:t>
      </w:r>
    </w:p>
    <w:p>
      <w:pPr>
        <w:spacing w:after="80" w:before="180"/>
      </w:pPr>
      <w:r>
        <w:rPr>
          <w:rFonts w:ascii="Arial" w:cs="Arial" w:eastAsia="Arial" w:hAnsi="Arial"/>
          <w:b/>
          <w:bCs/>
          <w:color w:val="595959"/>
          <w:sz w:val="21"/>
          <w:szCs w:val="21"/>
        </w:rPr>
        <w:t xml:space="preserve">Recomendación 4</w:t>
      </w:r>
    </w:p>
    <w:p>
      <w:pPr>
        <w:pStyle w:val="ListParagraph"/>
        <w:numPr>
          <w:ilvl w:val="0"/>
          <w:numId w:val="1"/>
        </w:numPr>
        <w:spacing w:after="60" w:line="264"/>
      </w:pPr>
      <w:r>
        <w:rPr>
          <w:rFonts w:ascii="Arial" w:cs="Arial" w:eastAsia="Arial" w:hAnsi="Arial"/>
          <w:b/>
          <w:bCs/>
          <w:sz w:val="21"/>
          <w:szCs w:val="21"/>
        </w:rPr>
        <w:t xml:space="preserve">Hallazgo: </w:t>
      </w:r>
      <w:r>
        <w:rPr>
          <w:rFonts w:ascii="Arial" w:cs="Arial" w:eastAsia="Arial" w:hAnsi="Arial"/>
          <w:sz w:val="21"/>
          <w:szCs w:val="21"/>
        </w:rPr>
        <w:t xml:space="preserve">La tasa de realización cayó de 43,10% a 6,10% en las últimas cinco semanas completas del periodo, coincidiendo con la fecha de procesamiento del archivo.</w:t>
      </w:r>
    </w:p>
    <w:p>
      <w:pPr>
        <w:pStyle w:val="ListParagraph"/>
        <w:numPr>
          <w:ilvl w:val="0"/>
          <w:numId w:val="1"/>
        </w:numPr>
        <w:spacing w:after="60" w:line="264"/>
      </w:pPr>
      <w:r>
        <w:rPr>
          <w:rFonts w:ascii="Arial" w:cs="Arial" w:eastAsia="Arial" w:hAnsi="Arial"/>
          <w:b/>
          <w:bCs/>
          <w:sz w:val="21"/>
          <w:szCs w:val="21"/>
        </w:rPr>
        <w:t xml:space="preserve">Acción: </w:t>
      </w:r>
      <w:r>
        <w:rPr>
          <w:rFonts w:ascii="Arial" w:cs="Arial" w:eastAsia="Arial" w:hAnsi="Arial"/>
          <w:sz w:val="21"/>
          <w:szCs w:val="21"/>
        </w:rPr>
        <w:t xml:space="preserve">Validar con los Team Leads si es una caída real de ejecución o un rezago de actualización del estado de la cita en el sistema de origen, antes de tomar decisiones sobre el equipo.</w:t>
      </w:r>
    </w:p>
    <w:p>
      <w:pPr>
        <w:pStyle w:val="ListParagraph"/>
        <w:numPr>
          <w:ilvl w:val="0"/>
          <w:numId w:val="1"/>
        </w:numPr>
        <w:spacing w:after="60" w:line="264"/>
      </w:pPr>
      <w:r>
        <w:rPr>
          <w:rFonts w:ascii="Arial" w:cs="Arial" w:eastAsia="Arial" w:hAnsi="Arial"/>
          <w:b/>
          <w:bCs/>
          <w:sz w:val="21"/>
          <w:szCs w:val="21"/>
        </w:rPr>
        <w:t xml:space="preserve">Responsable sugerido: </w:t>
      </w:r>
      <w:r>
        <w:rPr>
          <w:rFonts w:ascii="Arial" w:cs="Arial" w:eastAsia="Arial" w:hAnsi="Arial"/>
          <w:sz w:val="21"/>
          <w:szCs w:val="21"/>
        </w:rPr>
        <w:t xml:space="preserve">Manager SDR y Team Leads</w:t>
      </w:r>
    </w:p>
    <w:p>
      <w:pPr>
        <w:pStyle w:val="ListParagraph"/>
        <w:numPr>
          <w:ilvl w:val="0"/>
          <w:numId w:val="1"/>
        </w:numPr>
        <w:spacing w:after="60" w:line="264"/>
      </w:pPr>
      <w:r>
        <w:rPr>
          <w:rFonts w:ascii="Arial" w:cs="Arial" w:eastAsia="Arial" w:hAnsi="Arial"/>
          <w:b/>
          <w:bCs/>
          <w:sz w:val="21"/>
          <w:szCs w:val="21"/>
        </w:rPr>
        <w:t xml:space="preserve">Prioridad: </w:t>
      </w:r>
      <w:r>
        <w:rPr>
          <w:rFonts w:ascii="Arial" w:cs="Arial" w:eastAsia="Arial" w:hAnsi="Arial"/>
          <w:sz w:val="21"/>
          <w:szCs w:val="21"/>
        </w:rPr>
        <w:t xml:space="preserve">Alta</w:t>
      </w:r>
    </w:p>
    <w:p>
      <w:pPr>
        <w:pStyle w:val="ListParagraph"/>
        <w:numPr>
          <w:ilvl w:val="0"/>
          <w:numId w:val="1"/>
        </w:numPr>
        <w:spacing w:after="60" w:line="264"/>
      </w:pPr>
      <w:r>
        <w:rPr>
          <w:rFonts w:ascii="Arial" w:cs="Arial" w:eastAsia="Arial" w:hAnsi="Arial"/>
          <w:b/>
          <w:bCs/>
          <w:sz w:val="21"/>
          <w:szCs w:val="21"/>
        </w:rPr>
        <w:t xml:space="preserve">Indicador de seguimiento: </w:t>
      </w:r>
      <w:r>
        <w:rPr>
          <w:rFonts w:ascii="Arial" w:cs="Arial" w:eastAsia="Arial" w:hAnsi="Arial"/>
          <w:sz w:val="21"/>
          <w:szCs w:val="21"/>
        </w:rPr>
        <w:t xml:space="preserve">Tasa de realización de las semanas del 14/09 y 21/09 recalculada tras la validación</w:t>
      </w:r>
    </w:p>
    <w:p>
      <w:pPr>
        <w:pStyle w:val="ListParagraph"/>
        <w:numPr>
          <w:ilvl w:val="0"/>
          <w:numId w:val="1"/>
        </w:numPr>
        <w:spacing w:after="60" w:line="264"/>
      </w:pPr>
      <w:r>
        <w:rPr>
          <w:rFonts w:ascii="Arial" w:cs="Arial" w:eastAsia="Arial" w:hAnsi="Arial"/>
          <w:b/>
          <w:bCs/>
          <w:sz w:val="21"/>
          <w:szCs w:val="21"/>
        </w:rPr>
        <w:t xml:space="preserve">Plazo sugerido: </w:t>
      </w:r>
      <w:r>
        <w:rPr>
          <w:rFonts w:ascii="Arial" w:cs="Arial" w:eastAsia="Arial" w:hAnsi="Arial"/>
          <w:sz w:val="21"/>
          <w:szCs w:val="21"/>
        </w:rPr>
        <w:t xml:space="preserve">1 semana</w:t>
      </w:r>
    </w:p>
    <w:p>
      <w:pPr>
        <w:spacing w:after="80" w:before="180"/>
      </w:pPr>
      <w:r>
        <w:rPr>
          <w:rFonts w:ascii="Arial" w:cs="Arial" w:eastAsia="Arial" w:hAnsi="Arial"/>
          <w:b/>
          <w:bCs/>
          <w:color w:val="595959"/>
          <w:sz w:val="21"/>
          <w:szCs w:val="21"/>
        </w:rPr>
        <w:t xml:space="preserve">Recomendación 5</w:t>
      </w:r>
    </w:p>
    <w:p>
      <w:pPr>
        <w:pStyle w:val="ListParagraph"/>
        <w:numPr>
          <w:ilvl w:val="0"/>
          <w:numId w:val="1"/>
        </w:numPr>
        <w:spacing w:after="60" w:line="264"/>
      </w:pPr>
      <w:r>
        <w:rPr>
          <w:rFonts w:ascii="Arial" w:cs="Arial" w:eastAsia="Arial" w:hAnsi="Arial"/>
          <w:b/>
          <w:bCs/>
          <w:sz w:val="21"/>
          <w:szCs w:val="21"/>
        </w:rPr>
        <w:t xml:space="preserve">Hallazgo: </w:t>
      </w:r>
      <w:r>
        <w:rPr>
          <w:rFonts w:ascii="Arial" w:cs="Arial" w:eastAsia="Arial" w:hAnsi="Arial"/>
          <w:sz w:val="21"/>
          <w:szCs w:val="21"/>
        </w:rPr>
        <w:t xml:space="preserve">521 citas de la población analizada (13,1%) no tienen coincidencia de ID de evento en la pestaña fuente, y 6 registros no tienen Team Lead asignado (uno con dos correos combinados en un solo campo).</w:t>
      </w:r>
    </w:p>
    <w:p>
      <w:pPr>
        <w:pStyle w:val="ListParagraph"/>
        <w:numPr>
          <w:ilvl w:val="0"/>
          <w:numId w:val="1"/>
        </w:numPr>
        <w:spacing w:after="60" w:line="264"/>
      </w:pPr>
      <w:r>
        <w:rPr>
          <w:rFonts w:ascii="Arial" w:cs="Arial" w:eastAsia="Arial" w:hAnsi="Arial"/>
          <w:b/>
          <w:bCs/>
          <w:sz w:val="21"/>
          <w:szCs w:val="21"/>
        </w:rPr>
        <w:t xml:space="preserve">Acción: </w:t>
      </w:r>
      <w:r>
        <w:rPr>
          <w:rFonts w:ascii="Arial" w:cs="Arial" w:eastAsia="Arial" w:hAnsi="Arial"/>
          <w:sz w:val="21"/>
          <w:szCs w:val="21"/>
        </w:rPr>
        <w:t xml:space="preserve">Cerrar la brecha de trazabilidad entre la fuente y la tabla normalizada, y corregir la captura de Team Lead/ejecutivo en el formulario de origen.</w:t>
      </w:r>
    </w:p>
    <w:p>
      <w:pPr>
        <w:pStyle w:val="ListParagraph"/>
        <w:numPr>
          <w:ilvl w:val="0"/>
          <w:numId w:val="1"/>
        </w:numPr>
        <w:spacing w:after="60" w:line="264"/>
      </w:pPr>
      <w:r>
        <w:rPr>
          <w:rFonts w:ascii="Arial" w:cs="Arial" w:eastAsia="Arial" w:hAnsi="Arial"/>
          <w:b/>
          <w:bCs/>
          <w:sz w:val="21"/>
          <w:szCs w:val="21"/>
        </w:rPr>
        <w:t xml:space="preserve">Responsable sugerido: </w:t>
      </w:r>
      <w:r>
        <w:rPr>
          <w:rFonts w:ascii="Arial" w:cs="Arial" w:eastAsia="Arial" w:hAnsi="Arial"/>
          <w:sz w:val="21"/>
          <w:szCs w:val="21"/>
        </w:rPr>
        <w:t xml:space="preserve">Equipo de datos/automatización</w:t>
      </w:r>
    </w:p>
    <w:p>
      <w:pPr>
        <w:pStyle w:val="ListParagraph"/>
        <w:numPr>
          <w:ilvl w:val="0"/>
          <w:numId w:val="1"/>
        </w:numPr>
        <w:spacing w:after="60" w:line="264"/>
      </w:pPr>
      <w:r>
        <w:rPr>
          <w:rFonts w:ascii="Arial" w:cs="Arial" w:eastAsia="Arial" w:hAnsi="Arial"/>
          <w:b/>
          <w:bCs/>
          <w:sz w:val="21"/>
          <w:szCs w:val="21"/>
        </w:rPr>
        <w:t xml:space="preserve">Prioridad: </w:t>
      </w:r>
      <w:r>
        <w:rPr>
          <w:rFonts w:ascii="Arial" w:cs="Arial" w:eastAsia="Arial" w:hAnsi="Arial"/>
          <w:sz w:val="21"/>
          <w:szCs w:val="21"/>
        </w:rPr>
        <w:t xml:space="preserve">Media</w:t>
      </w:r>
    </w:p>
    <w:p>
      <w:pPr>
        <w:pStyle w:val="ListParagraph"/>
        <w:numPr>
          <w:ilvl w:val="0"/>
          <w:numId w:val="1"/>
        </w:numPr>
        <w:spacing w:after="60" w:line="264"/>
      </w:pPr>
      <w:r>
        <w:rPr>
          <w:rFonts w:ascii="Arial" w:cs="Arial" w:eastAsia="Arial" w:hAnsi="Arial"/>
          <w:b/>
          <w:bCs/>
          <w:sz w:val="21"/>
          <w:szCs w:val="21"/>
        </w:rPr>
        <w:t xml:space="preserve">Indicador de seguimiento: </w:t>
      </w:r>
      <w:r>
        <w:rPr>
          <w:rFonts w:ascii="Arial" w:cs="Arial" w:eastAsia="Arial" w:hAnsi="Arial"/>
          <w:sz w:val="21"/>
          <w:szCs w:val="21"/>
        </w:rPr>
        <w:t xml:space="preserve">% de registros normalizados con ID de evento trazable a la fuente (meta sugerida: 100%)</w:t>
      </w:r>
    </w:p>
    <w:p>
      <w:pPr>
        <w:pStyle w:val="ListParagraph"/>
        <w:numPr>
          <w:ilvl w:val="0"/>
          <w:numId w:val="1"/>
        </w:numPr>
        <w:spacing w:after="60" w:line="264"/>
      </w:pPr>
      <w:r>
        <w:rPr>
          <w:rFonts w:ascii="Arial" w:cs="Arial" w:eastAsia="Arial" w:hAnsi="Arial"/>
          <w:b/>
          <w:bCs/>
          <w:sz w:val="21"/>
          <w:szCs w:val="21"/>
        </w:rPr>
        <w:t xml:space="preserve">Plazo sugerido: </w:t>
      </w:r>
      <w:r>
        <w:rPr>
          <w:rFonts w:ascii="Arial" w:cs="Arial" w:eastAsia="Arial" w:hAnsi="Arial"/>
          <w:sz w:val="21"/>
          <w:szCs w:val="21"/>
        </w:rPr>
        <w:t xml:space="preserve">3 semanas</w:t>
      </w:r>
    </w:p>
    <w:p>
      <w:r>
        <w:br w:type="page"/>
      </w:r>
    </w:p>
    <w:p>
      <w:pPr>
        <w:pStyle w:val="Heading1"/>
        <w:pBdr>
          <w:bottom w:val="single" w:color="1F3864" w:sz="8" w:space="4"/>
        </w:pBdr>
        <w:spacing w:after="160" w:before="360"/>
      </w:pPr>
      <w:r>
        <w:rPr>
          <w:rFonts w:ascii="Arial" w:cs="Arial" w:eastAsia="Arial" w:hAnsi="Arial"/>
          <w:b/>
          <w:bCs/>
          <w:color w:val="1F3864"/>
          <w:sz w:val="30"/>
          <w:szCs w:val="30"/>
        </w:rPr>
        <w:t xml:space="preserve">7. Cierre ejecutivo</w:t>
      </w:r>
    </w:p>
    <w:p>
      <w:pPr>
        <w:spacing w:after="80" w:before="180"/>
      </w:pPr>
      <w:r>
        <w:rPr>
          <w:rFonts w:ascii="Arial" w:cs="Arial" w:eastAsia="Arial" w:hAnsi="Arial"/>
          <w:b/>
          <w:bCs/>
          <w:color w:val="595959"/>
          <w:sz w:val="21"/>
          <w:szCs w:val="21"/>
        </w:rPr>
        <w:t xml:space="preserve">Qué debe hacer la Manager esta semana</w:t>
      </w:r>
    </w:p>
    <w:p>
      <w:pPr>
        <w:pStyle w:val="ListParagraph"/>
        <w:numPr>
          <w:ilvl w:val="0"/>
          <w:numId w:val="1"/>
        </w:numPr>
        <w:spacing w:after="60" w:line="264"/>
      </w:pPr>
      <w:r>
        <w:rPr>
          <w:rFonts w:ascii="Arial" w:cs="Arial" w:eastAsia="Arial" w:hAnsi="Arial"/>
          <w:sz w:val="21"/>
          <w:szCs w:val="21"/>
        </w:rPr>
        <w:t xml:space="preserve">Validar con el Team Lead Fernanda Mendez el estado real de los 172 casos “cierre sin cita realizada” de su equipo y los 40 casos de excepción de alexandra.moreno, antes de reportar los resultados del canal hacia niveles superiores.</w:t>
      </w:r>
    </w:p>
    <w:p>
      <w:pPr>
        <w:pStyle w:val="ListParagraph"/>
        <w:numPr>
          <w:ilvl w:val="0"/>
          <w:numId w:val="1"/>
        </w:numPr>
        <w:spacing w:after="60" w:line="264"/>
      </w:pPr>
      <w:r>
        <w:rPr>
          <w:rFonts w:ascii="Arial" w:cs="Arial" w:eastAsia="Arial" w:hAnsi="Arial"/>
          <w:sz w:val="21"/>
          <w:szCs w:val="21"/>
        </w:rPr>
        <w:t xml:space="preserve">Revisar directamente con santiago.vanegas y su Team Lead por qué 42 citas agendadas no generaron ninguna oportunidad ni cierre, y confirmar el estado de sus 10 pendientes.</w:t>
      </w:r>
    </w:p>
    <w:p>
      <w:pPr>
        <w:spacing w:after="80" w:before="180"/>
      </w:pPr>
      <w:r>
        <w:rPr>
          <w:rFonts w:ascii="Arial" w:cs="Arial" w:eastAsia="Arial" w:hAnsi="Arial"/>
          <w:b/>
          <w:bCs/>
          <w:color w:val="595959"/>
          <w:sz w:val="21"/>
          <w:szCs w:val="21"/>
        </w:rPr>
        <w:t xml:space="preserve">Qué debe revisar con los Team Leads</w:t>
      </w:r>
    </w:p>
    <w:p>
      <w:pPr>
        <w:pStyle w:val="ListParagraph"/>
        <w:numPr>
          <w:ilvl w:val="0"/>
          <w:numId w:val="1"/>
        </w:numPr>
        <w:spacing w:after="60" w:line="264"/>
      </w:pPr>
      <w:r>
        <w:rPr>
          <w:rFonts w:ascii="Arial" w:cs="Arial" w:eastAsia="Arial" w:hAnsi="Arial"/>
          <w:sz w:val="21"/>
          <w:szCs w:val="21"/>
        </w:rPr>
        <w:t xml:space="preserve">Con Fernanda Mendez: la tasa de realización de su equipo (20,34% vs. 39,08% del canal) y la concentración de excepciones (173 casos, 26,45% de sus citas).</w:t>
      </w:r>
    </w:p>
    <w:p>
      <w:pPr>
        <w:pStyle w:val="ListParagraph"/>
        <w:numPr>
          <w:ilvl w:val="0"/>
          <w:numId w:val="1"/>
        </w:numPr>
        <w:spacing w:after="60" w:line="264"/>
      </w:pPr>
      <w:r>
        <w:rPr>
          <w:rFonts w:ascii="Arial" w:cs="Arial" w:eastAsia="Arial" w:hAnsi="Arial"/>
          <w:sz w:val="21"/>
          <w:szCs w:val="21"/>
        </w:rPr>
        <w:t xml:space="preserve">Con Angie Rodriguez y Santiago Vanegas: el backlog de pendientes (12 y 10 respectivamente, los dos más altos del canal).</w:t>
      </w:r>
    </w:p>
    <w:p>
      <w:pPr>
        <w:pStyle w:val="ListParagraph"/>
        <w:numPr>
          <w:ilvl w:val="0"/>
          <w:numId w:val="1"/>
        </w:numPr>
        <w:spacing w:after="60" w:line="264"/>
      </w:pPr>
      <w:r>
        <w:rPr>
          <w:rFonts w:ascii="Arial" w:cs="Arial" w:eastAsia="Arial" w:hAnsi="Arial"/>
          <w:sz w:val="21"/>
          <w:szCs w:val="21"/>
        </w:rPr>
        <w:t xml:space="preserve">Con todos los Team Leads: si las citas de las semanas del 14/09 y 21/09 realmente se ejecutaron o están pendientes de actualización en el sistema de origen, antes de interpretar la caída de la tasa de realización como una caída real de desempeño.</w:t>
      </w:r>
    </w:p>
    <w:p>
      <w:pPr>
        <w:spacing w:after="80" w:before="180"/>
      </w:pPr>
      <w:r>
        <w:rPr>
          <w:rFonts w:ascii="Arial" w:cs="Arial" w:eastAsia="Arial" w:hAnsi="Arial"/>
          <w:b/>
          <w:bCs/>
          <w:color w:val="595959"/>
          <w:sz w:val="21"/>
          <w:szCs w:val="21"/>
        </w:rPr>
        <w:t xml:space="preserve">Qué debe corregirse en el proceso ETL</w:t>
      </w:r>
    </w:p>
    <w:p>
      <w:pPr>
        <w:pStyle w:val="ListParagraph"/>
        <w:numPr>
          <w:ilvl w:val="0"/>
          <w:numId w:val="1"/>
        </w:numPr>
        <w:spacing w:after="60" w:line="264"/>
      </w:pPr>
      <w:r>
        <w:rPr>
          <w:rFonts w:ascii="Arial" w:cs="Arial" w:eastAsia="Arial" w:hAnsi="Arial"/>
          <w:sz w:val="21"/>
          <w:szCs w:val="21"/>
        </w:rPr>
        <w:t xml:space="preserve">La lógica que permite registrar un estado “Cierre” sin que la cita de origen esté marcada como realizada (960 casos).</w:t>
      </w:r>
    </w:p>
    <w:p>
      <w:pPr>
        <w:pStyle w:val="ListParagraph"/>
        <w:numPr>
          <w:ilvl w:val="0"/>
          <w:numId w:val="1"/>
        </w:numPr>
        <w:spacing w:after="60" w:line="264"/>
      </w:pPr>
      <w:r>
        <w:rPr>
          <w:rFonts w:ascii="Arial" w:cs="Arial" w:eastAsia="Arial" w:hAnsi="Arial"/>
          <w:sz w:val="21"/>
          <w:szCs w:val="21"/>
        </w:rPr>
        <w:t xml:space="preserve">El cálculo de “días sin transar” en alertas_comercios, que usa el campo “Día Última Act OP” en contravía de la regla que prohíbe usarlo como fecha de transacción.</w:t>
      </w:r>
    </w:p>
    <w:p>
      <w:pPr>
        <w:pStyle w:val="ListParagraph"/>
        <w:numPr>
          <w:ilvl w:val="0"/>
          <w:numId w:val="1"/>
        </w:numPr>
        <w:spacing w:after="60" w:line="264"/>
      </w:pPr>
      <w:r>
        <w:rPr>
          <w:rFonts w:ascii="Arial" w:cs="Arial" w:eastAsia="Arial" w:hAnsi="Arial"/>
          <w:sz w:val="21"/>
          <w:szCs w:val="21"/>
        </w:rPr>
        <w:t xml:space="preserve">El llenado de la pestaña Gestion_Canales, hoy completamente vacía.</w:t>
      </w:r>
    </w:p>
    <w:p>
      <w:pPr>
        <w:pStyle w:val="ListParagraph"/>
        <w:numPr>
          <w:ilvl w:val="0"/>
          <w:numId w:val="1"/>
        </w:numPr>
        <w:spacing w:after="60" w:line="264"/>
      </w:pPr>
      <w:r>
        <w:rPr>
          <w:rFonts w:ascii="Arial" w:cs="Arial" w:eastAsia="Arial" w:hAnsi="Arial"/>
          <w:sz w:val="21"/>
          <w:szCs w:val="21"/>
        </w:rPr>
        <w:t xml:space="preserve">La trazabilidad de ID de evento entre la pestaña fuente y datos_normalizados (13,1% de la población sin coincidencia).</w:t>
      </w:r>
    </w:p>
    <w:p>
      <w:pPr>
        <w:pStyle w:val="ListParagraph"/>
        <w:numPr>
          <w:ilvl w:val="0"/>
          <w:numId w:val="1"/>
        </w:numPr>
        <w:spacing w:after="60" w:line="264"/>
      </w:pPr>
      <w:r>
        <w:rPr>
          <w:rFonts w:ascii="Arial" w:cs="Arial" w:eastAsia="Arial" w:hAnsi="Arial"/>
          <w:sz w:val="21"/>
          <w:szCs w:val="21"/>
        </w:rPr>
        <w:t xml:space="preserve">La captura del campo Team Lead/ejecutivo en el formulario de origen, incluyendo el caso de dos correos concatenados en un solo campo.</w:t>
      </w:r>
    </w:p>
    <w:p>
      <w:pPr>
        <w:spacing w:after="80" w:before="180"/>
      </w:pPr>
      <w:r>
        <w:rPr>
          <w:rFonts w:ascii="Arial" w:cs="Arial" w:eastAsia="Arial" w:hAnsi="Arial"/>
          <w:b/>
          <w:bCs/>
          <w:color w:val="595959"/>
          <w:sz w:val="21"/>
          <w:szCs w:val="21"/>
        </w:rPr>
        <w:t xml:space="preserve">Qué datos faltan para activar alertas reales</w:t>
      </w:r>
    </w:p>
    <w:p>
      <w:pPr>
        <w:pStyle w:val="ListParagraph"/>
        <w:numPr>
          <w:ilvl w:val="0"/>
          <w:numId w:val="1"/>
        </w:numPr>
        <w:spacing w:after="60" w:line="264"/>
      </w:pPr>
      <w:r>
        <w:rPr>
          <w:rFonts w:ascii="Arial" w:cs="Arial" w:eastAsia="Arial" w:hAnsi="Arial"/>
          <w:sz w:val="21"/>
          <w:szCs w:val="21"/>
        </w:rPr>
        <w:t xml:space="preserve">Una fecha de primera/última transacción confiable: hoy el 58,73% de los registros no la tienen, lo que impide declarar con certeza que un comercio “no ha transado”.</w:t>
      </w:r>
    </w:p>
    <w:p>
      <w:pPr>
        <w:pStyle w:val="ListParagraph"/>
        <w:numPr>
          <w:ilvl w:val="0"/>
          <w:numId w:val="1"/>
        </w:numPr>
        <w:spacing w:after="60" w:line="264"/>
      </w:pPr>
      <w:r>
        <w:rPr>
          <w:rFonts w:ascii="Arial" w:cs="Arial" w:eastAsia="Arial" w:hAnsi="Arial"/>
          <w:sz w:val="21"/>
          <w:szCs w:val="21"/>
        </w:rPr>
        <w:t xml:space="preserve">Un log de ejecuciones del proceso: la pestaña Log_Ejecuciones está vacía, por lo que no es posible auditar cuándo ni cómo se generaron las cifras de este informe.</w:t>
      </w:r>
    </w:p>
    <w:p>
      <w:pPr>
        <w:pStyle w:val="ListParagraph"/>
        <w:numPr>
          <w:ilvl w:val="0"/>
          <w:numId w:val="1"/>
        </w:numPr>
        <w:spacing w:after="60" w:line="264"/>
      </w:pPr>
      <w:r>
        <w:rPr>
          <w:rFonts w:ascii="Arial" w:cs="Arial" w:eastAsia="Arial" w:hAnsi="Arial"/>
          <w:sz w:val="21"/>
          <w:szCs w:val="21"/>
        </w:rPr>
        <w:t xml:space="preserve">Un módulo de configuración documentado: la pestaña Config_Dev está vacía.</w:t>
      </w:r>
    </w:p>
    <w:p>
      <w:pPr>
        <w:pStyle w:val="ListParagraph"/>
        <w:numPr>
          <w:ilvl w:val="0"/>
          <w:numId w:val="1"/>
        </w:numPr>
        <w:spacing w:after="60" w:line="264"/>
      </w:pPr>
      <w:r>
        <w:rPr>
          <w:rFonts w:ascii="Arial" w:cs="Arial" w:eastAsia="Arial" w:hAnsi="Arial"/>
          <w:sz w:val="21"/>
          <w:szCs w:val="21"/>
        </w:rPr>
        <w:t xml:space="preserve">Una pestaña de gestión por canal poblada, que hoy no existe (Gestion_Canales vacía), necesaria para validar el TPV por canal presentado en la sección 4.</w:t>
      </w:r>
    </w:p>
    <w:sectPr>
      <w:headerReference w:type="default" r:id="rId11"/>
      <w:footerReference w:type="default" r:id="rId12"/>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4"/>
        <w:szCs w:val="14"/>
      </w:rPr>
      <w:t xml:space="preserve">Bold – Canal SDR | Informe ejecutivo jun-sep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4"/>
        <w:szCs w:val="14"/>
      </w:rPr>
      <w:t xml:space="preserve">Bold – Canal SDR | Informe ejecutivo jun-sep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4"/>
        <w:szCs w:val="14"/>
      </w:rPr>
      <w:t xml:space="preserve">Bold – Canal SDR | Informe ejecutivo jun-sep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2026-09-28T21:14:41.578Z</dcterms:created>
  <dcterms:modified xsi:type="dcterms:W3CDTF">2026-09-28T21:14:41.588Z</dcterms:modified>
</cp:coreProperties>
</file>

<file path=docProps/custom.xml><?xml version="1.0" encoding="utf-8"?>
<Properties xmlns="http://schemas.openxmlformats.org/officeDocument/2006/custom-properties" xmlns:vt="http://schemas.openxmlformats.org/officeDocument/2006/docPropsVTypes"/>
</file>