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64A56E1"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infection in marine and freshwater fishes caused by some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Pr>
          <w:rFonts w:asciiTheme="majorHAnsi" w:hAnsiTheme="majorHAnsi" w:cstheme="majorHAnsi"/>
          <w:lang w:val="en-US"/>
        </w:rPr>
        <w:t xml:space="preserve">In the </w:t>
      </w:r>
      <w:r w:rsidRPr="00D01CF9">
        <w:rPr>
          <w:rFonts w:asciiTheme="majorHAnsi" w:hAnsiTheme="majorHAnsi" w:cstheme="majorHAnsi"/>
          <w:lang w:val="en-US"/>
        </w:rPr>
        <w:t xml:space="preserve">fish </w:t>
      </w:r>
      <w:r>
        <w:rPr>
          <w:rFonts w:asciiTheme="majorHAnsi" w:hAnsiTheme="majorHAnsi" w:cstheme="majorHAnsi"/>
          <w:lang w:val="en-US"/>
        </w:rPr>
        <w:t xml:space="preserve">host, </w:t>
      </w:r>
      <w:r w:rsidRPr="00D01CF9">
        <w:rPr>
          <w:rFonts w:asciiTheme="majorHAnsi" w:hAnsiTheme="majorHAnsi" w:cstheme="majorHAnsi"/>
          <w:lang w:val="en-US"/>
        </w:rPr>
        <w:t xml:space="preserve">the parasite encysts under the skin, in the fins or the muscles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Because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trematodes </w:t>
      </w:r>
      <w:r>
        <w:rPr>
          <w:rFonts w:asciiTheme="majorHAnsi" w:hAnsiTheme="majorHAnsi" w:cstheme="majorHAnsi"/>
          <w:lang w:val="en-US"/>
        </w:rPr>
        <w:t xml:space="preserve">will be referred </w:t>
      </w:r>
      <w:r w:rsidRPr="00D01CF9">
        <w:rPr>
          <w:rFonts w:asciiTheme="majorHAnsi" w:hAnsiTheme="majorHAnsi" w:cstheme="majorHAnsi"/>
          <w:lang w:val="en-US"/>
        </w:rPr>
        <w:t>as a guild</w:t>
      </w:r>
      <w:r>
        <w:rPr>
          <w:rFonts w:asciiTheme="majorHAnsi" w:hAnsiTheme="majorHAnsi" w:cstheme="majorHAnsi"/>
          <w:lang w:val="en-US"/>
        </w:rPr>
        <w:t xml:space="preserve"> in the context of this study</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77777777" w:rsidR="00CF4537" w:rsidRDefault="00CF4537" w:rsidP="00CF4537">
      <w:pPr>
        <w:rPr>
          <w:rFonts w:asciiTheme="majorHAnsi" w:hAnsiTheme="majorHAnsi" w:cstheme="majorHAnsi"/>
          <w:lang w:val="en-US"/>
        </w:rPr>
      </w:pPr>
    </w:p>
    <w:p w14:paraId="0B784019" w14:textId="565ACDFF" w:rsidR="00CF4537" w:rsidRDefault="00DA2420"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5F9B909A">
                <wp:simplePos x="0" y="0"/>
                <wp:positionH relativeFrom="column">
                  <wp:posOffset>2976245</wp:posOffset>
                </wp:positionH>
                <wp:positionV relativeFrom="paragraph">
                  <wp:posOffset>196850</wp:posOffset>
                </wp:positionV>
                <wp:extent cx="3079115" cy="3639820"/>
                <wp:effectExtent l="0" t="0" r="0" b="5080"/>
                <wp:wrapNone/>
                <wp:docPr id="898358487" name="Zone de texte 2"/>
                <wp:cNvGraphicFramePr/>
                <a:graphic xmlns:a="http://schemas.openxmlformats.org/drawingml/2006/main">
                  <a:graphicData uri="http://schemas.microsoft.com/office/word/2010/wordprocessingShape">
                    <wps:wsp>
                      <wps:cNvSpPr txBox="1"/>
                      <wps:spPr>
                        <a:xfrm>
                          <a:off x="0" y="0"/>
                          <a:ext cx="3079115" cy="3639820"/>
                        </a:xfrm>
                        <a:prstGeom prst="rect">
                          <a:avLst/>
                        </a:prstGeom>
                        <a:solidFill>
                          <a:schemeClr val="lt1"/>
                        </a:solidFill>
                        <a:ln w="6350">
                          <a:noFill/>
                        </a:ln>
                      </wps:spPr>
                      <wps:txbx>
                        <w:txbxContent>
                          <w:p w14:paraId="5FD01F66" w14:textId="77777777" w:rsidR="00CF4537" w:rsidRPr="004A03AA" w:rsidRDefault="00CF4537" w:rsidP="00CF4537">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4E516CB6" w14:textId="77777777" w:rsidR="00CF4537" w:rsidRPr="004A03AA" w:rsidRDefault="00CF4537" w:rsidP="00CF4537">
                            <w:pPr>
                              <w:spacing w:line="276" w:lineRule="auto"/>
                              <w:jc w:val="both"/>
                              <w:rPr>
                                <w:rFonts w:asciiTheme="majorHAnsi" w:hAnsiTheme="majorHAnsi" w:cstheme="majorHAnsi"/>
                                <w:b/>
                                <w:bCs/>
                                <w:sz w:val="21"/>
                                <w:szCs w:val="21"/>
                                <w:lang w:val="en-US"/>
                              </w:rPr>
                            </w:pPr>
                          </w:p>
                          <w:p w14:paraId="24C46819" w14:textId="2673CC6C" w:rsidR="00CF4537" w:rsidRPr="004A03AA" w:rsidRDefault="00CF4537" w:rsidP="00CF4537">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w:t>
                            </w:r>
                            <w:r w:rsidR="00D7703C">
                              <w:rPr>
                                <w:rFonts w:asciiTheme="majorHAnsi" w:hAnsiTheme="majorHAnsi" w:cstheme="majorHAnsi"/>
                                <w:sz w:val="21"/>
                                <w:szCs w:val="21"/>
                                <w:lang w:val="en-US"/>
                              </w:rPr>
                              <w:t>lifecycle</w:t>
                            </w:r>
                            <w:r w:rsidRPr="004A03AA">
                              <w:rPr>
                                <w:rFonts w:asciiTheme="majorHAnsi" w:hAnsiTheme="majorHAnsi" w:cstheme="majorHAnsi"/>
                                <w:sz w:val="21"/>
                                <w:szCs w:val="21"/>
                                <w:lang w:val="en-US"/>
                              </w:rPr>
                              <w:t xml:space="preserv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metacercariae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 xml:space="preserve">The eggs are released in the water through the bird feces and grow into miracidia (first larval form). </w:t>
                            </w:r>
                            <w:r w:rsidRPr="004A03AA">
                              <w:rPr>
                                <w:rFonts w:asciiTheme="majorHAnsi" w:hAnsiTheme="majorHAnsi" w:cstheme="majorHAnsi"/>
                                <w:b/>
                                <w:bCs/>
                                <w:sz w:val="21"/>
                                <w:szCs w:val="21"/>
                                <w:lang w:val="en-US"/>
                              </w:rPr>
                              <w:t>C.</w:t>
                            </w:r>
                            <w:r w:rsidRPr="004A03AA">
                              <w:rPr>
                                <w:rFonts w:asciiTheme="majorHAnsi" w:hAnsiTheme="majorHAnsi" w:cstheme="majorHAnsi"/>
                                <w:sz w:val="21"/>
                                <w:szCs w:val="21"/>
                                <w:lang w:val="en-US"/>
                              </w:rPr>
                              <w:t xml:space="preserve"> The miracidia infect the first intermediate host, a freshwater snail of </w:t>
                            </w:r>
                            <w:proofErr w:type="spellStart"/>
                            <w:r w:rsidRPr="001C0DA2">
                              <w:rPr>
                                <w:rFonts w:asciiTheme="majorHAnsi" w:hAnsiTheme="majorHAnsi" w:cstheme="majorHAnsi"/>
                                <w:i/>
                                <w:iCs/>
                                <w:sz w:val="21"/>
                                <w:szCs w:val="21"/>
                                <w:lang w:val="en-US"/>
                              </w:rPr>
                              <w:t>Helisoma</w:t>
                            </w:r>
                            <w:proofErr w:type="spellEnd"/>
                            <w:r w:rsidRPr="004A03AA">
                              <w:rPr>
                                <w:rFonts w:asciiTheme="majorHAnsi" w:hAnsiTheme="majorHAnsi" w:cstheme="majorHAnsi"/>
                                <w:sz w:val="21"/>
                                <w:szCs w:val="21"/>
                                <w:lang w:val="en-US"/>
                              </w:rPr>
                              <w:t xml:space="preserve"> or </w:t>
                            </w:r>
                            <w:proofErr w:type="spellStart"/>
                            <w:r w:rsidRPr="001C0DA2">
                              <w:rPr>
                                <w:rFonts w:asciiTheme="majorHAnsi" w:hAnsiTheme="majorHAnsi" w:cstheme="majorHAnsi"/>
                                <w:i/>
                                <w:iCs/>
                                <w:sz w:val="21"/>
                                <w:szCs w:val="21"/>
                                <w:lang w:val="en-US"/>
                              </w:rPr>
                              <w:t>Planorbella</w:t>
                            </w:r>
                            <w:proofErr w:type="spellEnd"/>
                            <w:r w:rsidRPr="004A03AA">
                              <w:rPr>
                                <w:rFonts w:asciiTheme="majorHAnsi" w:hAnsiTheme="majorHAnsi" w:cstheme="majorHAnsi"/>
                                <w:sz w:val="21"/>
                                <w:szCs w:val="21"/>
                                <w:lang w:val="en-US"/>
                              </w:rPr>
                              <w:t xml:space="preserve"> genus. The larvae develop into free-</w:t>
                            </w:r>
                            <w:r>
                              <w:rPr>
                                <w:rFonts w:asciiTheme="majorHAnsi" w:hAnsiTheme="majorHAnsi" w:cstheme="majorHAnsi"/>
                                <w:sz w:val="21"/>
                                <w:szCs w:val="21"/>
                                <w:lang w:val="en-US"/>
                              </w:rPr>
                              <w:t xml:space="preserve">living </w:t>
                            </w:r>
                            <w:r w:rsidRPr="004A03AA">
                              <w:rPr>
                                <w:rFonts w:asciiTheme="majorHAnsi" w:hAnsiTheme="majorHAnsi" w:cstheme="majorHAnsi"/>
                                <w:sz w:val="21"/>
                                <w:szCs w:val="21"/>
                                <w:lang w:val="en-US"/>
                              </w:rPr>
                              <w:t xml:space="preserve">stage cercariae (second larval form) and leave the snail. </w:t>
                            </w:r>
                            <w:r w:rsidRPr="004A03AA">
                              <w:rPr>
                                <w:rFonts w:asciiTheme="majorHAnsi" w:hAnsiTheme="majorHAnsi" w:cstheme="majorHAnsi"/>
                                <w:b/>
                                <w:bCs/>
                                <w:sz w:val="21"/>
                                <w:szCs w:val="21"/>
                                <w:lang w:val="en-US"/>
                              </w:rPr>
                              <w:t>D.</w:t>
                            </w:r>
                            <w:r w:rsidRPr="004A03AA">
                              <w:rPr>
                                <w:rFonts w:asciiTheme="majorHAnsi" w:hAnsiTheme="majorHAnsi" w:cstheme="majorHAnsi"/>
                                <w:sz w:val="21"/>
                                <w:szCs w:val="21"/>
                                <w:lang w:val="en-US"/>
                              </w:rPr>
                              <w:t xml:space="preserve"> The cercariae swim until they encounter a potential fish host. </w:t>
                            </w:r>
                            <w:r w:rsidRPr="004A03AA">
                              <w:rPr>
                                <w:rFonts w:asciiTheme="majorHAnsi" w:hAnsiTheme="majorHAnsi" w:cstheme="majorHAnsi"/>
                                <w:b/>
                                <w:bCs/>
                                <w:sz w:val="21"/>
                                <w:szCs w:val="21"/>
                                <w:lang w:val="en-US"/>
                              </w:rPr>
                              <w:t>E.</w:t>
                            </w:r>
                            <w:r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Pr="004A03AA">
                              <w:rPr>
                                <w:rFonts w:asciiTheme="majorHAnsi" w:hAnsiTheme="majorHAnsi" w:cstheme="majorHAnsi"/>
                                <w:b/>
                                <w:bCs/>
                                <w:sz w:val="21"/>
                                <w:szCs w:val="21"/>
                                <w:lang w:val="en-US"/>
                              </w:rPr>
                              <w:t xml:space="preserve">F. </w:t>
                            </w:r>
                            <w:r w:rsidRPr="004A03AA">
                              <w:rPr>
                                <w:rFonts w:asciiTheme="majorHAnsi" w:hAnsiTheme="majorHAnsi" w:cstheme="majorHAnsi"/>
                                <w:sz w:val="21"/>
                                <w:szCs w:val="21"/>
                                <w:lang w:val="en-US"/>
                              </w:rPr>
                              <w:t xml:space="preserve">The fish is eaten by a definitive host. </w:t>
                            </w:r>
                          </w:p>
                          <w:p w14:paraId="1DDA42BA" w14:textId="77777777" w:rsidR="00CF4537" w:rsidRPr="004A03AA" w:rsidRDefault="00CF4537" w:rsidP="00CF4537">
                            <w:pPr>
                              <w:spacing w:line="276" w:lineRule="auto"/>
                              <w:rPr>
                                <w:rFonts w:asciiTheme="majorHAnsi" w:hAnsiTheme="majorHAnsi" w:cstheme="majorHAnsi"/>
                                <w:sz w:val="21"/>
                                <w:szCs w:val="21"/>
                                <w:lang w:val="en-US"/>
                              </w:rPr>
                            </w:pPr>
                          </w:p>
                          <w:p w14:paraId="593EA386" w14:textId="77777777" w:rsidR="00CF4537" w:rsidRPr="004A03AA" w:rsidRDefault="00CF4537" w:rsidP="00CF4537">
                            <w:pPr>
                              <w:spacing w:line="276" w:lineRule="auto"/>
                              <w:jc w:val="both"/>
                              <w:rPr>
                                <w:rFonts w:asciiTheme="majorHAnsi" w:hAnsiTheme="majorHAnsi" w:cstheme="majorHAnsi"/>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35pt;margin-top:15.5pt;width:242.45pt;height:28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" fillcolor="white [3201]" stroked="f" strokeweight=".5pt">
                <v:textbox>
                  <w:txbxContent>
                    <w:p w14:paraId="5FD01F66" w14:textId="77777777" w:rsidR="00CF4537" w:rsidRPr="004A03AA" w:rsidRDefault="00CF4537" w:rsidP="00CF4537">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4E516CB6" w14:textId="77777777" w:rsidR="00CF4537" w:rsidRPr="004A03AA" w:rsidRDefault="00CF4537" w:rsidP="00CF4537">
                      <w:pPr>
                        <w:spacing w:line="276" w:lineRule="auto"/>
                        <w:jc w:val="both"/>
                        <w:rPr>
                          <w:rFonts w:asciiTheme="majorHAnsi" w:hAnsiTheme="majorHAnsi" w:cstheme="majorHAnsi"/>
                          <w:b/>
                          <w:bCs/>
                          <w:sz w:val="21"/>
                          <w:szCs w:val="21"/>
                          <w:lang w:val="en-US"/>
                        </w:rPr>
                      </w:pPr>
                    </w:p>
                    <w:p w14:paraId="24C46819" w14:textId="2673CC6C" w:rsidR="00CF4537" w:rsidRPr="004A03AA" w:rsidRDefault="00CF4537" w:rsidP="00CF4537">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w:t>
                      </w:r>
                      <w:r w:rsidR="00D7703C">
                        <w:rPr>
                          <w:rFonts w:asciiTheme="majorHAnsi" w:hAnsiTheme="majorHAnsi" w:cstheme="majorHAnsi"/>
                          <w:sz w:val="21"/>
                          <w:szCs w:val="21"/>
                          <w:lang w:val="en-US"/>
                        </w:rPr>
                        <w:t>lifecycle</w:t>
                      </w:r>
                      <w:r w:rsidRPr="004A03AA">
                        <w:rPr>
                          <w:rFonts w:asciiTheme="majorHAnsi" w:hAnsiTheme="majorHAnsi" w:cstheme="majorHAnsi"/>
                          <w:sz w:val="21"/>
                          <w:szCs w:val="21"/>
                          <w:lang w:val="en-US"/>
                        </w:rPr>
                        <w:t xml:space="preserv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metacercariae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 xml:space="preserve">The eggs are released in the water through the bird feces and grow into miracidia (first larval form). </w:t>
                      </w:r>
                      <w:r w:rsidRPr="004A03AA">
                        <w:rPr>
                          <w:rFonts w:asciiTheme="majorHAnsi" w:hAnsiTheme="majorHAnsi" w:cstheme="majorHAnsi"/>
                          <w:b/>
                          <w:bCs/>
                          <w:sz w:val="21"/>
                          <w:szCs w:val="21"/>
                          <w:lang w:val="en-US"/>
                        </w:rPr>
                        <w:t>C.</w:t>
                      </w:r>
                      <w:r w:rsidRPr="004A03AA">
                        <w:rPr>
                          <w:rFonts w:asciiTheme="majorHAnsi" w:hAnsiTheme="majorHAnsi" w:cstheme="majorHAnsi"/>
                          <w:sz w:val="21"/>
                          <w:szCs w:val="21"/>
                          <w:lang w:val="en-US"/>
                        </w:rPr>
                        <w:t xml:space="preserve"> The miracidia infect the first intermediate host, a freshwater snail of </w:t>
                      </w:r>
                      <w:proofErr w:type="spellStart"/>
                      <w:r w:rsidRPr="001C0DA2">
                        <w:rPr>
                          <w:rFonts w:asciiTheme="majorHAnsi" w:hAnsiTheme="majorHAnsi" w:cstheme="majorHAnsi"/>
                          <w:i/>
                          <w:iCs/>
                          <w:sz w:val="21"/>
                          <w:szCs w:val="21"/>
                          <w:lang w:val="en-US"/>
                        </w:rPr>
                        <w:t>Helisoma</w:t>
                      </w:r>
                      <w:proofErr w:type="spellEnd"/>
                      <w:r w:rsidRPr="004A03AA">
                        <w:rPr>
                          <w:rFonts w:asciiTheme="majorHAnsi" w:hAnsiTheme="majorHAnsi" w:cstheme="majorHAnsi"/>
                          <w:sz w:val="21"/>
                          <w:szCs w:val="21"/>
                          <w:lang w:val="en-US"/>
                        </w:rPr>
                        <w:t xml:space="preserve"> or </w:t>
                      </w:r>
                      <w:proofErr w:type="spellStart"/>
                      <w:r w:rsidRPr="001C0DA2">
                        <w:rPr>
                          <w:rFonts w:asciiTheme="majorHAnsi" w:hAnsiTheme="majorHAnsi" w:cstheme="majorHAnsi"/>
                          <w:i/>
                          <w:iCs/>
                          <w:sz w:val="21"/>
                          <w:szCs w:val="21"/>
                          <w:lang w:val="en-US"/>
                        </w:rPr>
                        <w:t>Planorbella</w:t>
                      </w:r>
                      <w:proofErr w:type="spellEnd"/>
                      <w:r w:rsidRPr="004A03AA">
                        <w:rPr>
                          <w:rFonts w:asciiTheme="majorHAnsi" w:hAnsiTheme="majorHAnsi" w:cstheme="majorHAnsi"/>
                          <w:sz w:val="21"/>
                          <w:szCs w:val="21"/>
                          <w:lang w:val="en-US"/>
                        </w:rPr>
                        <w:t xml:space="preserve"> genus. The larvae develop into free-</w:t>
                      </w:r>
                      <w:r>
                        <w:rPr>
                          <w:rFonts w:asciiTheme="majorHAnsi" w:hAnsiTheme="majorHAnsi" w:cstheme="majorHAnsi"/>
                          <w:sz w:val="21"/>
                          <w:szCs w:val="21"/>
                          <w:lang w:val="en-US"/>
                        </w:rPr>
                        <w:t xml:space="preserve">living </w:t>
                      </w:r>
                      <w:r w:rsidRPr="004A03AA">
                        <w:rPr>
                          <w:rFonts w:asciiTheme="majorHAnsi" w:hAnsiTheme="majorHAnsi" w:cstheme="majorHAnsi"/>
                          <w:sz w:val="21"/>
                          <w:szCs w:val="21"/>
                          <w:lang w:val="en-US"/>
                        </w:rPr>
                        <w:t xml:space="preserve">stage cercariae (second larval form) and leave the snail. </w:t>
                      </w:r>
                      <w:r w:rsidRPr="004A03AA">
                        <w:rPr>
                          <w:rFonts w:asciiTheme="majorHAnsi" w:hAnsiTheme="majorHAnsi" w:cstheme="majorHAnsi"/>
                          <w:b/>
                          <w:bCs/>
                          <w:sz w:val="21"/>
                          <w:szCs w:val="21"/>
                          <w:lang w:val="en-US"/>
                        </w:rPr>
                        <w:t>D.</w:t>
                      </w:r>
                      <w:r w:rsidRPr="004A03AA">
                        <w:rPr>
                          <w:rFonts w:asciiTheme="majorHAnsi" w:hAnsiTheme="majorHAnsi" w:cstheme="majorHAnsi"/>
                          <w:sz w:val="21"/>
                          <w:szCs w:val="21"/>
                          <w:lang w:val="en-US"/>
                        </w:rPr>
                        <w:t xml:space="preserve"> The cercariae swim until they encounter a potential fish host. </w:t>
                      </w:r>
                      <w:r w:rsidRPr="004A03AA">
                        <w:rPr>
                          <w:rFonts w:asciiTheme="majorHAnsi" w:hAnsiTheme="majorHAnsi" w:cstheme="majorHAnsi"/>
                          <w:b/>
                          <w:bCs/>
                          <w:sz w:val="21"/>
                          <w:szCs w:val="21"/>
                          <w:lang w:val="en-US"/>
                        </w:rPr>
                        <w:t>E.</w:t>
                      </w:r>
                      <w:r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Pr="004A03AA">
                        <w:rPr>
                          <w:rFonts w:asciiTheme="majorHAnsi" w:hAnsiTheme="majorHAnsi" w:cstheme="majorHAnsi"/>
                          <w:b/>
                          <w:bCs/>
                          <w:sz w:val="21"/>
                          <w:szCs w:val="21"/>
                          <w:lang w:val="en-US"/>
                        </w:rPr>
                        <w:t xml:space="preserve">F. </w:t>
                      </w:r>
                      <w:r w:rsidRPr="004A03AA">
                        <w:rPr>
                          <w:rFonts w:asciiTheme="majorHAnsi" w:hAnsiTheme="majorHAnsi" w:cstheme="majorHAnsi"/>
                          <w:sz w:val="21"/>
                          <w:szCs w:val="21"/>
                          <w:lang w:val="en-US"/>
                        </w:rPr>
                        <w:t xml:space="preserve">The fish is eaten by a definitive host. </w:t>
                      </w:r>
                    </w:p>
                    <w:p w14:paraId="1DDA42BA" w14:textId="77777777" w:rsidR="00CF4537" w:rsidRPr="004A03AA" w:rsidRDefault="00CF4537" w:rsidP="00CF4537">
                      <w:pPr>
                        <w:spacing w:line="276" w:lineRule="auto"/>
                        <w:rPr>
                          <w:rFonts w:asciiTheme="majorHAnsi" w:hAnsiTheme="majorHAnsi" w:cstheme="majorHAnsi"/>
                          <w:sz w:val="21"/>
                          <w:szCs w:val="21"/>
                          <w:lang w:val="en-US"/>
                        </w:rPr>
                      </w:pPr>
                    </w:p>
                    <w:p w14:paraId="593EA386" w14:textId="77777777" w:rsidR="00CF4537" w:rsidRPr="004A03AA" w:rsidRDefault="00CF4537" w:rsidP="00CF4537">
                      <w:pPr>
                        <w:spacing w:line="276" w:lineRule="auto"/>
                        <w:jc w:val="both"/>
                        <w:rPr>
                          <w:rFonts w:asciiTheme="majorHAnsi" w:hAnsiTheme="majorHAnsi" w:cstheme="majorHAnsi"/>
                          <w:sz w:val="21"/>
                          <w:szCs w:val="21"/>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1DBB2A46"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 xml:space="preserve">Akin to other parasitic diseases,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prevalence in Bluegill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 xml:space="preserve">inhabiting </w:t>
      </w:r>
      <w:r w:rsidRPr="00D01CF9">
        <w:rPr>
          <w:rFonts w:asciiTheme="majorHAnsi" w:hAnsiTheme="majorHAnsi" w:cstheme="majorHAnsi"/>
          <w:lang w:val="en-US"/>
        </w:rPr>
        <w:t xml:space="preserve">a pond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Pr="00150A57">
        <w:rPr>
          <w:rFonts w:asciiTheme="majorHAnsi" w:hAnsiTheme="majorHAnsi" w:cstheme="majorHAnsi"/>
          <w:highlight w:val="cyan"/>
          <w:lang w:val="en-US"/>
        </w:rPr>
        <w:t xml:space="preserve">. The infection of fish-hosts necessarily imply that fish individuals and infected snail live in close habitats. Hence, infection levels in fish-host are usually higher is lentic rather lotic systems and in the littoral zone rather than pelagic zone </w:t>
      </w:r>
      <w:r w:rsidRPr="00150A57">
        <w:rPr>
          <w:rFonts w:asciiTheme="majorHAnsi" w:hAnsiTheme="majorHAnsi" w:cstheme="majorHAnsi"/>
          <w:highlight w:val="cyan"/>
        </w:rPr>
        <w:fldChar w:fldCharType="begin"/>
      </w:r>
      <w:r w:rsidRPr="00150A57">
        <w:rPr>
          <w:rFonts w:asciiTheme="majorHAnsi" w:hAnsiTheme="majorHAnsi" w:cstheme="majorHAnsi"/>
          <w:highlight w:val="cyan"/>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50A57">
        <w:rPr>
          <w:rFonts w:asciiTheme="majorHAnsi" w:hAnsiTheme="majorHAnsi" w:cstheme="majorHAnsi"/>
          <w:highlight w:val="cyan"/>
        </w:rPr>
        <w:fldChar w:fldCharType="separate"/>
      </w:r>
      <w:r w:rsidRPr="00150A57">
        <w:rPr>
          <w:rFonts w:asciiTheme="majorHAnsi" w:hAnsiTheme="majorHAnsi" w:cstheme="majorHAnsi"/>
          <w:noProof/>
          <w:highlight w:val="cyan"/>
          <w:lang w:val="en-US"/>
        </w:rPr>
        <w:t>(Ondrackova et al., 2004)</w:t>
      </w:r>
      <w:r w:rsidRPr="00150A57">
        <w:rPr>
          <w:rFonts w:asciiTheme="majorHAnsi" w:hAnsiTheme="majorHAnsi" w:cstheme="majorHAnsi"/>
          <w:highlight w:val="cyan"/>
        </w:rPr>
        <w:fldChar w:fldCharType="end"/>
      </w:r>
      <w:r w:rsidRPr="00150A57">
        <w:rPr>
          <w:rFonts w:asciiTheme="majorHAnsi" w:hAnsiTheme="majorHAnsi" w:cstheme="majorHAnsi"/>
          <w:highlight w:val="cyan"/>
          <w:lang w:val="en-US"/>
        </w:rPr>
        <w:t xml:space="preserve"> because snails prefer shallow waters and generally feed on macrophytes (refs?).</w:t>
      </w:r>
      <w:r>
        <w:rPr>
          <w:rFonts w:asciiTheme="majorHAnsi" w:hAnsiTheme="majorHAnsi" w:cstheme="majorHAnsi"/>
          <w:lang w:val="en-US"/>
        </w:rPr>
        <w:t xml:space="preserve"> </w:t>
      </w:r>
      <w:r w:rsidRPr="00D01CF9">
        <w:rPr>
          <w:rFonts w:asciiTheme="majorHAnsi" w:hAnsiTheme="majorHAnsi" w:cstheme="majorHAnsi"/>
          <w:lang w:val="en-US"/>
        </w:rPr>
        <w:t xml:space="preserve">Because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 (</w:t>
      </w:r>
      <w:r>
        <w:rPr>
          <w:rFonts w:asciiTheme="majorHAnsi" w:hAnsiTheme="majorHAnsi" w:cstheme="majorHAnsi"/>
          <w:lang w:val="en-US"/>
        </w:rPr>
        <w:t xml:space="preserve">so </w:t>
      </w:r>
      <w:r w:rsidRPr="00D01CF9">
        <w:rPr>
          <w:rFonts w:asciiTheme="majorHAnsi" w:hAnsiTheme="majorHAnsi" w:cstheme="majorHAnsi"/>
          <w:lang w:val="en-US"/>
        </w:rPr>
        <w:t>more than one trematode species), a large range of fish</w:t>
      </w:r>
      <w:r>
        <w:rPr>
          <w:rFonts w:asciiTheme="majorHAnsi" w:hAnsiTheme="majorHAnsi" w:cstheme="majorHAnsi"/>
          <w:lang w:val="en-US"/>
        </w:rPr>
        <w:t>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within a system, some species tend to be more heavily infected than others. For instance,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{"citationID":"x5qyAX38","properties":{"formattedCitation":"(Lemly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41920A5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proofErr w:type="gramStart"/>
      <w:r w:rsidRPr="00D01CF9">
        <w:rPr>
          <w:rFonts w:asciiTheme="majorHAnsi" w:hAnsiTheme="majorHAnsi" w:cstheme="majorHAnsi"/>
          <w:lang w:val="en-US"/>
        </w:rPr>
        <w:t xml:space="preserve">are </w:t>
      </w:r>
      <w:r>
        <w:rPr>
          <w:rFonts w:asciiTheme="majorHAnsi" w:hAnsiTheme="majorHAnsi" w:cstheme="majorHAnsi"/>
          <w:lang w:val="en-US"/>
        </w:rPr>
        <w:t>located in</w:t>
      </w:r>
      <w:proofErr w:type="gramEnd"/>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w:t>
      </w:r>
      <w:r>
        <w:rPr>
          <w:rFonts w:asciiTheme="majorHAnsi" w:hAnsiTheme="majorHAnsi" w:cstheme="majorHAnsi"/>
          <w:lang w:val="en-US"/>
        </w:rPr>
        <w:t xml:space="preserve">of the site </w:t>
      </w:r>
      <w:r w:rsidRPr="00D01CF9">
        <w:rPr>
          <w:rFonts w:asciiTheme="majorHAnsi" w:hAnsiTheme="majorHAnsi" w:cstheme="majorHAnsi"/>
          <w:lang w:val="en-US"/>
        </w:rPr>
        <w:t xml:space="preserve">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p>
    <w:p w14:paraId="44162A14" w14:textId="77777777" w:rsidR="00CF4537" w:rsidRDefault="00CF4537" w:rsidP="00CF4537">
      <w:pPr>
        <w:spacing w:line="276" w:lineRule="auto"/>
        <w:jc w:val="both"/>
        <w:rPr>
          <w:rFonts w:asciiTheme="majorHAnsi" w:hAnsiTheme="majorHAnsi" w:cstheme="majorHAnsi"/>
          <w:noProof/>
          <w:lang w:val="en-US"/>
          <w14:ligatures w14:val="standardContextual"/>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4F9542B4">
            <wp:simplePos x="0" y="0"/>
            <wp:positionH relativeFrom="margin">
              <wp:posOffset>365760</wp:posOffset>
            </wp:positionH>
            <wp:positionV relativeFrom="margin">
              <wp:posOffset>4791620</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5"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91C3B" w14:textId="77777777" w:rsidR="00CF4537" w:rsidRPr="00D01CF9" w:rsidRDefault="00CF4537" w:rsidP="00CF4537">
      <w:pPr>
        <w:spacing w:line="276" w:lineRule="auto"/>
        <w:jc w:val="center"/>
        <w:rPr>
          <w:rFonts w:asciiTheme="majorHAnsi" w:hAnsiTheme="majorHAnsi" w:cstheme="majorHAnsi"/>
          <w:lang w:val="en-US"/>
        </w:rPr>
      </w:pPr>
    </w:p>
    <w:p w14:paraId="729CCA8A" w14:textId="77777777"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77777777" w:rsidR="00CF4537" w:rsidRDefault="00CF4537" w:rsidP="00CF4537">
      <w:pPr>
        <w:spacing w:line="276" w:lineRule="auto"/>
        <w:jc w:val="both"/>
        <w:rPr>
          <w:rFonts w:asciiTheme="majorHAnsi" w:hAnsiTheme="majorHAnsi" w:cstheme="majorHAnsi"/>
          <w:lang w:val="en-US"/>
        </w:rPr>
      </w:pPr>
    </w:p>
    <w:p w14:paraId="1047EB47" w14:textId="77777777" w:rsidR="00CF4537" w:rsidRDefault="00CF4537" w:rsidP="00CF4537">
      <w:pPr>
        <w:spacing w:line="276" w:lineRule="auto"/>
        <w:jc w:val="both"/>
        <w:rPr>
          <w:rFonts w:asciiTheme="majorHAnsi" w:hAnsiTheme="majorHAnsi" w:cstheme="majorHAnsi"/>
          <w:lang w:val="en-US"/>
        </w:rPr>
      </w:pPr>
    </w:p>
    <w:p w14:paraId="3219CC99" w14:textId="77777777" w:rsidR="00CF4537" w:rsidRDefault="00CF4537" w:rsidP="00CF4537">
      <w:pPr>
        <w:spacing w:line="276" w:lineRule="auto"/>
        <w:jc w:val="both"/>
        <w:rPr>
          <w:rFonts w:asciiTheme="majorHAnsi" w:hAnsiTheme="majorHAnsi" w:cstheme="majorHAnsi"/>
          <w:lang w:val="en-US"/>
        </w:rPr>
      </w:pPr>
    </w:p>
    <w:p w14:paraId="22CAE034"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51EC6625">
                <wp:simplePos x="0" y="0"/>
                <wp:positionH relativeFrom="column">
                  <wp:posOffset>3211195</wp:posOffset>
                </wp:positionH>
                <wp:positionV relativeFrom="paragraph">
                  <wp:posOffset>193577</wp:posOffset>
                </wp:positionV>
                <wp:extent cx="2171700" cy="2097055"/>
                <wp:effectExtent l="0" t="0" r="0" b="0"/>
                <wp:wrapNone/>
                <wp:docPr id="729144342" name="Zone de texte 2"/>
                <wp:cNvGraphicFramePr/>
                <a:graphic xmlns:a="http://schemas.openxmlformats.org/drawingml/2006/main">
                  <a:graphicData uri="http://schemas.microsoft.com/office/word/2010/wordprocessingShape">
                    <wps:wsp>
                      <wps:cNvSpPr txBox="1"/>
                      <wps:spPr>
                        <a:xfrm>
                          <a:off x="0" y="0"/>
                          <a:ext cx="2171700" cy="2097055"/>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258A0BFF"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22399" id="_x0000_s1027" type="#_x0000_t202" style="position:absolute;left:0;text-align:left;margin-left:252.85pt;margin-top:15.25pt;width:171pt;height:16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258A0BFF"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5C07DD77" w14:textId="77777777" w:rsidR="00CF4537" w:rsidRDefault="00CF4537" w:rsidP="00CF4537">
      <w:pPr>
        <w:spacing w:line="276" w:lineRule="auto"/>
        <w:jc w:val="both"/>
        <w:rPr>
          <w:rFonts w:asciiTheme="majorHAnsi" w:hAnsiTheme="majorHAnsi" w:cstheme="majorHAnsi"/>
          <w:lang w:val="en-US"/>
        </w:rPr>
      </w:pPr>
    </w:p>
    <w:p w14:paraId="34C80F60" w14:textId="77777777" w:rsidR="00CF4537" w:rsidRDefault="00CF4537" w:rsidP="00CF4537">
      <w:pPr>
        <w:spacing w:line="276" w:lineRule="auto"/>
        <w:jc w:val="both"/>
        <w:rPr>
          <w:rFonts w:asciiTheme="majorHAnsi" w:hAnsiTheme="majorHAnsi" w:cstheme="majorHAnsi"/>
          <w:lang w:val="en-US"/>
        </w:rPr>
      </w:pPr>
    </w:p>
    <w:p w14:paraId="7A0293FD" w14:textId="77777777" w:rsidR="00CF4537" w:rsidRDefault="00CF4537" w:rsidP="00CF4537">
      <w:pPr>
        <w:spacing w:line="276" w:lineRule="auto"/>
        <w:jc w:val="both"/>
        <w:rPr>
          <w:rFonts w:asciiTheme="majorHAnsi" w:hAnsiTheme="majorHAnsi" w:cstheme="majorHAnsi"/>
          <w:lang w:val="en-US"/>
        </w:rPr>
      </w:pPr>
    </w:p>
    <w:p w14:paraId="4FF44101" w14:textId="77777777"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750AB726" w14:textId="77777777" w:rsidR="00CF4537" w:rsidRDefault="00CF4537" w:rsidP="00CF4537">
      <w:pPr>
        <w:spacing w:line="276" w:lineRule="auto"/>
        <w:jc w:val="both"/>
        <w:rPr>
          <w:rFonts w:asciiTheme="majorHAnsi" w:hAnsiTheme="majorHAnsi" w:cstheme="majorHAnsi"/>
          <w:lang w:val="en-US"/>
        </w:rPr>
      </w:pPr>
    </w:p>
    <w:p w14:paraId="37211D9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7EF307D6" w14:textId="77777777" w:rsidR="00CF4537" w:rsidRPr="00CC3730" w:rsidRDefault="00CF4537" w:rsidP="00CF4537">
      <w:pPr>
        <w:pStyle w:val="Titre2"/>
      </w:pPr>
      <w:r w:rsidRPr="00CC3730">
        <w:lastRenderedPageBreak/>
        <w:t>2.</w:t>
      </w:r>
      <w:r>
        <w:t>3</w:t>
      </w:r>
      <w:r w:rsidRPr="00CC3730">
        <w:t xml:space="preserve">. </w:t>
      </w:r>
      <w:r>
        <w:t>Data acquisition</w:t>
      </w:r>
    </w:p>
    <w:p w14:paraId="4C808CC2" w14:textId="77777777" w:rsidR="00CF4537" w:rsidRDefault="00CF4537" w:rsidP="00CF4537">
      <w:pPr>
        <w:spacing w:line="276" w:lineRule="auto"/>
        <w:jc w:val="both"/>
        <w:rPr>
          <w:rFonts w:asciiTheme="majorHAnsi" w:hAnsiTheme="majorHAnsi" w:cstheme="majorHAnsi"/>
          <w:lang w:val="en-US"/>
        </w:rPr>
      </w:pPr>
    </w:p>
    <w:p w14:paraId="7AA4DD98" w14:textId="3BFAF4BA" w:rsidR="00CF4537" w:rsidRPr="00B22CF4"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 xml:space="preserve">Three sampling methods 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species richness.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p>
    <w:p w14:paraId="21D5F85F" w14:textId="77777777" w:rsidR="00CF4537"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r>
        <w:rPr>
          <w:rFonts w:asciiTheme="majorHAnsi" w:hAnsiTheme="majorHAnsi" w:cstheme="majorHAnsi"/>
          <w:lang w:val="en-US"/>
        </w:rPr>
        <w:t>stated</w:t>
      </w:r>
      <w:r w:rsidRPr="00D01CF9">
        <w:rPr>
          <w:rFonts w:asciiTheme="majorHAnsi" w:hAnsiTheme="majorHAnsi" w:cstheme="majorHAnsi"/>
          <w:lang w:val="en-US"/>
        </w:rPr>
        <w:t xml:space="preserve"> according to </w:t>
      </w:r>
      <w:r>
        <w:rPr>
          <w:rFonts w:asciiTheme="majorHAnsi" w:hAnsiTheme="majorHAnsi" w:cstheme="majorHAnsi"/>
          <w:lang w:val="en-US"/>
        </w:rPr>
        <w:t xml:space="preserve">the </w:t>
      </w:r>
      <w:r w:rsidRPr="00D01CF9">
        <w:rPr>
          <w:rFonts w:asciiTheme="majorHAnsi" w:hAnsiTheme="majorHAnsi" w:cstheme="majorHAnsi"/>
          <w:lang w:val="en-US"/>
        </w:rPr>
        <w:t>lake area except for minnow traps (Table S2). As it</w:t>
      </w:r>
      <w:r>
        <w:rPr>
          <w:rFonts w:asciiTheme="majorHAnsi" w:hAnsiTheme="majorHAnsi" w:cstheme="majorHAnsi"/>
          <w:lang w:val="en-US"/>
        </w:rPr>
        <w:t xml:space="preserve"> requires</w:t>
      </w:r>
      <w:r w:rsidRPr="00D01CF9">
        <w:rPr>
          <w:rFonts w:asciiTheme="majorHAnsi" w:hAnsiTheme="majorHAnsi" w:cstheme="majorHAnsi"/>
          <w:lang w:val="en-US"/>
        </w:rPr>
        <w:t xml:space="preserve"> less time and manipulations, all the 15 minnow traps were set in each lake to maximize the number of captures.</w:t>
      </w:r>
      <w:r>
        <w:rPr>
          <w:rFonts w:asciiTheme="majorHAnsi" w:hAnsiTheme="majorHAnsi" w:cstheme="majorHAnsi"/>
          <w:lang w:val="en-US"/>
        </w:rPr>
        <w:t xml:space="preserv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r>
        <w:rPr>
          <w:rFonts w:asciiTheme="majorHAnsi" w:hAnsiTheme="majorHAnsi" w:cstheme="majorHAnsi"/>
          <w:lang w:val="en-US"/>
        </w:rPr>
        <w:t xml:space="preserve"> </w:t>
      </w: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28A61A6C" w14:textId="7D3712D6" w:rsidR="00CF4537" w:rsidRDefault="00CF4537"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Minnow trap and seine net samplings were both done on the same day for each lake. The seine samplings occurred during </w:t>
      </w:r>
      <w:r w:rsidR="00D7703C">
        <w:rPr>
          <w:rFonts w:asciiTheme="majorHAnsi" w:hAnsiTheme="majorHAnsi" w:cstheme="majorHAnsi"/>
          <w:lang w:val="en-US"/>
        </w:rPr>
        <w:t xml:space="preserve">the </w:t>
      </w:r>
      <w:r>
        <w:rPr>
          <w:rFonts w:asciiTheme="majorHAnsi" w:hAnsiTheme="majorHAnsi" w:cstheme="majorHAnsi"/>
          <w:lang w:val="en-US"/>
        </w:rPr>
        <w:t xml:space="preserve">daytime in habitats lacking big obstacles like trunks and large rocks in which the net can get stuck. Two sizes </w:t>
      </w:r>
      <w:r w:rsidRPr="00D01CF9">
        <w:rPr>
          <w:rFonts w:asciiTheme="majorHAnsi" w:hAnsiTheme="majorHAnsi" w:cstheme="majorHAnsi"/>
          <w:lang w:val="en-US"/>
        </w:rPr>
        <w:t>of minnow traps were set at approximately equal distance along the shore, from 4PM to 8PM, to target species that are most active at dusk.</w:t>
      </w:r>
      <w:r>
        <w:rPr>
          <w:rFonts w:asciiTheme="majorHAnsi" w:hAnsiTheme="majorHAnsi" w:cstheme="majorHAnsi"/>
          <w:lang w:val="en-US"/>
        </w:rPr>
        <w:t xml:space="preserve"> There were no habitat restrictions for the minnow traps emplacement. </w:t>
      </w:r>
      <w:r w:rsidRPr="00D01CF9">
        <w:rPr>
          <w:rFonts w:asciiTheme="majorHAnsi" w:hAnsiTheme="majorHAnsi" w:cstheme="majorHAnsi"/>
          <w:lang w:val="en-US"/>
        </w:rPr>
        <w:t>Half of the</w:t>
      </w:r>
      <w:r>
        <w:rPr>
          <w:rFonts w:asciiTheme="majorHAnsi" w:hAnsiTheme="majorHAnsi" w:cstheme="majorHAnsi"/>
          <w:lang w:val="en-US"/>
        </w:rPr>
        <w:t xml:space="preserve"> </w:t>
      </w:r>
      <w:r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Pr="00D01CF9">
        <w:rPr>
          <w:rFonts w:asciiTheme="majorHAnsi" w:hAnsiTheme="majorHAnsi" w:cstheme="majorHAnsi"/>
          <w:lang w:val="en-US"/>
        </w:rPr>
        <w:t xml:space="preserve"> feeding preferences and habits. </w:t>
      </w:r>
    </w:p>
    <w:p w14:paraId="075066C6" w14:textId="0E1F6CCF"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All fishes were counted, identified to 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w:instrText>
      </w:r>
      <w:r w:rsidRPr="002D523C">
        <w:rPr>
          <w:rFonts w:asciiTheme="majorHAnsi" w:hAnsiTheme="majorHAnsi" w:cstheme="majorHAnsi"/>
          <w:lang w:val="en-US"/>
        </w:rPr>
        <w:instrText>ttp://zo</w:instrText>
      </w:r>
      <w:r w:rsidRPr="00D01CF9">
        <w:rPr>
          <w:rFonts w:asciiTheme="majorHAnsi" w:hAnsiTheme="majorHAnsi" w:cstheme="majorHAnsi"/>
        </w:rPr>
        <w:instrText>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w:instrText>
      </w:r>
      <w:r w:rsidRPr="00D01CF9">
        <w:rPr>
          <w:rFonts w:asciiTheme="majorHAnsi" w:hAnsiTheme="majorHAnsi" w:cstheme="majorHAnsi"/>
          <w:lang w:val="en-US"/>
        </w:rPr>
        <w:instrText xml:space="preserve">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left side of the fish (De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considered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1454C1FE"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in the fish community.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 or poor water clearness</w:t>
      </w:r>
      <w:r w:rsidRPr="00D01CF9">
        <w:rPr>
          <w:rFonts w:asciiTheme="majorHAnsi" w:hAnsiTheme="majorHAnsi" w:cstheme="majorHAnsi"/>
          <w:lang w:val="en-US"/>
        </w:rPr>
        <w:t>.</w:t>
      </w:r>
      <w:r>
        <w:rPr>
          <w:rFonts w:asciiTheme="majorHAnsi" w:hAnsiTheme="majorHAnsi" w:cstheme="majorHAnsi"/>
          <w:lang w:val="en-US"/>
        </w:rPr>
        <w:t xml:space="preserve"> We selected site </w:t>
      </w:r>
      <w:r w:rsidRPr="00D01CF9">
        <w:rPr>
          <w:rFonts w:asciiTheme="majorHAnsi" w:hAnsiTheme="majorHAnsi" w:cstheme="majorHAnsi"/>
          <w:lang w:val="en-US"/>
        </w:rPr>
        <w:t>emplacements that 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lastRenderedPageBreak/>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Pr>
          <w:rFonts w:asciiTheme="majorHAnsi" w:hAnsiTheme="majorHAnsi" w:cstheme="majorHAnsi"/>
          <w:lang w:val="en-US"/>
        </w:rPr>
        <w:t xml:space="preserve">given that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2CB6C351" w:rsidR="00CF4537" w:rsidRPr="00DC160B"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 xml:space="preserve">we conducted </w:t>
      </w:r>
      <w:r w:rsidRPr="00D01CF9">
        <w:rPr>
          <w:rFonts w:asciiTheme="majorHAnsi" w:hAnsiTheme="majorHAnsi" w:cstheme="majorHAnsi"/>
          <w:lang w:val="en-US"/>
        </w:rPr>
        <w:t xml:space="preserve">the description of </w:t>
      </w:r>
      <w:r>
        <w:rPr>
          <w:rFonts w:asciiTheme="majorHAnsi" w:hAnsiTheme="majorHAnsi" w:cstheme="majorHAnsi"/>
          <w:lang w:val="en-US"/>
        </w:rPr>
        <w:t xml:space="preserve">the </w:t>
      </w:r>
      <w:r w:rsidRPr="00D01CF9">
        <w:rPr>
          <w:rFonts w:asciiTheme="majorHAnsi" w:hAnsiTheme="majorHAnsi" w:cstheme="majorHAnsi"/>
          <w:lang w:val="en-US"/>
        </w:rPr>
        <w:t xml:space="preserve">habitat characteristics.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coverage of macrophyte</w:t>
      </w:r>
      <w:r w:rsidR="00D7703C">
        <w:rPr>
          <w:rFonts w:asciiTheme="majorHAnsi" w:hAnsiTheme="majorHAnsi" w:cstheme="majorHAnsi"/>
          <w:lang w:val="en-US"/>
        </w:rPr>
        <w:t>s</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emperature, </w:t>
      </w:r>
      <w:r>
        <w:rPr>
          <w:rFonts w:asciiTheme="majorHAnsi" w:hAnsiTheme="majorHAnsi" w:cstheme="majorHAnsi"/>
          <w:lang w:val="en-US"/>
        </w:rPr>
        <w:t xml:space="preserve">the </w:t>
      </w:r>
      <w:r w:rsidRPr="00D01CF9">
        <w:rPr>
          <w:rFonts w:asciiTheme="majorHAnsi" w:hAnsiTheme="majorHAnsi" w:cstheme="majorHAnsi"/>
          <w:lang w:val="en-US"/>
        </w:rPr>
        <w:t xml:space="preserve">dissolved oxygen, </w:t>
      </w:r>
      <w:r>
        <w:rPr>
          <w:rFonts w:asciiTheme="majorHAnsi" w:hAnsiTheme="majorHAnsi" w:cstheme="majorHAnsi"/>
          <w:lang w:val="en-US"/>
        </w:rPr>
        <w:t xml:space="preserve">the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w:t>
      </w:r>
      <w:r>
        <w:rPr>
          <w:rFonts w:asciiTheme="majorHAnsi" w:hAnsiTheme="majorHAnsi" w:cstheme="majorHAnsi"/>
          <w:lang w:val="en-US"/>
        </w:rPr>
        <w:t xml:space="preserve">the </w:t>
      </w:r>
      <w:r w:rsidRPr="00D01CF9">
        <w:rPr>
          <w:rFonts w:asciiTheme="majorHAnsi" w:hAnsiTheme="majorHAnsi" w:cstheme="majorHAnsi"/>
          <w:lang w:val="en-US"/>
        </w:rPr>
        <w:t xml:space="preserve">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 xml:space="preserve">at mid-depth in previously acid-washed HDPE bottle for carbon and nutrients content analysis.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4°C refrigerator until analyze within the week while TN</w:t>
      </w:r>
      <w:r>
        <w:rPr>
          <w:rFonts w:asciiTheme="majorHAnsi" w:hAnsiTheme="majorHAnsi" w:cstheme="majorHAnsi"/>
          <w:lang w:val="en-US"/>
        </w:rPr>
        <w:t>/</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commentRangeStart w:id="0"/>
      <w:r>
        <w:rPr>
          <w:rFonts w:asciiTheme="majorHAnsi" w:hAnsiTheme="majorHAnsi" w:cstheme="majorHAnsi"/>
          <w:lang w:val="en-US"/>
        </w:rPr>
        <w:t>later</w:t>
      </w:r>
      <w:commentRangeEnd w:id="0"/>
      <w:r>
        <w:rPr>
          <w:rStyle w:val="Marquedecommentaire"/>
        </w:rPr>
        <w:commentReference w:id="0"/>
      </w:r>
      <w:r>
        <w:rPr>
          <w:rFonts w:asciiTheme="majorHAnsi" w:hAnsiTheme="majorHAnsi" w:cstheme="majorHAnsi"/>
          <w:lang w:val="en-US"/>
        </w:rPr>
        <w:t xml:space="preserve"> </w:t>
      </w:r>
      <w:r w:rsidRPr="00D01CF9">
        <w:rPr>
          <w:rFonts w:asciiTheme="majorHAnsi" w:hAnsiTheme="majorHAnsi" w:cstheme="majorHAnsi"/>
          <w:lang w:val="en-US"/>
        </w:rPr>
        <w:t>processing.</w:t>
      </w:r>
    </w:p>
    <w:p w14:paraId="2A29714A" w14:textId="77777777" w:rsidR="00CF4537" w:rsidRPr="00D01CF9" w:rsidRDefault="00CF4537"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4264C788" w14:textId="77C47192" w:rsidR="00CF4537" w:rsidRPr="00D01CF9"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2F47831A" w14:textId="77777777" w:rsidR="00CF4537" w:rsidRDefault="00CF4537" w:rsidP="00CF4537">
      <w:pPr>
        <w:spacing w:line="276" w:lineRule="auto"/>
        <w:jc w:val="both"/>
        <w:rPr>
          <w:rFonts w:asciiTheme="majorHAnsi" w:hAnsiTheme="majorHAnsi" w:cstheme="majorHAnsi"/>
          <w:lang w:val="en-US"/>
        </w:rPr>
      </w:pPr>
    </w:p>
    <w:p w14:paraId="657D35FD" w14:textId="62378A74"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In the context of this study, the infection prevalence is estimated as the number of infected individuals by a species of the black spot guild, divided </w:t>
      </w:r>
      <w:r w:rsidR="00D7703C">
        <w:rPr>
          <w:rFonts w:asciiTheme="majorHAnsi" w:hAnsiTheme="majorHAnsi" w:cstheme="majorHAnsi"/>
          <w:lang w:val="en-US"/>
        </w:rPr>
        <w:t>by</w:t>
      </w:r>
      <w:r>
        <w:rPr>
          <w:rFonts w:asciiTheme="majorHAnsi" w:hAnsiTheme="majorHAnsi" w:cstheme="majorHAnsi"/>
          <w:lang w:val="en-US"/>
        </w:rPr>
        <w:t xml:space="preserve"> the total number of individuals </w:t>
      </w:r>
      <w:proofErr w:type="gramStart"/>
      <w:r>
        <w:rPr>
          <w:rFonts w:asciiTheme="majorHAnsi" w:hAnsiTheme="majorHAnsi" w:cstheme="majorHAnsi"/>
          <w:lang w:val="en-US"/>
        </w:rPr>
        <w:t>in a given</w:t>
      </w:r>
      <w:proofErr w:type="gramEnd"/>
      <w:r>
        <w:rPr>
          <w:rFonts w:asciiTheme="majorHAnsi" w:hAnsiTheme="majorHAnsi" w:cstheme="majorHAnsi"/>
          <w:lang w:val="en-US"/>
        </w:rPr>
        <w:t xml:space="preserve"> fish community. </w:t>
      </w:r>
      <w:r w:rsidRPr="00AD5465">
        <w:rPr>
          <w:rFonts w:asciiTheme="majorHAnsi" w:hAnsiTheme="majorHAnsi" w:cstheme="majorHAnsi"/>
          <w:lang w:val="en-US"/>
        </w:rPr>
        <w:t xml:space="preserve">All </w:t>
      </w:r>
      <w:proofErr w:type="gramStart"/>
      <w:r w:rsidRPr="00AD5465">
        <w:rPr>
          <w:rFonts w:asciiTheme="majorHAnsi" w:hAnsiTheme="majorHAnsi" w:cstheme="majorHAnsi"/>
          <w:lang w:val="en-US"/>
        </w:rPr>
        <w:t>fish</w:t>
      </w:r>
      <w:r>
        <w:rPr>
          <w:rFonts w:asciiTheme="majorHAnsi" w:hAnsiTheme="majorHAnsi" w:cstheme="majorHAnsi"/>
          <w:lang w:val="en-US"/>
        </w:rPr>
        <w:t>es</w:t>
      </w:r>
      <w:proofErr w:type="gramEnd"/>
      <w:r w:rsidRPr="00AD5465">
        <w:rPr>
          <w:rFonts w:asciiTheme="majorHAnsi" w:hAnsiTheme="majorHAnsi" w:cstheme="majorHAnsi"/>
          <w:lang w:val="en-US"/>
        </w:rPr>
        <w:t xml:space="preserve">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1). Based on the data from all the sampling methods, the regional community prevalence is 29.54 %, 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vary between 0% and 71% (Table S12) and 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vary between 0% and 100% (Table S13). Our </w:t>
      </w:r>
      <w:r>
        <w:rPr>
          <w:rFonts w:asciiTheme="majorHAnsi" w:hAnsiTheme="majorHAnsi" w:cstheme="majorHAnsi"/>
          <w:lang w:val="en-US"/>
        </w:rPr>
        <w:lastRenderedPageBreak/>
        <w:t xml:space="preserve">survey corroborates black spot infection in </w:t>
      </w:r>
      <w:r w:rsidRPr="007015DA">
        <w:rPr>
          <w:rFonts w:asciiTheme="majorHAnsi" w:hAnsiTheme="majorHAnsi" w:cstheme="majorHAnsi"/>
          <w:i/>
          <w:iCs/>
          <w:lang w:val="en-US"/>
        </w:rPr>
        <w:t>Lepomis gibbosus</w:t>
      </w:r>
      <w:r>
        <w:rPr>
          <w:rFonts w:asciiTheme="majorHAnsi" w:hAnsiTheme="majorHAnsi" w:cstheme="majorHAnsi"/>
          <w:lang w:val="en-US"/>
        </w:rPr>
        <w:t xml:space="preserve">,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Pr>
          <w:rFonts w:asciiTheme="majorHAnsi" w:hAnsiTheme="majorHAnsi" w:cstheme="majorHAnsi"/>
          <w:lang w:val="en-US"/>
        </w:rPr>
        <w:t xml:space="preserve">, </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Pr>
          <w:rFonts w:asciiTheme="majorHAnsi" w:hAnsiTheme="majorHAnsi" w:cstheme="majorHAnsi"/>
          <w:lang w:val="en-US"/>
        </w:rPr>
        <w:t xml:space="preserve">,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Pr>
          <w:rFonts w:asciiTheme="majorHAnsi" w:hAnsiTheme="majorHAnsi" w:cstheme="majorHAnsi"/>
          <w:lang w:val="en-US"/>
        </w:rPr>
        <w:t xml:space="preserve">,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Pr>
          <w:rFonts w:asciiTheme="majorHAnsi" w:hAnsiTheme="majorHAnsi" w:cstheme="majorHAnsi"/>
          <w:lang w:val="en-US"/>
        </w:rPr>
        <w:t xml:space="preserve"> and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2DBEA51" w14:textId="0952D67E" w:rsidR="00CF4537" w:rsidRDefault="00CF4537" w:rsidP="00CF4537">
      <w:pPr>
        <w:spacing w:line="276" w:lineRule="auto"/>
        <w:ind w:firstLine="708"/>
        <w:jc w:val="both"/>
        <w:rPr>
          <w:rFonts w:asciiTheme="majorHAnsi" w:hAnsiTheme="majorHAnsi" w:cstheme="majorHAnsi"/>
          <w:lang w:val="en-US"/>
        </w:rPr>
      </w:pPr>
      <w:r w:rsidRPr="00036A21">
        <w:rPr>
          <w:rFonts w:asciiTheme="majorHAnsi" w:hAnsiTheme="majorHAnsi" w:cstheme="majorHAnsi"/>
          <w:lang w:val="en-US"/>
        </w:rPr>
        <w:t xml:space="preserve">TOC sample contents were measured on </w:t>
      </w:r>
      <w:proofErr w:type="spellStart"/>
      <w:r>
        <w:rPr>
          <w:rFonts w:asciiTheme="majorHAnsi" w:hAnsiTheme="majorHAnsi" w:cstheme="majorHAnsi"/>
          <w:lang w:val="en-US"/>
        </w:rPr>
        <w:t>Siervers</w:t>
      </w:r>
      <w:proofErr w:type="spellEnd"/>
      <w:r>
        <w:rPr>
          <w:rFonts w:asciiTheme="majorHAnsi" w:hAnsiTheme="majorHAnsi" w:cstheme="majorHAnsi"/>
          <w:lang w:val="en-US"/>
        </w:rPr>
        <w:t xml:space="preserve"> M5310 C Laboratory Total Organic Carbon Analyzer</w:t>
      </w:r>
      <w:r w:rsidRPr="00036A21">
        <w:rPr>
          <w:rFonts w:asciiTheme="majorHAnsi" w:hAnsiTheme="majorHAnsi" w:cstheme="majorHAnsi"/>
          <w:lang w:val="en-US"/>
        </w:rPr>
        <w:t xml:space="preserve">. </w:t>
      </w:r>
      <w:r w:rsidRPr="00CC3730">
        <w:rPr>
          <w:rFonts w:asciiTheme="majorHAnsi" w:hAnsiTheme="majorHAnsi" w:cstheme="majorHAnsi"/>
          <w:lang w:val="en-US"/>
        </w:rPr>
        <w:t>TN and TP samples were oxidized with persulfate into the autoclave the day before analysis</w:t>
      </w:r>
      <w:r>
        <w:rPr>
          <w:rFonts w:asciiTheme="majorHAnsi" w:hAnsiTheme="majorHAnsi" w:cstheme="majorHAnsi"/>
          <w:lang w:val="en-US"/>
        </w:rPr>
        <w:t xml:space="preserve"> (</w:t>
      </w:r>
      <w:commentRangeStart w:id="1"/>
      <w:r w:rsidRPr="00671AAC">
        <w:rPr>
          <w:rFonts w:asciiTheme="majorHAnsi" w:hAnsiTheme="majorHAnsi" w:cstheme="majorHAnsi"/>
          <w:lang w:val="en-US"/>
        </w:rPr>
        <w:t>EPA353.2</w:t>
      </w:r>
      <w:r>
        <w:rPr>
          <w:rFonts w:asciiTheme="majorHAnsi" w:hAnsiTheme="majorHAnsi" w:cstheme="majorHAnsi"/>
          <w:lang w:val="en-US"/>
        </w:rPr>
        <w:t>; EPA365.3</w:t>
      </w:r>
      <w:commentRangeEnd w:id="1"/>
      <w:r>
        <w:rPr>
          <w:rStyle w:val="Marquedecommentaire"/>
        </w:rPr>
        <w:commentReference w:id="1"/>
      </w:r>
      <w:r w:rsidRPr="00CC3730">
        <w:rPr>
          <w:rFonts w:asciiTheme="majorHAnsi" w:hAnsiTheme="majorHAnsi" w:cstheme="majorHAnsi"/>
          <w:lang w:val="en-US"/>
        </w:rPr>
        <w:t>)</w:t>
      </w:r>
      <w:r>
        <w:rPr>
          <w:rFonts w:asciiTheme="majorHAnsi" w:hAnsiTheme="majorHAnsi" w:cstheme="majorHAnsi"/>
          <w:lang w:val="en-US"/>
        </w:rPr>
        <w:t>.</w:t>
      </w:r>
      <w:r w:rsidRPr="00CC3730">
        <w:rPr>
          <w:rFonts w:asciiTheme="majorHAnsi" w:hAnsiTheme="majorHAnsi" w:cstheme="majorHAnsi"/>
          <w:lang w:val="en-US"/>
        </w:rPr>
        <w:t xml:space="preserve"> TN concentration</w:t>
      </w:r>
      <w:r>
        <w:rPr>
          <w:rFonts w:asciiTheme="majorHAnsi" w:hAnsiTheme="majorHAnsi" w:cstheme="majorHAnsi"/>
          <w:lang w:val="en-US"/>
        </w:rPr>
        <w:t>s</w:t>
      </w:r>
      <w:r w:rsidRPr="00CC3730">
        <w:rPr>
          <w:rFonts w:asciiTheme="majorHAnsi" w:hAnsiTheme="majorHAnsi" w:cstheme="majorHAnsi"/>
          <w:lang w:val="en-US"/>
        </w:rPr>
        <w:t xml:space="preserve"> w</w:t>
      </w:r>
      <w:r>
        <w:rPr>
          <w:rFonts w:asciiTheme="majorHAnsi" w:hAnsiTheme="majorHAnsi" w:cstheme="majorHAnsi"/>
          <w:lang w:val="en-US"/>
        </w:rPr>
        <w:t>ere</w:t>
      </w:r>
      <w:r w:rsidRPr="00CC3730">
        <w:rPr>
          <w:rFonts w:asciiTheme="majorHAnsi" w:hAnsiTheme="majorHAnsi" w:cstheme="majorHAnsi"/>
          <w:lang w:val="en-US"/>
        </w:rPr>
        <w:t xml:space="preserve"> measured on a </w:t>
      </w:r>
      <w:proofErr w:type="spellStart"/>
      <w:r w:rsidRPr="00CC3730">
        <w:rPr>
          <w:rFonts w:asciiTheme="majorHAnsi" w:hAnsiTheme="majorHAnsi" w:cstheme="majorHAnsi"/>
          <w:lang w:val="en-US"/>
        </w:rPr>
        <w:t>Lachat</w:t>
      </w:r>
      <w:proofErr w:type="spellEnd"/>
      <w:r w:rsidRPr="00CC3730">
        <w:rPr>
          <w:rFonts w:asciiTheme="majorHAnsi" w:hAnsiTheme="majorHAnsi" w:cstheme="majorHAnsi"/>
          <w:lang w:val="en-US"/>
        </w:rPr>
        <w:t xml:space="preserve"> </w:t>
      </w:r>
      <w:proofErr w:type="spellStart"/>
      <w:r w:rsidRPr="00CC3730">
        <w:rPr>
          <w:rFonts w:asciiTheme="majorHAnsi" w:hAnsiTheme="majorHAnsi" w:cstheme="majorHAnsi"/>
          <w:lang w:val="en-US"/>
        </w:rPr>
        <w:t>QuikChem</w:t>
      </w:r>
      <w:proofErr w:type="spellEnd"/>
      <w:r w:rsidRPr="00CC3730">
        <w:rPr>
          <w:rFonts w:asciiTheme="majorHAnsi" w:hAnsiTheme="majorHAnsi" w:cstheme="majorHAnsi"/>
          <w:lang w:val="en-US"/>
        </w:rPr>
        <w:t xml:space="preserve"> 8500</w:t>
      </w:r>
      <w:r>
        <w:rPr>
          <w:rFonts w:asciiTheme="majorHAnsi" w:hAnsiTheme="majorHAnsi" w:cstheme="majorHAnsi"/>
          <w:lang w:val="en-US"/>
        </w:rPr>
        <w:t xml:space="preserve"> analyzer (</w:t>
      </w:r>
      <w:r w:rsidRPr="00671AAC">
        <w:rPr>
          <w:rFonts w:asciiTheme="majorHAnsi" w:hAnsiTheme="majorHAnsi" w:cstheme="majorHAnsi"/>
          <w:lang w:val="en-US"/>
        </w:rPr>
        <w:t>EPA353.2</w:t>
      </w:r>
      <w:r>
        <w:rPr>
          <w:rFonts w:asciiTheme="majorHAnsi" w:hAnsiTheme="majorHAnsi" w:cstheme="majorHAnsi"/>
          <w:lang w:val="en-US"/>
        </w:rPr>
        <w:t xml:space="preserve">) and TP concentrations were analyzed on a </w:t>
      </w:r>
      <w:proofErr w:type="spellStart"/>
      <w:r>
        <w:rPr>
          <w:rFonts w:asciiTheme="majorHAnsi" w:hAnsiTheme="majorHAnsi" w:cstheme="majorHAnsi"/>
          <w:lang w:val="en-US"/>
        </w:rPr>
        <w:t>Asoria</w:t>
      </w:r>
      <w:proofErr w:type="spellEnd"/>
      <w:r>
        <w:rPr>
          <w:rFonts w:asciiTheme="majorHAnsi" w:hAnsiTheme="majorHAnsi" w:cstheme="majorHAnsi"/>
          <w:lang w:val="en-US"/>
        </w:rPr>
        <w:t xml:space="preserve">-Pacific Astoria2 (EPA365.3). Results for TN and TP concentrations are presented </w:t>
      </w:r>
      <w:r w:rsidR="00D7703C">
        <w:rPr>
          <w:rFonts w:asciiTheme="majorHAnsi" w:hAnsiTheme="majorHAnsi" w:cstheme="majorHAnsi"/>
          <w:lang w:val="en-US"/>
        </w:rPr>
        <w:t xml:space="preserve">in </w:t>
      </w:r>
      <w:r w:rsidRPr="00CF032E">
        <w:rPr>
          <w:rFonts w:asciiTheme="majorHAnsi" w:hAnsiTheme="majorHAnsi" w:cstheme="majorHAnsi"/>
          <w:lang w:val="en-US"/>
        </w:rPr>
        <w:t xml:space="preserve">Table </w:t>
      </w:r>
      <w:r>
        <w:rPr>
          <w:rFonts w:asciiTheme="majorHAnsi" w:hAnsiTheme="majorHAnsi" w:cstheme="majorHAnsi"/>
          <w:lang w:val="en-US"/>
        </w:rPr>
        <w:t xml:space="preserve">S14 along with </w:t>
      </w:r>
      <w:proofErr w:type="spellStart"/>
      <w:r>
        <w:rPr>
          <w:rFonts w:asciiTheme="majorHAnsi" w:hAnsiTheme="majorHAnsi" w:cstheme="majorHAnsi"/>
          <w:lang w:val="en-US"/>
        </w:rPr>
        <w:t>physico</w:t>
      </w:r>
      <w:proofErr w:type="spellEnd"/>
      <w:r>
        <w:rPr>
          <w:rFonts w:asciiTheme="majorHAnsi" w:hAnsiTheme="majorHAnsi" w:cstheme="majorHAnsi"/>
          <w:lang w:val="en-US"/>
        </w:rPr>
        <w:t xml:space="preserve">-chemistry measurements. Mean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77777777" w:rsidR="00CF4537" w:rsidRDefault="00CF4537" w:rsidP="00CF4537">
      <w:pPr>
        <w:pStyle w:val="Titre2"/>
        <w:rPr>
          <w:b w:val="0"/>
          <w:bCs w:val="0"/>
          <w:i w:val="0"/>
          <w:iCs w:val="0"/>
        </w:rPr>
      </w:pPr>
      <w:r>
        <w:t>2.4. Statistical methods</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77777777" w:rsidR="00CF4537" w:rsidRPr="00A951F3"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black spot prevalence pattern across multiple scales, we employed the following procedures. </w:t>
      </w:r>
      <w:r w:rsidRPr="00E91CE1">
        <w:rPr>
          <w:rFonts w:asciiTheme="majorHAnsi" w:hAnsiTheme="majorHAnsi" w:cstheme="majorHAnsi"/>
          <w:lang w:val="en-US"/>
        </w:rPr>
        <w:t>A</w:t>
      </w:r>
      <w:r>
        <w:rPr>
          <w:rFonts w:asciiTheme="majorHAnsi" w:hAnsiTheme="majorHAnsi" w:cstheme="majorHAnsi"/>
          <w:lang w:val="en-US"/>
        </w:rPr>
        <w:t>ll the data manipulations and analysis were conducted on RStudio (</w:t>
      </w:r>
      <w:r w:rsidRPr="00E91CE1">
        <w:rPr>
          <w:rFonts w:asciiTheme="majorHAnsi" w:hAnsiTheme="majorHAnsi" w:cstheme="majorHAnsi"/>
          <w:highlight w:val="cyan"/>
          <w:lang w:val="en-US"/>
        </w:rPr>
        <w:t>Version 2023.06.2+561</w:t>
      </w:r>
      <w:r>
        <w:rPr>
          <w:rFonts w:asciiTheme="majorHAnsi" w:hAnsiTheme="majorHAnsi" w:cstheme="majorHAnsi"/>
          <w:lang w:val="en-US"/>
        </w:rPr>
        <w:t>). Lake Tracy was excluded from 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2FD3D112"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we wanted to look at the effect of the sampling design (here the sampling method and the number of samplings) </w:t>
      </w:r>
      <w:r w:rsidR="00D7703C">
        <w:rPr>
          <w:rFonts w:asciiTheme="majorHAnsi" w:hAnsiTheme="majorHAnsi" w:cstheme="majorHAnsi"/>
          <w:lang w:val="en-US"/>
        </w:rPr>
        <w:t>i</w:t>
      </w:r>
      <w:r>
        <w:rPr>
          <w:rFonts w:asciiTheme="majorHAnsi" w:hAnsiTheme="majorHAnsi" w:cstheme="majorHAnsi"/>
          <w:lang w:val="en-US"/>
        </w:rPr>
        <w:t xml:space="preserve">n the estimation of a regional prevalence. We used a resampling approach on the data from different sampling methods (minnow trap, seine nets, transects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 through an increasing sampling gradient. The number of samplings (N) w</w:t>
      </w:r>
      <w:r w:rsidR="00D7703C">
        <w:rPr>
          <w:rFonts w:asciiTheme="majorHAnsi" w:hAnsiTheme="majorHAnsi" w:cstheme="majorHAnsi"/>
          <w:lang w:val="en-US"/>
        </w:rPr>
        <w:t>as</w:t>
      </w:r>
      <w:r>
        <w:rPr>
          <w:rFonts w:asciiTheme="majorHAnsi" w:hAnsiTheme="majorHAnsi" w:cstheme="majorHAnsi"/>
          <w:lang w:val="en-US"/>
        </w:rPr>
        <w:t xml:space="preserve"> set at N = </w:t>
      </w:r>
      <w:proofErr w:type="gramStart"/>
      <w:r>
        <w:rPr>
          <w:rFonts w:asciiTheme="majorHAnsi" w:hAnsiTheme="majorHAnsi" w:cstheme="majorHAnsi"/>
          <w:lang w:val="en-US"/>
        </w:rPr>
        <w:t>c(</w:t>
      </w:r>
      <w:proofErr w:type="gramEnd"/>
      <w:r>
        <w:rPr>
          <w:rFonts w:asciiTheme="majorHAnsi" w:hAnsiTheme="majorHAnsi" w:cstheme="majorHAnsi"/>
          <w:lang w:val="en-US"/>
        </w:rPr>
        <w:t xml:space="preserve">1, 2, 3, 5, 7, 10, 15, 20, 25, 35) </w:t>
      </w:r>
      <w:r w:rsidR="00656736">
        <w:rPr>
          <w:rFonts w:asciiTheme="majorHAnsi" w:hAnsiTheme="majorHAnsi" w:cstheme="majorHAnsi"/>
          <w:lang w:val="en-US"/>
        </w:rPr>
        <w:t>not to</w:t>
      </w:r>
      <w:r>
        <w:rPr>
          <w:rFonts w:asciiTheme="majorHAnsi" w:hAnsiTheme="majorHAnsi" w:cstheme="majorHAnsi"/>
          <w:lang w:val="en-US"/>
        </w:rPr>
        <w:t xml:space="preserve"> exceed the actual number of samplings (smallest to be 39 samplings for the transect method). The abundance data (infected and total individuals) was pooled together, and the prevalence was calculated for every sampling. The data set was then split according to the sampling method. N random samples were drafted from the pooled </w:t>
      </w:r>
      <w:proofErr w:type="gramStart"/>
      <w:r>
        <w:rPr>
          <w:rFonts w:asciiTheme="majorHAnsi" w:hAnsiTheme="majorHAnsi" w:cstheme="majorHAnsi"/>
          <w:lang w:val="en-US"/>
        </w:rPr>
        <w:t>data</w:t>
      </w:r>
      <w:proofErr w:type="gramEnd"/>
      <w:r>
        <w:rPr>
          <w:rFonts w:asciiTheme="majorHAnsi" w:hAnsiTheme="majorHAnsi" w:cstheme="majorHAnsi"/>
          <w:lang w:val="en-US"/>
        </w:rPr>
        <w:t xml:space="preserve"> and, for the infected and tot</w:t>
      </w:r>
      <w:r w:rsidR="00656736">
        <w:rPr>
          <w:rFonts w:asciiTheme="majorHAnsi" w:hAnsiTheme="majorHAnsi" w:cstheme="majorHAnsi"/>
          <w:lang w:val="en-US"/>
        </w:rPr>
        <w:t>al</w:t>
      </w:r>
      <w:r>
        <w:rPr>
          <w:rFonts w:asciiTheme="majorHAnsi" w:hAnsiTheme="majorHAnsi" w:cstheme="majorHAnsi"/>
          <w:lang w:val="en-US"/>
        </w:rPr>
        <w:t xml:space="preserve"> individuals, the sum was calculated while the mean was calculated for the prevalence. The operation was replicated 999 times for each N and sampling methods. A linear regression was then fitted to the mean of every value sampled for each number of samplings. </w:t>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77777777"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local-scale analysis, we examined the frequency distribution of the lakes’ prevalence according to the sampling method. The mean infection prevalence was previously calculated, and visualization was made with histograms. </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117C34E3" w:rsidR="00CF4537" w:rsidRPr="00CF4537" w:rsidRDefault="00CF4537" w:rsidP="00DA2420">
      <w:pPr>
        <w:spacing w:line="276" w:lineRule="auto"/>
        <w:ind w:firstLine="708"/>
        <w:jc w:val="both"/>
        <w:rPr>
          <w:lang w:val="en-US"/>
        </w:rPr>
      </w:pPr>
      <w:r w:rsidRPr="00A532EB">
        <w:rPr>
          <w:rFonts w:asciiTheme="majorHAnsi" w:hAnsiTheme="majorHAnsi" w:cstheme="majorHAnsi"/>
          <w:lang w:val="en-US"/>
        </w:rPr>
        <w:lastRenderedPageBreak/>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the environmental variables and the infection prevalence on a transect level. We used generalized additive mixed-effect models (GAMMs) from the </w:t>
      </w:r>
      <w:proofErr w:type="spellStart"/>
      <w:r w:rsidRPr="00A532EB">
        <w:rPr>
          <w:rFonts w:asciiTheme="majorHAnsi" w:hAnsiTheme="majorHAnsi" w:cstheme="majorHAnsi"/>
          <w:i/>
          <w:iCs/>
          <w:lang w:val="en-US"/>
        </w:rPr>
        <w:t>mgcv</w:t>
      </w:r>
      <w:proofErr w:type="spellEnd"/>
      <w:r w:rsidRPr="00A532EB">
        <w:rPr>
          <w:rFonts w:asciiTheme="majorHAnsi" w:hAnsiTheme="majorHAnsi" w:cstheme="majorHAnsi"/>
          <w:lang w:val="en-US"/>
        </w:rPr>
        <w:t xml:space="preserve"> package with a quasi</w:t>
      </w:r>
      <w:r w:rsidR="00656736">
        <w:rPr>
          <w:rFonts w:asciiTheme="majorHAnsi" w:hAnsiTheme="majorHAnsi" w:cstheme="majorHAnsi"/>
          <w:lang w:val="en-US"/>
        </w:rPr>
        <w:t>-</w:t>
      </w:r>
      <w:r w:rsidRPr="00A532EB">
        <w:rPr>
          <w:rFonts w:asciiTheme="majorHAnsi" w:hAnsiTheme="majorHAnsi" w:cstheme="majorHAnsi"/>
          <w:lang w:val="en-US"/>
        </w:rPr>
        <w:t xml:space="preserve">binomial distribution, a maximum likelihood estimation and the lake as a random factor. Because of the small sample size (N = 39), we included only one environmental variable at the time to save degrees of freedom. 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and </w:t>
      </w:r>
      <w:r w:rsidRPr="00A532EB">
        <w:rPr>
          <w:rFonts w:asciiTheme="majorHAnsi" w:hAnsiTheme="majorHAnsi" w:cstheme="majorHAnsi"/>
          <w:i/>
          <w:iCs/>
          <w:lang w:val="en-US"/>
        </w:rPr>
        <w:t>ggplot</w:t>
      </w:r>
      <w:r w:rsidRPr="00A532EB">
        <w:rPr>
          <w:rFonts w:asciiTheme="majorHAnsi" w:hAnsiTheme="majorHAnsi" w:cstheme="majorHAnsi"/>
          <w:lang w:val="en-US"/>
        </w:rPr>
        <w:t>2 packa</w:t>
      </w:r>
      <w:r w:rsidRPr="00DA2420">
        <w:rPr>
          <w:rFonts w:asciiTheme="majorHAnsi" w:hAnsiTheme="majorHAnsi" w:cstheme="majorHAnsi"/>
          <w:lang w:val="en-US"/>
        </w:rPr>
        <w:t>ge.</w:t>
      </w:r>
    </w:p>
    <w:sectPr w:rsidR="00CF4537" w:rsidRPr="00CF4537">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0-06T16:03:00Z" w:initials="JV">
    <w:p w14:paraId="751770CE" w14:textId="77777777" w:rsidR="00CF4537" w:rsidRDefault="00CF4537" w:rsidP="00CF4537">
      <w:r>
        <w:rPr>
          <w:rStyle w:val="Marquedecommentaire"/>
        </w:rPr>
        <w:annotationRef/>
      </w:r>
      <w:r>
        <w:rPr>
          <w:color w:val="000000"/>
          <w:sz w:val="20"/>
          <w:szCs w:val="20"/>
        </w:rPr>
        <w:t>or processing at the end of the field season</w:t>
      </w:r>
    </w:p>
  </w:comment>
  <w:comment w:id="1" w:author="Juliane Vigneault" w:date="2023-10-05T22:19:00Z" w:initials="JV">
    <w:p w14:paraId="1F4F8719" w14:textId="77777777" w:rsidR="00CF4537" w:rsidRDefault="00CF4537" w:rsidP="00CF4537">
      <w:r>
        <w:rPr>
          <w:rStyle w:val="Marquedecommentaire"/>
        </w:rPr>
        <w:annotationRef/>
      </w:r>
      <w:r>
        <w:rPr>
          <w:color w:val="000000"/>
          <w:sz w:val="20"/>
          <w:szCs w:val="20"/>
        </w:rPr>
        <w:t>Do I have to put the protocols in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770CE" w15:done="0"/>
  <w15:commentEx w15:paraId="1F4F8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9BEB4E" w16cex:dateUtc="2023-10-06T20:03:00Z"/>
  <w16cex:commentExtensible w16cex:durableId="539531C2" w16cex:dateUtc="2023-10-06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770CE" w16cid:durableId="109BEB4E"/>
  <w16cid:commentId w16cid:paraId="1F4F8719" w16cid:durableId="53953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656736"/>
    <w:rsid w:val="00C97BB6"/>
    <w:rsid w:val="00CF4537"/>
    <w:rsid w:val="00D7703C"/>
    <w:rsid w:val="00DA2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37"/>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4788</Words>
  <Characters>26339</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4</cp:revision>
  <dcterms:created xsi:type="dcterms:W3CDTF">2023-10-10T01:00:00Z</dcterms:created>
  <dcterms:modified xsi:type="dcterms:W3CDTF">2023-10-10T01:17:00Z</dcterms:modified>
</cp:coreProperties>
</file>