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1C3E7B">
      <w:pPr>
        <w:spacing w:line="360"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51EEB5B9" w14:textId="77777777" w:rsidR="00C53B2A" w:rsidRDefault="00C53B2A" w:rsidP="001C3E7B">
      <w:pPr>
        <w:autoSpaceDE w:val="0"/>
        <w:autoSpaceDN w:val="0"/>
        <w:adjustRightInd w:val="0"/>
        <w:spacing w:line="360" w:lineRule="auto"/>
        <w:jc w:val="both"/>
        <w:rPr>
          <w:rStyle w:val="Numrodepage"/>
          <w:rFonts w:asciiTheme="majorHAnsi" w:hAnsiTheme="majorHAnsi" w:cstheme="majorHAnsi"/>
          <w:b/>
          <w:bCs/>
          <w:lang w:val="en-US"/>
        </w:rPr>
      </w:pPr>
    </w:p>
    <w:p w14:paraId="0F02CB95" w14:textId="4F3D9F95" w:rsidR="00C53B2A" w:rsidRDefault="00951D33" w:rsidP="00D32325">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w:t>
      </w:r>
      <w:r w:rsidR="006F5BC6">
        <w:rPr>
          <w:rFonts w:asciiTheme="majorHAnsi" w:hAnsiTheme="majorHAnsi" w:cstheme="majorHAnsi"/>
          <w:kern w:val="0"/>
          <w:lang w:val="en-US"/>
        </w:rPr>
        <w:t xml:space="preserve">involve </w:t>
      </w:r>
      <w:r w:rsidR="00FF4D80">
        <w:rPr>
          <w:rFonts w:asciiTheme="majorHAnsi" w:hAnsiTheme="majorHAnsi" w:cstheme="majorHAnsi"/>
          <w:kern w:val="0"/>
          <w:lang w:val="en-US"/>
        </w:rPr>
        <w:t xml:space="preserve">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r w:rsidR="006F5BC6">
        <w:rPr>
          <w:rFonts w:asciiTheme="majorHAnsi" w:hAnsiTheme="majorHAnsi" w:cstheme="majorHAnsi"/>
          <w:kern w:val="0"/>
          <w:lang w:val="en-US"/>
        </w:rPr>
        <w:t xml:space="preserve">Thus, </w:t>
      </w:r>
      <w:r w:rsidR="00C667EE">
        <w:rPr>
          <w:rFonts w:asciiTheme="majorHAnsi" w:hAnsiTheme="majorHAnsi" w:cstheme="majorHAnsi"/>
          <w:kern w:val="0"/>
          <w:lang w:val="en-US"/>
        </w:rPr>
        <w:t xml:space="preserve">host-parasite association dynamics are </w:t>
      </w:r>
      <w:r w:rsidR="00205DD7">
        <w:rPr>
          <w:rFonts w:asciiTheme="majorHAnsi" w:hAnsiTheme="majorHAnsi" w:cstheme="majorHAnsi"/>
          <w:kern w:val="0"/>
          <w:lang w:val="en-US"/>
        </w:rPr>
        <w:t xml:space="preserve">crucial to understand as parasite are </w:t>
      </w:r>
      <w:r w:rsidR="00C667EE">
        <w:rPr>
          <w:rFonts w:asciiTheme="majorHAnsi" w:hAnsiTheme="majorHAnsi" w:cstheme="majorHAnsi"/>
          <w:kern w:val="0"/>
          <w:lang w:val="en-US"/>
        </w:rPr>
        <w:t xml:space="preserve">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r w:rsidR="006F5BC6">
        <w:rPr>
          <w:rFonts w:asciiTheme="majorHAnsi" w:hAnsiTheme="majorHAnsi" w:cstheme="majorHAnsi"/>
          <w:kern w:val="0"/>
          <w:lang w:val="en-US"/>
        </w:rPr>
        <w:t>Despite that recognition, i</w:t>
      </w:r>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r w:rsidR="00205DD7">
        <w:rPr>
          <w:rFonts w:asciiTheme="majorHAnsi" w:hAnsiTheme="majorHAnsi" w:cstheme="majorHAnsi"/>
          <w:kern w:val="0"/>
          <w:lang w:val="en-US"/>
        </w:rPr>
        <w:t>Consequently</w:t>
      </w:r>
      <w:r w:rsidR="006F5BC6">
        <w:rPr>
          <w:rFonts w:asciiTheme="majorHAnsi" w:hAnsiTheme="majorHAnsi" w:cstheme="majorHAnsi"/>
          <w:kern w:val="0"/>
          <w:lang w:val="en-US"/>
        </w:rPr>
        <w:t xml:space="preserve">, our understanding of </w:t>
      </w:r>
      <w:r w:rsidR="001743D1" w:rsidRPr="00F22CD6">
        <w:rPr>
          <w:rFonts w:asciiTheme="majorHAnsi" w:hAnsiTheme="majorHAnsi" w:cstheme="majorHAnsi"/>
          <w:kern w:val="0"/>
          <w:lang w:val="en-US"/>
        </w:rPr>
        <w:t>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w:t>
      </w:r>
      <w:r w:rsidR="006F5BC6">
        <w:rPr>
          <w:rFonts w:asciiTheme="majorHAnsi" w:hAnsiTheme="majorHAnsi" w:cstheme="majorHAnsi"/>
          <w:kern w:val="0"/>
          <w:lang w:val="en-US"/>
        </w:rPr>
        <w:t xml:space="preserve">is still poor </w:t>
      </w:r>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1C3E7B">
      <w:pPr>
        <w:autoSpaceDE w:val="0"/>
        <w:autoSpaceDN w:val="0"/>
        <w:adjustRightInd w:val="0"/>
        <w:spacing w:line="360" w:lineRule="auto"/>
        <w:jc w:val="both"/>
        <w:rPr>
          <w:rFonts w:asciiTheme="majorHAnsi" w:hAnsiTheme="majorHAnsi" w:cstheme="majorHAnsi"/>
          <w:kern w:val="0"/>
          <w:lang w:val="en-US"/>
        </w:rPr>
      </w:pPr>
    </w:p>
    <w:p w14:paraId="7DB679BC" w14:textId="1DFA78DF" w:rsidR="008D1947" w:rsidRDefault="00CA4FBD"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The d</w:t>
      </w:r>
      <w:r w:rsidR="00CD1FD6">
        <w:rPr>
          <w:rFonts w:asciiTheme="majorHAnsi" w:hAnsiTheme="majorHAnsi" w:cstheme="majorHAnsi"/>
          <w:kern w:val="0"/>
          <w:lang w:val="en-US"/>
        </w:rPr>
        <w:t>istribution of organisms</w:t>
      </w:r>
      <w:r>
        <w:rPr>
          <w:rFonts w:asciiTheme="majorHAnsi" w:hAnsiTheme="majorHAnsi" w:cstheme="majorHAnsi"/>
          <w:kern w:val="0"/>
          <w:lang w:val="en-US"/>
        </w:rPr>
        <w:t xml:space="preserve"> in space</w:t>
      </w:r>
      <w:r w:rsidR="00CD1FD6">
        <w:rPr>
          <w:rFonts w:asciiTheme="majorHAnsi" w:hAnsiTheme="majorHAnsi" w:cstheme="majorHAnsi"/>
          <w:kern w:val="0"/>
          <w:lang w:val="en-US"/>
        </w:rPr>
        <w:t xml:space="preserve">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 (</w:t>
      </w:r>
      <w:r w:rsidR="006D6EC9">
        <w:rPr>
          <w:rFonts w:asciiTheme="majorHAnsi" w:hAnsiTheme="majorHAnsi" w:cstheme="majorHAnsi"/>
          <w:kern w:val="0"/>
          <w:lang w:val="en-US"/>
        </w:rPr>
        <w:t xml:space="preserve">i.e. </w:t>
      </w:r>
      <w:r w:rsidR="006A2F1D">
        <w:rPr>
          <w:rFonts w:asciiTheme="majorHAnsi" w:hAnsiTheme="majorHAnsi" w:cstheme="majorHAnsi"/>
          <w:kern w:val="0"/>
          <w:lang w:val="en-US"/>
        </w:rPr>
        <w:t>local abiotic conditions</w:t>
      </w:r>
      <w:r w:rsidR="00315860">
        <w:rPr>
          <w:rFonts w:asciiTheme="majorHAnsi" w:hAnsiTheme="majorHAnsi" w:cstheme="majorHAnsi"/>
          <w:kern w:val="0"/>
          <w:lang w:val="en-US"/>
        </w:rPr>
        <w:t xml:space="preserve"> must be </w:t>
      </w:r>
      <w:proofErr w:type="spellStart"/>
      <w:r w:rsidR="00315860">
        <w:rPr>
          <w:rFonts w:asciiTheme="majorHAnsi" w:hAnsiTheme="majorHAnsi" w:cstheme="majorHAnsi"/>
          <w:kern w:val="0"/>
          <w:lang w:val="en-US"/>
        </w:rPr>
        <w:t>ecophysiologically</w:t>
      </w:r>
      <w:proofErr w:type="spellEnd"/>
      <w:r w:rsidR="00315860">
        <w:rPr>
          <w:rFonts w:asciiTheme="majorHAnsi" w:hAnsiTheme="majorHAnsi" w:cstheme="majorHAnsi"/>
          <w:kern w:val="0"/>
          <w:lang w:val="en-US"/>
        </w:rPr>
        <w:t xml:space="preserve"> suitable for species to occur</w:t>
      </w:r>
      <w:r w:rsidR="006A2F1D">
        <w:rPr>
          <w:rFonts w:asciiTheme="majorHAnsi" w:hAnsiTheme="majorHAnsi" w:cstheme="majorHAnsi"/>
          <w:kern w:val="0"/>
          <w:lang w:val="en-US"/>
        </w:rPr>
        <w:t>)</w:t>
      </w:r>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w:t>
      </w:r>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r w:rsidR="00754F9A">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{"citationID":"8CooVIzz","properties":{"formattedCitation":"(Leibold et al., 2004)","plainCitation":"(Leibold et al., 2004)","noteIndex":0},"citationItems":[{"id":639,"uris":["http://zotero.org/groups/2585270/items/IFCU2U4S"],"itemData":{"id":639,"type":"article-journal","abstract":"The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alone.","container-title":"Ecology Letters","DOI":"10.1111/j.1461-0248.2004.00608.x","ISSN":"1461-0248","issue":"7","language":"en","note":"_eprint: https://onlinelibrary.wiley.com/doi/pdf/10.1111/j.1461-0248.2004.00608.x","page":"601-613","source":"Wiley Online Library","title":"The metacommunity concept: a framework for multi-scale community ecology","title-short":"The metacommunity concept","volume":"7","author":[{"family":"Leibold","given":"M. A."},{"family":"Holyoak","given":"M."},{"family":"Mouquet","given":"N."},{"family":"Amarasekare","given":"P."},{"family":"Chase","given":"J. M."},{"family":"Hoopes","given":"M. F."},{"family":"Holt","given":"R. D."},{"family":"Shurin","given":"J. B."},{"family":"Law","given":"R."},{"family":"Tilman","given":"D."},{"family":"Loreau","given":"M."},{"family":"Gonzalez","given":"A."}],"issued":{"date-parts":[["2004"]]}}}],"schema":"https://github.com/citation-style-language/schema/raw/master/csl-citation.json"} </w:instrText>
      </w:r>
      <w:r w:rsidR="00754F9A">
        <w:rPr>
          <w:rFonts w:asciiTheme="majorHAnsi" w:hAnsiTheme="majorHAnsi" w:cstheme="majorHAnsi"/>
          <w:kern w:val="0"/>
          <w:lang w:val="en-US"/>
        </w:rPr>
        <w:fldChar w:fldCharType="separate"/>
      </w:r>
      <w:r w:rsidR="001C50FA">
        <w:rPr>
          <w:rFonts w:asciiTheme="majorHAnsi" w:hAnsiTheme="majorHAnsi" w:cstheme="majorHAnsi"/>
          <w:noProof/>
          <w:kern w:val="0"/>
          <w:lang w:val="en-US"/>
        </w:rPr>
        <w:t>(Leibold et al., 2004)</w:t>
      </w:r>
      <w:r w:rsidR="00754F9A">
        <w:rPr>
          <w:rFonts w:asciiTheme="majorHAnsi" w:hAnsiTheme="majorHAnsi" w:cstheme="majorHAnsi"/>
          <w:kern w:val="0"/>
          <w:lang w:val="en-US"/>
        </w:rPr>
        <w:fldChar w:fldCharType="end"/>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{"citationID":"rVgA2BNw","properties":{"formattedCitation":"(Cohen et al., 2016)","plainCitation":"(Cohen et al., 2016)","dontUpdate":true,"noteIndex":0},"citationItems":[{"id":1904,"uris":["http://zotero.org/groups/2585270/items/HDNF5AP3"],"itemData":{"id":1904,"type":"article-journal","abstract":"Humans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1C50FA">
        <w:rPr>
          <w:rFonts w:ascii="Cambria Math" w:hAnsi="Cambria Math" w:cs="Cambria Math"/>
          <w:kern w:val="0"/>
          <w:lang w:val="en-US"/>
        </w:rPr>
        <w:instrText>∼</w:instrText>
      </w:r>
      <w:r w:rsidR="001C50F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lastRenderedPageBreak/>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s</w:t>
      </w:r>
      <w:r w:rsidR="001C50FA">
        <w:rPr>
          <w:rFonts w:asciiTheme="majorHAnsi" w:hAnsiTheme="majorHAnsi" w:cstheme="majorHAnsi"/>
          <w:kern w:val="0"/>
          <w:lang w:val="en-US"/>
        </w:rPr>
        <w:t>patial extent of the study.</w:t>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(river basin, field and microhabitat), the abundance of parasites </w:t>
      </w:r>
      <w:r w:rsidR="0000784C" w:rsidRPr="00160A45">
        <w:rPr>
          <w:rFonts w:asciiTheme="majorHAnsi" w:hAnsiTheme="majorHAnsi" w:cstheme="majorHAnsi"/>
          <w:kern w:val="0"/>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160A45">
        <w:rPr>
          <w:rFonts w:asciiTheme="majorHAnsi" w:hAnsiTheme="majorHAnsi" w:cstheme="majorHAnsi"/>
          <w:kern w:val="0"/>
          <w:lang w:val="en-US"/>
        </w:rPr>
        <w:t xml:space="preserve">(e.g., dispersion by irrigation water)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across scales</w:t>
      </w:r>
      <w:r w:rsidR="00150B6F">
        <w:rPr>
          <w:rFonts w:asciiTheme="majorHAnsi" w:hAnsiTheme="majorHAnsi" w:cstheme="majorHAnsi"/>
          <w:kern w:val="0"/>
          <w:lang w:val="en-US"/>
        </w:rPr>
        <w:t>.</w:t>
      </w:r>
    </w:p>
    <w:p w14:paraId="4852E068" w14:textId="77777777" w:rsidR="00C53B2A" w:rsidRDefault="00C53B2A" w:rsidP="001C3E7B">
      <w:pPr>
        <w:autoSpaceDE w:val="0"/>
        <w:autoSpaceDN w:val="0"/>
        <w:adjustRightInd w:val="0"/>
        <w:spacing w:line="360" w:lineRule="auto"/>
        <w:jc w:val="both"/>
        <w:rPr>
          <w:rFonts w:asciiTheme="majorHAnsi" w:hAnsiTheme="majorHAnsi" w:cstheme="majorHAnsi"/>
          <w:kern w:val="0"/>
          <w:lang w:val="en-US"/>
        </w:rPr>
      </w:pPr>
    </w:p>
    <w:p w14:paraId="08352DAF" w14:textId="4E412386" w:rsidR="00ED056D" w:rsidRPr="00397A67" w:rsidRDefault="006057F5"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{"citationID":"iHRw7IrV","properties":{"formattedCitation":"(Bush et al., 1997)","plainCitation":"(Bush et al., 1997)","dontUpdate":true,"noteIndex":0},"citationItems":[{"id":6752,"uris":["http://zotero.org/groups/2585270/items/8JWZHH7U"],"itemData":{"id":6752,"type":"article-journal","abstract":"We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1C50FA">
        <w:rPr>
          <w:rFonts w:asciiTheme="majorHAnsi" w:hAnsiTheme="majorHAnsi" w:cstheme="majorHAnsi"/>
          <w:kern w:val="0"/>
          <w:lang w:val="en-US"/>
        </w:rPr>
        <w:t xml:space="preserve">biological </w:t>
      </w:r>
      <w:r w:rsidR="00FF7483">
        <w:rPr>
          <w:rFonts w:asciiTheme="majorHAnsi" w:hAnsiTheme="majorHAnsi" w:cstheme="majorHAnsi"/>
          <w:kern w:val="0"/>
          <w:lang w:val="en-US"/>
        </w:rPr>
        <w:t>organization</w:t>
      </w:r>
      <w:r w:rsidR="00D32325">
        <w:rPr>
          <w:rFonts w:asciiTheme="majorHAnsi" w:hAnsiTheme="majorHAnsi" w:cstheme="majorHAnsi"/>
          <w:kern w:val="0"/>
          <w:lang w:val="en-US"/>
        </w:rPr>
        <w:t>al</w:t>
      </w:r>
      <w:r w:rsidR="00FF7483">
        <w:rPr>
          <w:rFonts w:asciiTheme="majorHAnsi" w:hAnsiTheme="majorHAnsi" w:cstheme="majorHAnsi"/>
          <w:kern w:val="0"/>
          <w:lang w:val="en-US"/>
        </w:rPr>
        <w:t xml:space="preserve"> </w:t>
      </w:r>
      <w:r w:rsidR="002661AB">
        <w:rPr>
          <w:rFonts w:asciiTheme="majorHAnsi" w:hAnsiTheme="majorHAnsi" w:cstheme="majorHAnsi"/>
          <w:kern w:val="0"/>
          <w:lang w:val="en-US"/>
        </w:rPr>
        <w:t>complexity 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xml:space="preserve">, there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r w:rsidR="00CA4FBD">
        <w:rPr>
          <w:rFonts w:asciiTheme="majorHAnsi" w:hAnsiTheme="majorHAnsi" w:cstheme="majorHAnsi"/>
          <w:kern w:val="0"/>
        </w:rPr>
        <w:t>exemple</w:t>
      </w:r>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{"citationID":"YjVJmfct","properties":{"formattedCitation":"(Villalba-Vasquez et al., 2018)","plainCitation":"(Villalba-Vasquez et al., 2018)","dontUpdate":true,"noteIndex":0},"citationItems":[{"id":5081,"uris":["http://zotero.org/groups/2585270/items/IYM8D8JV"],"itemData":{"id":5081,"type":"article-journal","abstract":"In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w:t>
      </w:r>
      <w:r w:rsidR="00ED7FAD">
        <w:rPr>
          <w:rFonts w:asciiTheme="majorHAnsi" w:hAnsiTheme="majorHAnsi" w:cstheme="majorHAnsi"/>
          <w:kern w:val="0"/>
          <w:lang w:val="en-US"/>
        </w:rPr>
        <w:lastRenderedPageBreak/>
        <w:t>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2015)","dontUpdate":true,"noteIndex":0},"citationItems":[{"id":7622,"uris":["http://zotero.org/groups/2585270/items/X75ARZCA"],"itemData":{"id":7622,"type":"article-journal","abstract":"Most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1C50FA" w:rsidRPr="001C50FA">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1EF2718E" w14:textId="357B6A60" w:rsidR="00FD25B0" w:rsidRPr="00397A67" w:rsidRDefault="00FD25B0" w:rsidP="001C3E7B">
      <w:pPr>
        <w:autoSpaceDE w:val="0"/>
        <w:autoSpaceDN w:val="0"/>
        <w:adjustRightInd w:val="0"/>
        <w:spacing w:line="360" w:lineRule="auto"/>
        <w:jc w:val="both"/>
        <w:rPr>
          <w:rFonts w:asciiTheme="majorHAnsi" w:hAnsiTheme="majorHAnsi" w:cstheme="majorHAnsi"/>
          <w:kern w:val="0"/>
          <w:lang w:val="en-US"/>
        </w:rPr>
      </w:pPr>
    </w:p>
    <w:p w14:paraId="283F05C3" w14:textId="5CBF7650" w:rsidR="00A323FE" w:rsidRPr="0053061F" w:rsidRDefault="009F2D83"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Despite recent efforts,</w:t>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w:t>
      </w:r>
      <w:r w:rsidR="00160A45">
        <w:rPr>
          <w:rFonts w:ascii="Calibri Light" w:hAnsiTheme="majorHAnsi" w:cs="Calibri Light"/>
          <w:kern w:val="0"/>
          <w:lang w:val="en-US"/>
        </w:rPr>
        <w:t xml:space="preserve">e.g., </w:t>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r>
        <w:rPr>
          <w:rFonts w:asciiTheme="majorHAnsi" w:hAnsiTheme="majorHAnsi" w:cstheme="majorHAnsi"/>
          <w:kern w:val="0"/>
          <w:lang w:val="en-US"/>
        </w:rPr>
        <w:t>behavior</w:t>
      </w:r>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{"citationID":"n2lbIVT6","properties":{"formattedCitation":"(Poulin, 1996)","plainCitation":"(Poulin, 1996)","dontUpdate":true,"noteIndex":0},"citationItems":[{"id":7624,"uris":["http://zotero.org/groups/2585270/items/QDCFKM8K"],"itemData":{"id":7624,"type":"article-journal","container-title":"The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{"citationID":"28vMIiWF","properties":{"formattedCitation":"(Ahn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w:t>
      </w:r>
      <w:r w:rsidR="00F33E79">
        <w:rPr>
          <w:rFonts w:asciiTheme="majorHAnsi" w:hAnsiTheme="majorHAnsi" w:cstheme="majorHAnsi"/>
          <w:kern w:val="0"/>
          <w:lang w:val="en-US"/>
        </w:rPr>
        <w:lastRenderedPageBreak/>
        <w:t xml:space="preserve">parasitological metrics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{"citationID":"LE9gGKIL","properties":{"formattedCitation":"(Happel, 2019)","plainCitation":"(Happel, 2019)","dontUpdate":true,"noteIndex":0},"citationItems":[{"id":1456,"uris":["http://zotero.org/groups/2585270/items/RSYS944C"],"itemData":{"id":1456,"type":"article-journal","abstract":"Infections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{"citationID":"9VZs5HrW","properties":{"formattedCitation":"(Bolnick et al., 2020)","plainCitation":"(Bolnick et al., 2020)","dontUpdate":true,"noteIndex":0},"citationItems":[{"id":1356,"uris":["http://zotero.org/groups/2585270/items/UXFK2ZJ7"],"itemData":{"id":1356,"type":"article-journal","abstract":"A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172D3B86" w:rsidR="005F41BD" w:rsidRDefault="005F41BD" w:rsidP="001C3E7B">
      <w:pPr>
        <w:autoSpaceDE w:val="0"/>
        <w:autoSpaceDN w:val="0"/>
        <w:adjustRightInd w:val="0"/>
        <w:spacing w:line="360" w:lineRule="auto"/>
        <w:jc w:val="both"/>
        <w:rPr>
          <w:rFonts w:asciiTheme="majorHAnsi" w:hAnsiTheme="majorHAnsi" w:cstheme="majorHAnsi"/>
          <w:kern w:val="0"/>
          <w:lang w:val="en-US"/>
        </w:rPr>
      </w:pPr>
    </w:p>
    <w:p w14:paraId="53B4756D" w14:textId="041A6161" w:rsidR="005F41BD" w:rsidRDefault="009255E2"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{"citationID":"wh85itL5","properties":{"formattedCitation":"(Khaemba et al., 2001)","plainCitation":"(Khaemba et al., 2001)","dontUpdate":true,"noteIndex":0},"citationItems":[{"id":7635,"uris":["http://zotero.org/groups/2585270/items/LXVWK6FL"],"itemData":{"id":7635,"type":"article-journal","abstract":"This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 xml:space="preserve">of transects) improved precision of the estimated population in all </w:t>
      </w:r>
      <w:r w:rsidR="00E119F1">
        <w:rPr>
          <w:rFonts w:asciiTheme="majorHAnsi" w:hAnsiTheme="majorHAnsi" w:cstheme="majorHAnsi"/>
          <w:kern w:val="0"/>
          <w:lang w:val="en-US"/>
        </w:rPr>
        <w:lastRenderedPageBreak/>
        <w:t>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{"citationID":"Ik3r4w38","properties":{"formattedCitation":"(Biro &amp; Post, 2008)","plainCitation":"(Biro &amp; Post, 2008)","dontUpdate":true,"noteIndex":0},"citationItems":[{"id":7707,"uris":["http://zotero.org/groups/2585270/items/KNSUWEM6"],"itemData":{"id":7707,"type":"article-journal","abstract":"The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D32325">
        <w:rPr>
          <w:rFonts w:asciiTheme="majorHAnsi" w:hAnsiTheme="majorHAnsi" w:cstheme="majorHAnsi"/>
          <w:kern w:val="0"/>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{"citationID":"zTmrHw3s","properties":{"formattedCitation":"(Wilson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5D6F14">
        <w:rPr>
          <w:rFonts w:asciiTheme="majorHAnsi" w:hAnsiTheme="majorHAnsi" w:cstheme="majorHAnsi"/>
          <w:noProof/>
          <w:kern w:val="0"/>
        </w:rPr>
        <w:t>Wilson et al. (1993)</w:t>
      </w:r>
      <w:r w:rsidR="00CC1E76">
        <w:rPr>
          <w:rFonts w:asciiTheme="majorHAnsi" w:hAnsiTheme="majorHAnsi" w:cstheme="majorHAnsi"/>
          <w:kern w:val="0"/>
          <w:lang w:val="en-US"/>
        </w:rPr>
        <w:fldChar w:fldCharType="end"/>
      </w:r>
      <w:r w:rsidR="00CC1E76" w:rsidRPr="005D6F14">
        <w:rPr>
          <w:rFonts w:asciiTheme="majorHAnsi" w:hAnsiTheme="majorHAnsi" w:cstheme="majorHAnsi"/>
          <w:kern w:val="0"/>
        </w:rPr>
        <w:t xml:space="preserve"> </w:t>
      </w:r>
      <w:proofErr w:type="spellStart"/>
      <w:r w:rsidR="00841FDB" w:rsidRPr="005D6F14">
        <w:rPr>
          <w:rFonts w:asciiTheme="majorHAnsi" w:hAnsiTheme="majorHAnsi" w:cstheme="majorHAnsi"/>
          <w:kern w:val="0"/>
        </w:rPr>
        <w:t>also</w:t>
      </w:r>
      <w:proofErr w:type="spellEnd"/>
      <w:r w:rsidR="00841FDB"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observed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different</w:t>
      </w:r>
      <w:proofErr w:type="spellEnd"/>
      <w:r w:rsidR="00CC1E76" w:rsidRPr="005D6F14">
        <w:rPr>
          <w:rFonts w:asciiTheme="majorHAnsi" w:hAnsiTheme="majorHAnsi" w:cstheme="majorHAnsi"/>
          <w:kern w:val="0"/>
        </w:rPr>
        <w:t xml:space="preserve"> infection </w:t>
      </w:r>
      <w:proofErr w:type="spellStart"/>
      <w:r w:rsidR="00CC1E76" w:rsidRPr="005D6F14">
        <w:rPr>
          <w:rFonts w:asciiTheme="majorHAnsi" w:hAnsiTheme="majorHAnsi" w:cstheme="majorHAnsi"/>
          <w:kern w:val="0"/>
        </w:rPr>
        <w:t>levels</w:t>
      </w:r>
      <w:proofErr w:type="spellEnd"/>
      <w:r w:rsidR="00CC1E76" w:rsidRPr="005D6F14">
        <w:rPr>
          <w:rFonts w:asciiTheme="majorHAnsi" w:hAnsiTheme="majorHAnsi" w:cstheme="majorHAnsi"/>
          <w:kern w:val="0"/>
        </w:rPr>
        <w:t xml:space="preserve"> in </w:t>
      </w:r>
      <w:proofErr w:type="spellStart"/>
      <w:r w:rsidR="00CC1E76" w:rsidRPr="005D6F14">
        <w:rPr>
          <w:rFonts w:asciiTheme="majorHAnsi" w:hAnsiTheme="majorHAnsi" w:cstheme="majorHAnsi"/>
          <w:kern w:val="0"/>
        </w:rPr>
        <w:t>Pumpkinseed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sunfish</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i/>
          <w:iCs/>
          <w:kern w:val="0"/>
        </w:rPr>
        <w:t>Lepomis</w:t>
      </w:r>
      <w:proofErr w:type="spellEnd"/>
      <w:r w:rsidR="00CC1E76" w:rsidRPr="005D6F14">
        <w:rPr>
          <w:rFonts w:asciiTheme="majorHAnsi" w:hAnsiTheme="majorHAnsi" w:cstheme="majorHAnsi"/>
          <w:i/>
          <w:iCs/>
          <w:kern w:val="0"/>
        </w:rPr>
        <w:t xml:space="preserve"> </w:t>
      </w:r>
      <w:proofErr w:type="spellStart"/>
      <w:r w:rsidR="00CC1E76" w:rsidRPr="005D6F14">
        <w:rPr>
          <w:rFonts w:asciiTheme="majorHAnsi" w:hAnsiTheme="majorHAnsi" w:cstheme="majorHAnsi"/>
          <w:i/>
          <w:iCs/>
          <w:kern w:val="0"/>
        </w:rPr>
        <w:t>gibbosus</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depending</w:t>
      </w:r>
      <w:proofErr w:type="spellEnd"/>
      <w:r w:rsidR="00CC1E76" w:rsidRPr="005D6F14">
        <w:rPr>
          <w:rFonts w:asciiTheme="majorHAnsi" w:hAnsiTheme="majorHAnsi" w:cstheme="majorHAnsi"/>
          <w:kern w:val="0"/>
        </w:rPr>
        <w:t xml:space="preserve"> on the </w:t>
      </w:r>
      <w:proofErr w:type="spellStart"/>
      <w:r w:rsidR="00CC1E76" w:rsidRPr="005D6F14">
        <w:rPr>
          <w:rFonts w:asciiTheme="majorHAnsi" w:hAnsiTheme="majorHAnsi" w:cstheme="majorHAnsi"/>
          <w:kern w:val="0"/>
        </w:rPr>
        <w:t>fishing</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method</w:t>
      </w:r>
      <w:proofErr w:type="spellEnd"/>
      <w:r w:rsidR="00CC1E76" w:rsidRPr="005D6F14">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{"citationID":"x7hxq9cf","properties":{"formattedCitation":"(Poulin, 2013)","plainCitation":"(Poulin, 2013)","dontUpdate":true,"noteIndex":0},"citationItems":[{"id":5075,"uris":["http://zotero.org/groups/2585270/items/N6WA52LD"],"itemData":{"id":5075,"type":"article-journal","abstract":"Aggregated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w:instrText>
      </w:r>
      <w:r w:rsidR="001C50FA" w:rsidRPr="00D32325">
        <w:rPr>
          <w:rFonts w:asciiTheme="majorHAnsi" w:hAnsiTheme="majorHAnsi" w:cstheme="majorHAnsi"/>
          <w:kern w:val="0"/>
          <w:lang w:val="en-US"/>
        </w:rPr>
        <w:instrText xml:space="preserve"> across all samples; the strong relationship (r2 = 0·88) indicated that aggregation levels are tightly constrained by mean infection levels, and that only a small proportion of the observed variability in parasite aggregation levels remains to be accounted for by other factors. Usin</w:instrText>
      </w:r>
      <w:r w:rsidR="001C50FA" w:rsidRPr="001C50FA">
        <w:rPr>
          <w:rFonts w:asciiTheme="majorHAnsi" w:hAnsiTheme="majorHAnsi" w:cstheme="majorHAnsi"/>
          <w:kern w:val="0"/>
          <w:lang w:val="en-US"/>
        </w:rPr>
        <w:instrText xml:space="preserve">g the residuals of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w:t>
      </w:r>
      <w:r w:rsidR="001C3E7B">
        <w:rPr>
          <w:rFonts w:asciiTheme="majorHAnsi" w:hAnsiTheme="majorHAnsi" w:cstheme="majorHAnsi"/>
          <w:kern w:val="0"/>
          <w:lang w:val="en-US"/>
        </w:rPr>
        <w:t>-</w:t>
      </w:r>
      <w:r w:rsidR="00CC1E76">
        <w:rPr>
          <w:rFonts w:asciiTheme="majorHAnsi" w:hAnsiTheme="majorHAnsi" w:cstheme="majorHAnsi"/>
          <w:kern w:val="0"/>
          <w:lang w:val="en-US"/>
        </w:rPr>
        <w:t>host sampled (sample size).</w:t>
      </w:r>
      <w:r w:rsidR="00C8680F">
        <w:rPr>
          <w:rFonts w:asciiTheme="majorHAnsi" w:hAnsiTheme="majorHAnsi" w:cstheme="majorHAnsi"/>
          <w:kern w:val="0"/>
          <w:lang w:val="en-US"/>
        </w:rPr>
        <w:t xml:space="preserve"> </w:t>
      </w:r>
      <w:commentRangeStart w:id="0"/>
      <w:r w:rsidR="005F41BD">
        <w:rPr>
          <w:rFonts w:asciiTheme="majorHAnsi" w:hAnsiTheme="majorHAnsi" w:cstheme="majorHAnsi"/>
          <w:kern w:val="0"/>
          <w:lang w:val="en-US"/>
        </w:rPr>
        <w:t>Consequently, 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commentRangeEnd w:id="0"/>
      <w:r w:rsidR="00DC6207">
        <w:rPr>
          <w:rStyle w:val="Marquedecommentaire"/>
        </w:rPr>
        <w:commentReference w:id="0"/>
      </w:r>
    </w:p>
    <w:p w14:paraId="34D29E20" w14:textId="24AE7990" w:rsidR="00DF29AC" w:rsidRDefault="00DF29AC" w:rsidP="001C3E7B">
      <w:pPr>
        <w:autoSpaceDE w:val="0"/>
        <w:autoSpaceDN w:val="0"/>
        <w:adjustRightInd w:val="0"/>
        <w:spacing w:line="360" w:lineRule="auto"/>
        <w:jc w:val="both"/>
        <w:rPr>
          <w:rFonts w:asciiTheme="majorHAnsi" w:hAnsiTheme="majorHAnsi" w:cstheme="majorHAnsi"/>
          <w:kern w:val="0"/>
          <w:lang w:val="en-US"/>
        </w:rPr>
      </w:pPr>
    </w:p>
    <w:p w14:paraId="521BD9FD" w14:textId="261E5E13" w:rsidR="001C3E7B" w:rsidRDefault="007A7D91" w:rsidP="00654456">
      <w:pPr>
        <w:autoSpaceDE w:val="0"/>
        <w:autoSpaceDN w:val="0"/>
        <w:adjustRightInd w:val="0"/>
        <w:spacing w:line="360" w:lineRule="auto"/>
        <w:ind w:firstLine="708"/>
        <w:jc w:val="both"/>
        <w:rPr>
          <w:rFonts w:asciiTheme="majorHAnsi" w:hAnsiTheme="majorHAnsi" w:cstheme="majorHAnsi"/>
          <w:kern w:val="0"/>
          <w:lang w:val="en-US"/>
        </w:rPr>
        <w:sectPr w:rsidR="001C3E7B" w:rsidSect="00752873">
          <w:pgSz w:w="12240" w:h="15840"/>
          <w:pgMar w:top="1418" w:right="1418" w:bottom="1418" w:left="1418" w:header="709" w:footer="709" w:gutter="0"/>
          <w:lnNumType w:countBy="1" w:restart="continuous"/>
          <w:cols w:space="708"/>
          <w:docGrid w:linePitch="360"/>
        </w:sectPr>
      </w:pPr>
      <w:r>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1E28FF">
        <w:rPr>
          <w:rFonts w:asciiTheme="majorHAnsi" w:hAnsiTheme="majorHAnsi" w:cstheme="majorHAnsi"/>
          <w:kern w:val="0"/>
          <w:lang w:val="en-US"/>
        </w:rPr>
        <w:t>5</w:t>
      </w:r>
      <w:r w:rsidRPr="00084F40">
        <w:rPr>
          <w:rFonts w:asciiTheme="majorHAnsi" w:hAnsiTheme="majorHAnsi" w:cstheme="majorHAnsi"/>
          <w:kern w:val="0"/>
          <w:lang w:val="en-US"/>
        </w:rPr>
        <w:t xml:space="preserve"> lakes</w:t>
      </w:r>
      <w:r>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w:t>
      </w:r>
      <w:r w:rsidR="001E28FF">
        <w:rPr>
          <w:rFonts w:asciiTheme="majorHAnsi" w:hAnsiTheme="majorHAnsi" w:cstheme="majorHAnsi"/>
          <w:kern w:val="0"/>
          <w:lang w:val="en-US"/>
        </w:rPr>
        <w:t>landscape</w:t>
      </w:r>
      <w:r w:rsidR="00123442">
        <w:rPr>
          <w:rFonts w:asciiTheme="majorHAnsi" w:hAnsiTheme="majorHAnsi" w:cstheme="majorHAnsi"/>
          <w:kern w:val="0"/>
          <w:lang w:val="en-US"/>
        </w:rPr>
        <w:t>, 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and </w:t>
      </w:r>
      <w:r w:rsidR="001E28FF">
        <w:rPr>
          <w:rFonts w:asciiTheme="majorHAnsi" w:hAnsiTheme="majorHAnsi" w:cstheme="majorHAnsi"/>
          <w:kern w:val="0"/>
          <w:lang w:val="en-US"/>
        </w:rPr>
        <w:t>site</w:t>
      </w:r>
      <w:r w:rsidR="00123442">
        <w:rPr>
          <w:rFonts w:asciiTheme="majorHAnsi" w:hAnsiTheme="majorHAnsi" w:cstheme="majorHAnsi"/>
          <w:kern w:val="0"/>
          <w:lang w:val="en-US"/>
        </w:rPr>
        <w:t xml:space="preserve">-scale) </w:t>
      </w:r>
      <w:r w:rsidR="006806A0">
        <w:rPr>
          <w:rFonts w:asciiTheme="majorHAnsi" w:hAnsiTheme="majorHAnsi" w:cstheme="majorHAnsi"/>
          <w:kern w:val="0"/>
          <w:lang w:val="en-US"/>
        </w:rPr>
        <w:t>in 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Pr="001E28FF">
        <w:rPr>
          <w:rFonts w:asciiTheme="majorHAnsi" w:hAnsiTheme="majorHAnsi" w:cstheme="majorHAnsi"/>
          <w:kern w:val="0"/>
          <w:lang w:val="en-US"/>
        </w:rPr>
        <w:t>(</w:t>
      </w:r>
      <w:proofErr w:type="spellStart"/>
      <w:r w:rsidR="00084F40" w:rsidRPr="001E28FF">
        <w:rPr>
          <w:rFonts w:asciiTheme="majorHAnsi" w:hAnsiTheme="majorHAnsi" w:cstheme="majorHAnsi"/>
          <w:kern w:val="0"/>
          <w:lang w:val="en-US"/>
        </w:rPr>
        <w:t>i</w:t>
      </w:r>
      <w:proofErr w:type="spellEnd"/>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Pr>
          <w:rFonts w:asciiTheme="majorHAnsi" w:hAnsiTheme="majorHAnsi" w:cstheme="majorHAnsi"/>
          <w:kern w:val="0"/>
          <w:lang w:val="en-US"/>
        </w:rPr>
        <w:t xml:space="preserve">effect of </w:t>
      </w:r>
      <w:r w:rsidR="001E28FF">
        <w:rPr>
          <w:rFonts w:asciiTheme="majorHAnsi" w:hAnsiTheme="majorHAnsi" w:cstheme="majorHAnsi"/>
          <w:kern w:val="0"/>
          <w:lang w:val="en-US"/>
        </w:rPr>
        <w:t xml:space="preserve">increasing </w:t>
      </w:r>
      <w:r>
        <w:rPr>
          <w:rFonts w:asciiTheme="majorHAnsi" w:hAnsiTheme="majorHAnsi" w:cstheme="majorHAnsi"/>
          <w:kern w:val="0"/>
          <w:lang w:val="en-US"/>
        </w:rPr>
        <w:t xml:space="preserve">sampling </w:t>
      </w:r>
      <w:r w:rsidR="00D80D35">
        <w:rPr>
          <w:rFonts w:asciiTheme="majorHAnsi" w:hAnsiTheme="majorHAnsi" w:cstheme="majorHAnsi"/>
          <w:kern w:val="0"/>
          <w:lang w:val="en-US"/>
        </w:rPr>
        <w:t xml:space="preserve">effort </w:t>
      </w:r>
      <w:r>
        <w:rPr>
          <w:rFonts w:asciiTheme="majorHAnsi" w:hAnsiTheme="majorHAnsi" w:cstheme="majorHAnsi"/>
          <w:kern w:val="0"/>
          <w:lang w:val="en-US"/>
        </w:rPr>
        <w:t xml:space="preserve">on </w:t>
      </w:r>
      <w:r w:rsidR="001E28FF">
        <w:rPr>
          <w:rFonts w:asciiTheme="majorHAnsi" w:hAnsiTheme="majorHAnsi" w:cstheme="majorHAnsi"/>
          <w:kern w:val="0"/>
          <w:lang w:val="en-US"/>
        </w:rPr>
        <w:t>landscape</w:t>
      </w:r>
      <w:r w:rsidR="00123442">
        <w:rPr>
          <w:rFonts w:asciiTheme="majorHAnsi" w:hAnsiTheme="majorHAnsi" w:cstheme="majorHAnsi"/>
          <w:kern w:val="0"/>
          <w:lang w:val="en-US"/>
        </w:rPr>
        <w:t xml:space="preserve"> </w:t>
      </w:r>
      <w:r>
        <w:rPr>
          <w:rFonts w:asciiTheme="majorHAnsi" w:hAnsiTheme="majorHAnsi" w:cstheme="majorHAnsi"/>
          <w:kern w:val="0"/>
          <w:lang w:val="en-US"/>
        </w:rPr>
        <w:t>prevalence estimation</w:t>
      </w:r>
      <w:r w:rsidR="001E28FF">
        <w:rPr>
          <w:rFonts w:asciiTheme="majorHAnsi" w:hAnsiTheme="majorHAnsi" w:cstheme="majorHAnsi"/>
          <w:kern w:val="0"/>
          <w:lang w:val="en-US"/>
        </w:rPr>
        <w:t xml:space="preserve"> </w:t>
      </w:r>
      <w:r w:rsidR="0046207B">
        <w:rPr>
          <w:rFonts w:asciiTheme="majorHAnsi" w:hAnsiTheme="majorHAnsi" w:cstheme="majorHAnsi"/>
          <w:kern w:val="0"/>
          <w:lang w:val="en-US"/>
        </w:rPr>
        <w:t>(random resampling accumulation curves)</w:t>
      </w:r>
      <w:r w:rsidR="00241DED">
        <w:rPr>
          <w:rFonts w:asciiTheme="majorHAnsi" w:hAnsiTheme="majorHAnsi" w:cstheme="majorHAnsi"/>
          <w:kern w:val="0"/>
          <w:lang w:val="en-US"/>
        </w:rPr>
        <w:t xml:space="preserve"> through different sampling methods</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w:t>
      </w:r>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w:t>
      </w:r>
      <w:r>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w:t>
      </w:r>
      <w:r w:rsidR="001E28FF">
        <w:rPr>
          <w:rFonts w:asciiTheme="majorHAnsi" w:hAnsiTheme="majorHAnsi" w:cstheme="majorHAnsi"/>
          <w:kern w:val="0"/>
          <w:lang w:val="en-US"/>
        </w:rPr>
        <w:t>es across the landscape</w:t>
      </w:r>
      <w:r w:rsidR="00123442">
        <w:rPr>
          <w:rFonts w:asciiTheme="majorHAnsi" w:hAnsiTheme="majorHAnsi" w:cstheme="majorHAnsi"/>
          <w:kern w:val="0"/>
          <w:lang w:val="en-US"/>
        </w:rPr>
        <w:t xml:space="preserve"> and</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iii</w:t>
      </w:r>
      <w:r w:rsidRPr="001E28FF">
        <w:rPr>
          <w:rFonts w:asciiTheme="majorHAnsi" w:hAnsiTheme="majorHAnsi" w:cstheme="majorHAnsi"/>
          <w:kern w:val="0"/>
          <w:lang w:val="en-US"/>
        </w:rPr>
        <w:t>)</w:t>
      </w:r>
      <w:r>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Pr>
          <w:rFonts w:asciiTheme="majorHAnsi" w:hAnsiTheme="majorHAnsi" w:cstheme="majorHAnsi"/>
          <w:kern w:val="0"/>
          <w:lang w:val="en-US"/>
        </w:rPr>
        <w:t xml:space="preserve">For </w:t>
      </w:r>
      <w:r w:rsidR="001E28FF">
        <w:rPr>
          <w:rFonts w:asciiTheme="majorHAnsi" w:hAnsiTheme="majorHAnsi" w:cstheme="majorHAnsi"/>
          <w:kern w:val="0"/>
          <w:lang w:val="en-US"/>
        </w:rPr>
        <w:t>landscape-</w:t>
      </w:r>
      <w:r>
        <w:rPr>
          <w:rFonts w:asciiTheme="majorHAnsi" w:hAnsiTheme="majorHAnsi" w:cstheme="majorHAnsi"/>
          <w:kern w:val="0"/>
          <w:lang w:val="en-US"/>
        </w:rPr>
        <w:t>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Pr>
          <w:rFonts w:asciiTheme="majorHAnsi" w:hAnsiTheme="majorHAnsi" w:cstheme="majorHAnsi"/>
          <w:kern w:val="0"/>
          <w:lang w:val="en-US"/>
        </w:rPr>
        <w:t xml:space="preserve">lakes. This approach allows us to compare </w:t>
      </w:r>
      <w:r>
        <w:rPr>
          <w:rFonts w:asciiTheme="majorHAnsi" w:hAnsiTheme="majorHAnsi" w:cstheme="majorHAnsi"/>
          <w:kern w:val="0"/>
          <w:lang w:val="en-US"/>
        </w:rPr>
        <w:lastRenderedPageBreak/>
        <w:t>regional-scale prevalence estimates (and associated variance) among different sampling methods along a gradient of increasing sampling effort (or area sampled)</w:t>
      </w:r>
      <w:r w:rsidR="001E28FF">
        <w:rPr>
          <w:rFonts w:asciiTheme="majorHAnsi" w:hAnsiTheme="majorHAnsi" w:cstheme="majorHAnsi"/>
          <w:kern w:val="0"/>
          <w:lang w:val="en-US"/>
        </w:rPr>
        <w:t xml:space="preserve"> </w:t>
      </w:r>
      <w:proofErr w:type="gramStart"/>
      <w:r w:rsidR="001E28FF">
        <w:rPr>
          <w:rFonts w:asciiTheme="majorHAnsi" w:hAnsiTheme="majorHAnsi" w:cstheme="majorHAnsi"/>
          <w:kern w:val="0"/>
          <w:lang w:val="en-US"/>
        </w:rPr>
        <w:t>in order to</w:t>
      </w:r>
      <w:proofErr w:type="gramEnd"/>
      <w:r w:rsidR="001E28FF">
        <w:rPr>
          <w:rFonts w:asciiTheme="majorHAnsi" w:hAnsiTheme="majorHAnsi" w:cstheme="majorHAnsi"/>
          <w:kern w:val="0"/>
          <w:lang w:val="en-US"/>
        </w:rPr>
        <w:t xml:space="preserve"> </w:t>
      </w:r>
      <w:r w:rsidR="001C3E7B">
        <w:rPr>
          <w:rFonts w:asciiTheme="majorHAnsi" w:hAnsiTheme="majorHAnsi" w:cstheme="majorHAnsi"/>
          <w:kern w:val="0"/>
          <w:lang w:val="en-US"/>
        </w:rPr>
        <w:t>evaluate the number of samples needed to correctly estimate the landscape prevalence</w:t>
      </w:r>
      <w:r>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w:t>
      </w:r>
      <w:r w:rsidR="001C3E7B">
        <w:rPr>
          <w:rFonts w:asciiTheme="majorHAnsi" w:hAnsiTheme="majorHAnsi" w:cstheme="majorHAnsi"/>
          <w:kern w:val="0"/>
          <w:lang w:val="en-US"/>
        </w:rPr>
        <w:t>ake</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Pr>
          <w:rFonts w:asciiTheme="majorHAnsi" w:hAnsiTheme="majorHAnsi" w:cstheme="majorHAnsi"/>
          <w:kern w:val="0"/>
          <w:lang w:val="en-US"/>
        </w:rPr>
        <w:t xml:space="preserve">to understand the observed </w:t>
      </w:r>
      <w:r w:rsidR="001C3E7B">
        <w:rPr>
          <w:rFonts w:asciiTheme="majorHAnsi" w:hAnsiTheme="majorHAnsi" w:cstheme="majorHAnsi"/>
          <w:kern w:val="0"/>
          <w:lang w:val="en-US"/>
        </w:rPr>
        <w:t>site</w:t>
      </w:r>
      <w:r w:rsidR="00E06487">
        <w:rPr>
          <w:rFonts w:asciiTheme="majorHAnsi" w:hAnsiTheme="majorHAnsi" w:cstheme="majorHAnsi"/>
          <w:kern w:val="0"/>
          <w:lang w:val="en-US"/>
        </w:rPr>
        <w:t xml:space="preserve">-scale </w:t>
      </w:r>
      <w:r>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p>
    <w:p w14:paraId="641C282C" w14:textId="368D0907" w:rsidR="001C50FA" w:rsidRPr="001C3E7B" w:rsidRDefault="00F13F57" w:rsidP="001C3E7B">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rPr>
        <w:lastRenderedPageBreak/>
        <w:fldChar w:fldCharType="begin"/>
      </w:r>
      <w:r w:rsidR="00C8680F" w:rsidRPr="001C3E7B">
        <w:rPr>
          <w:rFonts w:asciiTheme="majorHAnsi" w:hAnsiTheme="majorHAnsi" w:cstheme="majorHAnsi"/>
          <w:lang w:val="en-US"/>
        </w:rPr>
        <w:instrText xml:space="preserve"> ADDIN ZOTERO_BIBL {"uncited":[],"omitted":[],"custom":[]} CSL_BIBLIOGRAPHY </w:instrText>
      </w:r>
      <w:r w:rsidRPr="001C3E7B">
        <w:rPr>
          <w:rFonts w:asciiTheme="majorHAnsi" w:hAnsiTheme="majorHAnsi" w:cstheme="majorHAnsi"/>
        </w:rPr>
        <w:fldChar w:fldCharType="separate"/>
      </w:r>
      <w:r w:rsidR="001C50FA" w:rsidRPr="001C3E7B">
        <w:rPr>
          <w:rFonts w:asciiTheme="majorHAnsi" w:hAnsiTheme="majorHAnsi" w:cstheme="majorHAnsi"/>
          <w:kern w:val="0"/>
          <w:lang w:val="en-US"/>
        </w:rPr>
        <w:t xml:space="preserve">Ahn, S., &amp; Goater, C. P. (2021). Nonhost species reduce parasite infection in a focal host species within experimental fish communities. </w:t>
      </w:r>
      <w:r w:rsidR="001C50FA" w:rsidRPr="001C3E7B">
        <w:rPr>
          <w:rFonts w:asciiTheme="majorHAnsi" w:hAnsiTheme="majorHAnsi" w:cstheme="majorHAnsi"/>
          <w:i/>
          <w:iCs/>
          <w:kern w:val="0"/>
          <w:lang w:val="en-US"/>
        </w:rPr>
        <w:t>Ecology and Evolution</w:t>
      </w:r>
      <w:r w:rsidR="001C50FA" w:rsidRPr="001C3E7B">
        <w:rPr>
          <w:rFonts w:asciiTheme="majorHAnsi" w:hAnsiTheme="majorHAnsi" w:cstheme="majorHAnsi"/>
          <w:kern w:val="0"/>
          <w:lang w:val="en-US"/>
        </w:rPr>
        <w:t xml:space="preserve">, </w:t>
      </w:r>
      <w:r w:rsidR="001C50FA" w:rsidRPr="001C3E7B">
        <w:rPr>
          <w:rFonts w:asciiTheme="majorHAnsi" w:hAnsiTheme="majorHAnsi" w:cstheme="majorHAnsi"/>
          <w:i/>
          <w:iCs/>
          <w:kern w:val="0"/>
          <w:lang w:val="en-US"/>
        </w:rPr>
        <w:t>11</w:t>
      </w:r>
      <w:r w:rsidR="001C50FA" w:rsidRPr="001C3E7B">
        <w:rPr>
          <w:rFonts w:asciiTheme="majorHAnsi" w:hAnsiTheme="majorHAnsi" w:cstheme="majorHAnsi"/>
          <w:kern w:val="0"/>
          <w:lang w:val="en-US"/>
        </w:rPr>
        <w:t>(15), 10155</w:t>
      </w:r>
      <w:r w:rsidR="001C50FA" w:rsidRPr="001C3E7B">
        <w:rPr>
          <w:rFonts w:ascii="Cambria Math" w:hAnsi="Cambria Math" w:cs="Cambria Math"/>
          <w:kern w:val="0"/>
          <w:lang w:val="en-US"/>
        </w:rPr>
        <w:t>‑</w:t>
      </w:r>
      <w:r w:rsidR="001C50FA" w:rsidRPr="001C3E7B">
        <w:rPr>
          <w:rFonts w:asciiTheme="majorHAnsi" w:hAnsiTheme="majorHAnsi" w:cstheme="majorHAnsi"/>
          <w:kern w:val="0"/>
          <w:lang w:val="en-US"/>
        </w:rPr>
        <w:t>10163. https://doi.org/10.1002/ece3.7823</w:t>
      </w:r>
    </w:p>
    <w:p w14:paraId="273E1CB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Altman, I., &amp; Byers, J. E. (2014). Large-scale spatial variation in parasite communities influenced by anthropogenic factors.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95</w:t>
      </w:r>
      <w:r w:rsidRPr="001C3E7B">
        <w:rPr>
          <w:rFonts w:asciiTheme="majorHAnsi" w:hAnsiTheme="majorHAnsi" w:cstheme="majorHAnsi"/>
          <w:kern w:val="0"/>
          <w:lang w:val="en-US"/>
        </w:rPr>
        <w:t>(7), 1876</w:t>
      </w:r>
      <w:r w:rsidRPr="001C3E7B">
        <w:rPr>
          <w:rFonts w:ascii="Cambria Math" w:hAnsi="Cambria Math" w:cs="Cambria Math"/>
          <w:kern w:val="0"/>
          <w:lang w:val="en-US"/>
        </w:rPr>
        <w:t>‑</w:t>
      </w:r>
      <w:r w:rsidRPr="001C3E7B">
        <w:rPr>
          <w:rFonts w:asciiTheme="majorHAnsi" w:hAnsiTheme="majorHAnsi" w:cstheme="majorHAnsi"/>
          <w:kern w:val="0"/>
          <w:lang w:val="en-US"/>
        </w:rPr>
        <w:t>1887. https://doi.org/10.1890/13-0509.1</w:t>
      </w:r>
    </w:p>
    <w:p w14:paraId="14E1691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Barber, I., Hoare, D., &amp; Krause, J. (2000). Effects of parasites on fish behaviour : A review and evolutionary perspective. </w:t>
      </w:r>
      <w:r w:rsidRPr="001C3E7B">
        <w:rPr>
          <w:rFonts w:asciiTheme="majorHAnsi" w:hAnsiTheme="majorHAnsi" w:cstheme="majorHAnsi"/>
          <w:i/>
          <w:iCs/>
          <w:kern w:val="0"/>
          <w:lang w:val="en-US"/>
        </w:rPr>
        <w:t>Reviews in Fish Biology and Fisheries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(2), 131</w:t>
      </w:r>
      <w:r w:rsidRPr="001C3E7B">
        <w:rPr>
          <w:rFonts w:ascii="Cambria Math" w:hAnsi="Cambria Math" w:cs="Cambria Math"/>
          <w:kern w:val="0"/>
          <w:lang w:val="en-US"/>
        </w:rPr>
        <w:t>‑</w:t>
      </w:r>
      <w:r w:rsidRPr="001C3E7B">
        <w:rPr>
          <w:rFonts w:asciiTheme="majorHAnsi" w:hAnsiTheme="majorHAnsi" w:cstheme="majorHAnsi"/>
          <w:kern w:val="0"/>
          <w:lang w:val="en-US"/>
        </w:rPr>
        <w:t>165. https://doi.org/10.1023/A:1016658224470</w:t>
      </w:r>
    </w:p>
    <w:p w14:paraId="26883B9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Bielby, J., Price, S. J., Monsalve-CarcaÑo, C., &amp; Bosch, J. (2021). Host contribution to parasite persistence is consistent between parasites and over time, but varies spatially. </w:t>
      </w:r>
      <w:r w:rsidRPr="001C3E7B">
        <w:rPr>
          <w:rFonts w:asciiTheme="majorHAnsi" w:hAnsiTheme="majorHAnsi" w:cstheme="majorHAnsi"/>
          <w:i/>
          <w:iCs/>
          <w:kern w:val="0"/>
          <w:lang w:val="en-US"/>
        </w:rPr>
        <w:t>Ecological Applications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31</w:t>
      </w:r>
      <w:r w:rsidRPr="001C3E7B">
        <w:rPr>
          <w:rFonts w:asciiTheme="majorHAnsi" w:hAnsiTheme="majorHAnsi" w:cstheme="majorHAnsi"/>
          <w:kern w:val="0"/>
          <w:lang w:val="en-US"/>
        </w:rPr>
        <w:t>(3), e02256. https://doi.org/10.1002/eap.2256</w:t>
      </w:r>
    </w:p>
    <w:p w14:paraId="5362F33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Dingemanse, N. J. (2009). Sampling bias resulting from animal personality.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24</w:t>
      </w:r>
      <w:r w:rsidRPr="001C3E7B">
        <w:rPr>
          <w:rFonts w:asciiTheme="majorHAnsi" w:hAnsiTheme="majorHAnsi" w:cstheme="majorHAnsi"/>
          <w:kern w:val="0"/>
          <w:lang w:val="en-US"/>
        </w:rPr>
        <w:t>(2), 66</w:t>
      </w:r>
      <w:r w:rsidRPr="001C3E7B">
        <w:rPr>
          <w:rFonts w:ascii="Cambria Math" w:hAnsi="Cambria Math" w:cs="Cambria Math"/>
          <w:kern w:val="0"/>
          <w:lang w:val="en-US"/>
        </w:rPr>
        <w:t>‑</w:t>
      </w:r>
      <w:r w:rsidRPr="001C3E7B">
        <w:rPr>
          <w:rFonts w:asciiTheme="majorHAnsi" w:hAnsiTheme="majorHAnsi" w:cstheme="majorHAnsi"/>
          <w:kern w:val="0"/>
          <w:lang w:val="en-US"/>
        </w:rPr>
        <w:t>67. https://doi.org/10.1016/j.tree.2008.11.001</w:t>
      </w:r>
    </w:p>
    <w:p w14:paraId="161932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Post, J. R. (2008). Rapid depletion of genotypes with fast growth and bold personality traits from harvested fish populations. </w:t>
      </w:r>
      <w:r w:rsidRPr="001C3E7B">
        <w:rPr>
          <w:rFonts w:asciiTheme="majorHAnsi" w:hAnsiTheme="majorHAnsi" w:cstheme="majorHAnsi"/>
          <w:i/>
          <w:iCs/>
          <w:kern w:val="0"/>
          <w:lang w:val="en-US"/>
        </w:rPr>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105</w:t>
      </w:r>
      <w:r w:rsidRPr="001C3E7B">
        <w:rPr>
          <w:rFonts w:asciiTheme="majorHAnsi" w:hAnsiTheme="majorHAnsi" w:cstheme="majorHAnsi"/>
          <w:kern w:val="0"/>
          <w:lang w:val="en-US"/>
        </w:rPr>
        <w:t>(8), 2919</w:t>
      </w:r>
      <w:r w:rsidRPr="001C3E7B">
        <w:rPr>
          <w:rFonts w:ascii="Cambria Math" w:hAnsi="Cambria Math" w:cs="Cambria Math"/>
          <w:kern w:val="0"/>
          <w:lang w:val="en-US"/>
        </w:rPr>
        <w:t>‑</w:t>
      </w:r>
      <w:r w:rsidRPr="001C3E7B">
        <w:rPr>
          <w:rFonts w:asciiTheme="majorHAnsi" w:hAnsiTheme="majorHAnsi" w:cstheme="majorHAnsi"/>
          <w:kern w:val="0"/>
          <w:lang w:val="en-US"/>
        </w:rPr>
        <w:t>2922. https://doi.org/10.1073/pnas.0708159105</w:t>
      </w:r>
    </w:p>
    <w:p w14:paraId="5FC2FB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Blasco-Costa, I., Rouco, C., &amp; Poulin, R. (2015). Biogeography of parasitism in freshwater fish : Spatial patterns in hot spots of infection.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301</w:t>
      </w:r>
      <w:r w:rsidRPr="001C3E7B">
        <w:rPr>
          <w:rFonts w:ascii="Cambria Math" w:hAnsi="Cambria Math" w:cs="Cambria Math"/>
          <w:kern w:val="0"/>
          <w:lang w:val="en-US"/>
        </w:rPr>
        <w:t>‑</w:t>
      </w:r>
      <w:r w:rsidRPr="001C3E7B">
        <w:rPr>
          <w:rFonts w:asciiTheme="majorHAnsi" w:hAnsiTheme="majorHAnsi" w:cstheme="majorHAnsi"/>
          <w:kern w:val="0"/>
          <w:lang w:val="en-US"/>
        </w:rPr>
        <w:t>310. https://doi.org/10.1111/ecog.01020</w:t>
      </w:r>
    </w:p>
    <w:p w14:paraId="5640A5D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Bolnick, D. I., Resetarits, E. J., Ballare, K., Stuart, Y. E., &amp; Stutz, W. E. (2020). Scale-dependent effects of host patch traits on species composition in a stickleback parasite metacommunity.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101</w:t>
      </w:r>
      <w:r w:rsidRPr="001C3E7B">
        <w:rPr>
          <w:rFonts w:asciiTheme="majorHAnsi" w:hAnsiTheme="majorHAnsi" w:cstheme="majorHAnsi"/>
          <w:kern w:val="0"/>
          <w:lang w:val="en-US"/>
        </w:rPr>
        <w:t>(12), e03181. https://doi.org/10.1002/ecy.3181</w:t>
      </w:r>
    </w:p>
    <w:p w14:paraId="09268EE2"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Brooks, D. R., &amp; Hoberg, E. P. (2007). How will global climate change affect parasite–host assemblages? </w:t>
      </w:r>
      <w:r w:rsidRPr="001C3E7B">
        <w:rPr>
          <w:rFonts w:asciiTheme="majorHAnsi" w:hAnsiTheme="majorHAnsi" w:cstheme="majorHAnsi"/>
          <w:i/>
          <w:iCs/>
          <w:kern w:val="0"/>
          <w:lang w:val="en-US"/>
        </w:rPr>
        <w:t>Trends in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23</w:t>
      </w:r>
      <w:r w:rsidRPr="001C3E7B">
        <w:rPr>
          <w:rFonts w:asciiTheme="majorHAnsi" w:hAnsiTheme="majorHAnsi" w:cstheme="majorHAnsi"/>
          <w:kern w:val="0"/>
          <w:lang w:val="en-US"/>
        </w:rPr>
        <w:t>(12), 571</w:t>
      </w:r>
      <w:r w:rsidRPr="001C3E7B">
        <w:rPr>
          <w:rFonts w:ascii="Cambria Math" w:hAnsi="Cambria Math" w:cs="Cambria Math"/>
          <w:kern w:val="0"/>
          <w:lang w:val="en-US"/>
        </w:rPr>
        <w:t>‑</w:t>
      </w:r>
      <w:r w:rsidRPr="001C3E7B">
        <w:rPr>
          <w:rFonts w:asciiTheme="majorHAnsi" w:hAnsiTheme="majorHAnsi" w:cstheme="majorHAnsi"/>
          <w:kern w:val="0"/>
          <w:lang w:val="en-US"/>
        </w:rPr>
        <w:t>574. https://doi.org/10.1016/j.pt.2007.08.016</w:t>
      </w:r>
    </w:p>
    <w:p w14:paraId="274437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Buck, J. C., &amp; Lutterschmidt, W. I. (2017). Parasite abundance decreases with host density : Evidence of the encounter-dilution effect for a parasite with a complex life cycle.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784</w:t>
      </w:r>
      <w:r w:rsidRPr="001C3E7B">
        <w:rPr>
          <w:rFonts w:asciiTheme="majorHAnsi" w:hAnsiTheme="majorHAnsi" w:cstheme="majorHAnsi"/>
          <w:kern w:val="0"/>
          <w:lang w:val="en-US"/>
        </w:rPr>
        <w:t>(1), 201</w:t>
      </w:r>
      <w:r w:rsidRPr="001C3E7B">
        <w:rPr>
          <w:rFonts w:ascii="Cambria Math" w:hAnsi="Cambria Math" w:cs="Cambria Math"/>
          <w:kern w:val="0"/>
          <w:lang w:val="en-US"/>
        </w:rPr>
        <w:t>‑</w:t>
      </w:r>
      <w:r w:rsidRPr="001C3E7B">
        <w:rPr>
          <w:rFonts w:asciiTheme="majorHAnsi" w:hAnsiTheme="majorHAnsi" w:cstheme="majorHAnsi"/>
          <w:kern w:val="0"/>
          <w:lang w:val="en-US"/>
        </w:rPr>
        <w:t>210. https://doi.org/10.1007/s10750-016-2874-8</w:t>
      </w:r>
    </w:p>
    <w:p w14:paraId="7F21CE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Bush, A. O., Lafferty, K. D., Lotz, J. M., &amp; Shostak, A. W. (1997). Parasitology meets ecology on its own terms : Margolis et al. revisited. </w:t>
      </w:r>
      <w:r w:rsidRPr="001C3E7B">
        <w:rPr>
          <w:rFonts w:asciiTheme="majorHAnsi" w:hAnsiTheme="majorHAnsi" w:cstheme="majorHAnsi"/>
          <w:i/>
          <w:iCs/>
          <w:kern w:val="0"/>
          <w:lang w:val="en-US"/>
        </w:rPr>
        <w:t>The 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83</w:t>
      </w:r>
      <w:r w:rsidRPr="001C3E7B">
        <w:rPr>
          <w:rFonts w:asciiTheme="majorHAnsi" w:hAnsiTheme="majorHAnsi" w:cstheme="majorHAnsi"/>
          <w:kern w:val="0"/>
          <w:lang w:val="en-US"/>
        </w:rPr>
        <w:t>(4), 575</w:t>
      </w:r>
      <w:r w:rsidRPr="001C3E7B">
        <w:rPr>
          <w:rFonts w:ascii="Cambria Math" w:hAnsi="Cambria Math" w:cs="Cambria Math"/>
          <w:kern w:val="0"/>
          <w:lang w:val="en-US"/>
        </w:rPr>
        <w:t>‑</w:t>
      </w:r>
      <w:r w:rsidRPr="001C3E7B">
        <w:rPr>
          <w:rFonts w:asciiTheme="majorHAnsi" w:hAnsiTheme="majorHAnsi" w:cstheme="majorHAnsi"/>
          <w:kern w:val="0"/>
          <w:lang w:val="en-US"/>
        </w:rPr>
        <w:t>583.</w:t>
      </w:r>
    </w:p>
    <w:p w14:paraId="4EF210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Cable, J., Barber, I., Boag, B., Ellison, A. R., Morgan, E. R., Murray, K., Pascoe, E. L., Sait, S. M., Wilson, A. J., &amp; Booth, M. (2017). Global change, parasite transmission and disease control : Lessons from ecology.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372</w:t>
      </w:r>
      <w:r w:rsidRPr="001C3E7B">
        <w:rPr>
          <w:rFonts w:asciiTheme="majorHAnsi" w:hAnsiTheme="majorHAnsi" w:cstheme="majorHAnsi"/>
          <w:kern w:val="0"/>
          <w:lang w:val="en-US"/>
        </w:rPr>
        <w:t>(1719), 20160088. https://doi.org/10.1098/rstb.2016.0088</w:t>
      </w:r>
    </w:p>
    <w:p w14:paraId="3765EDC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Carlson, C. J., Hopkins, S., Bell, K. C., Doña, J., Godfrey, S. S., Kwak, M. L., Lafferty, K. D., Moir, M. L., Speer, K. A., Strona, G., Torchin, M., &amp; Wood, C. L. (2020). A global parasite conservation plan. </w:t>
      </w:r>
      <w:r w:rsidRPr="001C3E7B">
        <w:rPr>
          <w:rFonts w:asciiTheme="majorHAnsi" w:hAnsiTheme="majorHAnsi" w:cstheme="majorHAnsi"/>
          <w:i/>
          <w:iCs/>
          <w:kern w:val="0"/>
          <w:lang w:val="en-US"/>
        </w:rPr>
        <w:t>Biological Conservation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250</w:t>
      </w:r>
      <w:r w:rsidRPr="001C3E7B">
        <w:rPr>
          <w:rFonts w:asciiTheme="majorHAnsi" w:hAnsiTheme="majorHAnsi" w:cstheme="majorHAnsi"/>
          <w:kern w:val="0"/>
          <w:lang w:val="en-US"/>
        </w:rPr>
        <w:t>, 108596. https://doi.org/10.1016/j.biocon.2020.108596</w:t>
      </w:r>
    </w:p>
    <w:p w14:paraId="5C5F70D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Carney, J. P., &amp; Dick, T. A. (2000). Helminth communities of yellow perch (Perca flavescens (Mitchill)) : Determinants of pattern.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w:t>
      </w:r>
      <w:r w:rsidRPr="001C3E7B">
        <w:rPr>
          <w:rFonts w:asciiTheme="majorHAnsi" w:hAnsiTheme="majorHAnsi" w:cstheme="majorHAnsi"/>
          <w:kern w:val="0"/>
          <w:lang w:val="en-US"/>
        </w:rPr>
        <w:t>(4), 538</w:t>
      </w:r>
      <w:r w:rsidRPr="001C3E7B">
        <w:rPr>
          <w:rFonts w:ascii="Cambria Math" w:hAnsi="Cambria Math" w:cs="Cambria Math"/>
          <w:kern w:val="0"/>
          <w:lang w:val="en-US"/>
        </w:rPr>
        <w:t>‑</w:t>
      </w:r>
      <w:r w:rsidRPr="001C3E7B">
        <w:rPr>
          <w:rFonts w:asciiTheme="majorHAnsi" w:hAnsiTheme="majorHAnsi" w:cstheme="majorHAnsi"/>
          <w:kern w:val="0"/>
          <w:lang w:val="en-US"/>
        </w:rPr>
        <w:t>555. https://doi.org/10.1139/z99-222</w:t>
      </w:r>
    </w:p>
    <w:p w14:paraId="5478AC8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Civitello, D. J., Cohen, J., Fatima, H., Halstead, N. T., Liriano, J., McMahon, T. A., Ortega, C. N., Sauer, E. L., Sehgal, T., Young, S., &amp; Rohr, J. R. (2015). Biodiversity inhibits parasites : Broad evidence for the dilution effect.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112</w:t>
      </w:r>
      <w:r w:rsidRPr="001C3E7B">
        <w:rPr>
          <w:rFonts w:asciiTheme="majorHAnsi" w:hAnsiTheme="majorHAnsi" w:cstheme="majorHAnsi"/>
          <w:kern w:val="0"/>
          <w:lang w:val="en-US"/>
        </w:rPr>
        <w:t>(28), 8667</w:t>
      </w:r>
      <w:r w:rsidRPr="001C3E7B">
        <w:rPr>
          <w:rFonts w:ascii="Cambria Math" w:hAnsi="Cambria Math" w:cs="Cambria Math"/>
          <w:kern w:val="0"/>
          <w:lang w:val="en-US"/>
        </w:rPr>
        <w:t>‑</w:t>
      </w:r>
      <w:r w:rsidRPr="001C3E7B">
        <w:rPr>
          <w:rFonts w:asciiTheme="majorHAnsi" w:hAnsiTheme="majorHAnsi" w:cstheme="majorHAnsi"/>
          <w:kern w:val="0"/>
          <w:lang w:val="en-US"/>
        </w:rPr>
        <w:t>8671. https://doi.org/10.1073/pnas.1506279112</w:t>
      </w:r>
    </w:p>
    <w:p w14:paraId="347F179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Cohen, J. M., Civitello, D. J., Brace, A. J., Feichtinger, E. M., Ortega, C. N., Richardson, J. C., Sauer, E. L., Liu, X., &amp; Rohr, J. R. (2016). Spatial scale modulates the strength of ecological processes driving disease distributions.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113</w:t>
      </w:r>
      <w:r w:rsidRPr="001C3E7B">
        <w:rPr>
          <w:rFonts w:asciiTheme="majorHAnsi" w:hAnsiTheme="majorHAnsi" w:cstheme="majorHAnsi"/>
          <w:kern w:val="0"/>
          <w:lang w:val="en-US"/>
        </w:rPr>
        <w:t>(24), E3359</w:t>
      </w:r>
      <w:r w:rsidRPr="001C3E7B">
        <w:rPr>
          <w:rFonts w:ascii="Cambria Math" w:hAnsi="Cambria Math" w:cs="Cambria Math"/>
          <w:kern w:val="0"/>
          <w:lang w:val="en-US"/>
        </w:rPr>
        <w:t>‑</w:t>
      </w:r>
      <w:r w:rsidRPr="001C3E7B">
        <w:rPr>
          <w:rFonts w:asciiTheme="majorHAnsi" w:hAnsiTheme="majorHAnsi" w:cstheme="majorHAnsi"/>
          <w:kern w:val="0"/>
          <w:lang w:val="en-US"/>
        </w:rPr>
        <w:t>E3364. https://doi.org/10.1073/pnas.1521657113</w:t>
      </w:r>
    </w:p>
    <w:p w14:paraId="0AB8312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Dargent, F., Torres-Dowdall, J., Scott, M. E., Ramnarine, I., &amp; Fussmann, G. F. (2013). Can Mixed-Species Groups Reduce Individual Parasite Load? A Field Test with Two Closely Related Poeciliid Fishes (Poecilia reticulata and Poecilia picta). </w:t>
      </w:r>
      <w:r w:rsidRPr="001C3E7B">
        <w:rPr>
          <w:rFonts w:asciiTheme="majorHAnsi" w:hAnsiTheme="majorHAnsi" w:cstheme="majorHAnsi"/>
          <w:i/>
          <w:iCs/>
          <w:kern w:val="0"/>
          <w:lang w:val="en-US"/>
        </w:rPr>
        <w:t>PLoS ONE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w:t>
      </w:r>
      <w:r w:rsidRPr="001C3E7B">
        <w:rPr>
          <w:rFonts w:asciiTheme="majorHAnsi" w:hAnsiTheme="majorHAnsi" w:cstheme="majorHAnsi"/>
          <w:kern w:val="0"/>
          <w:lang w:val="en-US"/>
        </w:rPr>
        <w:t>(2), e56789. https://doi.org/10.1371/journal.pone.0056789</w:t>
      </w:r>
    </w:p>
    <w:p w14:paraId="57427B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Dobson, A. P., &amp; Hudson, P. J. (1986). Parasites, disease and the structure of ecological communities.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(1), 11</w:t>
      </w:r>
      <w:r w:rsidRPr="001C3E7B">
        <w:rPr>
          <w:rFonts w:ascii="Cambria Math" w:hAnsi="Cambria Math" w:cs="Cambria Math"/>
          <w:kern w:val="0"/>
          <w:lang w:val="en-US"/>
        </w:rPr>
        <w:t>‑</w:t>
      </w:r>
      <w:r w:rsidRPr="001C3E7B">
        <w:rPr>
          <w:rFonts w:asciiTheme="majorHAnsi" w:hAnsiTheme="majorHAnsi" w:cstheme="majorHAnsi"/>
          <w:kern w:val="0"/>
          <w:lang w:val="en-US"/>
        </w:rPr>
        <w:t>15. https://doi.org/10.1016/0169-5347(86)90060-1</w:t>
      </w:r>
    </w:p>
    <w:p w14:paraId="2C8267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Falke, L. P., &amp; Preston, D. L. (2021). Freshwater disease hotspots : Drivers of fine-scale spatial heterogeneity in trematode parasitism in streams.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n/a</w:t>
      </w:r>
      <w:r w:rsidRPr="001C3E7B">
        <w:rPr>
          <w:rFonts w:asciiTheme="majorHAnsi" w:hAnsiTheme="majorHAnsi" w:cstheme="majorHAnsi"/>
          <w:kern w:val="0"/>
          <w:lang w:val="en-US"/>
        </w:rPr>
        <w:t>(n/a). https://doi.org/10.1111/fwb.13856</w:t>
      </w:r>
    </w:p>
    <w:p w14:paraId="21D27AC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Frainer, A., McKie, B. G., Amundsen, P.-A., Knudsen, R., &amp; Lafferty, K. D. (2018). Parasitism and the Biodiversity-Functioning Relationship.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33</w:t>
      </w:r>
      <w:r w:rsidRPr="001C3E7B">
        <w:rPr>
          <w:rFonts w:asciiTheme="majorHAnsi" w:hAnsiTheme="majorHAnsi" w:cstheme="majorHAnsi"/>
          <w:kern w:val="0"/>
          <w:lang w:val="en-US"/>
        </w:rPr>
        <w:t>(4), 260</w:t>
      </w:r>
      <w:r w:rsidRPr="001C3E7B">
        <w:rPr>
          <w:rFonts w:ascii="Cambria Math" w:hAnsi="Cambria Math" w:cs="Cambria Math"/>
          <w:kern w:val="0"/>
          <w:lang w:val="en-US"/>
        </w:rPr>
        <w:t>‑</w:t>
      </w:r>
      <w:r w:rsidRPr="001C3E7B">
        <w:rPr>
          <w:rFonts w:asciiTheme="majorHAnsi" w:hAnsiTheme="majorHAnsi" w:cstheme="majorHAnsi"/>
          <w:kern w:val="0"/>
          <w:lang w:val="en-US"/>
        </w:rPr>
        <w:t>268. https://doi.org/10.1016/j.tree.2018.01.011</w:t>
      </w:r>
    </w:p>
    <w:p w14:paraId="22BDE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González, M. T., &amp; Poulin, R. (2005). </w:t>
      </w:r>
      <w:r w:rsidRPr="001C3E7B">
        <w:rPr>
          <w:rFonts w:asciiTheme="majorHAnsi" w:hAnsiTheme="majorHAnsi" w:cstheme="majorHAnsi"/>
          <w:kern w:val="0"/>
          <w:lang w:val="en-US"/>
        </w:rPr>
        <w:t xml:space="preserve">Spatial and temporal predictability of the parasite community structure of a benthic marine fish along its distributional range.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35</w:t>
      </w:r>
      <w:r w:rsidRPr="001C3E7B">
        <w:rPr>
          <w:rFonts w:asciiTheme="majorHAnsi" w:hAnsiTheme="majorHAnsi" w:cstheme="majorHAnsi"/>
          <w:kern w:val="0"/>
          <w:lang w:val="en-US"/>
        </w:rPr>
        <w:t>(13), 1369</w:t>
      </w:r>
      <w:r w:rsidRPr="001C3E7B">
        <w:rPr>
          <w:rFonts w:ascii="Cambria Math" w:hAnsi="Cambria Math" w:cs="Cambria Math"/>
          <w:kern w:val="0"/>
          <w:lang w:val="en-US"/>
        </w:rPr>
        <w:t>‑</w:t>
      </w:r>
      <w:r w:rsidRPr="001C3E7B">
        <w:rPr>
          <w:rFonts w:asciiTheme="majorHAnsi" w:hAnsiTheme="majorHAnsi" w:cstheme="majorHAnsi"/>
          <w:kern w:val="0"/>
          <w:lang w:val="en-US"/>
        </w:rPr>
        <w:t>1377. https://doi.org/10.1016/j.ijpara.2005.07.016</w:t>
      </w:r>
    </w:p>
    <w:p w14:paraId="6B2E943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Happel, A. (2019). A volunteer-populated online database provides evidence for a geographic pattern in symptoms of black spot infections. </w:t>
      </w:r>
      <w:r w:rsidRPr="001C3E7B">
        <w:rPr>
          <w:rFonts w:asciiTheme="majorHAnsi" w:hAnsiTheme="majorHAnsi" w:cstheme="majorHAnsi"/>
          <w:i/>
          <w:iCs/>
          <w:kern w:val="0"/>
          <w:lang w:val="en-US"/>
        </w:rPr>
        <w:t>International Journal for Parasitology: Parasites and Wildlife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156</w:t>
      </w:r>
      <w:r w:rsidRPr="001C3E7B">
        <w:rPr>
          <w:rFonts w:ascii="Cambria Math" w:hAnsi="Cambria Math" w:cs="Cambria Math"/>
          <w:kern w:val="0"/>
          <w:lang w:val="en-US"/>
        </w:rPr>
        <w:t>‑</w:t>
      </w:r>
      <w:r w:rsidRPr="001C3E7B">
        <w:rPr>
          <w:rFonts w:asciiTheme="majorHAnsi" w:hAnsiTheme="majorHAnsi" w:cstheme="majorHAnsi"/>
          <w:kern w:val="0"/>
          <w:lang w:val="en-US"/>
        </w:rPr>
        <w:t>163. https://doi.org/10.1016/j.ijppaw.2019.08.003</w:t>
      </w:r>
    </w:p>
    <w:p w14:paraId="74FA337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Hess, G., Randolph, S., Arneberg, P., Chemini, C., Furnanello, C., Harwood, J., Roberts, M. G., &amp; Swinton, J. (2002). Spatial Aspects of Disease Dynamics. In </w:t>
      </w:r>
      <w:r w:rsidRPr="001C3E7B">
        <w:rPr>
          <w:rFonts w:asciiTheme="majorHAnsi" w:hAnsiTheme="majorHAnsi" w:cstheme="majorHAnsi"/>
          <w:i/>
          <w:iCs/>
          <w:kern w:val="0"/>
          <w:lang w:val="en-US"/>
        </w:rPr>
        <w:t>The ecology of wildlife diseases</w:t>
      </w:r>
      <w:r w:rsidRPr="001C3E7B">
        <w:rPr>
          <w:rFonts w:asciiTheme="majorHAnsi" w:hAnsiTheme="majorHAnsi" w:cstheme="majorHAnsi"/>
          <w:kern w:val="0"/>
          <w:lang w:val="en-US"/>
        </w:rPr>
        <w:t xml:space="preserve"> (p. 102</w:t>
      </w:r>
      <w:r w:rsidRPr="001C3E7B">
        <w:rPr>
          <w:rFonts w:ascii="Cambria Math" w:hAnsi="Cambria Math" w:cs="Cambria Math"/>
          <w:kern w:val="0"/>
          <w:lang w:val="en-US"/>
        </w:rPr>
        <w:t>‑</w:t>
      </w:r>
      <w:r w:rsidRPr="001C3E7B">
        <w:rPr>
          <w:rFonts w:asciiTheme="majorHAnsi" w:hAnsiTheme="majorHAnsi" w:cstheme="majorHAnsi"/>
          <w:kern w:val="0"/>
          <w:lang w:val="en-US"/>
        </w:rPr>
        <w:t>118).</w:t>
      </w:r>
    </w:p>
    <w:p w14:paraId="3D9447F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Iwanowicz, D. (2011). </w:t>
      </w:r>
      <w:r w:rsidRPr="001C3E7B">
        <w:rPr>
          <w:rFonts w:asciiTheme="majorHAnsi" w:hAnsiTheme="majorHAnsi" w:cstheme="majorHAnsi"/>
          <w:i/>
          <w:iCs/>
          <w:kern w:val="0"/>
          <w:lang w:val="en-US"/>
        </w:rPr>
        <w:t>Overview On The Effects Of Parasites On Fish Health</w:t>
      </w:r>
      <w:r w:rsidRPr="001C3E7B">
        <w:rPr>
          <w:rFonts w:asciiTheme="majorHAnsi" w:hAnsiTheme="majorHAnsi" w:cstheme="majorHAnsi"/>
          <w:kern w:val="0"/>
          <w:lang w:val="en-US"/>
        </w:rPr>
        <w:t>.</w:t>
      </w:r>
    </w:p>
    <w:p w14:paraId="7C98FD4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Johnstone, K. C., McArthur, C., &amp; Banks, P. B. (2021). Behavioural drivers of survey bias : Interactive effects of personality, the perceived risk and device properties.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197</w:t>
      </w:r>
      <w:r w:rsidRPr="001C3E7B">
        <w:rPr>
          <w:rFonts w:asciiTheme="majorHAnsi" w:hAnsiTheme="majorHAnsi" w:cstheme="majorHAnsi"/>
          <w:kern w:val="0"/>
          <w:lang w:val="en-US"/>
        </w:rPr>
        <w:t>(1), 117</w:t>
      </w:r>
      <w:r w:rsidRPr="001C3E7B">
        <w:rPr>
          <w:rFonts w:ascii="Cambria Math" w:hAnsi="Cambria Math" w:cs="Cambria Math"/>
          <w:kern w:val="0"/>
          <w:lang w:val="en-US"/>
        </w:rPr>
        <w:t>‑</w:t>
      </w:r>
      <w:r w:rsidRPr="001C3E7B">
        <w:rPr>
          <w:rFonts w:asciiTheme="majorHAnsi" w:hAnsiTheme="majorHAnsi" w:cstheme="majorHAnsi"/>
          <w:kern w:val="0"/>
          <w:lang w:val="en-US"/>
        </w:rPr>
        <w:t>127. https://doi.org/10.1007/s00442-021-05021-7</w:t>
      </w:r>
    </w:p>
    <w:p w14:paraId="1439A25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Kennedy, C. R. (2009). The ecology of parasites of freshwater fishes : The search for patterns.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136</w:t>
      </w:r>
      <w:r w:rsidRPr="001C3E7B">
        <w:rPr>
          <w:rFonts w:asciiTheme="majorHAnsi" w:hAnsiTheme="majorHAnsi" w:cstheme="majorHAnsi"/>
          <w:kern w:val="0"/>
          <w:lang w:val="en-US"/>
        </w:rPr>
        <w:t>(12), 1653</w:t>
      </w:r>
      <w:r w:rsidRPr="001C3E7B">
        <w:rPr>
          <w:rFonts w:ascii="Cambria Math" w:hAnsi="Cambria Math" w:cs="Cambria Math"/>
          <w:kern w:val="0"/>
          <w:lang w:val="en-US"/>
        </w:rPr>
        <w:t>‑</w:t>
      </w:r>
      <w:r w:rsidRPr="001C3E7B">
        <w:rPr>
          <w:rFonts w:asciiTheme="majorHAnsi" w:hAnsiTheme="majorHAnsi" w:cstheme="majorHAnsi"/>
          <w:kern w:val="0"/>
          <w:lang w:val="en-US"/>
        </w:rPr>
        <w:t>1662. https://doi.org/10.1017/S0031182009005794</w:t>
      </w:r>
    </w:p>
    <w:p w14:paraId="02161F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Khaemba, W. M., Stein, A., Rasch, D., De Leeuw, J., &amp; Georgiadis, N. (2001). Empirically simulated study to compare and validate sampling methods used in aerial surveys of wildlife populations. </w:t>
      </w:r>
      <w:r w:rsidRPr="001C3E7B">
        <w:rPr>
          <w:rFonts w:asciiTheme="majorHAnsi" w:hAnsiTheme="majorHAnsi" w:cstheme="majorHAnsi"/>
          <w:i/>
          <w:iCs/>
          <w:kern w:val="0"/>
          <w:lang w:val="en-US"/>
        </w:rPr>
        <w:t>African Journal of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(4), 374</w:t>
      </w:r>
      <w:r w:rsidRPr="001C3E7B">
        <w:rPr>
          <w:rFonts w:ascii="Cambria Math" w:hAnsi="Cambria Math" w:cs="Cambria Math"/>
          <w:kern w:val="0"/>
          <w:lang w:val="en-US"/>
        </w:rPr>
        <w:t>‑</w:t>
      </w:r>
      <w:r w:rsidRPr="001C3E7B">
        <w:rPr>
          <w:rFonts w:asciiTheme="majorHAnsi" w:hAnsiTheme="majorHAnsi" w:cstheme="majorHAnsi"/>
          <w:kern w:val="0"/>
          <w:lang w:val="en-US"/>
        </w:rPr>
        <w:t>382. https://doi.org/10.1046/j.0141-6707.2001.00329.x</w:t>
      </w:r>
    </w:p>
    <w:p w14:paraId="25C166E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Kowalski, K., Bogdziewicz, M., Eichert, U., &amp; Rychlik, L. (2015). Sex differences in flea infections among rodent hosts : Is there a male bias? </w:t>
      </w:r>
      <w:r w:rsidRPr="001C3E7B">
        <w:rPr>
          <w:rFonts w:asciiTheme="majorHAnsi" w:hAnsiTheme="majorHAnsi" w:cstheme="majorHAnsi"/>
          <w:i/>
          <w:iCs/>
          <w:kern w:val="0"/>
          <w:lang w:val="en-US"/>
        </w:rPr>
        <w:t>Parasitology Research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114</w:t>
      </w:r>
      <w:r w:rsidRPr="001C3E7B">
        <w:rPr>
          <w:rFonts w:asciiTheme="majorHAnsi" w:hAnsiTheme="majorHAnsi" w:cstheme="majorHAnsi"/>
          <w:kern w:val="0"/>
          <w:lang w:val="en-US"/>
        </w:rPr>
        <w:t>(1), 337</w:t>
      </w:r>
      <w:r w:rsidRPr="001C3E7B">
        <w:rPr>
          <w:rFonts w:ascii="Cambria Math" w:hAnsi="Cambria Math" w:cs="Cambria Math"/>
          <w:kern w:val="0"/>
          <w:lang w:val="en-US"/>
        </w:rPr>
        <w:t>‑</w:t>
      </w:r>
      <w:r w:rsidRPr="001C3E7B">
        <w:rPr>
          <w:rFonts w:asciiTheme="majorHAnsi" w:hAnsiTheme="majorHAnsi" w:cstheme="majorHAnsi"/>
          <w:kern w:val="0"/>
          <w:lang w:val="en-US"/>
        </w:rPr>
        <w:t>341. https://doi.org/10.1007/s00436-014-4231-z</w:t>
      </w:r>
    </w:p>
    <w:p w14:paraId="07967E6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w:t>
      </w:r>
      <w:r w:rsidRPr="001C3E7B">
        <w:rPr>
          <w:rFonts w:asciiTheme="majorHAnsi" w:hAnsiTheme="majorHAnsi" w:cstheme="majorHAnsi"/>
          <w:kern w:val="0"/>
          <w:lang w:val="en-US"/>
        </w:rPr>
        <w:t>(6), 533</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https://doi.org/10.1111/j.1461-0248.2008.01174.x</w:t>
      </w:r>
    </w:p>
    <w:p w14:paraId="337ADF0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Dobson, A. P., &amp; Kuris, A. M. (2006). Parasites dominate food web links. </w:t>
      </w:r>
      <w:r w:rsidRPr="001C3E7B">
        <w:rPr>
          <w:rFonts w:asciiTheme="majorHAnsi" w:hAnsiTheme="majorHAnsi" w:cstheme="majorHAnsi"/>
          <w:i/>
          <w:iCs/>
          <w:kern w:val="0"/>
          <w:lang w:val="en-US"/>
        </w:rPr>
        <w:lastRenderedPageBreak/>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103</w:t>
      </w:r>
      <w:r w:rsidRPr="001C3E7B">
        <w:rPr>
          <w:rFonts w:asciiTheme="majorHAnsi" w:hAnsiTheme="majorHAnsi" w:cstheme="majorHAnsi"/>
          <w:kern w:val="0"/>
          <w:lang w:val="en-US"/>
        </w:rPr>
        <w:t>(30), 11211</w:t>
      </w:r>
      <w:r w:rsidRPr="001C3E7B">
        <w:rPr>
          <w:rFonts w:ascii="Cambria Math" w:hAnsi="Cambria Math" w:cs="Cambria Math"/>
          <w:kern w:val="0"/>
          <w:lang w:val="en-US"/>
        </w:rPr>
        <w:t>‑</w:t>
      </w:r>
      <w:r w:rsidRPr="001C3E7B">
        <w:rPr>
          <w:rFonts w:asciiTheme="majorHAnsi" w:hAnsiTheme="majorHAnsi" w:cstheme="majorHAnsi"/>
          <w:kern w:val="0"/>
          <w:lang w:val="en-US"/>
        </w:rPr>
        <w:t>11216. https://doi.org/10.1073/pnas.0604755103</w:t>
      </w:r>
    </w:p>
    <w:p w14:paraId="0BCBB5B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Kelly, D. W., Hicks, A., &amp; Poulin, R. (2011). Factors influencing infection patterns of trophically transmitted parasites among a fish community : Host diet, host–parasite compatibility or both?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(2), 466</w:t>
      </w:r>
      <w:r w:rsidRPr="001C3E7B">
        <w:rPr>
          <w:rFonts w:ascii="Cambria Math" w:hAnsi="Cambria Math" w:cs="Cambria Math"/>
          <w:kern w:val="0"/>
          <w:lang w:val="en-US"/>
        </w:rPr>
        <w:t>‑</w:t>
      </w:r>
      <w:r w:rsidRPr="001C3E7B">
        <w:rPr>
          <w:rFonts w:asciiTheme="majorHAnsi" w:hAnsiTheme="majorHAnsi" w:cstheme="majorHAnsi"/>
          <w:kern w:val="0"/>
          <w:lang w:val="en-US"/>
        </w:rPr>
        <w:t>485. https://doi.org/10.1111/j.1095-8649.2011.03041.x</w:t>
      </w:r>
    </w:p>
    <w:p w14:paraId="2106E59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&amp; Poulin, R. (2015). Local diversity reduces infection risk across multiple freshwater host-parasite associations.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60</w:t>
      </w:r>
      <w:r w:rsidRPr="001C3E7B">
        <w:rPr>
          <w:rFonts w:asciiTheme="majorHAnsi" w:hAnsiTheme="majorHAnsi" w:cstheme="majorHAnsi"/>
          <w:kern w:val="0"/>
          <w:lang w:val="en-US"/>
        </w:rPr>
        <w:t>(11), 2445</w:t>
      </w:r>
      <w:r w:rsidRPr="001C3E7B">
        <w:rPr>
          <w:rFonts w:ascii="Cambria Math" w:hAnsi="Cambria Math" w:cs="Cambria Math"/>
          <w:kern w:val="0"/>
          <w:lang w:val="en-US"/>
        </w:rPr>
        <w:t>‑</w:t>
      </w:r>
      <w:r w:rsidRPr="001C3E7B">
        <w:rPr>
          <w:rFonts w:asciiTheme="majorHAnsi" w:hAnsiTheme="majorHAnsi" w:cstheme="majorHAnsi"/>
          <w:kern w:val="0"/>
          <w:lang w:val="en-US"/>
        </w:rPr>
        <w:t>2454. https://doi.org/10.1111/fwb.12677</w:t>
      </w:r>
    </w:p>
    <w:p w14:paraId="20A320A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Leibold, M. A., Holyoak, M., Mouquet, N., Amarasekare, P., Chase, J. M., Hoopes, M. F., Holt, R. D., Shurin, J. B., Law, R., Tilman, D., Loreau, M., &amp; Gonzalez, A. (2004). The metacommunity concept : A framework for multi-scale community ecology.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w:t>
      </w:r>
      <w:r w:rsidRPr="001C3E7B">
        <w:rPr>
          <w:rFonts w:asciiTheme="majorHAnsi" w:hAnsiTheme="majorHAnsi" w:cstheme="majorHAnsi"/>
          <w:kern w:val="0"/>
          <w:lang w:val="en-US"/>
        </w:rPr>
        <w:t>(7), 601</w:t>
      </w:r>
      <w:r w:rsidRPr="001C3E7B">
        <w:rPr>
          <w:rFonts w:ascii="Cambria Math" w:hAnsi="Cambria Math" w:cs="Cambria Math"/>
          <w:kern w:val="0"/>
          <w:lang w:val="en-US"/>
        </w:rPr>
        <w:t>‑</w:t>
      </w:r>
      <w:r w:rsidRPr="001C3E7B">
        <w:rPr>
          <w:rFonts w:asciiTheme="majorHAnsi" w:hAnsiTheme="majorHAnsi" w:cstheme="majorHAnsi"/>
          <w:kern w:val="0"/>
          <w:lang w:val="en-US"/>
        </w:rPr>
        <w:t>613. https://doi.org/10.1111/j.1461-0248.2004.00608.x</w:t>
      </w:r>
    </w:p>
    <w:p w14:paraId="2D28B37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Levin, S. A. (1992). The Problem of Pattern and Scale in Ecology : The Robert H. MacArthur Award Lecture.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73</w:t>
      </w:r>
      <w:r w:rsidRPr="001C3E7B">
        <w:rPr>
          <w:rFonts w:asciiTheme="majorHAnsi" w:hAnsiTheme="majorHAnsi" w:cstheme="majorHAnsi"/>
          <w:kern w:val="0"/>
          <w:lang w:val="en-US"/>
        </w:rPr>
        <w:t>(6), 1943</w:t>
      </w:r>
      <w:r w:rsidRPr="001C3E7B">
        <w:rPr>
          <w:rFonts w:ascii="Cambria Math" w:hAnsi="Cambria Math" w:cs="Cambria Math"/>
          <w:kern w:val="0"/>
          <w:lang w:val="en-US"/>
        </w:rPr>
        <w:t>‑</w:t>
      </w:r>
      <w:r w:rsidRPr="001C3E7B">
        <w:rPr>
          <w:rFonts w:asciiTheme="majorHAnsi" w:hAnsiTheme="majorHAnsi" w:cstheme="majorHAnsi"/>
          <w:kern w:val="0"/>
          <w:lang w:val="en-US"/>
        </w:rPr>
        <w:t>1967. https://doi.org/10.2307/1941447</w:t>
      </w:r>
    </w:p>
    <w:p w14:paraId="0D7974F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(2004). Parasites : Small Players with Crucial Roles in the Ecological Theater. </w:t>
      </w:r>
      <w:r w:rsidRPr="001C3E7B">
        <w:rPr>
          <w:rFonts w:asciiTheme="majorHAnsi" w:hAnsiTheme="majorHAnsi" w:cstheme="majorHAnsi"/>
          <w:i/>
          <w:iCs/>
          <w:kern w:val="0"/>
          <w:lang w:val="en-US"/>
        </w:rPr>
        <w:t>EcoHealth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151</w:t>
      </w:r>
      <w:r w:rsidRPr="001C3E7B">
        <w:rPr>
          <w:rFonts w:ascii="Cambria Math" w:hAnsi="Cambria Math" w:cs="Cambria Math"/>
          <w:kern w:val="0"/>
          <w:lang w:val="en-US"/>
        </w:rPr>
        <w:t>‑</w:t>
      </w:r>
      <w:r w:rsidRPr="001C3E7B">
        <w:rPr>
          <w:rFonts w:asciiTheme="majorHAnsi" w:hAnsiTheme="majorHAnsi" w:cstheme="majorHAnsi"/>
          <w:kern w:val="0"/>
          <w:lang w:val="en-US"/>
        </w:rPr>
        <w:t>164. https://doi.org/10.1007/s10393-004-0028-3</w:t>
      </w:r>
    </w:p>
    <w:p w14:paraId="0788B29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(1997a). Food webs : A plea for parasites.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w:t>
      </w:r>
      <w:r w:rsidRPr="001C3E7B">
        <w:rPr>
          <w:rFonts w:asciiTheme="majorHAnsi" w:hAnsiTheme="majorHAnsi" w:cstheme="majorHAnsi"/>
          <w:kern w:val="0"/>
          <w:lang w:val="en-US"/>
        </w:rPr>
        <w:t>(8), 320</w:t>
      </w:r>
      <w:r w:rsidRPr="001C3E7B">
        <w:rPr>
          <w:rFonts w:ascii="Cambria Math" w:hAnsi="Cambria Math" w:cs="Cambria Math"/>
          <w:kern w:val="0"/>
          <w:lang w:val="en-US"/>
        </w:rPr>
        <w:t>‑</w:t>
      </w:r>
      <w:r w:rsidRPr="001C3E7B">
        <w:rPr>
          <w:rFonts w:asciiTheme="majorHAnsi" w:hAnsiTheme="majorHAnsi" w:cstheme="majorHAnsi"/>
          <w:kern w:val="0"/>
          <w:lang w:val="en-US"/>
        </w:rPr>
        <w:t>325. https://doi.org/10.1016/S0169-5347(97)01080-X</w:t>
      </w:r>
    </w:p>
    <w:p w14:paraId="2238580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(1997b). Parasite communities as indicators of ecosystem stress. </w:t>
      </w:r>
      <w:r w:rsidRPr="001C3E7B">
        <w:rPr>
          <w:rFonts w:asciiTheme="majorHAnsi" w:hAnsiTheme="majorHAnsi" w:cstheme="majorHAnsi"/>
          <w:i/>
          <w:iCs/>
          <w:kern w:val="0"/>
          <w:lang w:val="en-US"/>
        </w:rPr>
        <w:t>Parassitologia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(3), 227</w:t>
      </w:r>
      <w:r w:rsidRPr="001C3E7B">
        <w:rPr>
          <w:rFonts w:ascii="Cambria Math" w:hAnsi="Cambria Math" w:cs="Cambria Math"/>
          <w:kern w:val="0"/>
          <w:lang w:val="en-US"/>
        </w:rPr>
        <w:t>‑</w:t>
      </w:r>
      <w:r w:rsidRPr="001C3E7B">
        <w:rPr>
          <w:rFonts w:asciiTheme="majorHAnsi" w:hAnsiTheme="majorHAnsi" w:cstheme="majorHAnsi"/>
          <w:kern w:val="0"/>
          <w:lang w:val="en-US"/>
        </w:rPr>
        <w:t>232.</w:t>
      </w:r>
    </w:p>
    <w:p w14:paraId="669599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(3), 355</w:t>
      </w:r>
      <w:r w:rsidRPr="001C3E7B">
        <w:rPr>
          <w:rFonts w:ascii="Cambria Math" w:hAnsi="Cambria Math" w:cs="Cambria Math"/>
          <w:kern w:val="0"/>
          <w:lang w:val="en-US"/>
        </w:rPr>
        <w:t>‑</w:t>
      </w:r>
      <w:r w:rsidRPr="001C3E7B">
        <w:rPr>
          <w:rFonts w:asciiTheme="majorHAnsi" w:hAnsiTheme="majorHAnsi" w:cstheme="majorHAnsi"/>
          <w:kern w:val="0"/>
          <w:lang w:val="en-US"/>
        </w:rPr>
        <w:t>369. https://doi.org/10.1139/z00-209</w:t>
      </w:r>
    </w:p>
    <w:p w14:paraId="14381D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McGeoch, M. A., &amp; Gaston, K. J. (2002). Occupancy frequency distributions : Patterns, artefacts and mechanisms. </w:t>
      </w:r>
      <w:r w:rsidRPr="001C3E7B">
        <w:rPr>
          <w:rFonts w:asciiTheme="majorHAnsi" w:hAnsiTheme="majorHAnsi" w:cstheme="majorHAnsi"/>
          <w:i/>
          <w:iCs/>
          <w:kern w:val="0"/>
          <w:lang w:val="en-US"/>
        </w:rPr>
        <w:t>Biological Reviews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77</w:t>
      </w:r>
      <w:r w:rsidRPr="001C3E7B">
        <w:rPr>
          <w:rFonts w:asciiTheme="majorHAnsi" w:hAnsiTheme="majorHAnsi" w:cstheme="majorHAnsi"/>
          <w:kern w:val="0"/>
          <w:lang w:val="en-US"/>
        </w:rPr>
        <w:t>(3), 311</w:t>
      </w:r>
      <w:r w:rsidRPr="001C3E7B">
        <w:rPr>
          <w:rFonts w:ascii="Cambria Math" w:hAnsi="Cambria Math" w:cs="Cambria Math"/>
          <w:kern w:val="0"/>
          <w:lang w:val="en-US"/>
        </w:rPr>
        <w:t>‑</w:t>
      </w:r>
      <w:r w:rsidRPr="001C3E7B">
        <w:rPr>
          <w:rFonts w:asciiTheme="majorHAnsi" w:hAnsiTheme="majorHAnsi" w:cstheme="majorHAnsi"/>
          <w:kern w:val="0"/>
          <w:lang w:val="en-US"/>
        </w:rPr>
        <w:t>331. https://doi.org/10.1017/S1464793101005887</w:t>
      </w:r>
    </w:p>
    <w:p w14:paraId="47D99DF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Minchella, D. J., &amp; Scott, M. E. (1991). Parasitism : A cryptic determinant of animal community structure.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w:t>
      </w:r>
      <w:r w:rsidRPr="001C3E7B">
        <w:rPr>
          <w:rFonts w:asciiTheme="majorHAnsi" w:hAnsiTheme="majorHAnsi" w:cstheme="majorHAnsi"/>
          <w:kern w:val="0"/>
          <w:lang w:val="en-US"/>
        </w:rPr>
        <w:t>(8), 250</w:t>
      </w:r>
      <w:r w:rsidRPr="001C3E7B">
        <w:rPr>
          <w:rFonts w:ascii="Cambria Math" w:hAnsi="Cambria Math" w:cs="Cambria Math"/>
          <w:kern w:val="0"/>
          <w:lang w:val="en-US"/>
        </w:rPr>
        <w:t>‑</w:t>
      </w:r>
      <w:r w:rsidRPr="001C3E7B">
        <w:rPr>
          <w:rFonts w:asciiTheme="majorHAnsi" w:hAnsiTheme="majorHAnsi" w:cstheme="majorHAnsi"/>
          <w:kern w:val="0"/>
          <w:lang w:val="en-US"/>
        </w:rPr>
        <w:t>254. https://doi.org/10.1016/0169-5347(91)90071-5</w:t>
      </w:r>
    </w:p>
    <w:p w14:paraId="028E29C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Moore, J. W., Lambert, T. D., Heady, W. N., Honig, S. E., Osterback, A.-M. K., Phillis, C. C., Quiros, A. L., Retford, N. A., &amp; Herbst, D. B. (2014). Anthropogenic land-use signals propagate through stream food webs in a California, USA, watershed. </w:t>
      </w:r>
      <w:r w:rsidRPr="001C3E7B">
        <w:rPr>
          <w:rFonts w:asciiTheme="majorHAnsi" w:hAnsiTheme="majorHAnsi" w:cstheme="majorHAnsi"/>
          <w:i/>
          <w:iCs/>
          <w:kern w:val="0"/>
          <w:lang w:val="en-US"/>
        </w:rPr>
        <w:t>Limnologica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46</w:t>
      </w:r>
      <w:r w:rsidRPr="001C3E7B">
        <w:rPr>
          <w:rFonts w:asciiTheme="majorHAnsi" w:hAnsiTheme="majorHAnsi" w:cstheme="majorHAnsi"/>
          <w:kern w:val="0"/>
          <w:lang w:val="en-US"/>
        </w:rPr>
        <w:t>, 124</w:t>
      </w:r>
      <w:r w:rsidRPr="001C3E7B">
        <w:rPr>
          <w:rFonts w:ascii="Cambria Math" w:hAnsi="Cambria Math" w:cs="Cambria Math"/>
          <w:kern w:val="0"/>
          <w:lang w:val="en-US"/>
        </w:rPr>
        <w:t>‑</w:t>
      </w:r>
      <w:r w:rsidRPr="001C3E7B">
        <w:rPr>
          <w:rFonts w:asciiTheme="majorHAnsi" w:hAnsiTheme="majorHAnsi" w:cstheme="majorHAnsi"/>
          <w:kern w:val="0"/>
          <w:lang w:val="en-US"/>
        </w:rPr>
        <w:t>130. https://doi.org/10.1016/j.limno.2014.01.005</w:t>
      </w:r>
    </w:p>
    <w:p w14:paraId="22E5A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Morley, N. J. (2012). Cercariae (Platyhelminthes : Trematoda) as neglected components of zooplankton communities in freshwater habitats.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691</w:t>
      </w:r>
      <w:r w:rsidRPr="001C3E7B">
        <w:rPr>
          <w:rFonts w:asciiTheme="majorHAnsi" w:hAnsiTheme="majorHAnsi" w:cstheme="majorHAnsi"/>
          <w:kern w:val="0"/>
          <w:lang w:val="en-US"/>
        </w:rPr>
        <w:t>(1), 7</w:t>
      </w:r>
      <w:r w:rsidRPr="001C3E7B">
        <w:rPr>
          <w:rFonts w:ascii="Cambria Math" w:hAnsi="Cambria Math" w:cs="Cambria Math"/>
          <w:kern w:val="0"/>
          <w:lang w:val="en-US"/>
        </w:rPr>
        <w:t>‑</w:t>
      </w:r>
      <w:r w:rsidRPr="001C3E7B">
        <w:rPr>
          <w:rFonts w:asciiTheme="majorHAnsi" w:hAnsiTheme="majorHAnsi" w:cstheme="majorHAnsi"/>
          <w:kern w:val="0"/>
          <w:lang w:val="en-US"/>
        </w:rPr>
        <w:t>19. https://doi.org/10.1007/s10750-012-1029-9</w:t>
      </w:r>
    </w:p>
    <w:p w14:paraId="601F676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Mostowy, R., &amp; Engelstädter, J. (2010). The impact of environmental change on host–parasite coevolutionary dynamics. </w:t>
      </w:r>
      <w:r w:rsidRPr="001C3E7B">
        <w:rPr>
          <w:rFonts w:asciiTheme="majorHAnsi" w:hAnsiTheme="majorHAnsi" w:cstheme="majorHAnsi"/>
          <w:i/>
          <w:iCs/>
          <w:kern w:val="0"/>
          <w:lang w:val="en-US"/>
        </w:rPr>
        <w:t>Proceedings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278</w:t>
      </w:r>
      <w:r w:rsidRPr="001C3E7B">
        <w:rPr>
          <w:rFonts w:asciiTheme="majorHAnsi" w:hAnsiTheme="majorHAnsi" w:cstheme="majorHAnsi"/>
          <w:kern w:val="0"/>
          <w:lang w:val="en-US"/>
        </w:rPr>
        <w:t>(1716), 2283</w:t>
      </w:r>
      <w:r w:rsidRPr="001C3E7B">
        <w:rPr>
          <w:rFonts w:ascii="Cambria Math" w:hAnsi="Cambria Math" w:cs="Cambria Math"/>
          <w:kern w:val="0"/>
          <w:lang w:val="en-US"/>
        </w:rPr>
        <w:t>‑</w:t>
      </w:r>
      <w:r w:rsidRPr="001C3E7B">
        <w:rPr>
          <w:rFonts w:asciiTheme="majorHAnsi" w:hAnsiTheme="majorHAnsi" w:cstheme="majorHAnsi"/>
          <w:kern w:val="0"/>
          <w:lang w:val="en-US"/>
        </w:rPr>
        <w:t>2292. https://doi.org/10.1098/rspb.2010.2359</w:t>
      </w:r>
    </w:p>
    <w:p w14:paraId="2FCFE9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Nusser, S. M., Clark, W. R., Otis, D. L., &amp; Huang, L. (2008). </w:t>
      </w:r>
      <w:r w:rsidRPr="001C3E7B">
        <w:rPr>
          <w:rFonts w:asciiTheme="majorHAnsi" w:hAnsiTheme="majorHAnsi" w:cstheme="majorHAnsi"/>
          <w:kern w:val="0"/>
          <w:lang w:val="en-US"/>
        </w:rPr>
        <w:t xml:space="preserve">Sampling Considerations for Disease Surveillance in Wildlife Populations. </w:t>
      </w:r>
      <w:r w:rsidRPr="001C3E7B">
        <w:rPr>
          <w:rFonts w:asciiTheme="majorHAnsi" w:hAnsiTheme="majorHAnsi" w:cstheme="majorHAnsi"/>
          <w:i/>
          <w:iCs/>
          <w:kern w:val="0"/>
          <w:lang w:val="en-US"/>
        </w:rPr>
        <w:t>The Journal of Wildlife Management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72</w:t>
      </w:r>
      <w:r w:rsidRPr="001C3E7B">
        <w:rPr>
          <w:rFonts w:asciiTheme="majorHAnsi" w:hAnsiTheme="majorHAnsi" w:cstheme="majorHAnsi"/>
          <w:kern w:val="0"/>
          <w:lang w:val="en-US"/>
        </w:rPr>
        <w:t>(1), 52</w:t>
      </w:r>
      <w:r w:rsidRPr="001C3E7B">
        <w:rPr>
          <w:rFonts w:ascii="Cambria Math" w:hAnsi="Cambria Math" w:cs="Cambria Math"/>
          <w:kern w:val="0"/>
          <w:lang w:val="en-US"/>
        </w:rPr>
        <w:t>‑</w:t>
      </w:r>
      <w:r w:rsidRPr="001C3E7B">
        <w:rPr>
          <w:rFonts w:asciiTheme="majorHAnsi" w:hAnsiTheme="majorHAnsi" w:cstheme="majorHAnsi"/>
          <w:kern w:val="0"/>
          <w:lang w:val="en-US"/>
        </w:rPr>
        <w:t>60. https://doi.org/10.2193/2007-317</w:t>
      </w:r>
    </w:p>
    <w:p w14:paraId="563764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84</w:t>
      </w:r>
      <w:r w:rsidRPr="001C3E7B">
        <w:rPr>
          <w:rFonts w:asciiTheme="majorHAnsi" w:hAnsiTheme="majorHAnsi" w:cstheme="majorHAnsi"/>
          <w:kern w:val="0"/>
          <w:lang w:val="en-US"/>
        </w:rPr>
        <w:t>(4), 985</w:t>
      </w:r>
      <w:r w:rsidRPr="001C3E7B">
        <w:rPr>
          <w:rFonts w:ascii="Cambria Math" w:hAnsi="Cambria Math" w:cs="Cambria Math"/>
          <w:kern w:val="0"/>
          <w:lang w:val="en-US"/>
        </w:rPr>
        <w:t>‑</w:t>
      </w:r>
      <w:r w:rsidRPr="001C3E7B">
        <w:rPr>
          <w:rFonts w:asciiTheme="majorHAnsi" w:hAnsiTheme="majorHAnsi" w:cstheme="majorHAnsi"/>
          <w:kern w:val="0"/>
          <w:lang w:val="en-US"/>
        </w:rPr>
        <w:t>998. https://doi.org/10.1111/1365-2656.12354</w:t>
      </w:r>
    </w:p>
    <w:p w14:paraId="260B0DAE"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Ondrackova, M., Bartosova, S., Valova, Z., Jurajda, P., &amp; Gelnar, M. (2004). Occurrence of black-spot disease caused by metacercariae of Posthodiplostomum cuticola among juvenile fishes in water bodies in the Morava River Basin. </w:t>
      </w:r>
      <w:r w:rsidRPr="001C3E7B">
        <w:rPr>
          <w:rFonts w:asciiTheme="majorHAnsi" w:hAnsiTheme="majorHAnsi" w:cstheme="majorHAnsi"/>
          <w:i/>
          <w:iCs/>
          <w:kern w:val="0"/>
        </w:rPr>
        <w:t>Acta Parasitologica</w:t>
      </w:r>
      <w:r w:rsidRPr="001C3E7B">
        <w:rPr>
          <w:rFonts w:asciiTheme="majorHAnsi" w:hAnsiTheme="majorHAnsi" w:cstheme="majorHAnsi"/>
          <w:kern w:val="0"/>
        </w:rPr>
        <w:t xml:space="preserve">, </w:t>
      </w:r>
      <w:r w:rsidRPr="001C3E7B">
        <w:rPr>
          <w:rFonts w:asciiTheme="majorHAnsi" w:hAnsiTheme="majorHAnsi" w:cstheme="majorHAnsi"/>
          <w:i/>
          <w:iCs/>
          <w:kern w:val="0"/>
        </w:rPr>
        <w:t>3</w:t>
      </w:r>
      <w:r w:rsidRPr="001C3E7B">
        <w:rPr>
          <w:rFonts w:asciiTheme="majorHAnsi" w:hAnsiTheme="majorHAnsi" w:cstheme="majorHAnsi"/>
          <w:kern w:val="0"/>
        </w:rPr>
        <w:t>(49). https://www.infona.pl//resource/bwmeta1.element.agro-article-5d8e90ef-9221-415e-b62f-e6e574152bf0</w:t>
      </w:r>
    </w:p>
    <w:p w14:paraId="1118A54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Pascal, L., Grémare, A., de Montaudouin, X., Deflandre, B., Romero-Ramirez, A., &amp; Maire, O. (2020). </w:t>
      </w:r>
      <w:r w:rsidRPr="001C3E7B">
        <w:rPr>
          <w:rFonts w:asciiTheme="majorHAnsi" w:hAnsiTheme="majorHAnsi" w:cstheme="majorHAnsi"/>
          <w:kern w:val="0"/>
          <w:lang w:val="en-US"/>
        </w:rPr>
        <w:t xml:space="preserve">Parasitism in ecosystem engineer species : A key factor controlling marine ecosystem functioning.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89</w:t>
      </w:r>
      <w:r w:rsidRPr="001C3E7B">
        <w:rPr>
          <w:rFonts w:asciiTheme="majorHAnsi" w:hAnsiTheme="majorHAnsi" w:cstheme="majorHAnsi"/>
          <w:kern w:val="0"/>
          <w:lang w:val="en-US"/>
        </w:rPr>
        <w:t>(9), 2192</w:t>
      </w:r>
      <w:r w:rsidRPr="001C3E7B">
        <w:rPr>
          <w:rFonts w:ascii="Cambria Math" w:hAnsi="Cambria Math" w:cs="Cambria Math"/>
          <w:kern w:val="0"/>
          <w:lang w:val="en-US"/>
        </w:rPr>
        <w:t>‑</w:t>
      </w:r>
      <w:r w:rsidRPr="001C3E7B">
        <w:rPr>
          <w:rFonts w:asciiTheme="majorHAnsi" w:hAnsiTheme="majorHAnsi" w:cstheme="majorHAnsi"/>
          <w:kern w:val="0"/>
          <w:lang w:val="en-US"/>
        </w:rPr>
        <w:t>2205. https://doi.org/10.1111/1365-2656.13236</w:t>
      </w:r>
    </w:p>
    <w:p w14:paraId="798A53A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Pérez-del-Olmo, A., Fernández, M., Raga, J. A., Kostadinova, A., Morand, S., &amp; Bellwood, D. (2009). Not Everything Is Everywhere : The Distance Decay of Similarity in a Marine Host-Parasite System. </w:t>
      </w:r>
      <w:r w:rsidRPr="001C3E7B">
        <w:rPr>
          <w:rFonts w:asciiTheme="majorHAnsi" w:hAnsiTheme="majorHAnsi" w:cstheme="majorHAnsi"/>
          <w:i/>
          <w:iCs/>
          <w:kern w:val="0"/>
          <w:lang w:val="en-US"/>
        </w:rPr>
        <w:t>Journal of Biogeography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(2), 200</w:t>
      </w:r>
      <w:r w:rsidRPr="001C3E7B">
        <w:rPr>
          <w:rFonts w:ascii="Cambria Math" w:hAnsi="Cambria Math" w:cs="Cambria Math"/>
          <w:kern w:val="0"/>
          <w:lang w:val="en-US"/>
        </w:rPr>
        <w:t>‑</w:t>
      </w:r>
      <w:r w:rsidRPr="001C3E7B">
        <w:rPr>
          <w:rFonts w:asciiTheme="majorHAnsi" w:hAnsiTheme="majorHAnsi" w:cstheme="majorHAnsi"/>
          <w:kern w:val="0"/>
          <w:lang w:val="en-US"/>
        </w:rPr>
        <w:t>209.</w:t>
      </w:r>
    </w:p>
    <w:p w14:paraId="4AB963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Peterson, D., &amp; Parker, V. (1998). Ecological Scale : Theory and Applications. In </w:t>
      </w:r>
      <w:r w:rsidRPr="001C3E7B">
        <w:rPr>
          <w:rFonts w:asciiTheme="majorHAnsi" w:hAnsiTheme="majorHAnsi" w:cstheme="majorHAnsi"/>
          <w:i/>
          <w:iCs/>
          <w:kern w:val="0"/>
          <w:lang w:val="en-US"/>
        </w:rPr>
        <w:t>Journal of Environmental Quality—J ENVIRON QUAL</w:t>
      </w:r>
      <w:r w:rsidRPr="001C3E7B">
        <w:rPr>
          <w:rFonts w:asciiTheme="majorHAnsi" w:hAnsiTheme="majorHAnsi" w:cstheme="majorHAnsi"/>
          <w:kern w:val="0"/>
          <w:lang w:val="en-US"/>
        </w:rPr>
        <w:t xml:space="preserve"> (Vol. 28). https://doi.org/10.2307/1522131</w:t>
      </w:r>
    </w:p>
    <w:p w14:paraId="451E7FE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(1998). Large-scale patterns of host use by parasites of freshwater fishes.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118</w:t>
      </w:r>
      <w:r w:rsidRPr="001C3E7B">
        <w:rPr>
          <w:rFonts w:ascii="Cambria Math" w:hAnsi="Cambria Math" w:cs="Cambria Math"/>
          <w:kern w:val="0"/>
          <w:lang w:val="en-US"/>
        </w:rPr>
        <w:t>‑</w:t>
      </w:r>
      <w:r w:rsidRPr="001C3E7B">
        <w:rPr>
          <w:rFonts w:asciiTheme="majorHAnsi" w:hAnsiTheme="majorHAnsi" w:cstheme="majorHAnsi"/>
          <w:kern w:val="0"/>
          <w:lang w:val="en-US"/>
        </w:rPr>
        <w:t>128. https://doi.org/10.1046/j.1461-0248.1998.00022.x</w:t>
      </w:r>
    </w:p>
    <w:p w14:paraId="3E1D907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(1996). Sexual Inequalities in Helminth Infections : A Cost of Being a Male? </w:t>
      </w:r>
      <w:r w:rsidRPr="001C3E7B">
        <w:rPr>
          <w:rFonts w:asciiTheme="majorHAnsi" w:hAnsiTheme="majorHAnsi" w:cstheme="majorHAnsi"/>
          <w:i/>
          <w:iCs/>
          <w:kern w:val="0"/>
          <w:lang w:val="en-US"/>
        </w:rPr>
        <w:t>The American Naturalist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147</w:t>
      </w:r>
      <w:r w:rsidRPr="001C3E7B">
        <w:rPr>
          <w:rFonts w:asciiTheme="majorHAnsi" w:hAnsiTheme="majorHAnsi" w:cstheme="majorHAnsi"/>
          <w:kern w:val="0"/>
          <w:lang w:val="en-US"/>
        </w:rPr>
        <w:t>(2), 287</w:t>
      </w:r>
      <w:r w:rsidRPr="001C3E7B">
        <w:rPr>
          <w:rFonts w:ascii="Cambria Math" w:hAnsi="Cambria Math" w:cs="Cambria Math"/>
          <w:kern w:val="0"/>
          <w:lang w:val="en-US"/>
        </w:rPr>
        <w:t>‑</w:t>
      </w:r>
      <w:r w:rsidRPr="001C3E7B">
        <w:rPr>
          <w:rFonts w:asciiTheme="majorHAnsi" w:hAnsiTheme="majorHAnsi" w:cstheme="majorHAnsi"/>
          <w:kern w:val="0"/>
          <w:lang w:val="en-US"/>
        </w:rPr>
        <w:t>295. https://doi.org/10.1086/285851</w:t>
      </w:r>
    </w:p>
    <w:p w14:paraId="0F3D07D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(1999). The functional importance of parasites in animal communities : Many roles at many levels?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29</w:t>
      </w:r>
      <w:r w:rsidRPr="001C3E7B">
        <w:rPr>
          <w:rFonts w:asciiTheme="majorHAnsi" w:hAnsiTheme="majorHAnsi" w:cstheme="majorHAnsi"/>
          <w:kern w:val="0"/>
          <w:lang w:val="en-US"/>
        </w:rPr>
        <w:t>(6), 903</w:t>
      </w:r>
      <w:r w:rsidRPr="001C3E7B">
        <w:rPr>
          <w:rFonts w:ascii="Cambria Math" w:hAnsi="Cambria Math" w:cs="Cambria Math"/>
          <w:kern w:val="0"/>
          <w:lang w:val="en-US"/>
        </w:rPr>
        <w:t>‑</w:t>
      </w:r>
      <w:r w:rsidRPr="001C3E7B">
        <w:rPr>
          <w:rFonts w:asciiTheme="majorHAnsi" w:hAnsiTheme="majorHAnsi" w:cstheme="majorHAnsi"/>
          <w:kern w:val="0"/>
          <w:lang w:val="en-US"/>
        </w:rPr>
        <w:t>914. https://doi.org/10.1016/S0020-7519(99)00045-4</w:t>
      </w:r>
    </w:p>
    <w:p w14:paraId="33639E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(2000). Variation in the intraspecific relationship between fish length and intensity of parasitic infection : Biological and statistical causes.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56</w:t>
      </w:r>
      <w:r w:rsidRPr="001C3E7B">
        <w:rPr>
          <w:rFonts w:asciiTheme="majorHAnsi" w:hAnsiTheme="majorHAnsi" w:cstheme="majorHAnsi"/>
          <w:kern w:val="0"/>
          <w:lang w:val="en-US"/>
        </w:rPr>
        <w:t>(1), 123</w:t>
      </w:r>
      <w:r w:rsidRPr="001C3E7B">
        <w:rPr>
          <w:rFonts w:ascii="Cambria Math" w:hAnsi="Cambria Math" w:cs="Cambria Math"/>
          <w:kern w:val="0"/>
          <w:lang w:val="en-US"/>
        </w:rPr>
        <w:t>‑</w:t>
      </w:r>
      <w:r w:rsidRPr="001C3E7B">
        <w:rPr>
          <w:rFonts w:asciiTheme="majorHAnsi" w:hAnsiTheme="majorHAnsi" w:cstheme="majorHAnsi"/>
          <w:kern w:val="0"/>
          <w:lang w:val="en-US"/>
        </w:rPr>
        <w:t>137. https://doi.org/10.1111/j.1095-8649.2000.tb02090.x</w:t>
      </w:r>
    </w:p>
    <w:p w14:paraId="0FB7E59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(2006). Variation in infection parameters among populations within parasite species : Intrinsic properties versus local factors.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(8), 877</w:t>
      </w:r>
      <w:r w:rsidRPr="001C3E7B">
        <w:rPr>
          <w:rFonts w:ascii="Cambria Math" w:hAnsi="Cambria Math" w:cs="Cambria Math"/>
          <w:kern w:val="0"/>
          <w:lang w:val="en-US"/>
        </w:rPr>
        <w:t>‑</w:t>
      </w:r>
      <w:r w:rsidRPr="001C3E7B">
        <w:rPr>
          <w:rFonts w:asciiTheme="majorHAnsi" w:hAnsiTheme="majorHAnsi" w:cstheme="majorHAnsi"/>
          <w:kern w:val="0"/>
          <w:lang w:val="en-US"/>
        </w:rPr>
        <w:t>885. https://doi.org/10.1016/j.ijpara.2006.02.021</w:t>
      </w:r>
    </w:p>
    <w:p w14:paraId="1CF0738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(2007). Are there general laws in parasite ecology?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134</w:t>
      </w:r>
      <w:r w:rsidRPr="001C3E7B">
        <w:rPr>
          <w:rFonts w:asciiTheme="majorHAnsi" w:hAnsiTheme="majorHAnsi" w:cstheme="majorHAnsi"/>
          <w:kern w:val="0"/>
          <w:lang w:val="en-US"/>
        </w:rPr>
        <w:t>(Pt 6), 763</w:t>
      </w:r>
      <w:r w:rsidRPr="001C3E7B">
        <w:rPr>
          <w:rFonts w:ascii="Cambria Math" w:hAnsi="Cambria Math" w:cs="Cambria Math"/>
          <w:kern w:val="0"/>
          <w:lang w:val="en-US"/>
        </w:rPr>
        <w:t>‑</w:t>
      </w:r>
      <w:r w:rsidRPr="001C3E7B">
        <w:rPr>
          <w:rFonts w:asciiTheme="majorHAnsi" w:hAnsiTheme="majorHAnsi" w:cstheme="majorHAnsi"/>
          <w:kern w:val="0"/>
          <w:lang w:val="en-US"/>
        </w:rPr>
        <w:t>776. https://doi.org/10.1017/S0031182006002150</w:t>
      </w:r>
    </w:p>
    <w:p w14:paraId="4F8CE46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(2013). Explaining variability in parasite aggregation levels among host samples.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140</w:t>
      </w:r>
      <w:r w:rsidRPr="001C3E7B">
        <w:rPr>
          <w:rFonts w:asciiTheme="majorHAnsi" w:hAnsiTheme="majorHAnsi" w:cstheme="majorHAnsi"/>
          <w:kern w:val="0"/>
          <w:lang w:val="en-US"/>
        </w:rPr>
        <w:t>(4), 541</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https://doi.org/10.1017/S0031182012002053</w:t>
      </w:r>
    </w:p>
    <w:p w14:paraId="6B23F00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Dick, T. A. (2007). Spatial Variation in Population Density across the Geographical Range in Helminth Parasites of Yellow Perch Perca flavescens.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30</w:t>
      </w:r>
      <w:r w:rsidRPr="001C3E7B">
        <w:rPr>
          <w:rFonts w:asciiTheme="majorHAnsi" w:hAnsiTheme="majorHAnsi" w:cstheme="majorHAnsi"/>
          <w:kern w:val="0"/>
          <w:lang w:val="en-US"/>
        </w:rPr>
        <w:t>(5), 629</w:t>
      </w:r>
      <w:r w:rsidRPr="001C3E7B">
        <w:rPr>
          <w:rFonts w:ascii="Cambria Math" w:hAnsi="Cambria Math" w:cs="Cambria Math"/>
          <w:kern w:val="0"/>
          <w:lang w:val="en-US"/>
        </w:rPr>
        <w:t>‑</w:t>
      </w:r>
      <w:r w:rsidRPr="001C3E7B">
        <w:rPr>
          <w:rFonts w:asciiTheme="majorHAnsi" w:hAnsiTheme="majorHAnsi" w:cstheme="majorHAnsi"/>
          <w:kern w:val="0"/>
          <w:lang w:val="en-US"/>
        </w:rPr>
        <w:t>636.</w:t>
      </w:r>
    </w:p>
    <w:p w14:paraId="5CBC32D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Guilhaumon, F., Randhawa, H. S., Luque, J. L., &amp; Mouillot, D. (2011). Identifying hotspots of parasite diversity from species–area relationships : Host phylogeny versus host ecology. </w:t>
      </w:r>
      <w:r w:rsidRPr="001C3E7B">
        <w:rPr>
          <w:rFonts w:asciiTheme="majorHAnsi" w:hAnsiTheme="majorHAnsi" w:cstheme="majorHAnsi"/>
          <w:i/>
          <w:iCs/>
          <w:kern w:val="0"/>
          <w:lang w:val="en-US"/>
        </w:rPr>
        <w:t>Oikos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120</w:t>
      </w:r>
      <w:r w:rsidRPr="001C3E7B">
        <w:rPr>
          <w:rFonts w:asciiTheme="majorHAnsi" w:hAnsiTheme="majorHAnsi" w:cstheme="majorHAnsi"/>
          <w:kern w:val="0"/>
          <w:lang w:val="en-US"/>
        </w:rPr>
        <w:t>(5), 740</w:t>
      </w:r>
      <w:r w:rsidRPr="001C3E7B">
        <w:rPr>
          <w:rFonts w:ascii="Cambria Math" w:hAnsi="Cambria Math" w:cs="Cambria Math"/>
          <w:kern w:val="0"/>
          <w:lang w:val="en-US"/>
        </w:rPr>
        <w:t>‑</w:t>
      </w:r>
      <w:r w:rsidRPr="001C3E7B">
        <w:rPr>
          <w:rFonts w:asciiTheme="majorHAnsi" w:hAnsiTheme="majorHAnsi" w:cstheme="majorHAnsi"/>
          <w:kern w:val="0"/>
          <w:lang w:val="en-US"/>
        </w:rPr>
        <w:t>747. https://doi.org/10.1111/j.1600-0706.2010.19036.x</w:t>
      </w:r>
    </w:p>
    <w:p w14:paraId="3AF7CE3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Morand, S. (1999). Geographical distances and the similarity among parasite communities of conspecific host populations.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119 ( Pt 4)</w:t>
      </w:r>
      <w:r w:rsidRPr="001C3E7B">
        <w:rPr>
          <w:rFonts w:asciiTheme="majorHAnsi" w:hAnsiTheme="majorHAnsi" w:cstheme="majorHAnsi"/>
          <w:kern w:val="0"/>
          <w:lang w:val="en-US"/>
        </w:rPr>
        <w:t>, 369</w:t>
      </w:r>
      <w:r w:rsidRPr="001C3E7B">
        <w:rPr>
          <w:rFonts w:ascii="Cambria Math" w:hAnsi="Cambria Math" w:cs="Cambria Math"/>
          <w:kern w:val="0"/>
          <w:lang w:val="en-US"/>
        </w:rPr>
        <w:t>‑</w:t>
      </w:r>
      <w:r w:rsidRPr="001C3E7B">
        <w:rPr>
          <w:rFonts w:asciiTheme="majorHAnsi" w:hAnsiTheme="majorHAnsi" w:cstheme="majorHAnsi"/>
          <w:kern w:val="0"/>
          <w:lang w:val="en-US"/>
        </w:rPr>
        <w:t>374. https://doi.org/10.1017/s0031182099004795</w:t>
      </w:r>
    </w:p>
    <w:p w14:paraId="4FAE8824"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lastRenderedPageBreak/>
        <w:t xml:space="preserve">Poulin, R., &amp; Valtonen, E. T. (2002). The predictability of helminth community structure in space : A comparison of fish populations from adjacent lakes.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32</w:t>
      </w:r>
      <w:r w:rsidRPr="001C3E7B">
        <w:rPr>
          <w:rFonts w:asciiTheme="majorHAnsi" w:hAnsiTheme="majorHAnsi" w:cstheme="majorHAnsi"/>
          <w:kern w:val="0"/>
        </w:rPr>
        <w:t>(10), 1235</w:t>
      </w:r>
      <w:r w:rsidRPr="001C3E7B">
        <w:rPr>
          <w:rFonts w:ascii="Cambria Math" w:hAnsi="Cambria Math" w:cs="Cambria Math"/>
          <w:kern w:val="0"/>
        </w:rPr>
        <w:t>‑</w:t>
      </w:r>
      <w:r w:rsidRPr="001C3E7B">
        <w:rPr>
          <w:rFonts w:asciiTheme="majorHAnsi" w:hAnsiTheme="majorHAnsi" w:cstheme="majorHAnsi"/>
          <w:kern w:val="0"/>
        </w:rPr>
        <w:t>1243. https://doi.org/10.1016/s0020-7519(02)00109-1</w:t>
      </w:r>
    </w:p>
    <w:p w14:paraId="75A9B2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Rietkerk, M., van de Koppel, J., Kumar, L., Langevelde, H. H. T., &amp; Prins. </w:t>
      </w:r>
      <w:r w:rsidRPr="001C3E7B">
        <w:rPr>
          <w:rFonts w:asciiTheme="majorHAnsi" w:hAnsiTheme="majorHAnsi" w:cstheme="majorHAnsi"/>
          <w:kern w:val="0"/>
          <w:lang w:val="en-US"/>
        </w:rPr>
        <w:t xml:space="preserve">(2002). The ecology of scale. </w:t>
      </w:r>
      <w:r w:rsidRPr="001C3E7B">
        <w:rPr>
          <w:rFonts w:asciiTheme="majorHAnsi" w:hAnsiTheme="majorHAnsi" w:cstheme="majorHAnsi"/>
          <w:i/>
          <w:iCs/>
          <w:kern w:val="0"/>
          <w:lang w:val="en-US"/>
        </w:rPr>
        <w:t>Ecological Modelling</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149</w:t>
      </w:r>
      <w:r w:rsidRPr="001C3E7B">
        <w:rPr>
          <w:rFonts w:asciiTheme="majorHAnsi" w:hAnsiTheme="majorHAnsi" w:cstheme="majorHAnsi"/>
          <w:kern w:val="0"/>
          <w:lang w:val="en-US"/>
        </w:rPr>
        <w:t>(1), 1</w:t>
      </w:r>
      <w:r w:rsidRPr="001C3E7B">
        <w:rPr>
          <w:rFonts w:ascii="Cambria Math" w:hAnsi="Cambria Math" w:cs="Cambria Math"/>
          <w:kern w:val="0"/>
          <w:lang w:val="en-US"/>
        </w:rPr>
        <w:t>‑</w:t>
      </w:r>
      <w:r w:rsidRPr="001C3E7B">
        <w:rPr>
          <w:rFonts w:asciiTheme="majorHAnsi" w:hAnsiTheme="majorHAnsi" w:cstheme="majorHAnsi"/>
          <w:kern w:val="0"/>
          <w:lang w:val="en-US"/>
        </w:rPr>
        <w:t>4. https://doi.org/10.1016/S0304-3800(01)00510-5</w:t>
      </w:r>
    </w:p>
    <w:p w14:paraId="0A30032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Scholz, T., &amp; Choudhury, A. (2014). Parasites of Freshwater Fishes In North America : Why So Neglected? </w:t>
      </w:r>
      <w:r w:rsidRPr="001C3E7B">
        <w:rPr>
          <w:rFonts w:asciiTheme="majorHAnsi" w:hAnsiTheme="majorHAnsi" w:cstheme="majorHAnsi"/>
          <w:i/>
          <w:iCs/>
          <w:kern w:val="0"/>
          <w:lang w:val="en-US"/>
        </w:rPr>
        <w:t>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(1), 26</w:t>
      </w:r>
      <w:r w:rsidRPr="001C3E7B">
        <w:rPr>
          <w:rFonts w:ascii="Cambria Math" w:hAnsi="Cambria Math" w:cs="Cambria Math"/>
          <w:kern w:val="0"/>
          <w:lang w:val="en-US"/>
        </w:rPr>
        <w:t>‑</w:t>
      </w:r>
      <w:r w:rsidRPr="001C3E7B">
        <w:rPr>
          <w:rFonts w:asciiTheme="majorHAnsi" w:hAnsiTheme="majorHAnsi" w:cstheme="majorHAnsi"/>
          <w:kern w:val="0"/>
          <w:lang w:val="en-US"/>
        </w:rPr>
        <w:t>45. https://doi.org/10.1645/13-394.1</w:t>
      </w:r>
    </w:p>
    <w:p w14:paraId="6EF4CD8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Simmons, B. L., Niles, R. K., &amp; Wall, D. H. (2008). Distribution and abundance of alfalfa-field nematodes at various spatial scales. </w:t>
      </w:r>
      <w:r w:rsidRPr="001C3E7B">
        <w:rPr>
          <w:rFonts w:asciiTheme="majorHAnsi" w:hAnsiTheme="majorHAnsi" w:cstheme="majorHAnsi"/>
          <w:i/>
          <w:iCs/>
          <w:kern w:val="0"/>
          <w:lang w:val="en-US"/>
        </w:rPr>
        <w:t>Applied Soil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211</w:t>
      </w:r>
      <w:r w:rsidRPr="001C3E7B">
        <w:rPr>
          <w:rFonts w:ascii="Cambria Math" w:hAnsi="Cambria Math" w:cs="Cambria Math"/>
          <w:kern w:val="0"/>
          <w:lang w:val="en-US"/>
        </w:rPr>
        <w:t>‑</w:t>
      </w:r>
      <w:r w:rsidRPr="001C3E7B">
        <w:rPr>
          <w:rFonts w:asciiTheme="majorHAnsi" w:hAnsiTheme="majorHAnsi" w:cstheme="majorHAnsi"/>
          <w:kern w:val="0"/>
          <w:lang w:val="en-US"/>
        </w:rPr>
        <w:t>222. https://doi.org/10.1016/j.apsoil.2007.10.011</w:t>
      </w:r>
    </w:p>
    <w:p w14:paraId="407E556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Jensen, K. T., &amp; Poulin, R. (2008). The role of biotic factors in the transmission of free-living endohelminth stages.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135</w:t>
      </w:r>
      <w:r w:rsidRPr="001C3E7B">
        <w:rPr>
          <w:rFonts w:asciiTheme="majorHAnsi" w:hAnsiTheme="majorHAnsi" w:cstheme="majorHAnsi"/>
          <w:kern w:val="0"/>
          <w:lang w:val="en-US"/>
        </w:rPr>
        <w:t>(4), 407</w:t>
      </w:r>
      <w:r w:rsidRPr="001C3E7B">
        <w:rPr>
          <w:rFonts w:ascii="Cambria Math" w:hAnsi="Cambria Math" w:cs="Cambria Math"/>
          <w:kern w:val="0"/>
          <w:lang w:val="en-US"/>
        </w:rPr>
        <w:t>‑</w:t>
      </w:r>
      <w:r w:rsidRPr="001C3E7B">
        <w:rPr>
          <w:rFonts w:asciiTheme="majorHAnsi" w:hAnsiTheme="majorHAnsi" w:cstheme="majorHAnsi"/>
          <w:kern w:val="0"/>
          <w:lang w:val="en-US"/>
        </w:rPr>
        <w:t>426. https://doi.org/10.1017/S0031182007000248</w:t>
      </w:r>
    </w:p>
    <w:p w14:paraId="499FB06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&amp; Reise, K. (2007). Spatial heterogeneity in parasite infections at different spatial scales in an intertidal bivalve.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150</w:t>
      </w:r>
      <w:r w:rsidRPr="001C3E7B">
        <w:rPr>
          <w:rFonts w:asciiTheme="majorHAnsi" w:hAnsiTheme="majorHAnsi" w:cstheme="majorHAnsi"/>
          <w:kern w:val="0"/>
          <w:lang w:val="en-US"/>
        </w:rPr>
        <w:t>(4), 569</w:t>
      </w:r>
      <w:r w:rsidRPr="001C3E7B">
        <w:rPr>
          <w:rFonts w:ascii="Cambria Math" w:hAnsi="Cambria Math" w:cs="Cambria Math"/>
          <w:kern w:val="0"/>
          <w:lang w:val="en-US"/>
        </w:rPr>
        <w:t>‑</w:t>
      </w:r>
      <w:r w:rsidRPr="001C3E7B">
        <w:rPr>
          <w:rFonts w:asciiTheme="majorHAnsi" w:hAnsiTheme="majorHAnsi" w:cstheme="majorHAnsi"/>
          <w:kern w:val="0"/>
          <w:lang w:val="en-US"/>
        </w:rPr>
        <w:t>581. https://doi.org/10.1007/s00442-006-0557-2</w:t>
      </w:r>
    </w:p>
    <w:p w14:paraId="0E3E502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Viana, D. S., &amp; Chase, J. M. (2019). Spatial scale modulates the inference of metacommunity assembly processes.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(2), e02576. https://doi.org/10.1002/ecy.2576</w:t>
      </w:r>
    </w:p>
    <w:p w14:paraId="0795DCF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1C3E7B">
        <w:rPr>
          <w:rFonts w:asciiTheme="majorHAnsi" w:hAnsiTheme="majorHAnsi" w:cstheme="majorHAnsi"/>
          <w:i/>
          <w:iCs/>
          <w:kern w:val="0"/>
          <w:lang w:val="en-US"/>
        </w:rPr>
        <w:t>Invertebrate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137</w:t>
      </w:r>
      <w:r w:rsidRPr="001C3E7B">
        <w:rPr>
          <w:rFonts w:asciiTheme="majorHAnsi" w:hAnsiTheme="majorHAnsi" w:cstheme="majorHAnsi"/>
          <w:kern w:val="0"/>
          <w:lang w:val="en-US"/>
        </w:rPr>
        <w:t>(4), 339</w:t>
      </w:r>
      <w:r w:rsidRPr="001C3E7B">
        <w:rPr>
          <w:rFonts w:ascii="Cambria Math" w:hAnsi="Cambria Math" w:cs="Cambria Math"/>
          <w:kern w:val="0"/>
          <w:lang w:val="en-US"/>
        </w:rPr>
        <w:t>‑</w:t>
      </w:r>
      <w:r w:rsidRPr="001C3E7B">
        <w:rPr>
          <w:rFonts w:asciiTheme="majorHAnsi" w:hAnsiTheme="majorHAnsi" w:cstheme="majorHAnsi"/>
          <w:kern w:val="0"/>
          <w:lang w:val="en-US"/>
        </w:rPr>
        <w:t>354. https://doi.org/10.1111/ivb.12232</w:t>
      </w:r>
    </w:p>
    <w:p w14:paraId="1B4B69D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Williams-Blangero, S., Criscione, C. D., VandeBerg, J. L., Correa-Oliveira, R., Williams, K. D., Subedi, J., Kent, J. W., Williams, J., Kumar, S., &amp; Blangero, J. (2012). Host genetics and population structure effects on parasitic disease.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367</w:t>
      </w:r>
      <w:r w:rsidRPr="001C3E7B">
        <w:rPr>
          <w:rFonts w:asciiTheme="majorHAnsi" w:hAnsiTheme="majorHAnsi" w:cstheme="majorHAnsi"/>
          <w:kern w:val="0"/>
          <w:lang w:val="en-US"/>
        </w:rPr>
        <w:t>(1590), 887</w:t>
      </w:r>
      <w:r w:rsidRPr="001C3E7B">
        <w:rPr>
          <w:rFonts w:ascii="Cambria Math" w:hAnsi="Cambria Math" w:cs="Cambria Math"/>
          <w:kern w:val="0"/>
          <w:lang w:val="en-US"/>
        </w:rPr>
        <w:t>‑</w:t>
      </w:r>
      <w:r w:rsidRPr="001C3E7B">
        <w:rPr>
          <w:rFonts w:asciiTheme="majorHAnsi" w:hAnsiTheme="majorHAnsi" w:cstheme="majorHAnsi"/>
          <w:kern w:val="0"/>
          <w:lang w:val="en-US"/>
        </w:rPr>
        <w:t>894. https://doi.org/10.1098/rstb.2011.0296</w:t>
      </w:r>
    </w:p>
    <w:p w14:paraId="3728431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Wilson, D. S., Coleman, K., Clark, A. B., &amp; Biederman, L. (1993). Shy-bold continuum in pumpkinseed sunfish (Lepomis gibbosus) : An ecological study of a psychological trait. </w:t>
      </w:r>
      <w:r w:rsidRPr="001C3E7B">
        <w:rPr>
          <w:rFonts w:asciiTheme="majorHAnsi" w:hAnsiTheme="majorHAnsi" w:cstheme="majorHAnsi"/>
          <w:i/>
          <w:iCs/>
          <w:kern w:val="0"/>
          <w:lang w:val="en-US"/>
        </w:rPr>
        <w:t>Journal of Comparative Psychology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107</w:t>
      </w:r>
      <w:r w:rsidRPr="001C3E7B">
        <w:rPr>
          <w:rFonts w:asciiTheme="majorHAnsi" w:hAnsiTheme="majorHAnsi" w:cstheme="majorHAnsi"/>
          <w:kern w:val="0"/>
          <w:lang w:val="en-US"/>
        </w:rPr>
        <w:t>, 250</w:t>
      </w:r>
      <w:r w:rsidRPr="001C3E7B">
        <w:rPr>
          <w:rFonts w:ascii="Cambria Math" w:hAnsi="Cambria Math" w:cs="Cambria Math"/>
          <w:kern w:val="0"/>
          <w:lang w:val="en-US"/>
        </w:rPr>
        <w:t>‑</w:t>
      </w:r>
      <w:r w:rsidRPr="001C3E7B">
        <w:rPr>
          <w:rFonts w:asciiTheme="majorHAnsi" w:hAnsiTheme="majorHAnsi" w:cstheme="majorHAnsi"/>
          <w:kern w:val="0"/>
          <w:lang w:val="en-US"/>
        </w:rPr>
        <w:t>260. https://doi.org/10.1037/0735-7036.107.3.250</w:t>
      </w:r>
    </w:p>
    <w:p w14:paraId="1EA25EA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Windsor, D. A. (1998). Most of the species on Earth are parasites.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28</w:t>
      </w:r>
      <w:r w:rsidRPr="001C3E7B">
        <w:rPr>
          <w:rFonts w:asciiTheme="majorHAnsi" w:hAnsiTheme="majorHAnsi" w:cstheme="majorHAnsi"/>
          <w:kern w:val="0"/>
          <w:lang w:val="en-US"/>
        </w:rPr>
        <w:t>(12), 1939</w:t>
      </w:r>
      <w:r w:rsidRPr="001C3E7B">
        <w:rPr>
          <w:rFonts w:ascii="Cambria Math" w:hAnsi="Cambria Math" w:cs="Cambria Math"/>
          <w:kern w:val="0"/>
          <w:lang w:val="en-US"/>
        </w:rPr>
        <w:t>‑</w:t>
      </w:r>
      <w:r w:rsidRPr="001C3E7B">
        <w:rPr>
          <w:rFonts w:asciiTheme="majorHAnsi" w:hAnsiTheme="majorHAnsi" w:cstheme="majorHAnsi"/>
          <w:kern w:val="0"/>
          <w:lang w:val="en-US"/>
        </w:rPr>
        <w:t>1941. https://doi.org/10.1016/s0020-7519(98)00153-2</w:t>
      </w:r>
    </w:p>
    <w:p w14:paraId="56155D2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Xu, Z., MacIntosh, A. J. J., Castellano-Navarro, A., Macanás-Martínez, E., Suzumura, T., &amp; Duboscq, J. (2022). Linking parasitism to network centrality and the impact of sampling bias in its interpretation. </w:t>
      </w:r>
      <w:r w:rsidRPr="001C3E7B">
        <w:rPr>
          <w:rFonts w:asciiTheme="majorHAnsi" w:hAnsiTheme="majorHAnsi" w:cstheme="majorHAnsi"/>
          <w:i/>
          <w:iCs/>
          <w:kern w:val="0"/>
          <w:lang w:val="en-US"/>
        </w:rPr>
        <w:t>PeerJ</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e14305. https://doi.org/10.7717/peerj.14305</w:t>
      </w:r>
    </w:p>
    <w:p w14:paraId="0CA41F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Young, R. E., &amp; Maccoll, A. D. C. (2017). Spatial and temporal variation in macroparasite communities of three-spined stickleback.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144</w:t>
      </w:r>
      <w:r w:rsidRPr="001C3E7B">
        <w:rPr>
          <w:rFonts w:asciiTheme="majorHAnsi" w:hAnsiTheme="majorHAnsi" w:cstheme="majorHAnsi"/>
          <w:kern w:val="0"/>
          <w:lang w:val="en-US"/>
        </w:rPr>
        <w:t>(4), 436</w:t>
      </w:r>
      <w:r w:rsidRPr="001C3E7B">
        <w:rPr>
          <w:rFonts w:ascii="Cambria Math" w:hAnsi="Cambria Math" w:cs="Cambria Math"/>
          <w:kern w:val="0"/>
          <w:lang w:val="en-US"/>
        </w:rPr>
        <w:t>‑</w:t>
      </w:r>
      <w:r w:rsidRPr="001C3E7B">
        <w:rPr>
          <w:rFonts w:asciiTheme="majorHAnsi" w:hAnsiTheme="majorHAnsi" w:cstheme="majorHAnsi"/>
          <w:kern w:val="0"/>
          <w:lang w:val="en-US"/>
        </w:rPr>
        <w:t>449. https://doi.org/10.1017/S0031182016001815</w:t>
      </w:r>
    </w:p>
    <w:p w14:paraId="0F4CD20C"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Zuk, M., &amp; McKean, K. A. (1996). Sex differences in parasite infections : Patterns and processes.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26</w:t>
      </w:r>
      <w:r w:rsidRPr="001C3E7B">
        <w:rPr>
          <w:rFonts w:asciiTheme="majorHAnsi" w:hAnsiTheme="majorHAnsi" w:cstheme="majorHAnsi"/>
          <w:kern w:val="0"/>
        </w:rPr>
        <w:t>(10), 1009</w:t>
      </w:r>
      <w:r w:rsidRPr="001C3E7B">
        <w:rPr>
          <w:rFonts w:ascii="Cambria Math" w:hAnsi="Cambria Math" w:cs="Cambria Math"/>
          <w:kern w:val="0"/>
        </w:rPr>
        <w:t>‑</w:t>
      </w:r>
      <w:r w:rsidRPr="001C3E7B">
        <w:rPr>
          <w:rFonts w:asciiTheme="majorHAnsi" w:hAnsiTheme="majorHAnsi" w:cstheme="majorHAnsi"/>
          <w:kern w:val="0"/>
        </w:rPr>
        <w:t>1024. https://doi.org/10.1016/S0020-7519(96)80001-4</w:t>
      </w:r>
    </w:p>
    <w:p w14:paraId="2FCE3043" w14:textId="2196658D" w:rsidR="00F13F57" w:rsidRPr="001C3E7B" w:rsidRDefault="00F13F57" w:rsidP="00F13F57">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kern w:val="0"/>
          <w:lang w:val="en-US"/>
        </w:rPr>
        <w:fldChar w:fldCharType="end"/>
      </w:r>
    </w:p>
    <w:sectPr w:rsidR="00F13F57" w:rsidRPr="001C3E7B" w:rsidSect="00752873">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c Harvey" w:date="2023-08-21T13:27:00Z" w:initials="ÉH">
    <w:p w14:paraId="7F20179C" w14:textId="77777777" w:rsidR="00DC6207" w:rsidRDefault="00DC6207" w:rsidP="00611345">
      <w:r>
        <w:rPr>
          <w:rStyle w:val="Marquedecommentaire"/>
        </w:rPr>
        <w:annotationRef/>
      </w:r>
      <w:r>
        <w:rPr>
          <w:color w:val="000000"/>
          <w:sz w:val="20"/>
          <w:szCs w:val="20"/>
        </w:rPr>
        <w:t xml:space="preserve">I think I would remove this paragraph and keep it for the discussion. We can easily say that tested our main question across three sampling methods, then justify a bit in the methods on the “why” (to increase our inference and integrate species with deifferent behaviour, see if the answer is the same depending on where and what you sample etc.)….then in the discussion we bring that nice paragraph. Here in the Introduction I think it’s too much. Our main topic is already complex - there is already plenty to chew on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017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5EBBF0" w16cex:dateUtc="2023-08-21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0179C" w16cid:durableId="5A5EB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2136" w14:textId="77777777" w:rsidR="00752873" w:rsidRDefault="00752873" w:rsidP="000D6F28">
      <w:r>
        <w:separator/>
      </w:r>
    </w:p>
  </w:endnote>
  <w:endnote w:type="continuationSeparator" w:id="0">
    <w:p w14:paraId="3C91F463" w14:textId="77777777" w:rsidR="00752873" w:rsidRDefault="00752873"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09012" w14:textId="77777777" w:rsidR="00752873" w:rsidRDefault="00752873" w:rsidP="000D6F28">
      <w:r>
        <w:separator/>
      </w:r>
    </w:p>
  </w:footnote>
  <w:footnote w:type="continuationSeparator" w:id="0">
    <w:p w14:paraId="4AA35973" w14:textId="77777777" w:rsidR="00752873" w:rsidRDefault="00752873"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2066D"/>
    <w:rsid w:val="00023C0E"/>
    <w:rsid w:val="00025866"/>
    <w:rsid w:val="000307BA"/>
    <w:rsid w:val="00031CF2"/>
    <w:rsid w:val="00040591"/>
    <w:rsid w:val="00053309"/>
    <w:rsid w:val="00063445"/>
    <w:rsid w:val="00072E0C"/>
    <w:rsid w:val="000751B2"/>
    <w:rsid w:val="00083869"/>
    <w:rsid w:val="00084F40"/>
    <w:rsid w:val="0008785B"/>
    <w:rsid w:val="00090988"/>
    <w:rsid w:val="0009532F"/>
    <w:rsid w:val="00095B03"/>
    <w:rsid w:val="000A696D"/>
    <w:rsid w:val="000B432D"/>
    <w:rsid w:val="000B4BDD"/>
    <w:rsid w:val="000B6062"/>
    <w:rsid w:val="000D4F13"/>
    <w:rsid w:val="000D6F28"/>
    <w:rsid w:val="000E2853"/>
    <w:rsid w:val="000F63CF"/>
    <w:rsid w:val="001138F5"/>
    <w:rsid w:val="00115305"/>
    <w:rsid w:val="001154B9"/>
    <w:rsid w:val="00123442"/>
    <w:rsid w:val="001343CD"/>
    <w:rsid w:val="001466C4"/>
    <w:rsid w:val="00150B6F"/>
    <w:rsid w:val="001563CD"/>
    <w:rsid w:val="00160A45"/>
    <w:rsid w:val="001732A1"/>
    <w:rsid w:val="001743D1"/>
    <w:rsid w:val="00175304"/>
    <w:rsid w:val="0017552B"/>
    <w:rsid w:val="0018083F"/>
    <w:rsid w:val="00181394"/>
    <w:rsid w:val="00184DF6"/>
    <w:rsid w:val="001A7143"/>
    <w:rsid w:val="001B2FC3"/>
    <w:rsid w:val="001C29D5"/>
    <w:rsid w:val="001C3E7B"/>
    <w:rsid w:val="001C50FA"/>
    <w:rsid w:val="001D1F64"/>
    <w:rsid w:val="001E28FF"/>
    <w:rsid w:val="001E38C0"/>
    <w:rsid w:val="001E7092"/>
    <w:rsid w:val="00205DD7"/>
    <w:rsid w:val="00214285"/>
    <w:rsid w:val="002174D8"/>
    <w:rsid w:val="0022294B"/>
    <w:rsid w:val="00227995"/>
    <w:rsid w:val="00234FDA"/>
    <w:rsid w:val="00241DED"/>
    <w:rsid w:val="0024289C"/>
    <w:rsid w:val="002555A4"/>
    <w:rsid w:val="002661AB"/>
    <w:rsid w:val="00291958"/>
    <w:rsid w:val="00295CE2"/>
    <w:rsid w:val="00296A7B"/>
    <w:rsid w:val="002A5DF1"/>
    <w:rsid w:val="002B00CE"/>
    <w:rsid w:val="002B15CA"/>
    <w:rsid w:val="002B33E5"/>
    <w:rsid w:val="002C48F8"/>
    <w:rsid w:val="002C50A7"/>
    <w:rsid w:val="002C5136"/>
    <w:rsid w:val="002C6829"/>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207B"/>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B18D7"/>
    <w:rsid w:val="004B53D8"/>
    <w:rsid w:val="004B797A"/>
    <w:rsid w:val="004C7630"/>
    <w:rsid w:val="004E7026"/>
    <w:rsid w:val="00502350"/>
    <w:rsid w:val="005026FA"/>
    <w:rsid w:val="00502C9F"/>
    <w:rsid w:val="0050545F"/>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03AB"/>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D6F14"/>
    <w:rsid w:val="005E1C4E"/>
    <w:rsid w:val="005F0786"/>
    <w:rsid w:val="005F3BDA"/>
    <w:rsid w:val="005F41BD"/>
    <w:rsid w:val="00600CC5"/>
    <w:rsid w:val="006057F5"/>
    <w:rsid w:val="00611E4C"/>
    <w:rsid w:val="0062566F"/>
    <w:rsid w:val="006363B1"/>
    <w:rsid w:val="00641CF4"/>
    <w:rsid w:val="00646BD9"/>
    <w:rsid w:val="006504B9"/>
    <w:rsid w:val="00654456"/>
    <w:rsid w:val="00656639"/>
    <w:rsid w:val="00657200"/>
    <w:rsid w:val="00662251"/>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6D6EC9"/>
    <w:rsid w:val="006F5BC6"/>
    <w:rsid w:val="0070134C"/>
    <w:rsid w:val="00703C72"/>
    <w:rsid w:val="0071091F"/>
    <w:rsid w:val="00720080"/>
    <w:rsid w:val="00721BE7"/>
    <w:rsid w:val="007315AE"/>
    <w:rsid w:val="0073420C"/>
    <w:rsid w:val="00747DFA"/>
    <w:rsid w:val="007510CE"/>
    <w:rsid w:val="00752873"/>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B4A84"/>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407A"/>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2D83"/>
    <w:rsid w:val="009F695A"/>
    <w:rsid w:val="00A1157B"/>
    <w:rsid w:val="00A2535A"/>
    <w:rsid w:val="00A30F38"/>
    <w:rsid w:val="00A323FE"/>
    <w:rsid w:val="00A32E5B"/>
    <w:rsid w:val="00A44973"/>
    <w:rsid w:val="00A56653"/>
    <w:rsid w:val="00A60A03"/>
    <w:rsid w:val="00A6470B"/>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70F06"/>
    <w:rsid w:val="00B8669A"/>
    <w:rsid w:val="00B927AE"/>
    <w:rsid w:val="00BA0CFF"/>
    <w:rsid w:val="00BA226A"/>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A4FBD"/>
    <w:rsid w:val="00CC1E76"/>
    <w:rsid w:val="00CD04A5"/>
    <w:rsid w:val="00CD0E60"/>
    <w:rsid w:val="00CD1E21"/>
    <w:rsid w:val="00CD1FD6"/>
    <w:rsid w:val="00CD6945"/>
    <w:rsid w:val="00CE6E97"/>
    <w:rsid w:val="00D05039"/>
    <w:rsid w:val="00D30591"/>
    <w:rsid w:val="00D31BA1"/>
    <w:rsid w:val="00D32325"/>
    <w:rsid w:val="00D34E0F"/>
    <w:rsid w:val="00D42DB4"/>
    <w:rsid w:val="00D4514C"/>
    <w:rsid w:val="00D50CF9"/>
    <w:rsid w:val="00D511A7"/>
    <w:rsid w:val="00D51A77"/>
    <w:rsid w:val="00D74791"/>
    <w:rsid w:val="00D80D35"/>
    <w:rsid w:val="00D82B37"/>
    <w:rsid w:val="00D860F7"/>
    <w:rsid w:val="00D909F0"/>
    <w:rsid w:val="00D915BA"/>
    <w:rsid w:val="00D93C3B"/>
    <w:rsid w:val="00DA1A79"/>
    <w:rsid w:val="00DA4711"/>
    <w:rsid w:val="00DC1D5C"/>
    <w:rsid w:val="00DC2E5F"/>
    <w:rsid w:val="00DC463D"/>
    <w:rsid w:val="00DC6207"/>
    <w:rsid w:val="00DD0E3C"/>
    <w:rsid w:val="00DD4B4A"/>
    <w:rsid w:val="00DE5CFF"/>
    <w:rsid w:val="00DF29AC"/>
    <w:rsid w:val="00DF3DE1"/>
    <w:rsid w:val="00DF49B6"/>
    <w:rsid w:val="00DF57C7"/>
    <w:rsid w:val="00E00ADD"/>
    <w:rsid w:val="00E06487"/>
    <w:rsid w:val="00E119F1"/>
    <w:rsid w:val="00E303D9"/>
    <w:rsid w:val="00E506AD"/>
    <w:rsid w:val="00E70FF4"/>
    <w:rsid w:val="00E74456"/>
    <w:rsid w:val="00E81DA3"/>
    <w:rsid w:val="00E82A13"/>
    <w:rsid w:val="00E911BF"/>
    <w:rsid w:val="00EA29C3"/>
    <w:rsid w:val="00EA2D6E"/>
    <w:rsid w:val="00EB300A"/>
    <w:rsid w:val="00EC17FC"/>
    <w:rsid w:val="00EC620D"/>
    <w:rsid w:val="00EC6C20"/>
    <w:rsid w:val="00EC7F0D"/>
    <w:rsid w:val="00ED056D"/>
    <w:rsid w:val="00ED3398"/>
    <w:rsid w:val="00ED440C"/>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Hyperlien">
    <w:name w:val="Hyperlink"/>
    <w:basedOn w:val="Policepardfaut"/>
    <w:uiPriority w:val="99"/>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6A6476"/>
  </w:style>
  <w:style w:type="character" w:styleId="Numrodeligne">
    <w:name w:val="line number"/>
    <w:basedOn w:val="Policepardfau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Policepardfaut"/>
    <w:link w:val="Bibliographie1"/>
    <w:rsid w:val="00F13F57"/>
    <w:rPr>
      <w:rFonts w:asciiTheme="majorHAnsi" w:hAnsiTheme="majorHAnsi" w:cstheme="majorHAnsi"/>
      <w:kern w:val="0"/>
      <w:lang w:val="en-US"/>
    </w:rPr>
  </w:style>
  <w:style w:type="paragraph" w:styleId="Textedebulles">
    <w:name w:val="Balloon Text"/>
    <w:basedOn w:val="Normal"/>
    <w:link w:val="TextedebullesCar"/>
    <w:uiPriority w:val="99"/>
    <w:semiHidden/>
    <w:unhideWhenUsed/>
    <w:rsid w:val="00951D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D33"/>
    <w:rPr>
      <w:rFonts w:ascii="Segoe UI" w:hAnsi="Segoe UI" w:cs="Segoe UI"/>
      <w:sz w:val="18"/>
      <w:szCs w:val="18"/>
    </w:rPr>
  </w:style>
  <w:style w:type="character" w:styleId="Mentionnonrsolue">
    <w:name w:val="Unresolved Mention"/>
    <w:basedOn w:val="Policepardfaut"/>
    <w:uiPriority w:val="99"/>
    <w:semiHidden/>
    <w:unhideWhenUsed/>
    <w:rsid w:val="000751B2"/>
    <w:rPr>
      <w:color w:val="605E5C"/>
      <w:shd w:val="clear" w:color="auto" w:fill="E1DFDD"/>
    </w:rPr>
  </w:style>
  <w:style w:type="paragraph" w:styleId="En-tte">
    <w:name w:val="header"/>
    <w:basedOn w:val="Normal"/>
    <w:link w:val="En-tteCar"/>
    <w:uiPriority w:val="99"/>
    <w:unhideWhenUsed/>
    <w:rsid w:val="000D6F28"/>
    <w:pPr>
      <w:tabs>
        <w:tab w:val="center" w:pos="4320"/>
        <w:tab w:val="right" w:pos="8640"/>
      </w:tabs>
    </w:pPr>
  </w:style>
  <w:style w:type="character" w:customStyle="1" w:styleId="En-tteCar">
    <w:name w:val="En-tête Car"/>
    <w:basedOn w:val="Policepardfaut"/>
    <w:link w:val="En-tte"/>
    <w:uiPriority w:val="99"/>
    <w:rsid w:val="000D6F28"/>
  </w:style>
  <w:style w:type="paragraph" w:styleId="Pieddepage">
    <w:name w:val="footer"/>
    <w:basedOn w:val="Normal"/>
    <w:link w:val="PieddepageCar"/>
    <w:uiPriority w:val="99"/>
    <w:unhideWhenUsed/>
    <w:rsid w:val="000D6F28"/>
    <w:pPr>
      <w:tabs>
        <w:tab w:val="center" w:pos="4320"/>
        <w:tab w:val="right" w:pos="8640"/>
      </w:tabs>
    </w:pPr>
  </w:style>
  <w:style w:type="character" w:customStyle="1" w:styleId="PieddepageCar">
    <w:name w:val="Pied de page Car"/>
    <w:basedOn w:val="Policepardfaut"/>
    <w:link w:val="Pieddepage"/>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5B9EB8-B0FB-4AFF-9A38-96836C37BEE0}">
  <ds:schemaRefs>
    <ds:schemaRef ds:uri="http://schemas.microsoft.com/sharepoint/v3/contenttype/forms"/>
  </ds:schemaRefs>
</ds:datastoreItem>
</file>

<file path=customXml/itemProps2.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customXml/itemProps4.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34925</Words>
  <Characters>192090</Characters>
  <Application>Microsoft Office Word</Application>
  <DocSecurity>0</DocSecurity>
  <Lines>1600</Lines>
  <Paragraphs>453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10</cp:revision>
  <dcterms:created xsi:type="dcterms:W3CDTF">2023-08-21T16:57:00Z</dcterms:created>
  <dcterms:modified xsi:type="dcterms:W3CDTF">2024-01-10T15:05:00Z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id="6z7wep4F"/&gt;&lt;style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