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823" w14:textId="1697D73B" w:rsidR="00F8419F"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4</w:t>
      </w:r>
      <w:r w:rsidR="00393C8C" w:rsidRPr="00F7730B">
        <w:rPr>
          <w:rFonts w:asciiTheme="majorHAnsi" w:hAnsiTheme="majorHAnsi" w:cstheme="majorHAnsi"/>
          <w:b/>
          <w:bCs/>
          <w:lang w:val="en-US"/>
        </w:rPr>
        <w:t xml:space="preserve"> | </w:t>
      </w:r>
      <w:r>
        <w:rPr>
          <w:rFonts w:asciiTheme="majorHAnsi" w:hAnsiTheme="majorHAnsi" w:cstheme="majorHAnsi"/>
          <w:b/>
          <w:bCs/>
          <w:lang w:val="en-US"/>
        </w:rPr>
        <w:t>DISCUSSION</w:t>
      </w:r>
    </w:p>
    <w:p w14:paraId="7AE4ADD8" w14:textId="77777777" w:rsidR="00697F62" w:rsidRDefault="00697F62" w:rsidP="00697F62">
      <w:pPr>
        <w:spacing w:line="360" w:lineRule="auto"/>
        <w:jc w:val="both"/>
        <w:rPr>
          <w:rFonts w:asciiTheme="majorHAnsi" w:hAnsiTheme="majorHAnsi" w:cstheme="majorHAnsi"/>
          <w:b/>
          <w:bCs/>
          <w:lang w:val="en-US"/>
        </w:rPr>
      </w:pPr>
    </w:p>
    <w:p w14:paraId="18902D9E" w14:textId="699FD6E3" w:rsidR="00697F62" w:rsidRDefault="003D0F24"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Our goal was to investigate the estimate of prevalence of the black spot disease across multiple spatial levels. This approach allowed us to skim over spatial patterns of infection, sampling methods bias and potential predictors of prevalence of infection in fish communities.</w:t>
      </w:r>
    </w:p>
    <w:p w14:paraId="669F722C" w14:textId="77777777" w:rsidR="00A7510C" w:rsidRDefault="00A7510C" w:rsidP="00697F62">
      <w:pPr>
        <w:spacing w:line="360" w:lineRule="auto"/>
        <w:jc w:val="both"/>
        <w:rPr>
          <w:rFonts w:asciiTheme="majorHAnsi" w:hAnsiTheme="majorHAnsi" w:cstheme="majorHAnsi"/>
          <w:lang w:val="en-US"/>
        </w:rPr>
      </w:pPr>
    </w:p>
    <w:p w14:paraId="30A14E2E" w14:textId="371E521D" w:rsidR="00A7510C" w:rsidRDefault="00A7510C" w:rsidP="00E62EDB">
      <w:pPr>
        <w:spacing w:line="360" w:lineRule="auto"/>
        <w:ind w:firstLine="708"/>
        <w:jc w:val="both"/>
        <w:rPr>
          <w:rFonts w:asciiTheme="majorHAnsi" w:hAnsiTheme="majorHAnsi" w:cstheme="majorHAnsi"/>
          <w:lang w:val="en-US"/>
        </w:rPr>
      </w:pPr>
      <w:r>
        <w:rPr>
          <w:rFonts w:asciiTheme="majorHAnsi" w:hAnsiTheme="majorHAnsi" w:cstheme="majorHAnsi"/>
          <w:lang w:val="en-US"/>
        </w:rPr>
        <w:t>First, our results shows that prevalence of infection is spatially heterogenous in our system (</w:t>
      </w:r>
      <w:r w:rsidRPr="009B4414">
        <w:rPr>
          <w:rFonts w:asciiTheme="majorHAnsi" w:hAnsiTheme="majorHAnsi" w:cstheme="majorHAnsi"/>
          <w:highlight w:val="cyan"/>
          <w:lang w:val="en-US"/>
        </w:rPr>
        <w:t>Fig</w:t>
      </w:r>
      <w:r w:rsidR="009B4414" w:rsidRPr="009B4414">
        <w:rPr>
          <w:rFonts w:asciiTheme="majorHAnsi" w:hAnsiTheme="majorHAnsi" w:cstheme="majorHAnsi"/>
          <w:highlight w:val="cyan"/>
          <w:lang w:val="en-US"/>
        </w:rPr>
        <w:t xml:space="preserve">ure </w:t>
      </w:r>
      <w:r w:rsidR="009B4414">
        <w:rPr>
          <w:rFonts w:asciiTheme="majorHAnsi" w:hAnsiTheme="majorHAnsi" w:cstheme="majorHAnsi"/>
          <w:highlight w:val="cyan"/>
          <w:lang w:val="en-US"/>
        </w:rPr>
        <w:t>3</w:t>
      </w:r>
      <w:r w:rsidR="009B4414" w:rsidRPr="009B4414">
        <w:rPr>
          <w:rFonts w:asciiTheme="majorHAnsi" w:hAnsiTheme="majorHAnsi" w:cstheme="majorHAnsi"/>
          <w:highlight w:val="cyan"/>
          <w:lang w:val="en-US"/>
        </w:rPr>
        <w:t xml:space="preserve"> and 4</w:t>
      </w:r>
      <w:r>
        <w:rPr>
          <w:rFonts w:asciiTheme="majorHAnsi" w:hAnsiTheme="majorHAnsi" w:cstheme="majorHAnsi"/>
          <w:lang w:val="en-US"/>
        </w:rPr>
        <w:t xml:space="preserve">). Across the landscape, lakes present varying values of prevalence and estimates also vary within lakes. However, we did not find evidence of geographical patterns. </w:t>
      </w:r>
      <w:r w:rsidR="00AC49F5">
        <w:rPr>
          <w:rFonts w:asciiTheme="majorHAnsi" w:hAnsiTheme="majorHAnsi" w:cstheme="majorHAnsi"/>
          <w:lang w:val="en-US"/>
        </w:rPr>
        <w:t xml:space="preserve">A larger number of lakes sampled might allow to confirm whether infection is spatially random or whether patterns could not be detected because of our small sample size. Accordingly, none of the spatial attributes that we tested were good predictors of infection in the fish communities at small spatial scale (site-scale). </w:t>
      </w:r>
    </w:p>
    <w:p w14:paraId="0CA32ABB" w14:textId="6D95D4F0" w:rsidR="00AC49F5" w:rsidRPr="00AC49F5" w:rsidRDefault="00AC49F5" w:rsidP="00697F62">
      <w:pPr>
        <w:spacing w:line="360" w:lineRule="auto"/>
        <w:jc w:val="both"/>
        <w:rPr>
          <w:rFonts w:asciiTheme="majorHAnsi" w:hAnsiTheme="majorHAnsi" w:cstheme="majorHAnsi"/>
          <w:lang w:val="en-US"/>
        </w:rPr>
      </w:pPr>
      <w:r w:rsidRPr="009B4414">
        <w:rPr>
          <w:rFonts w:asciiTheme="majorHAnsi" w:hAnsiTheme="majorHAnsi" w:cstheme="majorHAnsi"/>
          <w:highlight w:val="yellow"/>
          <w:lang w:val="en-US"/>
        </w:rPr>
        <w:t>*Ex</w:t>
      </w:r>
      <w:r w:rsidR="00DE60CE" w:rsidRPr="009B4414">
        <w:rPr>
          <w:rFonts w:asciiTheme="majorHAnsi" w:hAnsiTheme="majorHAnsi" w:cstheme="majorHAnsi"/>
          <w:highlight w:val="yellow"/>
          <w:lang w:val="en-US"/>
        </w:rPr>
        <w:t>a</w:t>
      </w:r>
      <w:r w:rsidRPr="009B4414">
        <w:rPr>
          <w:rFonts w:asciiTheme="majorHAnsi" w:hAnsiTheme="majorHAnsi" w:cstheme="majorHAnsi"/>
          <w:highlight w:val="yellow"/>
          <w:lang w:val="en-US"/>
        </w:rPr>
        <w:t>mples de geographical patterns – number of lakes that were sampled</w:t>
      </w:r>
    </w:p>
    <w:p w14:paraId="41AD5A41" w14:textId="77777777" w:rsidR="00697F62" w:rsidRPr="00AC49F5" w:rsidRDefault="00697F62" w:rsidP="00697F62">
      <w:pPr>
        <w:spacing w:line="360" w:lineRule="auto"/>
        <w:jc w:val="both"/>
        <w:rPr>
          <w:rFonts w:asciiTheme="majorHAnsi" w:hAnsiTheme="majorHAnsi" w:cstheme="majorHAnsi"/>
          <w:b/>
          <w:bCs/>
          <w:lang w:val="en-US"/>
        </w:rPr>
      </w:pPr>
    </w:p>
    <w:p w14:paraId="7C2E7CA2" w14:textId="688FD84D"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[Comments on methods]</w:t>
      </w:r>
    </w:p>
    <w:p w14:paraId="5846DB54" w14:textId="12F77939" w:rsidR="00E85831" w:rsidRDefault="00485657"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Fish-host have been the focus of many field studies on aquatic parasites. However, sampling design and methods bias are not usually discussed</w:t>
      </w:r>
      <w:r w:rsidR="00E85831">
        <w:rPr>
          <w:rFonts w:asciiTheme="majorHAnsi" w:hAnsiTheme="majorHAnsi" w:cstheme="majorHAnsi"/>
          <w:lang w:val="en-US"/>
        </w:rPr>
        <w:t xml:space="preserve"> although they can induce major bias in conclusions derived from wildlife samples. [</w:t>
      </w:r>
      <w:proofErr w:type="spellStart"/>
      <w:r w:rsidR="00E85831" w:rsidRPr="00177F81">
        <w:rPr>
          <w:rFonts w:asciiTheme="majorHAnsi" w:hAnsiTheme="majorHAnsi" w:cstheme="majorHAnsi"/>
          <w:highlight w:val="yellow"/>
          <w:lang w:val="en-US"/>
        </w:rPr>
        <w:t>eg.</w:t>
      </w:r>
      <w:proofErr w:type="spellEnd"/>
      <w:r w:rsidR="00E85831" w:rsidRPr="00177F81">
        <w:rPr>
          <w:rFonts w:asciiTheme="majorHAnsi" w:hAnsiTheme="majorHAnsi" w:cstheme="majorHAnsi"/>
          <w:highlight w:val="yellow"/>
          <w:lang w:val="en-US"/>
        </w:rPr>
        <w:t>]</w:t>
      </w:r>
      <w:r w:rsidR="00E85831">
        <w:rPr>
          <w:rFonts w:asciiTheme="majorHAnsi" w:hAnsiTheme="majorHAnsi" w:cstheme="majorHAnsi"/>
          <w:lang w:val="en-US"/>
        </w:rPr>
        <w:t xml:space="preserve"> Here, we investigated the relationship between the prevalence and the sampling effort across the landscape and, </w:t>
      </w:r>
      <w:r w:rsidR="006303B7">
        <w:rPr>
          <w:rFonts w:asciiTheme="majorHAnsi" w:hAnsiTheme="majorHAnsi" w:cstheme="majorHAnsi"/>
          <w:lang w:val="en-US"/>
        </w:rPr>
        <w:t xml:space="preserve">address </w:t>
      </w:r>
      <w:r w:rsidR="00E85831">
        <w:rPr>
          <w:rFonts w:asciiTheme="majorHAnsi" w:hAnsiTheme="majorHAnsi" w:cstheme="majorHAnsi"/>
          <w:lang w:val="en-US"/>
        </w:rPr>
        <w:t>t</w:t>
      </w:r>
      <w:r w:rsidR="00177F81">
        <w:rPr>
          <w:rFonts w:asciiTheme="majorHAnsi" w:hAnsiTheme="majorHAnsi" w:cstheme="majorHAnsi"/>
          <w:lang w:val="en-US"/>
        </w:rPr>
        <w:t xml:space="preserve">he importance of the sampling method on prevalence estimate at lake and landscape-scale. Our data support method-induced bias in prevalence estimates at lake-scale and landscape-scale. </w:t>
      </w:r>
      <w:r w:rsidR="00811401">
        <w:rPr>
          <w:rFonts w:asciiTheme="majorHAnsi" w:hAnsiTheme="majorHAnsi" w:cstheme="majorHAnsi"/>
          <w:lang w:val="en-US"/>
        </w:rPr>
        <w:t xml:space="preserve">At landscape-scale, prevalence estimates varied between </w:t>
      </w:r>
      <w:r w:rsidR="006D0D61">
        <w:rPr>
          <w:rFonts w:asciiTheme="majorHAnsi" w:hAnsiTheme="majorHAnsi" w:cstheme="majorHAnsi"/>
          <w:lang w:val="en-US"/>
        </w:rPr>
        <w:t>19.2%</w:t>
      </w:r>
      <w:r w:rsidR="00811401">
        <w:rPr>
          <w:rFonts w:asciiTheme="majorHAnsi" w:hAnsiTheme="majorHAnsi" w:cstheme="majorHAnsi"/>
          <w:lang w:val="en-US"/>
        </w:rPr>
        <w:t xml:space="preserve"> and </w:t>
      </w:r>
      <w:r w:rsidR="006D0D61" w:rsidRPr="006D0D61">
        <w:rPr>
          <w:rFonts w:asciiTheme="majorHAnsi" w:hAnsiTheme="majorHAnsi" w:cstheme="majorHAnsi"/>
          <w:lang w:val="en-US"/>
        </w:rPr>
        <w:t>35.6</w:t>
      </w:r>
      <w:r w:rsidR="00811401" w:rsidRPr="006D0D61">
        <w:rPr>
          <w:rFonts w:asciiTheme="majorHAnsi" w:hAnsiTheme="majorHAnsi" w:cstheme="majorHAnsi"/>
          <w:lang w:val="en-US"/>
        </w:rPr>
        <w:t xml:space="preserve"> %</w:t>
      </w:r>
      <w:r w:rsidR="00811401">
        <w:rPr>
          <w:rFonts w:asciiTheme="majorHAnsi" w:hAnsiTheme="majorHAnsi" w:cstheme="majorHAnsi"/>
          <w:lang w:val="en-US"/>
        </w:rPr>
        <w:t xml:space="preserve"> </w:t>
      </w:r>
      <w:r w:rsidR="007A4AA2">
        <w:rPr>
          <w:rFonts w:asciiTheme="majorHAnsi" w:hAnsiTheme="majorHAnsi" w:cstheme="majorHAnsi"/>
          <w:lang w:val="en-US"/>
        </w:rPr>
        <w:t>(</w:t>
      </w:r>
      <w:r w:rsidR="007A4AA2" w:rsidRPr="007A4AA2">
        <w:rPr>
          <w:rFonts w:asciiTheme="majorHAnsi" w:hAnsiTheme="majorHAnsi" w:cstheme="majorHAnsi"/>
          <w:highlight w:val="cyan"/>
          <w:lang w:val="en-US"/>
        </w:rPr>
        <w:t xml:space="preserve">table </w:t>
      </w:r>
      <w:proofErr w:type="spellStart"/>
      <w:r w:rsidR="007A4AA2" w:rsidRPr="007A4AA2">
        <w:rPr>
          <w:rFonts w:asciiTheme="majorHAnsi" w:hAnsiTheme="majorHAnsi" w:cstheme="majorHAnsi"/>
          <w:highlight w:val="cyan"/>
          <w:lang w:val="en-US"/>
        </w:rPr>
        <w:t>Sx</w:t>
      </w:r>
      <w:proofErr w:type="spellEnd"/>
      <w:r w:rsidR="007A4AA2">
        <w:rPr>
          <w:rFonts w:asciiTheme="majorHAnsi" w:hAnsiTheme="majorHAnsi" w:cstheme="majorHAnsi"/>
          <w:lang w:val="en-US"/>
        </w:rPr>
        <w:t xml:space="preserve">) </w:t>
      </w:r>
      <w:r w:rsidR="00811401">
        <w:rPr>
          <w:rFonts w:asciiTheme="majorHAnsi" w:hAnsiTheme="majorHAnsi" w:cstheme="majorHAnsi"/>
          <w:lang w:val="en-US"/>
        </w:rPr>
        <w:t xml:space="preserve">depending on the method while we reported variations up to </w:t>
      </w:r>
      <w:r w:rsidR="007A4AA2" w:rsidRPr="007A4AA2">
        <w:rPr>
          <w:rFonts w:asciiTheme="majorHAnsi" w:hAnsiTheme="majorHAnsi" w:cstheme="majorHAnsi"/>
          <w:lang w:val="en-US"/>
        </w:rPr>
        <w:t>46.7</w:t>
      </w:r>
      <w:r w:rsidR="00811401" w:rsidRPr="007A4AA2">
        <w:rPr>
          <w:rFonts w:asciiTheme="majorHAnsi" w:hAnsiTheme="majorHAnsi" w:cstheme="majorHAnsi"/>
          <w:lang w:val="en-US"/>
        </w:rPr>
        <w:t>%</w:t>
      </w:r>
      <w:r w:rsidR="00811401">
        <w:rPr>
          <w:rFonts w:asciiTheme="majorHAnsi" w:hAnsiTheme="majorHAnsi" w:cstheme="majorHAnsi"/>
          <w:lang w:val="en-US"/>
        </w:rPr>
        <w:t xml:space="preserve"> </w:t>
      </w:r>
      <w:r w:rsidR="006303B7">
        <w:rPr>
          <w:rFonts w:asciiTheme="majorHAnsi" w:hAnsiTheme="majorHAnsi" w:cstheme="majorHAnsi"/>
          <w:lang w:val="en-US"/>
        </w:rPr>
        <w:t xml:space="preserve">between methods </w:t>
      </w:r>
      <w:r w:rsidR="00811401">
        <w:rPr>
          <w:rFonts w:asciiTheme="majorHAnsi" w:hAnsiTheme="majorHAnsi" w:cstheme="majorHAnsi"/>
          <w:lang w:val="en-US"/>
        </w:rPr>
        <w:t>at lake-scale</w:t>
      </w:r>
      <w:r w:rsidR="007A4AA2">
        <w:rPr>
          <w:rFonts w:asciiTheme="majorHAnsi" w:hAnsiTheme="majorHAnsi" w:cstheme="majorHAnsi"/>
          <w:lang w:val="en-US"/>
        </w:rPr>
        <w:t xml:space="preserve"> (</w:t>
      </w:r>
      <w:r w:rsidR="007A4AA2" w:rsidRPr="007A4AA2">
        <w:rPr>
          <w:rFonts w:asciiTheme="majorHAnsi" w:hAnsiTheme="majorHAnsi" w:cstheme="majorHAnsi"/>
          <w:highlight w:val="cyan"/>
          <w:lang w:val="en-US"/>
        </w:rPr>
        <w:t xml:space="preserve">table </w:t>
      </w:r>
      <w:proofErr w:type="spellStart"/>
      <w:r w:rsidR="007A4AA2" w:rsidRPr="007A4AA2">
        <w:rPr>
          <w:rFonts w:asciiTheme="majorHAnsi" w:hAnsiTheme="majorHAnsi" w:cstheme="majorHAnsi"/>
          <w:highlight w:val="cyan"/>
          <w:lang w:val="en-US"/>
        </w:rPr>
        <w:t>Sxy</w:t>
      </w:r>
      <w:proofErr w:type="spellEnd"/>
      <w:r w:rsidR="007A4AA2">
        <w:rPr>
          <w:rFonts w:asciiTheme="majorHAnsi" w:hAnsiTheme="majorHAnsi" w:cstheme="majorHAnsi"/>
          <w:lang w:val="en-US"/>
        </w:rPr>
        <w:t>)</w:t>
      </w:r>
      <w:r w:rsidR="00811401">
        <w:rPr>
          <w:rFonts w:asciiTheme="majorHAnsi" w:hAnsiTheme="majorHAnsi" w:cstheme="majorHAnsi"/>
          <w:lang w:val="en-US"/>
        </w:rPr>
        <w:t xml:space="preserve">. </w:t>
      </w:r>
      <w:r w:rsidR="006303B7">
        <w:rPr>
          <w:rFonts w:asciiTheme="majorHAnsi" w:hAnsiTheme="majorHAnsi" w:cstheme="majorHAnsi"/>
          <w:lang w:val="en-US"/>
        </w:rPr>
        <w:t xml:space="preserve">Sampling wildlife is </w:t>
      </w:r>
      <w:r w:rsidR="00646430">
        <w:rPr>
          <w:rFonts w:asciiTheme="majorHAnsi" w:hAnsiTheme="majorHAnsi" w:cstheme="majorHAnsi"/>
          <w:lang w:val="en-US"/>
        </w:rPr>
        <w:t>challenging,</w:t>
      </w:r>
      <w:r w:rsidR="006303B7">
        <w:rPr>
          <w:rFonts w:asciiTheme="majorHAnsi" w:hAnsiTheme="majorHAnsi" w:cstheme="majorHAnsi"/>
          <w:lang w:val="en-US"/>
        </w:rPr>
        <w:t xml:space="preserve"> and all sampling method comes with their advantages and inconveniences. </w:t>
      </w:r>
      <w:r w:rsidR="00646430">
        <w:rPr>
          <w:rFonts w:asciiTheme="majorHAnsi" w:hAnsiTheme="majorHAnsi" w:cstheme="majorHAnsi"/>
          <w:lang w:val="en-US"/>
        </w:rPr>
        <w:t>……</w:t>
      </w:r>
    </w:p>
    <w:p w14:paraId="4EF0EDF9" w14:textId="77777777" w:rsidR="00646430" w:rsidRDefault="00646430" w:rsidP="00697F62">
      <w:pPr>
        <w:spacing w:line="360" w:lineRule="auto"/>
        <w:jc w:val="both"/>
        <w:rPr>
          <w:rFonts w:asciiTheme="majorHAnsi" w:hAnsiTheme="majorHAnsi" w:cstheme="majorHAnsi"/>
          <w:lang w:val="en-US"/>
        </w:rPr>
      </w:pPr>
    </w:p>
    <w:p w14:paraId="00F9C3D7" w14:textId="5FC66281" w:rsidR="00485657" w:rsidRDefault="00646430"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Sampling effort must be sufficient to measure a representative biological metric in natural systems. Our results showed that low sampling effort lean toward overestimating the prevalence value at landscape-scale. [</w:t>
      </w:r>
      <w:r w:rsidRPr="00646430">
        <w:rPr>
          <w:rFonts w:asciiTheme="majorHAnsi" w:hAnsiTheme="majorHAnsi" w:cstheme="majorHAnsi"/>
          <w:highlight w:val="yellow"/>
          <w:lang w:val="en-US"/>
        </w:rPr>
        <w:t>what</w:t>
      </w:r>
      <w:r>
        <w:rPr>
          <w:rFonts w:asciiTheme="majorHAnsi" w:hAnsiTheme="majorHAnsi" w:cstheme="majorHAnsi"/>
          <w:highlight w:val="yellow"/>
          <w:lang w:val="en-US"/>
        </w:rPr>
        <w:t xml:space="preserve"> is that</w:t>
      </w:r>
      <w:r w:rsidRPr="00646430">
        <w:rPr>
          <w:rFonts w:asciiTheme="majorHAnsi" w:hAnsiTheme="majorHAnsi" w:cstheme="majorHAnsi"/>
          <w:highlight w:val="yellow"/>
          <w:lang w:val="en-US"/>
        </w:rPr>
        <w:t>?]</w:t>
      </w:r>
      <w:r>
        <w:rPr>
          <w:rFonts w:asciiTheme="majorHAnsi" w:hAnsiTheme="majorHAnsi" w:cstheme="majorHAnsi"/>
          <w:lang w:val="en-US"/>
        </w:rPr>
        <w:t xml:space="preserve">. </w:t>
      </w:r>
      <w:r w:rsidR="00074AB3">
        <w:rPr>
          <w:rFonts w:asciiTheme="majorHAnsi" w:hAnsiTheme="majorHAnsi" w:cstheme="majorHAnsi"/>
          <w:lang w:val="en-US"/>
        </w:rPr>
        <w:t xml:space="preserve">As shown in </w:t>
      </w:r>
      <w:r w:rsidR="00074AB3" w:rsidRPr="009B4414">
        <w:rPr>
          <w:rFonts w:asciiTheme="majorHAnsi" w:hAnsiTheme="majorHAnsi" w:cstheme="majorHAnsi"/>
          <w:highlight w:val="cyan"/>
          <w:lang w:val="en-US"/>
        </w:rPr>
        <w:t>Figure 5</w:t>
      </w:r>
      <w:r w:rsidR="00074AB3">
        <w:rPr>
          <w:rFonts w:asciiTheme="majorHAnsi" w:hAnsiTheme="majorHAnsi" w:cstheme="majorHAnsi"/>
          <w:lang w:val="en-US"/>
        </w:rPr>
        <w:t xml:space="preserve">, the minimum number of samples </w:t>
      </w:r>
      <w:r w:rsidR="00074AB3">
        <w:rPr>
          <w:rFonts w:asciiTheme="majorHAnsi" w:hAnsiTheme="majorHAnsi" w:cstheme="majorHAnsi"/>
          <w:lang w:val="en-US"/>
        </w:rPr>
        <w:lastRenderedPageBreak/>
        <w:t>needed to adequately estimate landscape prevalence differed between methods. The only sampling method that reached a stable value was the observational snorkeling transects</w:t>
      </w:r>
      <w:r w:rsidR="001D261B">
        <w:rPr>
          <w:rFonts w:asciiTheme="majorHAnsi" w:hAnsiTheme="majorHAnsi" w:cstheme="majorHAnsi"/>
          <w:lang w:val="en-US"/>
        </w:rPr>
        <w:t xml:space="preserve"> (around 10 samples) although the seine and methods combination showed only 1% of difference between simulated prevalence and real prevalence after 35 samples (</w:t>
      </w:r>
      <w:r w:rsidR="001D261B" w:rsidRPr="001D261B">
        <w:rPr>
          <w:rFonts w:asciiTheme="majorHAnsi" w:hAnsiTheme="majorHAnsi" w:cstheme="majorHAnsi"/>
          <w:highlight w:val="yellow"/>
          <w:lang w:val="en-US"/>
        </w:rPr>
        <w:t xml:space="preserve">table </w:t>
      </w:r>
      <w:proofErr w:type="spellStart"/>
      <w:r w:rsidR="001D261B" w:rsidRPr="001D261B">
        <w:rPr>
          <w:rFonts w:asciiTheme="majorHAnsi" w:hAnsiTheme="majorHAnsi" w:cstheme="majorHAnsi"/>
          <w:highlight w:val="yellow"/>
          <w:lang w:val="en-US"/>
        </w:rPr>
        <w:t>Sx</w:t>
      </w:r>
      <w:proofErr w:type="spellEnd"/>
      <w:r w:rsidR="001D261B">
        <w:rPr>
          <w:rFonts w:asciiTheme="majorHAnsi" w:hAnsiTheme="majorHAnsi" w:cstheme="majorHAnsi"/>
          <w:lang w:val="en-US"/>
        </w:rPr>
        <w:t>)</w:t>
      </w:r>
      <w:r w:rsidR="00074AB3">
        <w:rPr>
          <w:rFonts w:asciiTheme="majorHAnsi" w:hAnsiTheme="majorHAnsi" w:cstheme="majorHAnsi"/>
          <w:lang w:val="en-US"/>
        </w:rPr>
        <w:t xml:space="preserve">. </w:t>
      </w:r>
      <w:r w:rsidR="001D261B">
        <w:rPr>
          <w:rFonts w:asciiTheme="majorHAnsi" w:hAnsiTheme="majorHAnsi" w:cstheme="majorHAnsi"/>
          <w:lang w:val="en-US"/>
        </w:rPr>
        <w:t>Indeed, this method allows observations on much more individuals than the seine and minnow traps</w:t>
      </w:r>
      <w:r w:rsidR="00180BBC">
        <w:rPr>
          <w:rFonts w:asciiTheme="majorHAnsi" w:hAnsiTheme="majorHAnsi" w:cstheme="majorHAnsi"/>
          <w:lang w:val="en-US"/>
        </w:rPr>
        <w:t xml:space="preserve"> explaining why it reaches stability faster. However, quality of observations underwater </w:t>
      </w:r>
      <w:r w:rsidR="000A4CC3">
        <w:rPr>
          <w:rFonts w:asciiTheme="majorHAnsi" w:hAnsiTheme="majorHAnsi" w:cstheme="majorHAnsi"/>
          <w:lang w:val="en-US"/>
        </w:rPr>
        <w:t>relies</w:t>
      </w:r>
      <w:r w:rsidR="00180BBC">
        <w:rPr>
          <w:rFonts w:asciiTheme="majorHAnsi" w:hAnsiTheme="majorHAnsi" w:cstheme="majorHAnsi"/>
          <w:lang w:val="en-US"/>
        </w:rPr>
        <w:t xml:space="preserve"> on</w:t>
      </w:r>
      <w:r w:rsidR="00607906">
        <w:rPr>
          <w:rFonts w:asciiTheme="majorHAnsi" w:hAnsiTheme="majorHAnsi" w:cstheme="majorHAnsi"/>
          <w:lang w:val="en-US"/>
        </w:rPr>
        <w:t>,</w:t>
      </w:r>
      <w:r w:rsidR="000A4CC3">
        <w:rPr>
          <w:rFonts w:asciiTheme="majorHAnsi" w:hAnsiTheme="majorHAnsi" w:cstheme="majorHAnsi"/>
          <w:lang w:val="en-US"/>
        </w:rPr>
        <w:t xml:space="preserve"> meteorological conditions, </w:t>
      </w:r>
      <w:r w:rsidR="00607906">
        <w:rPr>
          <w:rFonts w:asciiTheme="majorHAnsi" w:hAnsiTheme="majorHAnsi" w:cstheme="majorHAnsi"/>
          <w:lang w:val="en-US"/>
        </w:rPr>
        <w:t>water transparency (i.e., color, turbidity)</w:t>
      </w:r>
      <w:r w:rsidR="000A4CC3">
        <w:rPr>
          <w:rFonts w:asciiTheme="majorHAnsi" w:hAnsiTheme="majorHAnsi" w:cstheme="majorHAnsi"/>
          <w:lang w:val="en-US"/>
        </w:rPr>
        <w:t xml:space="preserve"> and expertise of the observers to identify fish species while moving. While fishing methods require a more extensive sampling, evaluation of infection is much more precise because the observer can take more time to look at fish individuals. </w:t>
      </w:r>
      <w:r w:rsidR="00F25F42">
        <w:rPr>
          <w:rFonts w:asciiTheme="majorHAnsi" w:hAnsiTheme="majorHAnsi" w:cstheme="majorHAnsi"/>
          <w:lang w:val="en-US"/>
        </w:rPr>
        <w:t xml:space="preserve">Moreover, because fish </w:t>
      </w:r>
      <w:r w:rsidR="00100C68">
        <w:rPr>
          <w:rFonts w:asciiTheme="majorHAnsi" w:hAnsiTheme="majorHAnsi" w:cstheme="majorHAnsi"/>
          <w:lang w:val="en-US"/>
        </w:rPr>
        <w:t>must</w:t>
      </w:r>
      <w:r w:rsidR="00F25F42">
        <w:rPr>
          <w:rFonts w:asciiTheme="majorHAnsi" w:hAnsiTheme="majorHAnsi" w:cstheme="majorHAnsi"/>
          <w:lang w:val="en-US"/>
        </w:rPr>
        <w:t xml:space="preserve"> enter voluntarily in the trap, </w:t>
      </w:r>
      <w:r w:rsidR="00F25F42">
        <w:rPr>
          <w:rFonts w:asciiTheme="majorHAnsi" w:hAnsiTheme="majorHAnsi" w:cstheme="majorHAnsi"/>
          <w:lang w:val="en-US"/>
        </w:rPr>
        <w:t xml:space="preserve">minnow traps are </w:t>
      </w:r>
      <w:r w:rsidR="00100C68">
        <w:rPr>
          <w:rFonts w:asciiTheme="majorHAnsi" w:hAnsiTheme="majorHAnsi" w:cstheme="majorHAnsi"/>
          <w:lang w:val="en-US"/>
        </w:rPr>
        <w:t xml:space="preserve">typically </w:t>
      </w:r>
      <w:r w:rsidR="00F25F42">
        <w:rPr>
          <w:rFonts w:asciiTheme="majorHAnsi" w:hAnsiTheme="majorHAnsi" w:cstheme="majorHAnsi"/>
          <w:lang w:val="en-US"/>
        </w:rPr>
        <w:t xml:space="preserve">selective on </w:t>
      </w:r>
      <w:r w:rsidR="00100C68">
        <w:rPr>
          <w:rFonts w:asciiTheme="majorHAnsi" w:hAnsiTheme="majorHAnsi" w:cstheme="majorHAnsi"/>
          <w:lang w:val="en-US"/>
        </w:rPr>
        <w:t xml:space="preserve">bold and curious </w:t>
      </w:r>
      <w:r w:rsidR="00F25F42">
        <w:rPr>
          <w:rFonts w:asciiTheme="majorHAnsi" w:hAnsiTheme="majorHAnsi" w:cstheme="majorHAnsi"/>
          <w:lang w:val="en-US"/>
        </w:rPr>
        <w:t>behavior</w:t>
      </w:r>
      <w:r w:rsidR="00100C68">
        <w:rPr>
          <w:rFonts w:asciiTheme="majorHAnsi" w:hAnsiTheme="majorHAnsi" w:cstheme="majorHAnsi"/>
          <w:lang w:val="en-US"/>
        </w:rPr>
        <w:t xml:space="preserve">. Even if seine nets are not directly behavior-selective devices, </w:t>
      </w:r>
      <w:r w:rsidR="00DD64C7">
        <w:rPr>
          <w:rFonts w:asciiTheme="majorHAnsi" w:hAnsiTheme="majorHAnsi" w:cstheme="majorHAnsi"/>
          <w:lang w:val="en-US"/>
        </w:rPr>
        <w:t xml:space="preserve">they come with </w:t>
      </w:r>
      <w:r w:rsidR="00100C68">
        <w:rPr>
          <w:rFonts w:asciiTheme="majorHAnsi" w:hAnsiTheme="majorHAnsi" w:cstheme="majorHAnsi"/>
          <w:lang w:val="en-US"/>
        </w:rPr>
        <w:t xml:space="preserve">habitat-selection restrictions like no large obstacles (e.g., </w:t>
      </w:r>
      <w:r w:rsidR="00DD64C7">
        <w:rPr>
          <w:rFonts w:asciiTheme="majorHAnsi" w:hAnsiTheme="majorHAnsi" w:cstheme="majorHAnsi"/>
          <w:lang w:val="en-US"/>
        </w:rPr>
        <w:t xml:space="preserve">branches, </w:t>
      </w:r>
      <w:r w:rsidR="00100C68">
        <w:rPr>
          <w:rFonts w:asciiTheme="majorHAnsi" w:hAnsiTheme="majorHAnsi" w:cstheme="majorHAnsi"/>
          <w:lang w:val="en-US"/>
        </w:rPr>
        <w:t>trunk</w:t>
      </w:r>
      <w:r w:rsidR="00DD64C7">
        <w:rPr>
          <w:rFonts w:asciiTheme="majorHAnsi" w:hAnsiTheme="majorHAnsi" w:cstheme="majorHAnsi"/>
          <w:lang w:val="en-US"/>
        </w:rPr>
        <w:t>s</w:t>
      </w:r>
      <w:r w:rsidR="00100C68">
        <w:rPr>
          <w:rFonts w:asciiTheme="majorHAnsi" w:hAnsiTheme="majorHAnsi" w:cstheme="majorHAnsi"/>
          <w:lang w:val="en-US"/>
        </w:rPr>
        <w:t>, boulder</w:t>
      </w:r>
      <w:r w:rsidR="00DD64C7">
        <w:rPr>
          <w:rFonts w:asciiTheme="majorHAnsi" w:hAnsiTheme="majorHAnsi" w:cstheme="majorHAnsi"/>
          <w:lang w:val="en-US"/>
        </w:rPr>
        <w:t>s</w:t>
      </w:r>
      <w:r w:rsidR="00100C68">
        <w:rPr>
          <w:rFonts w:asciiTheme="majorHAnsi" w:hAnsiTheme="majorHAnsi" w:cstheme="majorHAnsi"/>
          <w:lang w:val="en-US"/>
        </w:rPr>
        <w:t xml:space="preserve">) </w:t>
      </w:r>
      <w:r w:rsidR="00DD64C7">
        <w:rPr>
          <w:rFonts w:asciiTheme="majorHAnsi" w:hAnsiTheme="majorHAnsi" w:cstheme="majorHAnsi"/>
          <w:lang w:val="en-US"/>
        </w:rPr>
        <w:t>or shallow sites (sites must not be deeper than the height of the net). Thus, because species have different habitat preferences and that preferences can change in</w:t>
      </w:r>
      <w:r w:rsidR="000E7705">
        <w:rPr>
          <w:rFonts w:asciiTheme="majorHAnsi" w:hAnsiTheme="majorHAnsi" w:cstheme="majorHAnsi"/>
          <w:lang w:val="en-US"/>
        </w:rPr>
        <w:t xml:space="preserve"> context of competition and/or predation</w:t>
      </w:r>
      <w:r w:rsidR="00DD64C7">
        <w:rPr>
          <w:rFonts w:asciiTheme="majorHAnsi" w:hAnsiTheme="majorHAnsi" w:cstheme="majorHAnsi"/>
          <w:lang w:val="en-US"/>
        </w:rPr>
        <w:t xml:space="preserve">, seine net might </w:t>
      </w:r>
      <w:r w:rsidR="000E7705">
        <w:rPr>
          <w:rFonts w:asciiTheme="majorHAnsi" w:hAnsiTheme="majorHAnsi" w:cstheme="majorHAnsi"/>
          <w:lang w:val="en-US"/>
        </w:rPr>
        <w:t xml:space="preserve">be indirectly selective on fish identity and behavior. </w:t>
      </w:r>
    </w:p>
    <w:p w14:paraId="2E09D8FD" w14:textId="77777777" w:rsidR="00697F62" w:rsidRDefault="00697F62" w:rsidP="00697F62">
      <w:pPr>
        <w:spacing w:line="360" w:lineRule="auto"/>
        <w:jc w:val="both"/>
        <w:rPr>
          <w:rFonts w:asciiTheme="majorHAnsi" w:hAnsiTheme="majorHAnsi" w:cstheme="majorHAnsi"/>
          <w:b/>
          <w:bCs/>
          <w:lang w:val="en-US"/>
        </w:rPr>
      </w:pPr>
    </w:p>
    <w:p w14:paraId="1626D8CA" w14:textId="319C73EF"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 xml:space="preserve">[Comments on spatial patterns] </w:t>
      </w:r>
    </w:p>
    <w:p w14:paraId="47009C11" w14:textId="01E062E3" w:rsidR="00697F62" w:rsidRDefault="00697F62" w:rsidP="00697F62">
      <w:pPr>
        <w:spacing w:line="360" w:lineRule="auto"/>
        <w:jc w:val="both"/>
        <w:rPr>
          <w:rFonts w:asciiTheme="majorHAnsi" w:hAnsiTheme="majorHAnsi" w:cstheme="majorHAnsi"/>
          <w:lang w:val="en-US"/>
        </w:rPr>
      </w:pPr>
      <w:r w:rsidRPr="00EB6998">
        <w:rPr>
          <w:rFonts w:asciiTheme="majorHAnsi" w:hAnsiTheme="majorHAnsi" w:cstheme="majorHAnsi"/>
          <w:lang w:val="en-US"/>
        </w:rPr>
        <w:t>*</w:t>
      </w:r>
      <w:r w:rsidR="00EB6998" w:rsidRPr="00EB6998">
        <w:rPr>
          <w:rFonts w:asciiTheme="majorHAnsi" w:hAnsiTheme="majorHAnsi" w:cstheme="majorHAnsi"/>
          <w:lang w:val="en-US"/>
        </w:rPr>
        <w:t>Methods change lakes prevalence to. Sample diff. communities</w:t>
      </w:r>
    </w:p>
    <w:p w14:paraId="1E0AF1D9" w14:textId="7FF81C14" w:rsidR="009B4414" w:rsidRPr="00EB6998" w:rsidRDefault="009B4414" w:rsidP="00697F62">
      <w:pPr>
        <w:spacing w:line="360" w:lineRule="auto"/>
        <w:jc w:val="both"/>
        <w:rPr>
          <w:rFonts w:asciiTheme="majorHAnsi" w:hAnsiTheme="majorHAnsi" w:cstheme="majorHAnsi"/>
          <w:lang w:val="en-US"/>
        </w:rPr>
      </w:pPr>
      <w:r>
        <w:rPr>
          <w:rFonts w:asciiTheme="majorHAnsi" w:hAnsiTheme="majorHAnsi" w:cstheme="majorHAnsi"/>
          <w:lang w:val="en-US"/>
        </w:rPr>
        <w:t xml:space="preserve">* Frequency </w:t>
      </w:r>
      <w:proofErr w:type="spellStart"/>
      <w:r>
        <w:rPr>
          <w:rFonts w:asciiTheme="majorHAnsi" w:hAnsiTheme="majorHAnsi" w:cstheme="majorHAnsi"/>
          <w:lang w:val="en-US"/>
        </w:rPr>
        <w:t>distributionns</w:t>
      </w:r>
      <w:proofErr w:type="spellEnd"/>
    </w:p>
    <w:p w14:paraId="2B7E0958" w14:textId="77777777" w:rsidR="00EB6998" w:rsidRDefault="00EB6998" w:rsidP="00697F62">
      <w:pPr>
        <w:spacing w:line="360" w:lineRule="auto"/>
        <w:jc w:val="both"/>
        <w:rPr>
          <w:rFonts w:asciiTheme="majorHAnsi" w:hAnsiTheme="majorHAnsi" w:cstheme="majorHAnsi"/>
          <w:b/>
          <w:bCs/>
          <w:lang w:val="en-US"/>
        </w:rPr>
      </w:pPr>
    </w:p>
    <w:p w14:paraId="3A045335" w14:textId="01DCDB7A" w:rsidR="00EB6998" w:rsidRDefault="00EB6998"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[Comments on predictors]</w:t>
      </w:r>
    </w:p>
    <w:p w14:paraId="14F8B35B" w14:textId="77777777" w:rsidR="00DE60CE" w:rsidRDefault="00DD736A"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At the site-scale, we used GAMMs to inspect relationships between the prevalence estimate and environmental predictors (</w:t>
      </w:r>
      <w:r w:rsidRPr="00DD736A">
        <w:rPr>
          <w:rFonts w:asciiTheme="majorHAnsi" w:hAnsiTheme="majorHAnsi" w:cstheme="majorHAnsi"/>
          <w:highlight w:val="cyan"/>
          <w:lang w:val="en-US"/>
        </w:rPr>
        <w:t>Figure 5</w:t>
      </w:r>
      <w:r>
        <w:rPr>
          <w:rFonts w:asciiTheme="majorHAnsi" w:hAnsiTheme="majorHAnsi" w:cstheme="majorHAnsi"/>
          <w:lang w:val="en-US"/>
        </w:rPr>
        <w:t xml:space="preserve">). Results evidence some non-linear patterns </w:t>
      </w:r>
      <w:r w:rsidR="00632639">
        <w:rPr>
          <w:rFonts w:asciiTheme="majorHAnsi" w:hAnsiTheme="majorHAnsi" w:cstheme="majorHAnsi"/>
          <w:lang w:val="en-US"/>
        </w:rPr>
        <w:t xml:space="preserve">supporting the use of flexible approach to model infection dynamics. We found that all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parameters (turbidity, temperature, dissolved oxygen, </w:t>
      </w:r>
      <w:proofErr w:type="gramStart"/>
      <w:r w:rsidR="00632639">
        <w:rPr>
          <w:rFonts w:asciiTheme="majorHAnsi" w:hAnsiTheme="majorHAnsi" w:cstheme="majorHAnsi"/>
          <w:lang w:val="en-US"/>
        </w:rPr>
        <w:t>conductivity</w:t>
      </w:r>
      <w:proofErr w:type="gramEnd"/>
      <w:r w:rsidR="00632639">
        <w:rPr>
          <w:rFonts w:asciiTheme="majorHAnsi" w:hAnsiTheme="majorHAnsi" w:cstheme="majorHAnsi"/>
          <w:lang w:val="en-US"/>
        </w:rPr>
        <w:t xml:space="preserve"> and pH) were good predictors of infection. </w:t>
      </w:r>
      <w:r w:rsidR="003F6070">
        <w:rPr>
          <w:rFonts w:asciiTheme="majorHAnsi" w:hAnsiTheme="majorHAnsi" w:cstheme="majorHAnsi"/>
          <w:lang w:val="en-US"/>
        </w:rPr>
        <w:t>Since, w</w:t>
      </w:r>
      <w:r w:rsidR="00632639">
        <w:rPr>
          <w:rFonts w:asciiTheme="majorHAnsi" w:hAnsiTheme="majorHAnsi" w:cstheme="majorHAnsi"/>
          <w:lang w:val="en-US"/>
        </w:rPr>
        <w:t xml:space="preserve">ater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w:t>
      </w:r>
      <w:r w:rsidR="001E6FED">
        <w:rPr>
          <w:rFonts w:asciiTheme="majorHAnsi" w:hAnsiTheme="majorHAnsi" w:cstheme="majorHAnsi"/>
          <w:lang w:val="en-US"/>
        </w:rPr>
        <w:t xml:space="preserve">measurements do not require a lot of equipment and time </w:t>
      </w:r>
      <w:r w:rsidR="003F6070">
        <w:rPr>
          <w:rFonts w:asciiTheme="majorHAnsi" w:hAnsiTheme="majorHAnsi" w:cstheme="majorHAnsi"/>
          <w:lang w:val="en-US"/>
        </w:rPr>
        <w:t>compared</w:t>
      </w:r>
      <w:r w:rsidR="001E6FED">
        <w:rPr>
          <w:rFonts w:asciiTheme="majorHAnsi" w:hAnsiTheme="majorHAnsi" w:cstheme="majorHAnsi"/>
          <w:lang w:val="en-US"/>
        </w:rPr>
        <w:t xml:space="preserve"> to field assessment of fish infection</w:t>
      </w:r>
      <w:r w:rsidR="003F6070">
        <w:rPr>
          <w:rFonts w:asciiTheme="majorHAnsi" w:hAnsiTheme="majorHAnsi" w:cstheme="majorHAnsi"/>
          <w:lang w:val="en-US"/>
        </w:rPr>
        <w:t>, these results are promising for future monitoring and managing strategies of freshwater fish parasite infection</w:t>
      </w:r>
      <w:r w:rsidR="001E6FED">
        <w:rPr>
          <w:rFonts w:asciiTheme="majorHAnsi" w:hAnsiTheme="majorHAnsi" w:cstheme="majorHAnsi"/>
          <w:lang w:val="en-US"/>
        </w:rPr>
        <w:t xml:space="preserve">. </w:t>
      </w:r>
      <w:r w:rsidR="003F6070">
        <w:rPr>
          <w:rFonts w:asciiTheme="majorHAnsi" w:hAnsiTheme="majorHAnsi" w:cstheme="majorHAnsi"/>
          <w:lang w:val="en-US"/>
        </w:rPr>
        <w:t xml:space="preserve">Consequently, we </w:t>
      </w:r>
      <w:r w:rsidR="003F6070">
        <w:rPr>
          <w:rFonts w:asciiTheme="majorHAnsi" w:hAnsiTheme="majorHAnsi" w:cstheme="majorHAnsi"/>
          <w:lang w:val="en-US"/>
        </w:rPr>
        <w:lastRenderedPageBreak/>
        <w:t xml:space="preserve">encourage researchers to investigate these relationships with other parasites and other locations/types of habitats. </w:t>
      </w:r>
    </w:p>
    <w:p w14:paraId="0859F671" w14:textId="11B889DE" w:rsidR="00DE60CE" w:rsidRDefault="00351DC8" w:rsidP="00DE60CE">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Contrary to our initial believe, habitat structure does not seem to be an important factor driving prevalence of infection in fish communities from the littoral zone. However, we found a negative relationship between the macrophyte cover and </w:t>
      </w:r>
      <w:r w:rsidR="003B2D9D">
        <w:rPr>
          <w:rFonts w:asciiTheme="majorHAnsi" w:hAnsiTheme="majorHAnsi" w:cstheme="majorHAnsi"/>
          <w:lang w:val="en-US"/>
        </w:rPr>
        <w:t>the prevalence in our transect sites. The direction of this relationship is not what we had expected from previous studies</w:t>
      </w:r>
      <w:r w:rsidR="0060764B">
        <w:rPr>
          <w:rFonts w:asciiTheme="majorHAnsi" w:hAnsiTheme="majorHAnsi" w:cstheme="majorHAnsi"/>
          <w:lang w:val="en-US"/>
        </w:rPr>
        <w:t xml:space="preserve"> where </w:t>
      </w:r>
      <w:r w:rsidR="008249A4">
        <w:rPr>
          <w:rFonts w:asciiTheme="majorHAnsi" w:hAnsiTheme="majorHAnsi" w:cstheme="majorHAnsi"/>
          <w:lang w:val="en-US"/>
        </w:rPr>
        <w:t xml:space="preserve">fishes from vegetated zones </w:t>
      </w:r>
      <w:r w:rsidR="0060764B">
        <w:rPr>
          <w:rFonts w:asciiTheme="majorHAnsi" w:hAnsiTheme="majorHAnsi" w:cstheme="majorHAnsi"/>
          <w:lang w:val="en-US"/>
        </w:rPr>
        <w:t xml:space="preserve">have been </w:t>
      </w:r>
      <w:r w:rsidR="008249A4">
        <w:rPr>
          <w:rFonts w:asciiTheme="majorHAnsi" w:hAnsiTheme="majorHAnsi" w:cstheme="majorHAnsi"/>
          <w:lang w:val="en-US"/>
        </w:rPr>
        <w:t xml:space="preserve">suggested </w:t>
      </w:r>
      <w:r w:rsidR="0060764B">
        <w:rPr>
          <w:rFonts w:asciiTheme="majorHAnsi" w:hAnsiTheme="majorHAnsi" w:cstheme="majorHAnsi"/>
          <w:lang w:val="en-US"/>
        </w:rPr>
        <w:t xml:space="preserve">to </w:t>
      </w:r>
      <w:r w:rsidR="008249A4">
        <w:rPr>
          <w:rFonts w:asciiTheme="majorHAnsi" w:hAnsiTheme="majorHAnsi" w:cstheme="majorHAnsi"/>
          <w:lang w:val="en-US"/>
        </w:rPr>
        <w:t xml:space="preserve">be more heavily infected </w:t>
      </w:r>
      <w:r w:rsidR="008249A4">
        <w:rPr>
          <w:rFonts w:asciiTheme="majorHAnsi" w:hAnsiTheme="majorHAnsi" w:cstheme="majorHAnsi"/>
          <w:lang w:val="en-US"/>
        </w:rPr>
        <w:fldChar w:fldCharType="begin"/>
      </w:r>
      <w:r w:rsidR="008249A4">
        <w:rPr>
          <w:rFonts w:asciiTheme="majorHAnsi" w:hAnsiTheme="majorHAnsi" w:cstheme="majorHAnsi"/>
          <w:lang w:val="en-US"/>
        </w:rPr>
        <w:instrText xml:space="preserve"> ADDIN ZOTERO_ITEM CSL_CITATION {"citationID":"eUFf5pr7","properties":{"formattedCitation":"(Hartmann &amp; N\\uc0\\u252{}mann, 1977; Marcogliese et al., 2001; Ondrackova et al., 2004)","plainCitation":"(Hartmann &amp; Nümann, 1977; Marcogliese et al., 2001; Ondrackova et al., 2004)","noteIndex":0},"citationItems":[{"id":2760,"uris":["http://zotero.org/groups/2585270/items/3T2MH9RB"],"itemData":{"id":2760,"type":"article-journal","container-title":"Journal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8249A4">
        <w:rPr>
          <w:rFonts w:asciiTheme="majorHAnsi" w:hAnsiTheme="majorHAnsi" w:cstheme="majorHAnsi"/>
          <w:lang w:val="en-US"/>
        </w:rPr>
        <w:fldChar w:fldCharType="separate"/>
      </w:r>
      <w:r w:rsidR="008249A4" w:rsidRPr="00E84DBA">
        <w:rPr>
          <w:rFonts w:ascii="Calibri Light" w:hAnsiTheme="majorHAnsi" w:cs="Calibri Light"/>
          <w:kern w:val="0"/>
          <w:lang w:val="en-US"/>
        </w:rPr>
        <w:t xml:space="preserve">(Hartmann &amp; </w:t>
      </w:r>
      <w:proofErr w:type="spellStart"/>
      <w:r w:rsidR="008249A4" w:rsidRPr="00E84DBA">
        <w:rPr>
          <w:rFonts w:ascii="Calibri Light" w:hAnsiTheme="majorHAnsi" w:cs="Calibri Light"/>
          <w:kern w:val="0"/>
          <w:lang w:val="en-US"/>
        </w:rPr>
        <w:t>Nümann</w:t>
      </w:r>
      <w:proofErr w:type="spellEnd"/>
      <w:r w:rsidR="008249A4" w:rsidRPr="00E84DBA">
        <w:rPr>
          <w:rFonts w:ascii="Calibri Light" w:hAnsiTheme="majorHAnsi" w:cs="Calibri Light"/>
          <w:kern w:val="0"/>
          <w:lang w:val="en-US"/>
        </w:rPr>
        <w:t xml:space="preserve">, 1977; </w:t>
      </w:r>
      <w:proofErr w:type="spellStart"/>
      <w:r w:rsidR="008249A4" w:rsidRPr="00E84DBA">
        <w:rPr>
          <w:rFonts w:ascii="Calibri Light" w:hAnsiTheme="majorHAnsi" w:cs="Calibri Light"/>
          <w:kern w:val="0"/>
          <w:lang w:val="en-US"/>
        </w:rPr>
        <w:t>Marcogliese</w:t>
      </w:r>
      <w:proofErr w:type="spellEnd"/>
      <w:r w:rsidR="008249A4" w:rsidRPr="00E84DBA">
        <w:rPr>
          <w:rFonts w:ascii="Calibri Light" w:hAnsiTheme="majorHAnsi" w:cs="Calibri Light"/>
          <w:kern w:val="0"/>
          <w:lang w:val="en-US"/>
        </w:rPr>
        <w:t xml:space="preserve"> et al., 2001; </w:t>
      </w:r>
      <w:proofErr w:type="spellStart"/>
      <w:r w:rsidR="008249A4" w:rsidRPr="00E84DBA">
        <w:rPr>
          <w:rFonts w:ascii="Calibri Light" w:hAnsiTheme="majorHAnsi" w:cs="Calibri Light"/>
          <w:kern w:val="0"/>
          <w:lang w:val="en-US"/>
        </w:rPr>
        <w:t>Ondrackova</w:t>
      </w:r>
      <w:proofErr w:type="spellEnd"/>
      <w:r w:rsidR="008249A4" w:rsidRPr="00E84DBA">
        <w:rPr>
          <w:rFonts w:ascii="Calibri Light" w:hAnsiTheme="majorHAnsi" w:cs="Calibri Light"/>
          <w:kern w:val="0"/>
          <w:lang w:val="en-US"/>
        </w:rPr>
        <w:t xml:space="preserve"> et al., 2004)</w:t>
      </w:r>
      <w:r w:rsidR="008249A4">
        <w:rPr>
          <w:rFonts w:asciiTheme="majorHAnsi" w:hAnsiTheme="majorHAnsi" w:cstheme="majorHAnsi"/>
          <w:lang w:val="en-US"/>
        </w:rPr>
        <w:fldChar w:fldCharType="end"/>
      </w:r>
      <w:r w:rsidR="003B2D9D">
        <w:rPr>
          <w:rFonts w:asciiTheme="majorHAnsi" w:hAnsiTheme="majorHAnsi" w:cstheme="majorHAnsi"/>
          <w:lang w:val="en-US"/>
        </w:rPr>
        <w:t>.</w:t>
      </w:r>
      <w:r w:rsidR="003668B9">
        <w:rPr>
          <w:rFonts w:asciiTheme="majorHAnsi" w:hAnsiTheme="majorHAnsi" w:cstheme="majorHAnsi"/>
          <w:lang w:val="en-US"/>
        </w:rPr>
        <w:t xml:space="preserve"> On one hand</w:t>
      </w:r>
      <w:r w:rsidR="003B2D9D">
        <w:rPr>
          <w:rFonts w:asciiTheme="majorHAnsi" w:hAnsiTheme="majorHAnsi" w:cstheme="majorHAnsi"/>
          <w:lang w:val="en-US"/>
        </w:rPr>
        <w:t>, considering that cercariae have a short life</w:t>
      </w:r>
      <w:r w:rsidR="0043119E">
        <w:rPr>
          <w:rFonts w:asciiTheme="majorHAnsi" w:hAnsiTheme="majorHAnsi" w:cstheme="majorHAnsi"/>
          <w:lang w:val="en-US"/>
        </w:rPr>
        <w:t>-</w:t>
      </w:r>
      <w:r w:rsidR="003B2D9D">
        <w:rPr>
          <w:rFonts w:asciiTheme="majorHAnsi" w:hAnsiTheme="majorHAnsi" w:cstheme="majorHAnsi"/>
          <w:lang w:val="en-US"/>
        </w:rPr>
        <w:t xml:space="preserve">span </w:t>
      </w:r>
      <w:r w:rsidR="008249A4">
        <w:rPr>
          <w:rFonts w:asciiTheme="majorHAnsi" w:hAnsiTheme="majorHAnsi" w:cstheme="majorHAnsi"/>
          <w:lang w:val="en-US"/>
        </w:rPr>
        <w:fldChar w:fldCharType="begin"/>
      </w:r>
      <w:r w:rsidR="0043119E">
        <w:rPr>
          <w:rFonts w:asciiTheme="majorHAnsi" w:hAnsiTheme="majorHAnsi" w:cstheme="majorHAnsi"/>
          <w:lang w:val="en-US"/>
        </w:rPr>
        <w:instrText xml:space="preserve"> ADDIN ZOTERO_ITEM CSL_CITATION {"citationID":"0LjsFuPN","properties":{"formattedCitation":"(Combes et al., 1994; Pietrock &amp; Marcogliese, 2003)","plainCitation":"(Combes et al., 1994; Pietrock &amp; Marcogliese, 2003)","noteIndex":0},"citationItems":[{"id":3465,"uris":["http://zotero.org/groups/2585270/items/759SSP86"],"itemData":{"id":3465,"type":"article-journal","abstract":"Cercariae,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id":2304,"uris":["http://zotero.org/groups/2585270/items/98CJGSFP"],"itemData":{"id":2304,"type":"article-journal","abstract":"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hosts.","container-title":"Trends in Parasitology","DOI":"10.1016/s1471-4922(03)00117-x","ISSN":"1471-4922","issue":"7","journalAbbreviation":"Trends Parasitol","language":"eng","note":"PMID: 12855379","page":"293-299","source":"PubMed","title":"Free-living endohelminth stages: at the mercy of environmental conditions","title-short":"Free-living endohelminth stages","volume":"19","author":[{"family":"Pietrock","given":"Michael"},{"family":"Marcogliese","given":"David J."}],"issued":{"date-parts":[["2003",7]]}}}],"schema":"https://github.com/citation-style-language/schema/raw/master/csl-citation.json"} </w:instrText>
      </w:r>
      <w:r w:rsidR="008249A4">
        <w:rPr>
          <w:rFonts w:asciiTheme="majorHAnsi" w:hAnsiTheme="majorHAnsi" w:cstheme="majorHAnsi"/>
          <w:lang w:val="en-US"/>
        </w:rPr>
        <w:fldChar w:fldCharType="separate"/>
      </w:r>
      <w:r w:rsidR="0043119E">
        <w:rPr>
          <w:rFonts w:asciiTheme="majorHAnsi" w:hAnsiTheme="majorHAnsi" w:cstheme="majorHAnsi"/>
          <w:noProof/>
          <w:lang w:val="en-US"/>
        </w:rPr>
        <w:t>(Combes et al., 1994; Pietrock &amp; Marcogliese, 2003)</w:t>
      </w:r>
      <w:r w:rsidR="008249A4">
        <w:rPr>
          <w:rFonts w:asciiTheme="majorHAnsi" w:hAnsiTheme="majorHAnsi" w:cstheme="majorHAnsi"/>
          <w:lang w:val="en-US"/>
        </w:rPr>
        <w:fldChar w:fldCharType="end"/>
      </w:r>
      <w:r w:rsidR="003B2D9D">
        <w:rPr>
          <w:rFonts w:asciiTheme="majorHAnsi" w:hAnsiTheme="majorHAnsi" w:cstheme="majorHAnsi"/>
          <w:lang w:val="en-US"/>
        </w:rPr>
        <w:t xml:space="preserve">, </w:t>
      </w:r>
      <w:r w:rsidR="006718D0">
        <w:rPr>
          <w:rFonts w:asciiTheme="majorHAnsi" w:hAnsiTheme="majorHAnsi" w:cstheme="majorHAnsi"/>
          <w:lang w:val="en-US"/>
        </w:rPr>
        <w:t>encounter barriers might be structuring elements of infection dynamics in fish-host. As a results, dense macrophyte cover might prevent cercariae from encountering their fish-host. [</w:t>
      </w:r>
      <w:r w:rsidR="006718D0" w:rsidRPr="003668B9">
        <w:rPr>
          <w:rFonts w:asciiTheme="majorHAnsi" w:hAnsiTheme="majorHAnsi" w:cstheme="majorHAnsi"/>
          <w:highlight w:val="yellow"/>
          <w:lang w:val="en-US"/>
        </w:rPr>
        <w:t>find paper with encounter barriers?</w:t>
      </w:r>
      <w:r w:rsidR="006718D0">
        <w:rPr>
          <w:rFonts w:asciiTheme="majorHAnsi" w:hAnsiTheme="majorHAnsi" w:cstheme="majorHAnsi"/>
          <w:lang w:val="en-US"/>
        </w:rPr>
        <w:t>].</w:t>
      </w:r>
      <w:r w:rsidR="003668B9">
        <w:rPr>
          <w:rFonts w:asciiTheme="majorHAnsi" w:hAnsiTheme="majorHAnsi" w:cstheme="majorHAnsi"/>
          <w:lang w:val="en-US"/>
        </w:rPr>
        <w:t xml:space="preserve"> On the other hand, infected snails releasing cercariae in our lake system might not live or feed on macrophyte and thus, macrophyte cover </w:t>
      </w:r>
      <w:r w:rsidR="00D071CF">
        <w:rPr>
          <w:rFonts w:asciiTheme="majorHAnsi" w:hAnsiTheme="majorHAnsi" w:cstheme="majorHAnsi"/>
          <w:lang w:val="en-US"/>
        </w:rPr>
        <w:t xml:space="preserve">would not be correlated to snail abundance and consequently parasite abundance. For instance, the mud </w:t>
      </w:r>
      <w:proofErr w:type="spellStart"/>
      <w:r w:rsidR="00D071CF">
        <w:rPr>
          <w:rFonts w:asciiTheme="majorHAnsi" w:hAnsiTheme="majorHAnsi" w:cstheme="majorHAnsi"/>
          <w:lang w:val="en-US"/>
        </w:rPr>
        <w:t>amnicola</w:t>
      </w:r>
      <w:proofErr w:type="spellEnd"/>
      <w:r w:rsidR="00D071CF">
        <w:rPr>
          <w:rFonts w:asciiTheme="majorHAnsi" w:hAnsiTheme="majorHAnsi" w:cstheme="majorHAnsi"/>
          <w:lang w:val="en-US"/>
        </w:rPr>
        <w:t xml:space="preserve"> </w:t>
      </w:r>
      <w:r w:rsidR="00D071CF" w:rsidRPr="00D071CF">
        <w:rPr>
          <w:rFonts w:asciiTheme="majorHAnsi" w:hAnsiTheme="majorHAnsi" w:cstheme="majorHAnsi"/>
          <w:i/>
          <w:iCs/>
          <w:lang w:val="en-US"/>
        </w:rPr>
        <w:t>Amnicola limosus</w:t>
      </w:r>
      <w:r w:rsidR="00CA041B">
        <w:rPr>
          <w:rFonts w:asciiTheme="majorHAnsi" w:hAnsiTheme="majorHAnsi" w:cstheme="majorHAnsi"/>
          <w:lang w:val="en-US"/>
        </w:rPr>
        <w:t xml:space="preserve"> is second intermediate host to at least one species of the black spot guild in our lake system (</w:t>
      </w:r>
      <w:proofErr w:type="spellStart"/>
      <w:r w:rsidR="00CA041B">
        <w:rPr>
          <w:rFonts w:asciiTheme="majorHAnsi" w:hAnsiTheme="majorHAnsi" w:cstheme="majorHAnsi"/>
          <w:lang w:val="en-US"/>
        </w:rPr>
        <w:t>Levet</w:t>
      </w:r>
      <w:proofErr w:type="spellEnd"/>
      <w:r w:rsidR="00CA041B">
        <w:rPr>
          <w:rFonts w:asciiTheme="majorHAnsi" w:hAnsiTheme="majorHAnsi" w:cstheme="majorHAnsi"/>
          <w:lang w:val="en-US"/>
        </w:rPr>
        <w:t>, unpublished). This freshwater snail</w:t>
      </w:r>
      <w:r w:rsidR="00504366">
        <w:rPr>
          <w:rFonts w:asciiTheme="majorHAnsi" w:hAnsiTheme="majorHAnsi" w:cstheme="majorHAnsi"/>
          <w:lang w:val="en-US"/>
        </w:rPr>
        <w:t xml:space="preserve"> live partially in the sediment from the littoral zone</w:t>
      </w:r>
      <w:r w:rsidR="00D13AB7">
        <w:rPr>
          <w:rFonts w:asciiTheme="majorHAnsi" w:hAnsiTheme="majorHAnsi" w:cstheme="majorHAnsi"/>
          <w:lang w:val="en-US"/>
        </w:rPr>
        <w:t xml:space="preserve"> </w:t>
      </w:r>
      <w:r w:rsidR="00D13AB7">
        <w:rPr>
          <w:rFonts w:asciiTheme="majorHAnsi" w:hAnsiTheme="majorHAnsi" w:cstheme="majorHAnsi"/>
          <w:lang w:val="en-US"/>
        </w:rPr>
        <w:fldChar w:fldCharType="begin"/>
      </w:r>
      <w:r w:rsidR="00D13AB7">
        <w:rPr>
          <w:rFonts w:asciiTheme="majorHAnsi" w:hAnsiTheme="majorHAnsi" w:cstheme="majorHAnsi"/>
          <w:lang w:val="en-US"/>
        </w:rPr>
        <w:instrText xml:space="preserve"> ADDIN ZOTERO_ITEM CSL_CITATION {"citationID":"yYl1ziGj","properties":{"formattedCitation":"(Pinel-Alloul &amp; Magnin, 1973)","plainCitation":"(Pinel-Alloul &amp;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00D13AB7">
        <w:rPr>
          <w:rFonts w:asciiTheme="majorHAnsi" w:hAnsiTheme="majorHAnsi" w:cstheme="majorHAnsi"/>
          <w:lang w:val="en-US"/>
        </w:rPr>
        <w:fldChar w:fldCharType="separate"/>
      </w:r>
      <w:r w:rsidR="00D13AB7">
        <w:rPr>
          <w:rFonts w:asciiTheme="majorHAnsi" w:hAnsiTheme="majorHAnsi" w:cstheme="majorHAnsi"/>
          <w:noProof/>
          <w:lang w:val="en-US"/>
        </w:rPr>
        <w:t>(Pinel-Alloul &amp; Magnin, 1973)</w:t>
      </w:r>
      <w:r w:rsidR="00D13AB7">
        <w:rPr>
          <w:rFonts w:asciiTheme="majorHAnsi" w:hAnsiTheme="majorHAnsi" w:cstheme="majorHAnsi"/>
          <w:lang w:val="en-US"/>
        </w:rPr>
        <w:fldChar w:fldCharType="end"/>
      </w:r>
      <w:r w:rsidR="00D13AB7">
        <w:rPr>
          <w:rFonts w:asciiTheme="majorHAnsi" w:hAnsiTheme="majorHAnsi" w:cstheme="majorHAnsi"/>
          <w:lang w:val="en-US"/>
        </w:rPr>
        <w:t xml:space="preserve"> and often graze on periphyton </w:t>
      </w:r>
      <w:r w:rsidR="00D13AB7">
        <w:rPr>
          <w:rFonts w:asciiTheme="majorHAnsi" w:hAnsiTheme="majorHAnsi" w:cstheme="majorHAnsi"/>
          <w:lang w:val="en-US"/>
        </w:rPr>
        <w:fldChar w:fldCharType="begin"/>
      </w:r>
      <w:r w:rsidR="00D13AB7">
        <w:rPr>
          <w:rFonts w:asciiTheme="majorHAnsi" w:hAnsiTheme="majorHAnsi" w:cstheme="majorHAnsi"/>
          <w:lang w:val="en-US"/>
        </w:rPr>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00D13AB7">
        <w:rPr>
          <w:rFonts w:asciiTheme="majorHAnsi" w:hAnsiTheme="majorHAnsi" w:cstheme="majorHAnsi"/>
          <w:lang w:val="en-US"/>
        </w:rPr>
        <w:fldChar w:fldCharType="separate"/>
      </w:r>
      <w:r w:rsidR="00D13AB7">
        <w:rPr>
          <w:rFonts w:asciiTheme="majorHAnsi" w:hAnsiTheme="majorHAnsi" w:cstheme="majorHAnsi"/>
          <w:noProof/>
          <w:lang w:val="en-US"/>
        </w:rPr>
        <w:t>(Kesler, 1981)</w:t>
      </w:r>
      <w:r w:rsidR="00D13AB7">
        <w:rPr>
          <w:rFonts w:asciiTheme="majorHAnsi" w:hAnsiTheme="majorHAnsi" w:cstheme="majorHAnsi"/>
          <w:lang w:val="en-US"/>
        </w:rPr>
        <w:fldChar w:fldCharType="end"/>
      </w:r>
      <w:r w:rsidR="00DE60CE">
        <w:rPr>
          <w:rFonts w:asciiTheme="majorHAnsi" w:hAnsiTheme="majorHAnsi" w:cstheme="majorHAnsi"/>
          <w:lang w:val="en-US"/>
        </w:rPr>
        <w:t xml:space="preserve"> thus has no direct relationship with macrophyte cover.</w:t>
      </w:r>
    </w:p>
    <w:p w14:paraId="70BC490A" w14:textId="772E1EE8" w:rsidR="00EB6998" w:rsidRPr="00EB6998" w:rsidRDefault="00DE60CE" w:rsidP="00354043">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 Our results suggest</w:t>
      </w:r>
      <w:r w:rsidR="00DD3E5A">
        <w:rPr>
          <w:rFonts w:asciiTheme="majorHAnsi" w:hAnsiTheme="majorHAnsi" w:cstheme="majorHAnsi"/>
          <w:lang w:val="en-US"/>
        </w:rPr>
        <w:t xml:space="preserve"> that community structure is a driving factor of prevalence of infection by the black spot disease at small spatial scale. </w:t>
      </w:r>
      <w:r>
        <w:rPr>
          <w:rFonts w:asciiTheme="majorHAnsi" w:hAnsiTheme="majorHAnsi" w:cstheme="majorHAnsi"/>
          <w:lang w:val="en-US"/>
        </w:rPr>
        <w:t>We found negative relationship</w:t>
      </w:r>
      <w:r w:rsidR="00DD3E5A">
        <w:rPr>
          <w:rFonts w:asciiTheme="majorHAnsi" w:hAnsiTheme="majorHAnsi" w:cstheme="majorHAnsi"/>
          <w:lang w:val="en-US"/>
        </w:rPr>
        <w:t>s</w:t>
      </w:r>
      <w:r>
        <w:rPr>
          <w:rFonts w:asciiTheme="majorHAnsi" w:hAnsiTheme="majorHAnsi" w:cstheme="majorHAnsi"/>
          <w:lang w:val="en-US"/>
        </w:rPr>
        <w:t xml:space="preserve"> </w:t>
      </w:r>
      <w:r w:rsidR="00DD3E5A">
        <w:rPr>
          <w:rFonts w:asciiTheme="majorHAnsi" w:hAnsiTheme="majorHAnsi" w:cstheme="majorHAnsi"/>
          <w:lang w:val="en-US"/>
        </w:rPr>
        <w:t>for total fish abundance, non-host abundance and Simpson’s diversity index</w:t>
      </w:r>
      <w:r w:rsidR="00C47CE0">
        <w:rPr>
          <w:rFonts w:asciiTheme="majorHAnsi" w:hAnsiTheme="majorHAnsi" w:cstheme="majorHAnsi"/>
          <w:lang w:val="en-US"/>
        </w:rPr>
        <w:t xml:space="preserve">. Expectedly, total fish abundance and non-host abundance are positively correlated </w:t>
      </w:r>
      <w:r w:rsidR="00AE3828">
        <w:rPr>
          <w:rFonts w:asciiTheme="majorHAnsi" w:hAnsiTheme="majorHAnsi" w:cstheme="majorHAnsi"/>
          <w:lang w:val="en-US"/>
        </w:rPr>
        <w:t>(</w:t>
      </w:r>
      <w:r w:rsidR="00AE3828" w:rsidRPr="00AE3828">
        <w:rPr>
          <w:rFonts w:asciiTheme="majorHAnsi" w:hAnsiTheme="majorHAnsi" w:cstheme="majorHAnsi"/>
          <w:highlight w:val="yellow"/>
          <w:lang w:val="en-US"/>
        </w:rPr>
        <w:t xml:space="preserve">Figure </w:t>
      </w:r>
      <w:proofErr w:type="spellStart"/>
      <w:r w:rsidR="00AE3828" w:rsidRPr="00AE3828">
        <w:rPr>
          <w:rFonts w:asciiTheme="majorHAnsi" w:hAnsiTheme="majorHAnsi" w:cstheme="majorHAnsi"/>
          <w:highlight w:val="yellow"/>
          <w:lang w:val="en-US"/>
        </w:rPr>
        <w:t>Sxx</w:t>
      </w:r>
      <w:proofErr w:type="spellEnd"/>
      <w:r w:rsidR="00AE3828">
        <w:rPr>
          <w:rFonts w:asciiTheme="majorHAnsi" w:hAnsiTheme="majorHAnsi" w:cstheme="majorHAnsi"/>
          <w:lang w:val="en-US"/>
        </w:rPr>
        <w:t xml:space="preserve">) </w:t>
      </w:r>
      <w:r w:rsidR="00C47CE0">
        <w:rPr>
          <w:rFonts w:asciiTheme="majorHAnsi" w:hAnsiTheme="majorHAnsi" w:cstheme="majorHAnsi"/>
          <w:lang w:val="en-US"/>
        </w:rPr>
        <w:t xml:space="preserve">indicating that the driving processes behind these relationships are probably the same. These results are expected by the dilution effect hypothesis. </w:t>
      </w:r>
      <w:r w:rsidR="00354043">
        <w:rPr>
          <w:rFonts w:asciiTheme="majorHAnsi" w:hAnsiTheme="majorHAnsi" w:cstheme="majorHAnsi"/>
          <w:lang w:val="en-US"/>
        </w:rPr>
        <w:t xml:space="preserve">For trematode cercariae, a higher fish abundance means yes more encounter probability, but the proportion of parasites against the fish-host is diminished. As a result, prevalence would decrease with fish abundance if parasite abundance </w:t>
      </w:r>
      <w:r w:rsidR="0029699C">
        <w:rPr>
          <w:rFonts w:asciiTheme="majorHAnsi" w:hAnsiTheme="majorHAnsi" w:cstheme="majorHAnsi"/>
          <w:lang w:val="en-US"/>
        </w:rPr>
        <w:t>were</w:t>
      </w:r>
      <w:r w:rsidR="00354043">
        <w:rPr>
          <w:rFonts w:asciiTheme="majorHAnsi" w:hAnsiTheme="majorHAnsi" w:cstheme="majorHAnsi"/>
          <w:lang w:val="en-US"/>
        </w:rPr>
        <w:t xml:space="preserve"> not correlated to fish abundance. </w:t>
      </w:r>
      <w:r w:rsidR="0029699C">
        <w:rPr>
          <w:rFonts w:asciiTheme="majorHAnsi" w:hAnsiTheme="majorHAnsi" w:cstheme="majorHAnsi"/>
          <w:lang w:val="en-US"/>
        </w:rPr>
        <w:t>A higher abundance of non-host fish also means that success of infection by cercariae are lower, diminishing prevalence values. This has been observed both in the field and in experimental design</w:t>
      </w:r>
      <w:r w:rsidR="00A66164">
        <w:rPr>
          <w:rFonts w:asciiTheme="majorHAnsi" w:hAnsiTheme="majorHAnsi" w:cstheme="majorHAnsi"/>
          <w:lang w:val="en-US"/>
        </w:rPr>
        <w:t xml:space="preserve"> [</w:t>
      </w:r>
      <w:r w:rsidR="00A66164" w:rsidRPr="00A66164">
        <w:rPr>
          <w:rFonts w:asciiTheme="majorHAnsi" w:hAnsiTheme="majorHAnsi" w:cstheme="majorHAnsi"/>
          <w:highlight w:val="yellow"/>
          <w:lang w:val="en-US"/>
        </w:rPr>
        <w:t>Refs</w:t>
      </w:r>
      <w:r w:rsidR="00A66164">
        <w:rPr>
          <w:rFonts w:asciiTheme="majorHAnsi" w:hAnsiTheme="majorHAnsi" w:cstheme="majorHAnsi"/>
          <w:lang w:val="en-US"/>
        </w:rPr>
        <w:t>]</w:t>
      </w:r>
      <w:r w:rsidR="0029699C">
        <w:rPr>
          <w:rFonts w:asciiTheme="majorHAnsi" w:hAnsiTheme="majorHAnsi" w:cstheme="majorHAnsi"/>
          <w:lang w:val="en-US"/>
        </w:rPr>
        <w:t xml:space="preserve">. </w:t>
      </w:r>
      <w:r w:rsidR="00AE3828">
        <w:rPr>
          <w:rFonts w:asciiTheme="majorHAnsi" w:hAnsiTheme="majorHAnsi" w:cstheme="majorHAnsi"/>
          <w:lang w:val="en-US"/>
        </w:rPr>
        <w:t xml:space="preserve">Finally, diverse communities in our system tend to be less infected than </w:t>
      </w:r>
      <w:r w:rsidR="00AE3828">
        <w:rPr>
          <w:rFonts w:asciiTheme="majorHAnsi" w:hAnsiTheme="majorHAnsi" w:cstheme="majorHAnsi"/>
          <w:lang w:val="en-US"/>
        </w:rPr>
        <w:lastRenderedPageBreak/>
        <w:t xml:space="preserve">communities with dominant species. In our lake system, </w:t>
      </w:r>
      <w:r w:rsidR="00AE3828" w:rsidRPr="00AE3828">
        <w:rPr>
          <w:rFonts w:asciiTheme="majorHAnsi" w:hAnsiTheme="majorHAnsi" w:cstheme="majorHAnsi"/>
          <w:i/>
          <w:iCs/>
          <w:lang w:val="en-US"/>
        </w:rPr>
        <w:t>L. gibbosus</w:t>
      </w:r>
      <w:r w:rsidR="00AE3828">
        <w:rPr>
          <w:rFonts w:asciiTheme="majorHAnsi" w:hAnsiTheme="majorHAnsi" w:cstheme="majorHAnsi"/>
          <w:lang w:val="en-US"/>
        </w:rPr>
        <w:t xml:space="preserve"> is a dominant species of fish communities but also the species with the highest prevalence of infection.</w:t>
      </w:r>
      <w:r w:rsidR="00E62EDB">
        <w:rPr>
          <w:rFonts w:asciiTheme="majorHAnsi" w:hAnsiTheme="majorHAnsi" w:cstheme="majorHAnsi"/>
          <w:lang w:val="en-US"/>
        </w:rPr>
        <w:t xml:space="preserve"> </w:t>
      </w:r>
      <w:r w:rsidR="00AE3828">
        <w:rPr>
          <w:rFonts w:asciiTheme="majorHAnsi" w:hAnsiTheme="majorHAnsi" w:cstheme="majorHAnsi"/>
          <w:lang w:val="en-US"/>
        </w:rPr>
        <w:t xml:space="preserve">Thus, presence of competitor species </w:t>
      </w:r>
      <w:r w:rsidR="00E62EDB">
        <w:rPr>
          <w:rFonts w:asciiTheme="majorHAnsi" w:hAnsiTheme="majorHAnsi" w:cstheme="majorHAnsi"/>
          <w:lang w:val="en-US"/>
        </w:rPr>
        <w:t xml:space="preserve">(e.g., </w:t>
      </w:r>
      <w:r w:rsidR="00E62EDB" w:rsidRPr="00E62EDB">
        <w:rPr>
          <w:rFonts w:asciiTheme="majorHAnsi" w:hAnsiTheme="majorHAnsi" w:cstheme="majorHAnsi"/>
          <w:i/>
          <w:iCs/>
          <w:lang w:val="en-US"/>
        </w:rPr>
        <w:t xml:space="preserve">P. </w:t>
      </w:r>
      <w:proofErr w:type="spellStart"/>
      <w:r w:rsidR="00E62EDB" w:rsidRPr="00E62EDB">
        <w:rPr>
          <w:rFonts w:asciiTheme="majorHAnsi" w:hAnsiTheme="majorHAnsi" w:cstheme="majorHAnsi"/>
          <w:i/>
          <w:iCs/>
          <w:lang w:val="en-US"/>
        </w:rPr>
        <w:t>flavescens</w:t>
      </w:r>
      <w:proofErr w:type="spellEnd"/>
      <w:r w:rsidR="00E62EDB">
        <w:rPr>
          <w:rFonts w:asciiTheme="majorHAnsi" w:hAnsiTheme="majorHAnsi" w:cstheme="majorHAnsi"/>
          <w:lang w:val="en-US"/>
        </w:rPr>
        <w:t xml:space="preserve">) </w:t>
      </w:r>
      <w:r w:rsidR="00AE3828">
        <w:rPr>
          <w:rFonts w:asciiTheme="majorHAnsi" w:hAnsiTheme="majorHAnsi" w:cstheme="majorHAnsi"/>
          <w:lang w:val="en-US"/>
        </w:rPr>
        <w:t xml:space="preserve">showing a lesser prevalence of infection might </w:t>
      </w:r>
      <w:r w:rsidR="00E62EDB">
        <w:rPr>
          <w:rFonts w:asciiTheme="majorHAnsi" w:hAnsiTheme="majorHAnsi" w:cstheme="majorHAnsi"/>
          <w:lang w:val="en-US"/>
        </w:rPr>
        <w:t xml:space="preserve">decrease the overall infection at the community level. Also, as previously discussed, presence of non-host species </w:t>
      </w:r>
      <w:proofErr w:type="gramStart"/>
      <w:r w:rsidR="00E62EDB">
        <w:rPr>
          <w:rFonts w:asciiTheme="majorHAnsi" w:hAnsiTheme="majorHAnsi" w:cstheme="majorHAnsi"/>
          <w:lang w:val="en-US"/>
        </w:rPr>
        <w:t>increase</w:t>
      </w:r>
      <w:proofErr w:type="gramEnd"/>
      <w:r w:rsidR="00E62EDB">
        <w:rPr>
          <w:rFonts w:asciiTheme="majorHAnsi" w:hAnsiTheme="majorHAnsi" w:cstheme="majorHAnsi"/>
          <w:lang w:val="en-US"/>
        </w:rPr>
        <w:t xml:space="preserve"> the diversity index, but might lower the prevalence in the community. </w:t>
      </w:r>
    </w:p>
    <w:sectPr w:rsidR="00EB6998" w:rsidRPr="00EB6998" w:rsidSect="00AE7E58">
      <w:pgSz w:w="12240" w:h="15840"/>
      <w:pgMar w:top="1418" w:right="1418" w:bottom="1418" w:left="1418"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03AF"/>
    <w:rsid w:val="000722AA"/>
    <w:rsid w:val="000738DF"/>
    <w:rsid w:val="00074AB3"/>
    <w:rsid w:val="000A4CC3"/>
    <w:rsid w:val="000B5C15"/>
    <w:rsid w:val="000B6441"/>
    <w:rsid w:val="000B7C0D"/>
    <w:rsid w:val="000C7212"/>
    <w:rsid w:val="000D7F92"/>
    <w:rsid w:val="000E0D09"/>
    <w:rsid w:val="000E13C3"/>
    <w:rsid w:val="000E7705"/>
    <w:rsid w:val="000F2A66"/>
    <w:rsid w:val="00100C68"/>
    <w:rsid w:val="00104431"/>
    <w:rsid w:val="00106DA3"/>
    <w:rsid w:val="00114236"/>
    <w:rsid w:val="0013275F"/>
    <w:rsid w:val="0014115D"/>
    <w:rsid w:val="00143D13"/>
    <w:rsid w:val="00150902"/>
    <w:rsid w:val="00160139"/>
    <w:rsid w:val="001601F4"/>
    <w:rsid w:val="00163D35"/>
    <w:rsid w:val="00165C9D"/>
    <w:rsid w:val="00177F81"/>
    <w:rsid w:val="00180BBC"/>
    <w:rsid w:val="00184DA8"/>
    <w:rsid w:val="001A6132"/>
    <w:rsid w:val="001C2BF4"/>
    <w:rsid w:val="001D261B"/>
    <w:rsid w:val="001D5003"/>
    <w:rsid w:val="001E0CCF"/>
    <w:rsid w:val="001E6FED"/>
    <w:rsid w:val="00206A97"/>
    <w:rsid w:val="00206E89"/>
    <w:rsid w:val="0021630C"/>
    <w:rsid w:val="0021740A"/>
    <w:rsid w:val="0022093C"/>
    <w:rsid w:val="00251813"/>
    <w:rsid w:val="00252338"/>
    <w:rsid w:val="0029699C"/>
    <w:rsid w:val="002A41EC"/>
    <w:rsid w:val="002B641F"/>
    <w:rsid w:val="002E00EF"/>
    <w:rsid w:val="002E34DD"/>
    <w:rsid w:val="002F2505"/>
    <w:rsid w:val="002F2F86"/>
    <w:rsid w:val="00311C0F"/>
    <w:rsid w:val="003422E8"/>
    <w:rsid w:val="00351DC8"/>
    <w:rsid w:val="00354043"/>
    <w:rsid w:val="003600A8"/>
    <w:rsid w:val="00364D9E"/>
    <w:rsid w:val="003668B9"/>
    <w:rsid w:val="0038096E"/>
    <w:rsid w:val="00386278"/>
    <w:rsid w:val="00393C8C"/>
    <w:rsid w:val="003A31C6"/>
    <w:rsid w:val="003B2D9D"/>
    <w:rsid w:val="003D0F24"/>
    <w:rsid w:val="003D19C8"/>
    <w:rsid w:val="003F4259"/>
    <w:rsid w:val="003F6070"/>
    <w:rsid w:val="00410D9D"/>
    <w:rsid w:val="0043119E"/>
    <w:rsid w:val="004454DA"/>
    <w:rsid w:val="00471CF9"/>
    <w:rsid w:val="00485657"/>
    <w:rsid w:val="00496806"/>
    <w:rsid w:val="00497532"/>
    <w:rsid w:val="004A1C20"/>
    <w:rsid w:val="004A79B7"/>
    <w:rsid w:val="004C4B73"/>
    <w:rsid w:val="004D0FDB"/>
    <w:rsid w:val="00502E23"/>
    <w:rsid w:val="00504366"/>
    <w:rsid w:val="005174CC"/>
    <w:rsid w:val="00534252"/>
    <w:rsid w:val="00537EA5"/>
    <w:rsid w:val="00540249"/>
    <w:rsid w:val="00542CA9"/>
    <w:rsid w:val="005777B0"/>
    <w:rsid w:val="005849A5"/>
    <w:rsid w:val="005963A3"/>
    <w:rsid w:val="005C25BB"/>
    <w:rsid w:val="005C4E85"/>
    <w:rsid w:val="005F05D1"/>
    <w:rsid w:val="0060764B"/>
    <w:rsid w:val="00607906"/>
    <w:rsid w:val="00610D72"/>
    <w:rsid w:val="006303B7"/>
    <w:rsid w:val="00632639"/>
    <w:rsid w:val="00646430"/>
    <w:rsid w:val="00650E33"/>
    <w:rsid w:val="00655678"/>
    <w:rsid w:val="006712F1"/>
    <w:rsid w:val="006718D0"/>
    <w:rsid w:val="006745B5"/>
    <w:rsid w:val="00681311"/>
    <w:rsid w:val="006937FF"/>
    <w:rsid w:val="00696EB9"/>
    <w:rsid w:val="00697F62"/>
    <w:rsid w:val="006B0265"/>
    <w:rsid w:val="006D0D61"/>
    <w:rsid w:val="006D2B59"/>
    <w:rsid w:val="006F23F7"/>
    <w:rsid w:val="00701EF6"/>
    <w:rsid w:val="00707142"/>
    <w:rsid w:val="00713AEF"/>
    <w:rsid w:val="007329BF"/>
    <w:rsid w:val="00754A8A"/>
    <w:rsid w:val="0076048F"/>
    <w:rsid w:val="007A4AA2"/>
    <w:rsid w:val="007B2624"/>
    <w:rsid w:val="007B4DF4"/>
    <w:rsid w:val="007B786B"/>
    <w:rsid w:val="007C6745"/>
    <w:rsid w:val="007C6DD2"/>
    <w:rsid w:val="007D3E69"/>
    <w:rsid w:val="007E50DD"/>
    <w:rsid w:val="0080174F"/>
    <w:rsid w:val="00811401"/>
    <w:rsid w:val="00823A6E"/>
    <w:rsid w:val="008249A4"/>
    <w:rsid w:val="00840515"/>
    <w:rsid w:val="00876A76"/>
    <w:rsid w:val="00877500"/>
    <w:rsid w:val="00880655"/>
    <w:rsid w:val="00891749"/>
    <w:rsid w:val="00897D01"/>
    <w:rsid w:val="008D35D2"/>
    <w:rsid w:val="008D46E1"/>
    <w:rsid w:val="008D5B41"/>
    <w:rsid w:val="00912E79"/>
    <w:rsid w:val="00914C16"/>
    <w:rsid w:val="00947563"/>
    <w:rsid w:val="0097791E"/>
    <w:rsid w:val="00994282"/>
    <w:rsid w:val="00995C9C"/>
    <w:rsid w:val="009A7C15"/>
    <w:rsid w:val="009B4414"/>
    <w:rsid w:val="009B6487"/>
    <w:rsid w:val="009C2A7A"/>
    <w:rsid w:val="009E4DC5"/>
    <w:rsid w:val="009E6ACF"/>
    <w:rsid w:val="00A06A65"/>
    <w:rsid w:val="00A574D8"/>
    <w:rsid w:val="00A66164"/>
    <w:rsid w:val="00A70553"/>
    <w:rsid w:val="00A7510C"/>
    <w:rsid w:val="00A861AF"/>
    <w:rsid w:val="00A8671F"/>
    <w:rsid w:val="00AC49F5"/>
    <w:rsid w:val="00AE1ACB"/>
    <w:rsid w:val="00AE3828"/>
    <w:rsid w:val="00AE7E58"/>
    <w:rsid w:val="00AF26A1"/>
    <w:rsid w:val="00AF30DE"/>
    <w:rsid w:val="00B15E20"/>
    <w:rsid w:val="00B34AE0"/>
    <w:rsid w:val="00B453D4"/>
    <w:rsid w:val="00B52AD7"/>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47CE0"/>
    <w:rsid w:val="00C63750"/>
    <w:rsid w:val="00C71766"/>
    <w:rsid w:val="00C8134E"/>
    <w:rsid w:val="00C90CBF"/>
    <w:rsid w:val="00CA041B"/>
    <w:rsid w:val="00CB0B6D"/>
    <w:rsid w:val="00CC0F14"/>
    <w:rsid w:val="00CC538E"/>
    <w:rsid w:val="00CE4F13"/>
    <w:rsid w:val="00CF1A0A"/>
    <w:rsid w:val="00D071CF"/>
    <w:rsid w:val="00D13AB7"/>
    <w:rsid w:val="00D207D9"/>
    <w:rsid w:val="00D61128"/>
    <w:rsid w:val="00D670CD"/>
    <w:rsid w:val="00D9176A"/>
    <w:rsid w:val="00D936D1"/>
    <w:rsid w:val="00DA0C0A"/>
    <w:rsid w:val="00DA1A77"/>
    <w:rsid w:val="00DB2E10"/>
    <w:rsid w:val="00DC4F40"/>
    <w:rsid w:val="00DC7426"/>
    <w:rsid w:val="00DD3E5A"/>
    <w:rsid w:val="00DD64C7"/>
    <w:rsid w:val="00DD736A"/>
    <w:rsid w:val="00DE2234"/>
    <w:rsid w:val="00DE2940"/>
    <w:rsid w:val="00DE5662"/>
    <w:rsid w:val="00DE60CE"/>
    <w:rsid w:val="00E20549"/>
    <w:rsid w:val="00E35171"/>
    <w:rsid w:val="00E36C1D"/>
    <w:rsid w:val="00E37648"/>
    <w:rsid w:val="00E62EDB"/>
    <w:rsid w:val="00E77FE5"/>
    <w:rsid w:val="00E84DBA"/>
    <w:rsid w:val="00E85831"/>
    <w:rsid w:val="00E91647"/>
    <w:rsid w:val="00EB58D9"/>
    <w:rsid w:val="00EB6998"/>
    <w:rsid w:val="00EE03EA"/>
    <w:rsid w:val="00EF5D6A"/>
    <w:rsid w:val="00F05873"/>
    <w:rsid w:val="00F25F42"/>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Props1.xml><?xml version="1.0" encoding="utf-8"?>
<ds:datastoreItem xmlns:ds="http://schemas.openxmlformats.org/officeDocument/2006/customXml" ds:itemID="{FA474F3F-4AC7-4340-A5F4-96B777BC2851}">
  <ds:schemaRefs>
    <ds:schemaRef ds:uri="http://schemas.microsoft.com/sharepoint/v3/contenttype/forms"/>
  </ds:schemaRefs>
</ds:datastoreItem>
</file>

<file path=customXml/itemProps2.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4</Pages>
  <Words>2689</Words>
  <Characters>14792</Characters>
  <Application>Microsoft Office Word</Application>
  <DocSecurity>0</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26</cp:revision>
  <dcterms:created xsi:type="dcterms:W3CDTF">2023-11-21T16:49:00Z</dcterms:created>
  <dcterms:modified xsi:type="dcterms:W3CDTF">2024-01-12T18:07:00Z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y fmtid="{D5CDD505-2E9C-101B-9397-08002B2CF9AE}" pid="4" name="ZOTERO_PREF_1">
    <vt:lpwstr>&lt;data data-version="3" zotero-version="6.0.30"&gt;&lt;session id="LQA4ZU3e"/&gt;&lt;style id="http://www.zotero.org/styles/apa" locale="fr-FR"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