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B9823" w14:textId="1697D73B" w:rsidR="00F8419F"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4</w:t>
      </w:r>
      <w:r w:rsidR="00393C8C" w:rsidRPr="00F7730B">
        <w:rPr>
          <w:rFonts w:asciiTheme="majorHAnsi" w:hAnsiTheme="majorHAnsi" w:cstheme="majorHAnsi"/>
          <w:b/>
          <w:bCs/>
          <w:lang w:val="en-US"/>
        </w:rPr>
        <w:t xml:space="preserve"> | </w:t>
      </w:r>
      <w:r>
        <w:rPr>
          <w:rFonts w:asciiTheme="majorHAnsi" w:hAnsiTheme="majorHAnsi" w:cstheme="majorHAnsi"/>
          <w:b/>
          <w:bCs/>
          <w:lang w:val="en-US"/>
        </w:rPr>
        <w:t>DISCUSSION</w:t>
      </w:r>
    </w:p>
    <w:p w14:paraId="7AE4ADD8" w14:textId="77777777" w:rsidR="00697F62" w:rsidRDefault="00697F62" w:rsidP="00697F62">
      <w:pPr>
        <w:spacing w:line="360" w:lineRule="auto"/>
        <w:jc w:val="both"/>
        <w:rPr>
          <w:rFonts w:asciiTheme="majorHAnsi" w:hAnsiTheme="majorHAnsi" w:cstheme="majorHAnsi"/>
          <w:b/>
          <w:bCs/>
          <w:lang w:val="en-US"/>
        </w:rPr>
      </w:pPr>
    </w:p>
    <w:p w14:paraId="18902D9E" w14:textId="699FD6E3" w:rsidR="00697F62" w:rsidRDefault="003D0F24"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Our goal was to investigate the estimate of prevalence of the black spot disease across multiple spatial levels. This approach allowed us to skim over spatial patterns of infection, sampling methods bias and potential predictors of prevalence of infection in fish communities.</w:t>
      </w:r>
    </w:p>
    <w:p w14:paraId="669F722C" w14:textId="77777777" w:rsidR="00A7510C" w:rsidRDefault="00A7510C" w:rsidP="00697F62">
      <w:pPr>
        <w:spacing w:line="360" w:lineRule="auto"/>
        <w:jc w:val="both"/>
        <w:rPr>
          <w:rFonts w:asciiTheme="majorHAnsi" w:hAnsiTheme="majorHAnsi" w:cstheme="majorHAnsi"/>
          <w:lang w:val="en-US"/>
        </w:rPr>
      </w:pPr>
    </w:p>
    <w:p w14:paraId="30A14E2E" w14:textId="371E521D" w:rsidR="00A7510C" w:rsidRDefault="00A7510C" w:rsidP="00E62EDB">
      <w:pPr>
        <w:spacing w:line="360" w:lineRule="auto"/>
        <w:ind w:firstLine="708"/>
        <w:jc w:val="both"/>
        <w:rPr>
          <w:rFonts w:asciiTheme="majorHAnsi" w:hAnsiTheme="majorHAnsi" w:cstheme="majorHAnsi"/>
          <w:lang w:val="en-US"/>
        </w:rPr>
      </w:pPr>
      <w:r>
        <w:rPr>
          <w:rFonts w:asciiTheme="majorHAnsi" w:hAnsiTheme="majorHAnsi" w:cstheme="majorHAnsi"/>
          <w:lang w:val="en-US"/>
        </w:rPr>
        <w:t>First, our results shows that prevalence of infection is spatially heterogenous in our system (</w:t>
      </w:r>
      <w:r w:rsidRPr="009B4414">
        <w:rPr>
          <w:rFonts w:asciiTheme="majorHAnsi" w:hAnsiTheme="majorHAnsi" w:cstheme="majorHAnsi"/>
          <w:highlight w:val="cyan"/>
          <w:lang w:val="en-US"/>
        </w:rPr>
        <w:t>Fig</w:t>
      </w:r>
      <w:r w:rsidR="009B4414" w:rsidRPr="009B4414">
        <w:rPr>
          <w:rFonts w:asciiTheme="majorHAnsi" w:hAnsiTheme="majorHAnsi" w:cstheme="majorHAnsi"/>
          <w:highlight w:val="cyan"/>
          <w:lang w:val="en-US"/>
        </w:rPr>
        <w:t xml:space="preserve">ure </w:t>
      </w:r>
      <w:r w:rsidR="009B4414">
        <w:rPr>
          <w:rFonts w:asciiTheme="majorHAnsi" w:hAnsiTheme="majorHAnsi" w:cstheme="majorHAnsi"/>
          <w:highlight w:val="cyan"/>
          <w:lang w:val="en-US"/>
        </w:rPr>
        <w:t>3</w:t>
      </w:r>
      <w:r w:rsidR="009B4414" w:rsidRPr="009B4414">
        <w:rPr>
          <w:rFonts w:asciiTheme="majorHAnsi" w:hAnsiTheme="majorHAnsi" w:cstheme="majorHAnsi"/>
          <w:highlight w:val="cyan"/>
          <w:lang w:val="en-US"/>
        </w:rPr>
        <w:t xml:space="preserve"> and 4</w:t>
      </w:r>
      <w:r>
        <w:rPr>
          <w:rFonts w:asciiTheme="majorHAnsi" w:hAnsiTheme="majorHAnsi" w:cstheme="majorHAnsi"/>
          <w:lang w:val="en-US"/>
        </w:rPr>
        <w:t xml:space="preserve">). Across the landscape, lakes present varying values of prevalence and estimates also vary within lakes. However, we did not find evidence of geographical patterns. </w:t>
      </w:r>
      <w:r w:rsidR="00AC49F5">
        <w:rPr>
          <w:rFonts w:asciiTheme="majorHAnsi" w:hAnsiTheme="majorHAnsi" w:cstheme="majorHAnsi"/>
          <w:lang w:val="en-US"/>
        </w:rPr>
        <w:t xml:space="preserve">A larger number of lakes sampled might allow to confirm whether infection is spatially random or whether patterns could not be detected because of our small sample size. Accordingly, none of the spatial attributes that we tested were good predictors of infection in the fish communities at small spatial scale (site-scale). </w:t>
      </w:r>
    </w:p>
    <w:p w14:paraId="0CA32ABB" w14:textId="6D95D4F0" w:rsidR="00AC49F5" w:rsidRPr="00AC49F5" w:rsidRDefault="00AC49F5" w:rsidP="00697F62">
      <w:pPr>
        <w:spacing w:line="360" w:lineRule="auto"/>
        <w:jc w:val="both"/>
        <w:rPr>
          <w:rFonts w:asciiTheme="majorHAnsi" w:hAnsiTheme="majorHAnsi" w:cstheme="majorHAnsi"/>
          <w:lang w:val="en-US"/>
        </w:rPr>
      </w:pPr>
      <w:r w:rsidRPr="009B4414">
        <w:rPr>
          <w:rFonts w:asciiTheme="majorHAnsi" w:hAnsiTheme="majorHAnsi" w:cstheme="majorHAnsi"/>
          <w:highlight w:val="yellow"/>
          <w:lang w:val="en-US"/>
        </w:rPr>
        <w:t>*Ex</w:t>
      </w:r>
      <w:r w:rsidR="00DE60CE" w:rsidRPr="009B4414">
        <w:rPr>
          <w:rFonts w:asciiTheme="majorHAnsi" w:hAnsiTheme="majorHAnsi" w:cstheme="majorHAnsi"/>
          <w:highlight w:val="yellow"/>
          <w:lang w:val="en-US"/>
        </w:rPr>
        <w:t>a</w:t>
      </w:r>
      <w:r w:rsidRPr="009B4414">
        <w:rPr>
          <w:rFonts w:asciiTheme="majorHAnsi" w:hAnsiTheme="majorHAnsi" w:cstheme="majorHAnsi"/>
          <w:highlight w:val="yellow"/>
          <w:lang w:val="en-US"/>
        </w:rPr>
        <w:t>mples de geographical patterns – number of lakes that were sampled</w:t>
      </w:r>
    </w:p>
    <w:p w14:paraId="41AD5A41" w14:textId="77777777" w:rsidR="00697F62" w:rsidRPr="00AC49F5" w:rsidRDefault="00697F62" w:rsidP="00697F62">
      <w:pPr>
        <w:spacing w:line="360" w:lineRule="auto"/>
        <w:jc w:val="both"/>
        <w:rPr>
          <w:rFonts w:asciiTheme="majorHAnsi" w:hAnsiTheme="majorHAnsi" w:cstheme="majorHAnsi"/>
          <w:b/>
          <w:bCs/>
          <w:lang w:val="en-US"/>
        </w:rPr>
      </w:pPr>
    </w:p>
    <w:p w14:paraId="7C2E7CA2" w14:textId="688FD84D"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methods]</w:t>
      </w:r>
    </w:p>
    <w:p w14:paraId="5846DB54" w14:textId="12F77939" w:rsidR="00E85831" w:rsidRDefault="00485657"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Fish-host have been the focus of many field studies on aquatic parasites. However, sampling design and methods bias are not usually discussed</w:t>
      </w:r>
      <w:r w:rsidR="00E85831">
        <w:rPr>
          <w:rFonts w:asciiTheme="majorHAnsi" w:hAnsiTheme="majorHAnsi" w:cstheme="majorHAnsi"/>
          <w:lang w:val="en-US"/>
        </w:rPr>
        <w:t xml:space="preserve"> although they can induce major bias in conclusions derived from wildlife samples. [</w:t>
      </w:r>
      <w:proofErr w:type="spellStart"/>
      <w:r w:rsidR="00E85831" w:rsidRPr="00177F81">
        <w:rPr>
          <w:rFonts w:asciiTheme="majorHAnsi" w:hAnsiTheme="majorHAnsi" w:cstheme="majorHAnsi"/>
          <w:highlight w:val="yellow"/>
          <w:lang w:val="en-US"/>
        </w:rPr>
        <w:t>eg.</w:t>
      </w:r>
      <w:proofErr w:type="spellEnd"/>
      <w:r w:rsidR="00E85831" w:rsidRPr="00177F81">
        <w:rPr>
          <w:rFonts w:asciiTheme="majorHAnsi" w:hAnsiTheme="majorHAnsi" w:cstheme="majorHAnsi"/>
          <w:highlight w:val="yellow"/>
          <w:lang w:val="en-US"/>
        </w:rPr>
        <w:t>]</w:t>
      </w:r>
      <w:r w:rsidR="00E85831">
        <w:rPr>
          <w:rFonts w:asciiTheme="majorHAnsi" w:hAnsiTheme="majorHAnsi" w:cstheme="majorHAnsi"/>
          <w:lang w:val="en-US"/>
        </w:rPr>
        <w:t xml:space="preserve"> Here, we investigated the relationship between the prevalence and the sampling effort across the landscape and, </w:t>
      </w:r>
      <w:r w:rsidR="006303B7">
        <w:rPr>
          <w:rFonts w:asciiTheme="majorHAnsi" w:hAnsiTheme="majorHAnsi" w:cstheme="majorHAnsi"/>
          <w:lang w:val="en-US"/>
        </w:rPr>
        <w:t xml:space="preserve">address </w:t>
      </w:r>
      <w:r w:rsidR="00E85831">
        <w:rPr>
          <w:rFonts w:asciiTheme="majorHAnsi" w:hAnsiTheme="majorHAnsi" w:cstheme="majorHAnsi"/>
          <w:lang w:val="en-US"/>
        </w:rPr>
        <w:t>t</w:t>
      </w:r>
      <w:r w:rsidR="00177F81">
        <w:rPr>
          <w:rFonts w:asciiTheme="majorHAnsi" w:hAnsiTheme="majorHAnsi" w:cstheme="majorHAnsi"/>
          <w:lang w:val="en-US"/>
        </w:rPr>
        <w:t xml:space="preserve">he importance of the sampling method on prevalence estimate at lake and landscape-scale. Our data support method-induced bias in prevalence estimates at lake-scale and landscape-scale. </w:t>
      </w:r>
      <w:r w:rsidR="00811401">
        <w:rPr>
          <w:rFonts w:asciiTheme="majorHAnsi" w:hAnsiTheme="majorHAnsi" w:cstheme="majorHAnsi"/>
          <w:lang w:val="en-US"/>
        </w:rPr>
        <w:t xml:space="preserve">At landscape-scale, prevalence estimates varied between </w:t>
      </w:r>
      <w:r w:rsidR="006D0D61">
        <w:rPr>
          <w:rFonts w:asciiTheme="majorHAnsi" w:hAnsiTheme="majorHAnsi" w:cstheme="majorHAnsi"/>
          <w:lang w:val="en-US"/>
        </w:rPr>
        <w:t>19.2%</w:t>
      </w:r>
      <w:r w:rsidR="00811401">
        <w:rPr>
          <w:rFonts w:asciiTheme="majorHAnsi" w:hAnsiTheme="majorHAnsi" w:cstheme="majorHAnsi"/>
          <w:lang w:val="en-US"/>
        </w:rPr>
        <w:t xml:space="preserve"> and </w:t>
      </w:r>
      <w:r w:rsidR="006D0D61" w:rsidRPr="006D0D61">
        <w:rPr>
          <w:rFonts w:asciiTheme="majorHAnsi" w:hAnsiTheme="majorHAnsi" w:cstheme="majorHAnsi"/>
          <w:lang w:val="en-US"/>
        </w:rPr>
        <w:t>35.6</w:t>
      </w:r>
      <w:r w:rsidR="00811401" w:rsidRPr="006D0D61">
        <w:rPr>
          <w:rFonts w:asciiTheme="majorHAnsi" w:hAnsiTheme="majorHAnsi" w:cstheme="majorHAnsi"/>
          <w:lang w:val="en-US"/>
        </w:rPr>
        <w:t xml:space="preserve"> %</w:t>
      </w:r>
      <w:r w:rsidR="00811401">
        <w:rPr>
          <w:rFonts w:asciiTheme="majorHAnsi" w:hAnsiTheme="majorHAnsi" w:cstheme="majorHAnsi"/>
          <w:lang w:val="en-US"/>
        </w:rPr>
        <w:t xml:space="preserve"> </w:t>
      </w:r>
      <w:r w:rsidR="007A4AA2">
        <w:rPr>
          <w:rFonts w:asciiTheme="majorHAnsi" w:hAnsiTheme="majorHAnsi" w:cstheme="majorHAnsi"/>
          <w:lang w:val="en-US"/>
        </w:rPr>
        <w:t>(</w:t>
      </w:r>
      <w:r w:rsidR="007A4AA2" w:rsidRPr="007A4AA2">
        <w:rPr>
          <w:rFonts w:asciiTheme="majorHAnsi" w:hAnsiTheme="majorHAnsi" w:cstheme="majorHAnsi"/>
          <w:highlight w:val="cyan"/>
          <w:lang w:val="en-US"/>
        </w:rPr>
        <w:t xml:space="preserve">table </w:t>
      </w:r>
      <w:proofErr w:type="spellStart"/>
      <w:r w:rsidR="007A4AA2" w:rsidRPr="007A4AA2">
        <w:rPr>
          <w:rFonts w:asciiTheme="majorHAnsi" w:hAnsiTheme="majorHAnsi" w:cstheme="majorHAnsi"/>
          <w:highlight w:val="cyan"/>
          <w:lang w:val="en-US"/>
        </w:rPr>
        <w:t>Sx</w:t>
      </w:r>
      <w:proofErr w:type="spellEnd"/>
      <w:r w:rsidR="007A4AA2">
        <w:rPr>
          <w:rFonts w:asciiTheme="majorHAnsi" w:hAnsiTheme="majorHAnsi" w:cstheme="majorHAnsi"/>
          <w:lang w:val="en-US"/>
        </w:rPr>
        <w:t xml:space="preserve">) </w:t>
      </w:r>
      <w:r w:rsidR="00811401">
        <w:rPr>
          <w:rFonts w:asciiTheme="majorHAnsi" w:hAnsiTheme="majorHAnsi" w:cstheme="majorHAnsi"/>
          <w:lang w:val="en-US"/>
        </w:rPr>
        <w:t xml:space="preserve">depending on the method while we reported variations up to </w:t>
      </w:r>
      <w:r w:rsidR="007A4AA2" w:rsidRPr="007A4AA2">
        <w:rPr>
          <w:rFonts w:asciiTheme="majorHAnsi" w:hAnsiTheme="majorHAnsi" w:cstheme="majorHAnsi"/>
          <w:lang w:val="en-US"/>
        </w:rPr>
        <w:t>46.7</w:t>
      </w:r>
      <w:r w:rsidR="00811401" w:rsidRPr="007A4AA2">
        <w:rPr>
          <w:rFonts w:asciiTheme="majorHAnsi" w:hAnsiTheme="majorHAnsi" w:cstheme="majorHAnsi"/>
          <w:lang w:val="en-US"/>
        </w:rPr>
        <w:t>%</w:t>
      </w:r>
      <w:r w:rsidR="00811401">
        <w:rPr>
          <w:rFonts w:asciiTheme="majorHAnsi" w:hAnsiTheme="majorHAnsi" w:cstheme="majorHAnsi"/>
          <w:lang w:val="en-US"/>
        </w:rPr>
        <w:t xml:space="preserve"> </w:t>
      </w:r>
      <w:r w:rsidR="006303B7">
        <w:rPr>
          <w:rFonts w:asciiTheme="majorHAnsi" w:hAnsiTheme="majorHAnsi" w:cstheme="majorHAnsi"/>
          <w:lang w:val="en-US"/>
        </w:rPr>
        <w:t xml:space="preserve">between methods </w:t>
      </w:r>
      <w:r w:rsidR="00811401">
        <w:rPr>
          <w:rFonts w:asciiTheme="majorHAnsi" w:hAnsiTheme="majorHAnsi" w:cstheme="majorHAnsi"/>
          <w:lang w:val="en-US"/>
        </w:rPr>
        <w:t>at lake-scale</w:t>
      </w:r>
      <w:r w:rsidR="007A4AA2">
        <w:rPr>
          <w:rFonts w:asciiTheme="majorHAnsi" w:hAnsiTheme="majorHAnsi" w:cstheme="majorHAnsi"/>
          <w:lang w:val="en-US"/>
        </w:rPr>
        <w:t xml:space="preserve"> (</w:t>
      </w:r>
      <w:r w:rsidR="007A4AA2" w:rsidRPr="007A4AA2">
        <w:rPr>
          <w:rFonts w:asciiTheme="majorHAnsi" w:hAnsiTheme="majorHAnsi" w:cstheme="majorHAnsi"/>
          <w:highlight w:val="cyan"/>
          <w:lang w:val="en-US"/>
        </w:rPr>
        <w:t xml:space="preserve">table </w:t>
      </w:r>
      <w:proofErr w:type="spellStart"/>
      <w:r w:rsidR="007A4AA2" w:rsidRPr="007A4AA2">
        <w:rPr>
          <w:rFonts w:asciiTheme="majorHAnsi" w:hAnsiTheme="majorHAnsi" w:cstheme="majorHAnsi"/>
          <w:highlight w:val="cyan"/>
          <w:lang w:val="en-US"/>
        </w:rPr>
        <w:t>Sxy</w:t>
      </w:r>
      <w:proofErr w:type="spellEnd"/>
      <w:r w:rsidR="007A4AA2">
        <w:rPr>
          <w:rFonts w:asciiTheme="majorHAnsi" w:hAnsiTheme="majorHAnsi" w:cstheme="majorHAnsi"/>
          <w:lang w:val="en-US"/>
        </w:rPr>
        <w:t>)</w:t>
      </w:r>
      <w:r w:rsidR="00811401">
        <w:rPr>
          <w:rFonts w:asciiTheme="majorHAnsi" w:hAnsiTheme="majorHAnsi" w:cstheme="majorHAnsi"/>
          <w:lang w:val="en-US"/>
        </w:rPr>
        <w:t xml:space="preserve">. </w:t>
      </w:r>
      <w:r w:rsidR="006303B7">
        <w:rPr>
          <w:rFonts w:asciiTheme="majorHAnsi" w:hAnsiTheme="majorHAnsi" w:cstheme="majorHAnsi"/>
          <w:lang w:val="en-US"/>
        </w:rPr>
        <w:t xml:space="preserve">Sampling wildlife is </w:t>
      </w:r>
      <w:r w:rsidR="00646430">
        <w:rPr>
          <w:rFonts w:asciiTheme="majorHAnsi" w:hAnsiTheme="majorHAnsi" w:cstheme="majorHAnsi"/>
          <w:lang w:val="en-US"/>
        </w:rPr>
        <w:t>challenging,</w:t>
      </w:r>
      <w:r w:rsidR="006303B7">
        <w:rPr>
          <w:rFonts w:asciiTheme="majorHAnsi" w:hAnsiTheme="majorHAnsi" w:cstheme="majorHAnsi"/>
          <w:lang w:val="en-US"/>
        </w:rPr>
        <w:t xml:space="preserve"> and all sampling method comes with their advantages and inconveniences. </w:t>
      </w:r>
      <w:r w:rsidR="00646430">
        <w:rPr>
          <w:rFonts w:asciiTheme="majorHAnsi" w:hAnsiTheme="majorHAnsi" w:cstheme="majorHAnsi"/>
          <w:lang w:val="en-US"/>
        </w:rPr>
        <w:t>……</w:t>
      </w:r>
    </w:p>
    <w:p w14:paraId="4EF0EDF9" w14:textId="77777777" w:rsidR="00646430" w:rsidRDefault="00646430" w:rsidP="00697F62">
      <w:pPr>
        <w:spacing w:line="360" w:lineRule="auto"/>
        <w:jc w:val="both"/>
        <w:rPr>
          <w:rFonts w:asciiTheme="majorHAnsi" w:hAnsiTheme="majorHAnsi" w:cstheme="majorHAnsi"/>
          <w:lang w:val="en-US"/>
        </w:rPr>
      </w:pPr>
    </w:p>
    <w:p w14:paraId="00F9C3D7" w14:textId="5FC66281" w:rsidR="00485657" w:rsidRDefault="00646430"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Sampling effort must be sufficient to measure a representative biological metric in natural systems. Our results showed that low sampling effort lean toward overestimating the prevalence value at landscape-scale. [</w:t>
      </w:r>
      <w:r w:rsidRPr="00646430">
        <w:rPr>
          <w:rFonts w:asciiTheme="majorHAnsi" w:hAnsiTheme="majorHAnsi" w:cstheme="majorHAnsi"/>
          <w:highlight w:val="yellow"/>
          <w:lang w:val="en-US"/>
        </w:rPr>
        <w:t>what</w:t>
      </w:r>
      <w:r>
        <w:rPr>
          <w:rFonts w:asciiTheme="majorHAnsi" w:hAnsiTheme="majorHAnsi" w:cstheme="majorHAnsi"/>
          <w:highlight w:val="yellow"/>
          <w:lang w:val="en-US"/>
        </w:rPr>
        <w:t xml:space="preserve"> is that</w:t>
      </w:r>
      <w:r w:rsidRPr="00646430">
        <w:rPr>
          <w:rFonts w:asciiTheme="majorHAnsi" w:hAnsiTheme="majorHAnsi" w:cstheme="majorHAnsi"/>
          <w:highlight w:val="yellow"/>
          <w:lang w:val="en-US"/>
        </w:rPr>
        <w:t>?]</w:t>
      </w:r>
      <w:r>
        <w:rPr>
          <w:rFonts w:asciiTheme="majorHAnsi" w:hAnsiTheme="majorHAnsi" w:cstheme="majorHAnsi"/>
          <w:lang w:val="en-US"/>
        </w:rPr>
        <w:t xml:space="preserve">. </w:t>
      </w:r>
      <w:r w:rsidR="00074AB3">
        <w:rPr>
          <w:rFonts w:asciiTheme="majorHAnsi" w:hAnsiTheme="majorHAnsi" w:cstheme="majorHAnsi"/>
          <w:lang w:val="en-US"/>
        </w:rPr>
        <w:t xml:space="preserve">As shown in </w:t>
      </w:r>
      <w:r w:rsidR="00074AB3" w:rsidRPr="009B4414">
        <w:rPr>
          <w:rFonts w:asciiTheme="majorHAnsi" w:hAnsiTheme="majorHAnsi" w:cstheme="majorHAnsi"/>
          <w:highlight w:val="cyan"/>
          <w:lang w:val="en-US"/>
        </w:rPr>
        <w:t>Figure 5</w:t>
      </w:r>
      <w:r w:rsidR="00074AB3">
        <w:rPr>
          <w:rFonts w:asciiTheme="majorHAnsi" w:hAnsiTheme="majorHAnsi" w:cstheme="majorHAnsi"/>
          <w:lang w:val="en-US"/>
        </w:rPr>
        <w:t xml:space="preserve">, the minimum number of samples </w:t>
      </w:r>
      <w:r w:rsidR="00074AB3">
        <w:rPr>
          <w:rFonts w:asciiTheme="majorHAnsi" w:hAnsiTheme="majorHAnsi" w:cstheme="majorHAnsi"/>
          <w:lang w:val="en-US"/>
        </w:rPr>
        <w:lastRenderedPageBreak/>
        <w:t>needed to adequately estimate landscape prevalence differed between methods. The only sampling method that reached a stable value was the observational snorkeling transects</w:t>
      </w:r>
      <w:r w:rsidR="001D261B">
        <w:rPr>
          <w:rFonts w:asciiTheme="majorHAnsi" w:hAnsiTheme="majorHAnsi" w:cstheme="majorHAnsi"/>
          <w:lang w:val="en-US"/>
        </w:rPr>
        <w:t xml:space="preserve"> (around 10 samples) although the seine and methods combination showed only 1% of difference between simulated prevalence and real prevalence after 35 samples (</w:t>
      </w:r>
      <w:r w:rsidR="001D261B" w:rsidRPr="001D261B">
        <w:rPr>
          <w:rFonts w:asciiTheme="majorHAnsi" w:hAnsiTheme="majorHAnsi" w:cstheme="majorHAnsi"/>
          <w:highlight w:val="yellow"/>
          <w:lang w:val="en-US"/>
        </w:rPr>
        <w:t xml:space="preserve">table </w:t>
      </w:r>
      <w:proofErr w:type="spellStart"/>
      <w:r w:rsidR="001D261B" w:rsidRPr="001D261B">
        <w:rPr>
          <w:rFonts w:asciiTheme="majorHAnsi" w:hAnsiTheme="majorHAnsi" w:cstheme="majorHAnsi"/>
          <w:highlight w:val="yellow"/>
          <w:lang w:val="en-US"/>
        </w:rPr>
        <w:t>Sx</w:t>
      </w:r>
      <w:proofErr w:type="spellEnd"/>
      <w:r w:rsidR="001D261B">
        <w:rPr>
          <w:rFonts w:asciiTheme="majorHAnsi" w:hAnsiTheme="majorHAnsi" w:cstheme="majorHAnsi"/>
          <w:lang w:val="en-US"/>
        </w:rPr>
        <w:t>)</w:t>
      </w:r>
      <w:r w:rsidR="00074AB3">
        <w:rPr>
          <w:rFonts w:asciiTheme="majorHAnsi" w:hAnsiTheme="majorHAnsi" w:cstheme="majorHAnsi"/>
          <w:lang w:val="en-US"/>
        </w:rPr>
        <w:t xml:space="preserve">. </w:t>
      </w:r>
      <w:r w:rsidR="001D261B">
        <w:rPr>
          <w:rFonts w:asciiTheme="majorHAnsi" w:hAnsiTheme="majorHAnsi" w:cstheme="majorHAnsi"/>
          <w:lang w:val="en-US"/>
        </w:rPr>
        <w:t>Indeed, this method allows observations on much more individuals than the seine and minnow traps</w:t>
      </w:r>
      <w:r w:rsidR="00180BBC">
        <w:rPr>
          <w:rFonts w:asciiTheme="majorHAnsi" w:hAnsiTheme="majorHAnsi" w:cstheme="majorHAnsi"/>
          <w:lang w:val="en-US"/>
        </w:rPr>
        <w:t xml:space="preserve"> explaining why it reaches stability faster. However, quality of observations underwater </w:t>
      </w:r>
      <w:r w:rsidR="000A4CC3">
        <w:rPr>
          <w:rFonts w:asciiTheme="majorHAnsi" w:hAnsiTheme="majorHAnsi" w:cstheme="majorHAnsi"/>
          <w:lang w:val="en-US"/>
        </w:rPr>
        <w:t>relies</w:t>
      </w:r>
      <w:r w:rsidR="00180BBC">
        <w:rPr>
          <w:rFonts w:asciiTheme="majorHAnsi" w:hAnsiTheme="majorHAnsi" w:cstheme="majorHAnsi"/>
          <w:lang w:val="en-US"/>
        </w:rPr>
        <w:t xml:space="preserve"> on</w:t>
      </w:r>
      <w:r w:rsidR="00607906">
        <w:rPr>
          <w:rFonts w:asciiTheme="majorHAnsi" w:hAnsiTheme="majorHAnsi" w:cstheme="majorHAnsi"/>
          <w:lang w:val="en-US"/>
        </w:rPr>
        <w:t>,</w:t>
      </w:r>
      <w:r w:rsidR="000A4CC3">
        <w:rPr>
          <w:rFonts w:asciiTheme="majorHAnsi" w:hAnsiTheme="majorHAnsi" w:cstheme="majorHAnsi"/>
          <w:lang w:val="en-US"/>
        </w:rPr>
        <w:t xml:space="preserve"> meteorological conditions, </w:t>
      </w:r>
      <w:r w:rsidR="00607906">
        <w:rPr>
          <w:rFonts w:asciiTheme="majorHAnsi" w:hAnsiTheme="majorHAnsi" w:cstheme="majorHAnsi"/>
          <w:lang w:val="en-US"/>
        </w:rPr>
        <w:t>water transparency (i.e., color, turbidity)</w:t>
      </w:r>
      <w:r w:rsidR="000A4CC3">
        <w:rPr>
          <w:rFonts w:asciiTheme="majorHAnsi" w:hAnsiTheme="majorHAnsi" w:cstheme="majorHAnsi"/>
          <w:lang w:val="en-US"/>
        </w:rPr>
        <w:t xml:space="preserve"> and expertise of the observers to identify fish species while moving. While fishing methods require a more extensive sampling, evaluation of infection is much more precise because the observer can take more time to look at fish individuals. </w:t>
      </w:r>
      <w:r w:rsidR="00F25F42">
        <w:rPr>
          <w:rFonts w:asciiTheme="majorHAnsi" w:hAnsiTheme="majorHAnsi" w:cstheme="majorHAnsi"/>
          <w:lang w:val="en-US"/>
        </w:rPr>
        <w:t xml:space="preserve">Moreover, because fish </w:t>
      </w:r>
      <w:r w:rsidR="00100C68">
        <w:rPr>
          <w:rFonts w:asciiTheme="majorHAnsi" w:hAnsiTheme="majorHAnsi" w:cstheme="majorHAnsi"/>
          <w:lang w:val="en-US"/>
        </w:rPr>
        <w:t>must</w:t>
      </w:r>
      <w:r w:rsidR="00F25F42">
        <w:rPr>
          <w:rFonts w:asciiTheme="majorHAnsi" w:hAnsiTheme="majorHAnsi" w:cstheme="majorHAnsi"/>
          <w:lang w:val="en-US"/>
        </w:rPr>
        <w:t xml:space="preserve"> enter voluntarily in the trap, minnow traps are </w:t>
      </w:r>
      <w:r w:rsidR="00100C68">
        <w:rPr>
          <w:rFonts w:asciiTheme="majorHAnsi" w:hAnsiTheme="majorHAnsi" w:cstheme="majorHAnsi"/>
          <w:lang w:val="en-US"/>
        </w:rPr>
        <w:t xml:space="preserve">typically </w:t>
      </w:r>
      <w:r w:rsidR="00F25F42">
        <w:rPr>
          <w:rFonts w:asciiTheme="majorHAnsi" w:hAnsiTheme="majorHAnsi" w:cstheme="majorHAnsi"/>
          <w:lang w:val="en-US"/>
        </w:rPr>
        <w:t xml:space="preserve">selective on </w:t>
      </w:r>
      <w:r w:rsidR="00100C68">
        <w:rPr>
          <w:rFonts w:asciiTheme="majorHAnsi" w:hAnsiTheme="majorHAnsi" w:cstheme="majorHAnsi"/>
          <w:lang w:val="en-US"/>
        </w:rPr>
        <w:t xml:space="preserve">bold and curious </w:t>
      </w:r>
      <w:r w:rsidR="00F25F42">
        <w:rPr>
          <w:rFonts w:asciiTheme="majorHAnsi" w:hAnsiTheme="majorHAnsi" w:cstheme="majorHAnsi"/>
          <w:lang w:val="en-US"/>
        </w:rPr>
        <w:t>behavior</w:t>
      </w:r>
      <w:r w:rsidR="00100C68">
        <w:rPr>
          <w:rFonts w:asciiTheme="majorHAnsi" w:hAnsiTheme="majorHAnsi" w:cstheme="majorHAnsi"/>
          <w:lang w:val="en-US"/>
        </w:rPr>
        <w:t xml:space="preserve">. Even if seine nets are not directly behavior-selective devices, </w:t>
      </w:r>
      <w:r w:rsidR="00DD64C7">
        <w:rPr>
          <w:rFonts w:asciiTheme="majorHAnsi" w:hAnsiTheme="majorHAnsi" w:cstheme="majorHAnsi"/>
          <w:lang w:val="en-US"/>
        </w:rPr>
        <w:t xml:space="preserve">they come with </w:t>
      </w:r>
      <w:r w:rsidR="00100C68">
        <w:rPr>
          <w:rFonts w:asciiTheme="majorHAnsi" w:hAnsiTheme="majorHAnsi" w:cstheme="majorHAnsi"/>
          <w:lang w:val="en-US"/>
        </w:rPr>
        <w:t xml:space="preserve">habitat-selection restrictions like no large obstacles (e.g., </w:t>
      </w:r>
      <w:r w:rsidR="00DD64C7">
        <w:rPr>
          <w:rFonts w:asciiTheme="majorHAnsi" w:hAnsiTheme="majorHAnsi" w:cstheme="majorHAnsi"/>
          <w:lang w:val="en-US"/>
        </w:rPr>
        <w:t xml:space="preserve">branches, </w:t>
      </w:r>
      <w:r w:rsidR="00100C68">
        <w:rPr>
          <w:rFonts w:asciiTheme="majorHAnsi" w:hAnsiTheme="majorHAnsi" w:cstheme="majorHAnsi"/>
          <w:lang w:val="en-US"/>
        </w:rPr>
        <w:t>trunk</w:t>
      </w:r>
      <w:r w:rsidR="00DD64C7">
        <w:rPr>
          <w:rFonts w:asciiTheme="majorHAnsi" w:hAnsiTheme="majorHAnsi" w:cstheme="majorHAnsi"/>
          <w:lang w:val="en-US"/>
        </w:rPr>
        <w:t>s</w:t>
      </w:r>
      <w:r w:rsidR="00100C68">
        <w:rPr>
          <w:rFonts w:asciiTheme="majorHAnsi" w:hAnsiTheme="majorHAnsi" w:cstheme="majorHAnsi"/>
          <w:lang w:val="en-US"/>
        </w:rPr>
        <w:t>, boulder</w:t>
      </w:r>
      <w:r w:rsidR="00DD64C7">
        <w:rPr>
          <w:rFonts w:asciiTheme="majorHAnsi" w:hAnsiTheme="majorHAnsi" w:cstheme="majorHAnsi"/>
          <w:lang w:val="en-US"/>
        </w:rPr>
        <w:t>s</w:t>
      </w:r>
      <w:r w:rsidR="00100C68">
        <w:rPr>
          <w:rFonts w:asciiTheme="majorHAnsi" w:hAnsiTheme="majorHAnsi" w:cstheme="majorHAnsi"/>
          <w:lang w:val="en-US"/>
        </w:rPr>
        <w:t xml:space="preserve">) </w:t>
      </w:r>
      <w:r w:rsidR="00DD64C7">
        <w:rPr>
          <w:rFonts w:asciiTheme="majorHAnsi" w:hAnsiTheme="majorHAnsi" w:cstheme="majorHAnsi"/>
          <w:lang w:val="en-US"/>
        </w:rPr>
        <w:t>or shallow sites (sites must not be deeper than the height of the net). Thus, because species have different habitat preferences and that preferences can change in</w:t>
      </w:r>
      <w:r w:rsidR="000E7705">
        <w:rPr>
          <w:rFonts w:asciiTheme="majorHAnsi" w:hAnsiTheme="majorHAnsi" w:cstheme="majorHAnsi"/>
          <w:lang w:val="en-US"/>
        </w:rPr>
        <w:t xml:space="preserve"> context of competition and/or predation</w:t>
      </w:r>
      <w:r w:rsidR="00DD64C7">
        <w:rPr>
          <w:rFonts w:asciiTheme="majorHAnsi" w:hAnsiTheme="majorHAnsi" w:cstheme="majorHAnsi"/>
          <w:lang w:val="en-US"/>
        </w:rPr>
        <w:t xml:space="preserve">, seine net might </w:t>
      </w:r>
      <w:r w:rsidR="000E7705">
        <w:rPr>
          <w:rFonts w:asciiTheme="majorHAnsi" w:hAnsiTheme="majorHAnsi" w:cstheme="majorHAnsi"/>
          <w:lang w:val="en-US"/>
        </w:rPr>
        <w:t xml:space="preserve">be indirectly selective on fish identity and behavior. </w:t>
      </w:r>
    </w:p>
    <w:p w14:paraId="2E09D8FD" w14:textId="77777777" w:rsidR="00697F62" w:rsidRDefault="00697F62" w:rsidP="00697F62">
      <w:pPr>
        <w:spacing w:line="360" w:lineRule="auto"/>
        <w:jc w:val="both"/>
        <w:rPr>
          <w:rFonts w:asciiTheme="majorHAnsi" w:hAnsiTheme="majorHAnsi" w:cstheme="majorHAnsi"/>
          <w:b/>
          <w:bCs/>
          <w:lang w:val="en-US"/>
        </w:rPr>
      </w:pPr>
    </w:p>
    <w:p w14:paraId="1626D8CA" w14:textId="319C73EF" w:rsidR="00697F62" w:rsidRDefault="00697F62"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 xml:space="preserve">[Comments on spatial patterns] </w:t>
      </w:r>
    </w:p>
    <w:p w14:paraId="47009C11" w14:textId="01E062E3" w:rsidR="00697F62" w:rsidRDefault="00697F62" w:rsidP="00697F62">
      <w:pPr>
        <w:spacing w:line="360" w:lineRule="auto"/>
        <w:jc w:val="both"/>
        <w:rPr>
          <w:rFonts w:asciiTheme="majorHAnsi" w:hAnsiTheme="majorHAnsi" w:cstheme="majorHAnsi"/>
          <w:lang w:val="en-US"/>
        </w:rPr>
      </w:pPr>
      <w:r w:rsidRPr="00EB6998">
        <w:rPr>
          <w:rFonts w:asciiTheme="majorHAnsi" w:hAnsiTheme="majorHAnsi" w:cstheme="majorHAnsi"/>
          <w:lang w:val="en-US"/>
        </w:rPr>
        <w:t>*</w:t>
      </w:r>
      <w:r w:rsidR="00EB6998" w:rsidRPr="00EB6998">
        <w:rPr>
          <w:rFonts w:asciiTheme="majorHAnsi" w:hAnsiTheme="majorHAnsi" w:cstheme="majorHAnsi"/>
          <w:lang w:val="en-US"/>
        </w:rPr>
        <w:t>Methods change lakes prevalence to. Sample diff. communities</w:t>
      </w:r>
    </w:p>
    <w:p w14:paraId="1E0AF1D9" w14:textId="7FF81C14" w:rsidR="009B4414" w:rsidRPr="00EB6998" w:rsidRDefault="009B4414" w:rsidP="00697F62">
      <w:pPr>
        <w:spacing w:line="360" w:lineRule="auto"/>
        <w:jc w:val="both"/>
        <w:rPr>
          <w:rFonts w:asciiTheme="majorHAnsi" w:hAnsiTheme="majorHAnsi" w:cstheme="majorHAnsi"/>
          <w:lang w:val="en-US"/>
        </w:rPr>
      </w:pPr>
      <w:r>
        <w:rPr>
          <w:rFonts w:asciiTheme="majorHAnsi" w:hAnsiTheme="majorHAnsi" w:cstheme="majorHAnsi"/>
          <w:lang w:val="en-US"/>
        </w:rPr>
        <w:t xml:space="preserve">* Frequency </w:t>
      </w:r>
      <w:proofErr w:type="spellStart"/>
      <w:r>
        <w:rPr>
          <w:rFonts w:asciiTheme="majorHAnsi" w:hAnsiTheme="majorHAnsi" w:cstheme="majorHAnsi"/>
          <w:lang w:val="en-US"/>
        </w:rPr>
        <w:t>distributionns</w:t>
      </w:r>
      <w:proofErr w:type="spellEnd"/>
    </w:p>
    <w:p w14:paraId="2B7E0958" w14:textId="77777777" w:rsidR="00EB6998" w:rsidRDefault="00EB6998" w:rsidP="00697F62">
      <w:pPr>
        <w:spacing w:line="360" w:lineRule="auto"/>
        <w:jc w:val="both"/>
        <w:rPr>
          <w:rFonts w:asciiTheme="majorHAnsi" w:hAnsiTheme="majorHAnsi" w:cstheme="majorHAnsi"/>
          <w:b/>
          <w:bCs/>
          <w:lang w:val="en-US"/>
        </w:rPr>
      </w:pPr>
    </w:p>
    <w:p w14:paraId="3A045335" w14:textId="01DCDB7A" w:rsidR="00EB6998" w:rsidRDefault="00EB6998" w:rsidP="00697F62">
      <w:pPr>
        <w:spacing w:line="360" w:lineRule="auto"/>
        <w:jc w:val="both"/>
        <w:rPr>
          <w:rFonts w:asciiTheme="majorHAnsi" w:hAnsiTheme="majorHAnsi" w:cstheme="majorHAnsi"/>
          <w:b/>
          <w:bCs/>
          <w:lang w:val="en-US"/>
        </w:rPr>
      </w:pPr>
      <w:r>
        <w:rPr>
          <w:rFonts w:asciiTheme="majorHAnsi" w:hAnsiTheme="majorHAnsi" w:cstheme="majorHAnsi"/>
          <w:b/>
          <w:bCs/>
          <w:lang w:val="en-US"/>
        </w:rPr>
        <w:t>[Comments on predictors]</w:t>
      </w:r>
    </w:p>
    <w:p w14:paraId="14F8B35B" w14:textId="77777777" w:rsidR="00DE60CE" w:rsidRDefault="00DD736A" w:rsidP="00876A76">
      <w:pPr>
        <w:spacing w:line="360" w:lineRule="auto"/>
        <w:ind w:firstLine="708"/>
        <w:jc w:val="both"/>
        <w:rPr>
          <w:rFonts w:asciiTheme="majorHAnsi" w:hAnsiTheme="majorHAnsi" w:cstheme="majorHAnsi"/>
          <w:lang w:val="en-US"/>
        </w:rPr>
      </w:pPr>
      <w:r>
        <w:rPr>
          <w:rFonts w:asciiTheme="majorHAnsi" w:hAnsiTheme="majorHAnsi" w:cstheme="majorHAnsi"/>
          <w:lang w:val="en-US"/>
        </w:rPr>
        <w:t>At the site-scale, we used GAMMs to inspect relationships between the prevalence estimate and environmental predictors (</w:t>
      </w:r>
      <w:r w:rsidRPr="00DD736A">
        <w:rPr>
          <w:rFonts w:asciiTheme="majorHAnsi" w:hAnsiTheme="majorHAnsi" w:cstheme="majorHAnsi"/>
          <w:highlight w:val="cyan"/>
          <w:lang w:val="en-US"/>
        </w:rPr>
        <w:t>Figure 5</w:t>
      </w:r>
      <w:r>
        <w:rPr>
          <w:rFonts w:asciiTheme="majorHAnsi" w:hAnsiTheme="majorHAnsi" w:cstheme="majorHAnsi"/>
          <w:lang w:val="en-US"/>
        </w:rPr>
        <w:t xml:space="preserve">). Results evidence some non-linear patterns </w:t>
      </w:r>
      <w:r w:rsidR="00632639">
        <w:rPr>
          <w:rFonts w:asciiTheme="majorHAnsi" w:hAnsiTheme="majorHAnsi" w:cstheme="majorHAnsi"/>
          <w:lang w:val="en-US"/>
        </w:rPr>
        <w:t xml:space="preserve">supporting the use of flexible approach to model infection dynamics. We found that all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parameters (turbidity, temperature, dissolved oxygen, </w:t>
      </w:r>
      <w:proofErr w:type="gramStart"/>
      <w:r w:rsidR="00632639">
        <w:rPr>
          <w:rFonts w:asciiTheme="majorHAnsi" w:hAnsiTheme="majorHAnsi" w:cstheme="majorHAnsi"/>
          <w:lang w:val="en-US"/>
        </w:rPr>
        <w:t>conductivity</w:t>
      </w:r>
      <w:proofErr w:type="gramEnd"/>
      <w:r w:rsidR="00632639">
        <w:rPr>
          <w:rFonts w:asciiTheme="majorHAnsi" w:hAnsiTheme="majorHAnsi" w:cstheme="majorHAnsi"/>
          <w:lang w:val="en-US"/>
        </w:rPr>
        <w:t xml:space="preserve"> and pH) were good predictors of infection. </w:t>
      </w:r>
      <w:r w:rsidR="003F6070">
        <w:rPr>
          <w:rFonts w:asciiTheme="majorHAnsi" w:hAnsiTheme="majorHAnsi" w:cstheme="majorHAnsi"/>
          <w:lang w:val="en-US"/>
        </w:rPr>
        <w:t>Since, w</w:t>
      </w:r>
      <w:r w:rsidR="00632639">
        <w:rPr>
          <w:rFonts w:asciiTheme="majorHAnsi" w:hAnsiTheme="majorHAnsi" w:cstheme="majorHAnsi"/>
          <w:lang w:val="en-US"/>
        </w:rPr>
        <w:t xml:space="preserve">ater </w:t>
      </w:r>
      <w:proofErr w:type="spellStart"/>
      <w:r w:rsidR="00632639">
        <w:rPr>
          <w:rFonts w:asciiTheme="majorHAnsi" w:hAnsiTheme="majorHAnsi" w:cstheme="majorHAnsi"/>
          <w:lang w:val="en-US"/>
        </w:rPr>
        <w:t>physico</w:t>
      </w:r>
      <w:proofErr w:type="spellEnd"/>
      <w:r w:rsidR="00632639">
        <w:rPr>
          <w:rFonts w:asciiTheme="majorHAnsi" w:hAnsiTheme="majorHAnsi" w:cstheme="majorHAnsi"/>
          <w:lang w:val="en-US"/>
        </w:rPr>
        <w:t xml:space="preserve">-chemistry </w:t>
      </w:r>
      <w:r w:rsidR="001E6FED">
        <w:rPr>
          <w:rFonts w:asciiTheme="majorHAnsi" w:hAnsiTheme="majorHAnsi" w:cstheme="majorHAnsi"/>
          <w:lang w:val="en-US"/>
        </w:rPr>
        <w:t xml:space="preserve">measurements do not require a lot of equipment and time </w:t>
      </w:r>
      <w:r w:rsidR="003F6070">
        <w:rPr>
          <w:rFonts w:asciiTheme="majorHAnsi" w:hAnsiTheme="majorHAnsi" w:cstheme="majorHAnsi"/>
          <w:lang w:val="en-US"/>
        </w:rPr>
        <w:t>compared</w:t>
      </w:r>
      <w:r w:rsidR="001E6FED">
        <w:rPr>
          <w:rFonts w:asciiTheme="majorHAnsi" w:hAnsiTheme="majorHAnsi" w:cstheme="majorHAnsi"/>
          <w:lang w:val="en-US"/>
        </w:rPr>
        <w:t xml:space="preserve"> to field assessment of fish infection</w:t>
      </w:r>
      <w:r w:rsidR="003F6070">
        <w:rPr>
          <w:rFonts w:asciiTheme="majorHAnsi" w:hAnsiTheme="majorHAnsi" w:cstheme="majorHAnsi"/>
          <w:lang w:val="en-US"/>
        </w:rPr>
        <w:t>, these results are promising for future monitoring and managing strategies of freshwater fish parasite infection</w:t>
      </w:r>
      <w:r w:rsidR="001E6FED">
        <w:rPr>
          <w:rFonts w:asciiTheme="majorHAnsi" w:hAnsiTheme="majorHAnsi" w:cstheme="majorHAnsi"/>
          <w:lang w:val="en-US"/>
        </w:rPr>
        <w:t xml:space="preserve">. </w:t>
      </w:r>
      <w:r w:rsidR="003F6070">
        <w:rPr>
          <w:rFonts w:asciiTheme="majorHAnsi" w:hAnsiTheme="majorHAnsi" w:cstheme="majorHAnsi"/>
          <w:lang w:val="en-US"/>
        </w:rPr>
        <w:t xml:space="preserve">Consequently, we </w:t>
      </w:r>
      <w:r w:rsidR="003F6070">
        <w:rPr>
          <w:rFonts w:asciiTheme="majorHAnsi" w:hAnsiTheme="majorHAnsi" w:cstheme="majorHAnsi"/>
          <w:lang w:val="en-US"/>
        </w:rPr>
        <w:lastRenderedPageBreak/>
        <w:t xml:space="preserve">encourage researchers to investigate these relationships with other parasites and other locations/types of habitats. </w:t>
      </w:r>
    </w:p>
    <w:p w14:paraId="17EE284F" w14:textId="77777777" w:rsidR="00EE7DD1" w:rsidRDefault="00EE7DD1" w:rsidP="00DE60CE">
      <w:pPr>
        <w:spacing w:line="360" w:lineRule="auto"/>
        <w:ind w:firstLine="708"/>
        <w:jc w:val="both"/>
        <w:rPr>
          <w:rFonts w:asciiTheme="majorHAnsi" w:hAnsiTheme="majorHAnsi" w:cstheme="majorHAnsi"/>
          <w:lang w:val="en-US"/>
        </w:rPr>
      </w:pPr>
    </w:p>
    <w:p w14:paraId="0859F671" w14:textId="451A2AF1" w:rsidR="00DE60CE" w:rsidRDefault="00351DC8" w:rsidP="00DE60CE">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Contrary to our initial believe, habitat structure does not seem to be an important factor driving prevalence of infection in fish communities from the littoral zone. However, we found a negative relationship between the macrophyte cover and </w:t>
      </w:r>
      <w:r w:rsidR="003B2D9D">
        <w:rPr>
          <w:rFonts w:asciiTheme="majorHAnsi" w:hAnsiTheme="majorHAnsi" w:cstheme="majorHAnsi"/>
          <w:lang w:val="en-US"/>
        </w:rPr>
        <w:t>the prevalence in our transect sites. The direction of this relationship is not what we had expected from previous studies</w:t>
      </w:r>
      <w:r w:rsidR="0060764B">
        <w:rPr>
          <w:rFonts w:asciiTheme="majorHAnsi" w:hAnsiTheme="majorHAnsi" w:cstheme="majorHAnsi"/>
          <w:lang w:val="en-US"/>
        </w:rPr>
        <w:t xml:space="preserve"> where </w:t>
      </w:r>
      <w:r w:rsidR="008249A4">
        <w:rPr>
          <w:rFonts w:asciiTheme="majorHAnsi" w:hAnsiTheme="majorHAnsi" w:cstheme="majorHAnsi"/>
          <w:lang w:val="en-US"/>
        </w:rPr>
        <w:t xml:space="preserve">fishes from vegetated zones </w:t>
      </w:r>
      <w:r w:rsidR="0060764B">
        <w:rPr>
          <w:rFonts w:asciiTheme="majorHAnsi" w:hAnsiTheme="majorHAnsi" w:cstheme="majorHAnsi"/>
          <w:lang w:val="en-US"/>
        </w:rPr>
        <w:t xml:space="preserve">have been </w:t>
      </w:r>
      <w:r w:rsidR="008249A4">
        <w:rPr>
          <w:rFonts w:asciiTheme="majorHAnsi" w:hAnsiTheme="majorHAnsi" w:cstheme="majorHAnsi"/>
          <w:lang w:val="en-US"/>
        </w:rPr>
        <w:t xml:space="preserve">suggested </w:t>
      </w:r>
      <w:r w:rsidR="0060764B">
        <w:rPr>
          <w:rFonts w:asciiTheme="majorHAnsi" w:hAnsiTheme="majorHAnsi" w:cstheme="majorHAnsi"/>
          <w:lang w:val="en-US"/>
        </w:rPr>
        <w:t xml:space="preserve">to </w:t>
      </w:r>
      <w:r w:rsidR="008249A4">
        <w:rPr>
          <w:rFonts w:asciiTheme="majorHAnsi" w:hAnsiTheme="majorHAnsi" w:cstheme="majorHAnsi"/>
          <w:lang w:val="en-US"/>
        </w:rPr>
        <w:t xml:space="preserve">be more heavily infected </w:t>
      </w:r>
      <w:r w:rsidR="008249A4">
        <w:rPr>
          <w:rFonts w:asciiTheme="majorHAnsi" w:hAnsiTheme="majorHAnsi" w:cstheme="majorHAnsi"/>
          <w:lang w:val="en-US"/>
        </w:rPr>
        <w:fldChar w:fldCharType="begin"/>
      </w:r>
      <w:r w:rsidR="008249A4">
        <w:rPr>
          <w:rFonts w:asciiTheme="majorHAnsi" w:hAnsiTheme="majorHAnsi" w:cstheme="majorHAnsi"/>
          <w:lang w:val="en-US"/>
        </w:rPr>
        <w:instrText xml:space="preserve"> ADDIN ZOTERO_ITEM CSL_CITATION {"citationID":"eUFf5pr7","properties":{"formattedCitation":"(Hartmann &amp; N\\uc0\\u252{}mann, 1977; Marcogliese et al., 2001; Ondrackova et al., 2004)","plainCitation":"(Hartmann &amp; Nümann, 1977; Marcogliese et al., 2001; Ondrackova et al., 2004)","noteIndex":0},"citationItems":[{"id":2760,"uris":["http://zotero.org/groups/2585270/items/3T2MH9RB"],"itemData":{"id":2760,"type":"article-journal","container-title":"Journal of the Fisheries Research Board of Canada","DOI":"10.1139/f77-231","ISSN":"0015-296X","issue":"10","journalAbbreviation":"J. Fish. Res. Bd. Can.","note":"publisher: NRC Research Press","page":"1670-1677","source":"cdnsciencepub.com (Atypon)","title":"Percids of Lake Constance, a Lake Undergoing Eutrophication","volume":"34","author":[{"family":"Hartmann","given":"J."},{"family":"Nümann","given":"W."}],"issued":{"date-parts":[["1977",10]]}}},{"id":1803,"uris":["http://zotero.org/groups/2585270/items/6882F77F"],"itemData":{"id":1803,"type":"article-journal","container-title":"Canadian Journal of Zoology","DOI":"10.1139/z00-209","ISSN":"0008-4301","issue":"3","journalAbbreviation":"Can. J. Zool.","note":"publisher: NRC Research Press","page":"355-369","source":"cdnsciencepub.com (Atypon)","title":"Spatial and temporal variation in abundance of Diplostomum spp. in walleye (Stizostedion vitreum) and white suckers (Catostomus commersoni) from the St. Lawrence River","volume":"79","author":[{"family":"Marcogliese","given":"David J"},{"family":"Dumont","given":"Pierre"},{"family":"Gendron","given":"Andrée D"},{"family":"Mailhot","given":"Yves"},{"family":"Bergeron","given":"Emmanuelle"},{"family":"McLaughlin","given":"J Daniel"}],"issued":{"date-parts":[["2001",3,1]]}}},{"id":2045,"uris":["http://zotero.org/groups/2585270/items/KNZFKJBP"],"itemData":{"id":2045,"type":"article-journal","abstract":"The infection of metacercariae of Posthodiplostomum cuticola (v. Nordmann, 1832), the agent of black-spot disease, was investigated in 0+juvenile fish from 19 localities in south-east Moravia, Czech Republic. Of the 30 fish species examined, only cyprinids of 12 species were found to be infected. Five species of Leuciscinae, Rutilus rutilus, Leuciscus idus, Scardinius erythrophthalmus, Abramis bjoerkna and Abramis brama, fish with similar behaviour and habitat preference in juvenile period, were the most susceptible fish hosts for P. cuticola metacercariae. Especially high infection parameters were found in intergeneric hybrids of the studied leuciscine species. Environmental conditions were an important factor for parasite infection. The fish from flooded borrow pits, inhabiting lentic water bodies with dense vegetation in the littoral zone, showed high prevalence and abundance of P. cuticola infection contrary to their conspecifics in water reservoirs with steep banks and fish from rivers.","container-title":"Acta Parasitologica","ISSN":"1230-2821","issue":"49","language":"English","source":"www.infona.pl","title":"Occurrence of black-spot disease caused by metacercariae of Posthodiplostomum cuticola among juvenile fishes in water bodies in the Morava River Basin","URL":"https://www.infona.pl//resource/bwmeta1.element.agro-article-5d8e90ef-9221-415e-b62f-e6e574152bf0","volume":"3","author":[{"family":"Ondrackova","given":"M."},{"family":"Bartosova","given":"S."},{"family":"Valova","given":"Z."},{"family":"Jurajda","given":"P."},{"family":"Gelnar","given":"M."}],"accessed":{"date-parts":[["2022",1,28]]},"issued":{"date-parts":[["2004"]]}}}],"schema":"https://github.com/citation-style-language/schema/raw/master/csl-citation.json"} </w:instrText>
      </w:r>
      <w:r w:rsidR="008249A4">
        <w:rPr>
          <w:rFonts w:asciiTheme="majorHAnsi" w:hAnsiTheme="majorHAnsi" w:cstheme="majorHAnsi"/>
          <w:lang w:val="en-US"/>
        </w:rPr>
        <w:fldChar w:fldCharType="separate"/>
      </w:r>
      <w:r w:rsidR="008249A4" w:rsidRPr="00E84DBA">
        <w:rPr>
          <w:rFonts w:ascii="Calibri Light" w:hAnsiTheme="majorHAnsi" w:cs="Calibri Light"/>
          <w:kern w:val="0"/>
          <w:lang w:val="en-US"/>
        </w:rPr>
        <w:t>(Hartmann &amp; Nümann, 1977; Marcogliese et al., 2001; Ondrackova et al., 2004)</w:t>
      </w:r>
      <w:r w:rsidR="008249A4">
        <w:rPr>
          <w:rFonts w:asciiTheme="majorHAnsi" w:hAnsiTheme="majorHAnsi" w:cstheme="majorHAnsi"/>
          <w:lang w:val="en-US"/>
        </w:rPr>
        <w:fldChar w:fldCharType="end"/>
      </w:r>
      <w:r w:rsidR="003B2D9D">
        <w:rPr>
          <w:rFonts w:asciiTheme="majorHAnsi" w:hAnsiTheme="majorHAnsi" w:cstheme="majorHAnsi"/>
          <w:lang w:val="en-US"/>
        </w:rPr>
        <w:t>.</w:t>
      </w:r>
      <w:r w:rsidR="003668B9">
        <w:rPr>
          <w:rFonts w:asciiTheme="majorHAnsi" w:hAnsiTheme="majorHAnsi" w:cstheme="majorHAnsi"/>
          <w:lang w:val="en-US"/>
        </w:rPr>
        <w:t xml:space="preserve"> On one hand</w:t>
      </w:r>
      <w:r w:rsidR="003B2D9D">
        <w:rPr>
          <w:rFonts w:asciiTheme="majorHAnsi" w:hAnsiTheme="majorHAnsi" w:cstheme="majorHAnsi"/>
          <w:lang w:val="en-US"/>
        </w:rPr>
        <w:t>, considering that cercariae have a short life</w:t>
      </w:r>
      <w:r w:rsidR="0043119E">
        <w:rPr>
          <w:rFonts w:asciiTheme="majorHAnsi" w:hAnsiTheme="majorHAnsi" w:cstheme="majorHAnsi"/>
          <w:lang w:val="en-US"/>
        </w:rPr>
        <w:t>-</w:t>
      </w:r>
      <w:r w:rsidR="003B2D9D">
        <w:rPr>
          <w:rFonts w:asciiTheme="majorHAnsi" w:hAnsiTheme="majorHAnsi" w:cstheme="majorHAnsi"/>
          <w:lang w:val="en-US"/>
        </w:rPr>
        <w:t xml:space="preserve">span </w:t>
      </w:r>
      <w:r w:rsidR="008249A4">
        <w:rPr>
          <w:rFonts w:asciiTheme="majorHAnsi" w:hAnsiTheme="majorHAnsi" w:cstheme="majorHAnsi"/>
          <w:lang w:val="en-US"/>
        </w:rPr>
        <w:fldChar w:fldCharType="begin"/>
      </w:r>
      <w:r w:rsidR="0043119E">
        <w:rPr>
          <w:rFonts w:asciiTheme="majorHAnsi" w:hAnsiTheme="majorHAnsi" w:cstheme="majorHAnsi"/>
          <w:lang w:val="en-US"/>
        </w:rPr>
        <w:instrText xml:space="preserve"> ADDIN ZOTERO_ITEM CSL_CITATION {"citationID":"0LjsFuPN","properties":{"formattedCitation":"(Combes et al., 1994; Pietrock &amp; Marcogliese, 2003)","plainCitation":"(Combes et al., 1994; Pietrock &amp; Marcogliese, 2003)","noteIndex":0},"citationItems":[{"id":3465,"uris":["http://zotero.org/groups/2585270/items/759SSP86"],"itemData":{"id":3465,"type":"article-journal","abstract":"Cercariae, like miracidia, are non-parasitic larval stages implicated in the life cycle of all trematodes for the host-to-host parasite transmission. Almost all cercariae are free-living in the external environment. With a few exceptions (cercariae of Halipegus occidualis (Halipegidae) can live several months, Shostak &amp; Esch, 1990a), cercariae have a short active life during which they do not feed, living on accumulated reserves. Most cercariae encyst as metacercariae in second intermediate hosts which are prey of the definitive host; in certain species, the interruption of the active life is achieved by an encystment in the external environment (or a simple immobile waiting strategy in a few species). In some two-host life cycles, the cercariae develop into adults after penetration (this is the case for various species causing human schistosomiasis). Some cercariae do not leave the mollusc which must then be ingested by the definitive host.","container-title":"Parasitology","DOI":"10.1017/S0031182000085048","ISSN":"0031-1820, 1469-8161","issue":"S1","language":"en","note":"publisher: Cambridge University Press","page":"S3-S13","source":"Cambridge University Press","title":"Behaviours in trematode cercariae that enhance parasite transmission: patterns and processes","title-short":"Behaviours in trematode cercariae that enhance parasite transmission","volume":"109","author":[{"family":"Combes","given":"C."},{"family":"Fournier","given":"A."},{"family":"Moné","given":"H."},{"family":"Théron","given":"A."}],"issued":{"date-parts":[["1994"]]}}},{"id":2304,"uris":["http://zotero.org/groups/2585270/items/98CJGSFP"],"itemData":{"id":2304,"type":"article-journal","abstract":"During their free-living phases, endohelminths are directly exposed to environmental conditions in their respective macrohabitats. Both natural environmental factors and pollutants released into the environment through anthropogenic activities can influence the success of the free-living stages. This overview examines the effects of natural variables and pollutants on two specific properties (survival and infectivity) of free-living stages of endohelminths, mainly trematodes, while fully recognizing that other parasitic life history stages in addition to the hosts can also be affected. As most parasite pollution studies have been carried out in aquatic habitats, this paper focuses on parasites of aquatic or amphibious hosts.","container-title":"Trends in Parasitology","DOI":"10.1016/s1471-4922(03)00117-x","ISSN":"1471-4922","issue":"7","journalAbbreviation":"Trends Parasitol","language":"eng","note":"PMID: 12855379","page":"293-299","source":"PubMed","title":"Free-living endohelminth stages: at the mercy of environmental conditions","title-short":"Free-living endohelminth stages","volume":"19","author":[{"family":"Pietrock","given":"Michael"},{"family":"Marcogliese","given":"David J."}],"issued":{"date-parts":[["2003",7]]}}}],"schema":"https://github.com/citation-style-language/schema/raw/master/csl-citation.json"} </w:instrText>
      </w:r>
      <w:r w:rsidR="008249A4">
        <w:rPr>
          <w:rFonts w:asciiTheme="majorHAnsi" w:hAnsiTheme="majorHAnsi" w:cstheme="majorHAnsi"/>
          <w:lang w:val="en-US"/>
        </w:rPr>
        <w:fldChar w:fldCharType="separate"/>
      </w:r>
      <w:r w:rsidR="0043119E">
        <w:rPr>
          <w:rFonts w:asciiTheme="majorHAnsi" w:hAnsiTheme="majorHAnsi" w:cstheme="majorHAnsi"/>
          <w:noProof/>
          <w:lang w:val="en-US"/>
        </w:rPr>
        <w:t>(Combes et al., 1994; Pietrock &amp; Marcogliese, 2003)</w:t>
      </w:r>
      <w:r w:rsidR="008249A4">
        <w:rPr>
          <w:rFonts w:asciiTheme="majorHAnsi" w:hAnsiTheme="majorHAnsi" w:cstheme="majorHAnsi"/>
          <w:lang w:val="en-US"/>
        </w:rPr>
        <w:fldChar w:fldCharType="end"/>
      </w:r>
      <w:r w:rsidR="003B2D9D">
        <w:rPr>
          <w:rFonts w:asciiTheme="majorHAnsi" w:hAnsiTheme="majorHAnsi" w:cstheme="majorHAnsi"/>
          <w:lang w:val="en-US"/>
        </w:rPr>
        <w:t xml:space="preserve">, </w:t>
      </w:r>
      <w:r w:rsidR="006718D0">
        <w:rPr>
          <w:rFonts w:asciiTheme="majorHAnsi" w:hAnsiTheme="majorHAnsi" w:cstheme="majorHAnsi"/>
          <w:lang w:val="en-US"/>
        </w:rPr>
        <w:t xml:space="preserve">encounter barriers might be structuring elements of infection dynamics in fish-host. As a results, dense macrophyte cover might prevent cercariae from encountering their fish-host. </w:t>
      </w:r>
      <w:r w:rsidR="00E05464">
        <w:rPr>
          <w:rFonts w:asciiTheme="majorHAnsi" w:hAnsiTheme="majorHAnsi" w:cstheme="majorHAnsi"/>
          <w:lang w:val="en-US"/>
        </w:rPr>
        <w:t xml:space="preserve">For instance, inert seaweed have been shown to obstruct transmission of trematodes cercariae to their mussel host </w:t>
      </w:r>
      <w:r w:rsidR="00E05464">
        <w:rPr>
          <w:rFonts w:asciiTheme="majorHAnsi" w:hAnsiTheme="majorHAnsi" w:cstheme="majorHAnsi"/>
          <w:lang w:val="en-US"/>
        </w:rPr>
        <w:fldChar w:fldCharType="begin"/>
      </w:r>
      <w:r w:rsidR="00E05464">
        <w:rPr>
          <w:rFonts w:asciiTheme="majorHAnsi" w:hAnsiTheme="majorHAnsi" w:cstheme="majorHAnsi"/>
          <w:lang w:val="en-US"/>
        </w:rPr>
        <w:instrText xml:space="preserve"> ADDIN ZOTERO_ITEM CSL_CITATION {"citationID":"7wnnsN39","properties":{"formattedCitation":"(Prinz et al., 2009)","plainCitation":"(Prinz et al., 2009)","noteIndex":0},"citationItems":[{"id":10257,"uris":["http://zotero.org/groups/2585270/items/ZCH39YCV"],"itemData":{"id":10257,"type":"article-journal","abstract":"The transmission of free-living trematode stages is mediated by various environmental factors, of which the presence of ambient organisms within the host space is a potential major determinant. In two laboratory mesocosm experiments, we investigated the influence of four intertidal rocky shore species on transmission success of cercariae of the digenean trematodes Echinostephillapatellae (encysting in the tissue of blue mussels Mytilus edulis) and Parorchisacanthus (encysting on mussel shells). Encystment success of both parasite species was significantly lower in the presence of test organisms when compared to controls. Observations revealed that barnacles Austrominiusmodestus actively filtered cercariae, whereas the larvae were obstructed by the seaweeds Corallinaofficinalis and Fucusserratus. Anemones Actiniaequina both physically disturbed and consumed cercariae. In a further laboratory experiment, grazing gastropods (Littorinalittorea, Patellavulgata, and Gibbulaumbilicalis) were found to significantly reduce the numbers of P. acanthus metacercariae in artificially prepared dishes by ingestion of cysts. Our results suggest that non-host organisms may play a key role in regulating the transmission of free-living trematode stages in rocky shore ecosystems, which is especially important with regard to the relative diversity and density of species in these habitats. The findings also emphasize the need to include parasites into marine food webs, since cercariae seem to be consumed by certain organisms to a considerable extent and could possibly represent an important energy source.","container-title":"Marine Biology","DOI":"10.1007/s00227-009-1258-2","ISSN":"1432-1793","issue":"11","journalAbbreviation":"Mar Biol","language":"en","page":"2303-2311","source":"Springer Link","title":"Non-host organisms affect transmission processes in two common trematode parasites of rocky shores","volume":"156","author":[{"family":"Prinz","given":"Katrin"},{"family":"Kelly","given":"Thomas C."},{"family":"O’Riordan","given":"Ruth M."},{"family":"Culloty","given":"Sarah C."}],"issued":{"date-parts":[["2009",10,1]]}}}],"schema":"https://github.com/citation-style-language/schema/raw/master/csl-citation.json"} </w:instrText>
      </w:r>
      <w:r w:rsidR="00E05464">
        <w:rPr>
          <w:rFonts w:asciiTheme="majorHAnsi" w:hAnsiTheme="majorHAnsi" w:cstheme="majorHAnsi"/>
          <w:lang w:val="en-US"/>
        </w:rPr>
        <w:fldChar w:fldCharType="separate"/>
      </w:r>
      <w:r w:rsidR="00E05464">
        <w:rPr>
          <w:rFonts w:asciiTheme="majorHAnsi" w:hAnsiTheme="majorHAnsi" w:cstheme="majorHAnsi"/>
          <w:noProof/>
          <w:lang w:val="en-US"/>
        </w:rPr>
        <w:t>(Prinz et al., 2009)</w:t>
      </w:r>
      <w:r w:rsidR="00E05464">
        <w:rPr>
          <w:rFonts w:asciiTheme="majorHAnsi" w:hAnsiTheme="majorHAnsi" w:cstheme="majorHAnsi"/>
          <w:lang w:val="en-US"/>
        </w:rPr>
        <w:fldChar w:fldCharType="end"/>
      </w:r>
      <w:r w:rsidR="006718D0">
        <w:rPr>
          <w:rFonts w:asciiTheme="majorHAnsi" w:hAnsiTheme="majorHAnsi" w:cstheme="majorHAnsi"/>
          <w:lang w:val="en-US"/>
        </w:rPr>
        <w:t>.</w:t>
      </w:r>
      <w:r w:rsidR="003668B9">
        <w:rPr>
          <w:rFonts w:asciiTheme="majorHAnsi" w:hAnsiTheme="majorHAnsi" w:cstheme="majorHAnsi"/>
          <w:lang w:val="en-US"/>
        </w:rPr>
        <w:t xml:space="preserve"> </w:t>
      </w:r>
      <w:r w:rsidR="00E05464">
        <w:rPr>
          <w:rFonts w:asciiTheme="majorHAnsi" w:hAnsiTheme="majorHAnsi" w:cstheme="majorHAnsi"/>
          <w:lang w:val="en-US"/>
        </w:rPr>
        <w:fldChar w:fldCharType="begin"/>
      </w:r>
      <w:r w:rsidR="00E05464">
        <w:rPr>
          <w:rFonts w:asciiTheme="majorHAnsi" w:hAnsiTheme="majorHAnsi" w:cstheme="majorHAnsi"/>
          <w:lang w:val="en-US"/>
        </w:rPr>
        <w:instrText xml:space="preserve"> ADDIN ZOTERO_ITEM CSL_CITATION {"citationID":"w5rsK6Dr","properties":{"formattedCitation":"(Buss et al., 2022)","plainCitation":"(Buss et al., 2022)","noteIndex":0},"citationItems":[{"id":9980,"uris":["http://zotero.org/groups/2585270/items/U5ITWHSJ"],"itemData":{"id":9980,"type":"article-journal","abstract":"Microplastic contamination poses a global threat to aquatic organisms, yet we know little as to how microplastics may indirectly affect organismal health via their influence on species–species interactions (e.g., host–parasite interactions). This is problematic because microplastic-mediated alterations to host–parasite dynamics could negatively impact individual- population-level health of hosts. Using a larval amphibian (host) and free-living trematode (parasite) model, we asked whether 1) polyester microplastic fibers influence parasite survival; 2) whether polyester microplastic fiber ingestion by amphibians alters amphibian susceptibility to infection; and 3) whether simultaneous exposure of amphibians and trematodes to polyester microplastic fibers influences infection outcomes. Polyester microplastic fibers did not alter trematode survival, nor did their ingestion by amphibians increase amphibian susceptibility to infection. However, when amphibians and trematodes were exposed simultaneously to the fibers, the infection success of the parasite was reduced. Lastly, we conducted a field survey for microfiber contamination across multiple ponds and found microfibers across each of the sampled ponds. Overall, our results contribute to the limited knowledge surrounding the ecological consequences of microplastic contamination. Environ Toxicol Chem 2022;41:869–879. © 2021 SETAC","container-title":"Environmental Toxicology and Chemistry","DOI":"10.1002/etc.5035","ISSN":"1552-8618","issue":"4","language":"en","license":"© 2021 SETAC","note":"_eprint: https://onlinelibrary.wiley.com/doi/pdf/10.1002/etc.5035","page":"869-879","source":"Wiley Online Library","title":"Effects of Polyester Microplastic Fiber Contamination on Amphibian–Trematode Interactions","volume":"41","author":[{"family":"Buss","given":"Nicholas"},{"family":"Sander","given":"Brianna"},{"family":"Hua","given":"Jessica"}],"issued":{"date-parts":[["2022"]]}}}],"schema":"https://github.com/citation-style-language/schema/raw/master/csl-citation.json"} </w:instrText>
      </w:r>
      <w:r w:rsidR="00E05464">
        <w:rPr>
          <w:rFonts w:asciiTheme="majorHAnsi" w:hAnsiTheme="majorHAnsi" w:cstheme="majorHAnsi"/>
          <w:lang w:val="en-US"/>
        </w:rPr>
        <w:fldChar w:fldCharType="separate"/>
      </w:r>
      <w:r w:rsidR="00E05464">
        <w:rPr>
          <w:rFonts w:asciiTheme="majorHAnsi" w:hAnsiTheme="majorHAnsi" w:cstheme="majorHAnsi"/>
          <w:noProof/>
          <w:lang w:val="en-US"/>
        </w:rPr>
        <w:t>Buss et al., (2022)</w:t>
      </w:r>
      <w:r w:rsidR="00E05464">
        <w:rPr>
          <w:rFonts w:asciiTheme="majorHAnsi" w:hAnsiTheme="majorHAnsi" w:cstheme="majorHAnsi"/>
          <w:lang w:val="en-US"/>
        </w:rPr>
        <w:fldChar w:fldCharType="end"/>
      </w:r>
      <w:r w:rsidR="00E05464">
        <w:rPr>
          <w:rFonts w:asciiTheme="majorHAnsi" w:hAnsiTheme="majorHAnsi" w:cstheme="majorHAnsi"/>
          <w:lang w:val="en-US"/>
        </w:rPr>
        <w:t xml:space="preserve"> also suggested that microplastic fibers might reduce success </w:t>
      </w:r>
      <w:r w:rsidR="00EE7DD1">
        <w:rPr>
          <w:rFonts w:asciiTheme="majorHAnsi" w:hAnsiTheme="majorHAnsi" w:cstheme="majorHAnsi"/>
          <w:lang w:val="en-US"/>
        </w:rPr>
        <w:t xml:space="preserve">of infection by impeding cercariae to encounter its amphibian host. </w:t>
      </w:r>
      <w:proofErr w:type="spellStart"/>
      <w:r w:rsidR="003668B9">
        <w:rPr>
          <w:rFonts w:asciiTheme="majorHAnsi" w:hAnsiTheme="majorHAnsi" w:cstheme="majorHAnsi"/>
          <w:lang w:val="en-US"/>
        </w:rPr>
        <w:t>On</w:t>
      </w:r>
      <w:proofErr w:type="spellEnd"/>
      <w:r w:rsidR="003668B9">
        <w:rPr>
          <w:rFonts w:asciiTheme="majorHAnsi" w:hAnsiTheme="majorHAnsi" w:cstheme="majorHAnsi"/>
          <w:lang w:val="en-US"/>
        </w:rPr>
        <w:t xml:space="preserve"> the other hand, infected snails releasing cercariae in our lake system might not live or feed on macrophyte and thus, macrophyte cover </w:t>
      </w:r>
      <w:r w:rsidR="00D071CF">
        <w:rPr>
          <w:rFonts w:asciiTheme="majorHAnsi" w:hAnsiTheme="majorHAnsi" w:cstheme="majorHAnsi"/>
          <w:lang w:val="en-US"/>
        </w:rPr>
        <w:t xml:space="preserve">would not be correlated to snail abundance and consequently parasite abundance. For instance, the mud </w:t>
      </w:r>
      <w:proofErr w:type="spellStart"/>
      <w:r w:rsidR="00D071CF">
        <w:rPr>
          <w:rFonts w:asciiTheme="majorHAnsi" w:hAnsiTheme="majorHAnsi" w:cstheme="majorHAnsi"/>
          <w:lang w:val="en-US"/>
        </w:rPr>
        <w:t>amnicola</w:t>
      </w:r>
      <w:proofErr w:type="spellEnd"/>
      <w:r w:rsidR="00D071CF">
        <w:rPr>
          <w:rFonts w:asciiTheme="majorHAnsi" w:hAnsiTheme="majorHAnsi" w:cstheme="majorHAnsi"/>
          <w:lang w:val="en-US"/>
        </w:rPr>
        <w:t xml:space="preserve"> </w:t>
      </w:r>
      <w:r w:rsidR="00D071CF" w:rsidRPr="00D071CF">
        <w:rPr>
          <w:rFonts w:asciiTheme="majorHAnsi" w:hAnsiTheme="majorHAnsi" w:cstheme="majorHAnsi"/>
          <w:i/>
          <w:iCs/>
          <w:lang w:val="en-US"/>
        </w:rPr>
        <w:t>Amnicola limosus</w:t>
      </w:r>
      <w:r w:rsidR="00CA041B">
        <w:rPr>
          <w:rFonts w:asciiTheme="majorHAnsi" w:hAnsiTheme="majorHAnsi" w:cstheme="majorHAnsi"/>
          <w:lang w:val="en-US"/>
        </w:rPr>
        <w:t xml:space="preserve"> is second intermediate host to at least one species of the black spot guild in our lake system (</w:t>
      </w:r>
      <w:proofErr w:type="spellStart"/>
      <w:r w:rsidR="00CA041B">
        <w:rPr>
          <w:rFonts w:asciiTheme="majorHAnsi" w:hAnsiTheme="majorHAnsi" w:cstheme="majorHAnsi"/>
          <w:lang w:val="en-US"/>
        </w:rPr>
        <w:t>Levet</w:t>
      </w:r>
      <w:proofErr w:type="spellEnd"/>
      <w:r w:rsidR="00CA041B">
        <w:rPr>
          <w:rFonts w:asciiTheme="majorHAnsi" w:hAnsiTheme="majorHAnsi" w:cstheme="majorHAnsi"/>
          <w:lang w:val="en-US"/>
        </w:rPr>
        <w:t>, unpublished). This freshwater snail</w:t>
      </w:r>
      <w:r w:rsidR="00504366">
        <w:rPr>
          <w:rFonts w:asciiTheme="majorHAnsi" w:hAnsiTheme="majorHAnsi" w:cstheme="majorHAnsi"/>
          <w:lang w:val="en-US"/>
        </w:rPr>
        <w:t xml:space="preserve"> live partially in the sediment from the littoral zone</w:t>
      </w:r>
      <w:r w:rsidR="00D13AB7">
        <w:rPr>
          <w:rFonts w:asciiTheme="majorHAnsi" w:hAnsiTheme="majorHAnsi" w:cstheme="majorHAnsi"/>
          <w:lang w:val="en-US"/>
        </w:rPr>
        <w:t xml:space="preserve">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{"citationID":"yYl1ziGj","properties":{"formattedCitation":"(Pinel-Alloul &amp; Magnin, 1973)","plainCitation":"(Pinel-Alloul &amp; Magnin, 1973)","noteIndex":0},"citationItems":[{"id":9822,"uris":["http://zotero.org/groups/2585270/items/C79H83QM"],"itemData":{"id":9822,"type":"article-journal","abstract":"Amnicola limosa (3546 specimens) collected from July 1968 to July 1969 in four sampling areas of lake St-Louis have allowed us to describe briefly the life history and growth of this little studied species.","container-title":"Canadian Journal of Zoology","DOI":"10.1139/z73-043","ISSN":"0008-4301","issue":"2","journalAbbreviation":"Can. J. Zool.","note":"publisher: NRC Research Press","page":"311-313","source":"cdnsciencepub.com (Atypon)","title":"Observations sur le cycle vital et la croissance d'Amnicola limosa (Say) (Mollusca, Gastropoda, Prosobranchia) du lac Saint-Louis près de Montréal","volume":"51","author":[{"family":"Pinel-Alloul","given":"Bernadette"},{"family":"Magnin","given":"Etienne"}],"issued":{"date-parts":[["1973",2]]}}}],"schema":"https://github.com/citation-style-language/schema/raw/master/csl-citation.json"}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(Pinel-Alloul &amp; Magnin, 1973)</w:t>
      </w:r>
      <w:r w:rsidR="00D13AB7">
        <w:rPr>
          <w:rFonts w:asciiTheme="majorHAnsi" w:hAnsiTheme="majorHAnsi" w:cstheme="majorHAnsi"/>
          <w:lang w:val="en-US"/>
        </w:rPr>
        <w:fldChar w:fldCharType="end"/>
      </w:r>
      <w:r w:rsidR="00D13AB7">
        <w:rPr>
          <w:rFonts w:asciiTheme="majorHAnsi" w:hAnsiTheme="majorHAnsi" w:cstheme="majorHAnsi"/>
          <w:lang w:val="en-US"/>
        </w:rPr>
        <w:t xml:space="preserve"> and often graze on periphyton </w:t>
      </w:r>
      <w:r w:rsidR="00D13AB7">
        <w:rPr>
          <w:rFonts w:asciiTheme="majorHAnsi" w:hAnsiTheme="majorHAnsi" w:cstheme="majorHAnsi"/>
          <w:lang w:val="en-US"/>
        </w:rPr>
        <w:fldChar w:fldCharType="begin"/>
      </w:r>
      <w:r w:rsidR="00D13AB7">
        <w:rPr>
          <w:rFonts w:asciiTheme="majorHAnsi" w:hAnsiTheme="majorHAnsi" w:cstheme="majorHAnsi"/>
          <w:lang w:val="en-US"/>
        </w:rPr>
        <w:instrText xml:space="preserve"> ADDIN ZOTERO_ITEM CSL_CITATION {"citationID":"mDQwtP37","properties":{"formattedCitation":"(Kesler, 1981)","plainCitation":"(Kesler, 1981)","noteIndex":0},"citationItems":[{"id":9825,"uris":["http://zotero.org/groups/2585270/items/2QCWE6XB"],"itemData":{"id":9825,"type":"article-journal","abstract":"An enclosure-exclosure experiment was performed in Nonquit Pond, Rhode Island to test the effect of grazing by Amnicola limosa (Say) (Gastropoda) upon lentic periphyton. Periphyton from enclosures with A. limosa had higher organic content in May and July, and lower standing crops in May, July, August, and September than periphyton from exclosures without A. limosa. Small diatom (&lt; 18 μm long, other than Cocconeis placentula) abundances on glass slides were significantly lower in the enclosures than in the exclosures. Cocconeis abundances were not significantly affected by grazing. Cocconeis relative abundances on glass slides exposed in the littoral zone of Nonquit Pond also increased with increased grazing pressure from A. limosa. Because characteristics of Nonquit Pond do not seem to be unusual, and grazer abundances were not extreme, these data may have general importance to the study of lentic periphyton community structure.","container-title":"Journal of Freshwater Ecology","DOI":"10.1080/02705060.1981.9664016","ISSN":"0270-5060","issue":"1","note":"publisher: Taylor &amp; Francis\n_eprint: https://doi.org/10.1080/02705060.1981.9664016","page":"51-59","source":"Taylor and Francis+NEJM","title":"Periphyton grazing by Amnicolalimosa: An enclosure-exclosure experiment","title-short":"Periphyton grazing by Amnicolalimosa","volume":"1","author":[{"family":"Kesler","given":"David H."}],"issued":{"date-parts":[["1981",3,1]]}}}],"schema":"https://github.com/citation-style-language/schema/raw/master/csl-citation.json"} </w:instrText>
      </w:r>
      <w:r w:rsidR="00D13AB7">
        <w:rPr>
          <w:rFonts w:asciiTheme="majorHAnsi" w:hAnsiTheme="majorHAnsi" w:cstheme="majorHAnsi"/>
          <w:lang w:val="en-US"/>
        </w:rPr>
        <w:fldChar w:fldCharType="separate"/>
      </w:r>
      <w:r w:rsidR="00D13AB7">
        <w:rPr>
          <w:rFonts w:asciiTheme="majorHAnsi" w:hAnsiTheme="majorHAnsi" w:cstheme="majorHAnsi"/>
          <w:noProof/>
          <w:lang w:val="en-US"/>
        </w:rPr>
        <w:t>(Kesler, 1981)</w:t>
      </w:r>
      <w:r w:rsidR="00D13AB7">
        <w:rPr>
          <w:rFonts w:asciiTheme="majorHAnsi" w:hAnsiTheme="majorHAnsi" w:cstheme="majorHAnsi"/>
          <w:lang w:val="en-US"/>
        </w:rPr>
        <w:fldChar w:fldCharType="end"/>
      </w:r>
      <w:r w:rsidR="00DE60CE">
        <w:rPr>
          <w:rFonts w:asciiTheme="majorHAnsi" w:hAnsiTheme="majorHAnsi" w:cstheme="majorHAnsi"/>
          <w:lang w:val="en-US"/>
        </w:rPr>
        <w:t xml:space="preserve"> thus has no direct relationship with macrophyte cover.</w:t>
      </w:r>
    </w:p>
    <w:p w14:paraId="052062AB" w14:textId="77777777" w:rsidR="00EE7DD1" w:rsidRDefault="00DE60CE" w:rsidP="00354043">
      <w:pPr>
        <w:spacing w:line="360" w:lineRule="auto"/>
        <w:ind w:firstLine="708"/>
        <w:jc w:val="both"/>
        <w:rPr>
          <w:rFonts w:asciiTheme="majorHAnsi" w:hAnsiTheme="majorHAnsi" w:cstheme="majorHAnsi"/>
          <w:lang w:val="en-US"/>
        </w:rPr>
      </w:pPr>
      <w:r>
        <w:rPr>
          <w:rFonts w:asciiTheme="majorHAnsi" w:hAnsiTheme="majorHAnsi" w:cstheme="majorHAnsi"/>
          <w:lang w:val="en-US"/>
        </w:rPr>
        <w:t xml:space="preserve"> </w:t>
      </w:r>
    </w:p>
    <w:p w14:paraId="70BC490A" w14:textId="05DBA453" w:rsidR="00EB6998" w:rsidRPr="00241C63" w:rsidRDefault="00DE60CE" w:rsidP="00354043">
      <w:pPr>
        <w:spacing w:line="360" w:lineRule="auto"/>
        <w:ind w:firstLine="708"/>
        <w:jc w:val="both"/>
        <w:rPr>
          <w:rFonts w:asciiTheme="majorHAnsi" w:hAnsiTheme="majorHAnsi" w:cstheme="majorHAnsi"/>
        </w:rPr>
      </w:pPr>
      <w:r>
        <w:rPr>
          <w:rFonts w:asciiTheme="majorHAnsi" w:hAnsiTheme="majorHAnsi" w:cstheme="majorHAnsi"/>
          <w:lang w:val="en-US"/>
        </w:rPr>
        <w:t>Our results suggest</w:t>
      </w:r>
      <w:r w:rsidR="00DD3E5A">
        <w:rPr>
          <w:rFonts w:asciiTheme="majorHAnsi" w:hAnsiTheme="majorHAnsi" w:cstheme="majorHAnsi"/>
          <w:lang w:val="en-US"/>
        </w:rPr>
        <w:t xml:space="preserve"> that community structure is a driving factor of prevalence of infection by the black spot disease at small spatial scale. </w:t>
      </w:r>
      <w:r>
        <w:rPr>
          <w:rFonts w:asciiTheme="majorHAnsi" w:hAnsiTheme="majorHAnsi" w:cstheme="majorHAnsi"/>
          <w:lang w:val="en-US"/>
        </w:rPr>
        <w:t>We found negative relationship</w:t>
      </w:r>
      <w:r w:rsidR="00DD3E5A">
        <w:rPr>
          <w:rFonts w:asciiTheme="majorHAnsi" w:hAnsiTheme="majorHAnsi" w:cstheme="majorHAnsi"/>
          <w:lang w:val="en-US"/>
        </w:rPr>
        <w:t>s</w:t>
      </w:r>
      <w:r>
        <w:rPr>
          <w:rFonts w:asciiTheme="majorHAnsi" w:hAnsiTheme="majorHAnsi" w:cstheme="majorHAnsi"/>
          <w:lang w:val="en-US"/>
        </w:rPr>
        <w:t xml:space="preserve"> </w:t>
      </w:r>
      <w:r w:rsidR="00DD3E5A">
        <w:rPr>
          <w:rFonts w:asciiTheme="majorHAnsi" w:hAnsiTheme="majorHAnsi" w:cstheme="majorHAnsi"/>
          <w:lang w:val="en-US"/>
        </w:rPr>
        <w:t>for total fish abundance, non-host abundance and Simpson’s diversity index</w:t>
      </w:r>
      <w:r w:rsidR="00C47CE0">
        <w:rPr>
          <w:rFonts w:asciiTheme="majorHAnsi" w:hAnsiTheme="majorHAnsi" w:cstheme="majorHAnsi"/>
          <w:lang w:val="en-US"/>
        </w:rPr>
        <w:t xml:space="preserve">. Expectedly, total fish abundance and non-host abundance are positively correlated </w:t>
      </w:r>
      <w:r w:rsidR="00AE3828">
        <w:rPr>
          <w:rFonts w:asciiTheme="majorHAnsi" w:hAnsiTheme="majorHAnsi" w:cstheme="majorHAnsi"/>
          <w:lang w:val="en-US"/>
        </w:rPr>
        <w:t>(</w:t>
      </w:r>
      <w:r w:rsidR="00AE3828" w:rsidRPr="00AE3828">
        <w:rPr>
          <w:rFonts w:asciiTheme="majorHAnsi" w:hAnsiTheme="majorHAnsi" w:cstheme="majorHAnsi"/>
          <w:highlight w:val="yellow"/>
          <w:lang w:val="en-US"/>
        </w:rPr>
        <w:t xml:space="preserve">Figure </w:t>
      </w:r>
      <w:proofErr w:type="spellStart"/>
      <w:r w:rsidR="00AE3828" w:rsidRPr="00AE3828">
        <w:rPr>
          <w:rFonts w:asciiTheme="majorHAnsi" w:hAnsiTheme="majorHAnsi" w:cstheme="majorHAnsi"/>
          <w:highlight w:val="yellow"/>
          <w:lang w:val="en-US"/>
        </w:rPr>
        <w:t>Sxx</w:t>
      </w:r>
      <w:proofErr w:type="spellEnd"/>
      <w:r w:rsidR="00AE3828">
        <w:rPr>
          <w:rFonts w:asciiTheme="majorHAnsi" w:hAnsiTheme="majorHAnsi" w:cstheme="majorHAnsi"/>
          <w:lang w:val="en-US"/>
        </w:rPr>
        <w:t xml:space="preserve">) </w:t>
      </w:r>
      <w:r w:rsidR="00C47CE0">
        <w:rPr>
          <w:rFonts w:asciiTheme="majorHAnsi" w:hAnsiTheme="majorHAnsi" w:cstheme="majorHAnsi"/>
          <w:lang w:val="en-US"/>
        </w:rPr>
        <w:t xml:space="preserve">indicating that the driving processes behind these relationships are probably the same. These results are expected by the dilution effect hypothesis. </w:t>
      </w:r>
      <w:r w:rsidR="00354043">
        <w:rPr>
          <w:rFonts w:asciiTheme="majorHAnsi" w:hAnsiTheme="majorHAnsi" w:cstheme="majorHAnsi"/>
          <w:lang w:val="en-US"/>
        </w:rPr>
        <w:t xml:space="preserve">For trematode cercariae, a higher fish abundance means yes more encounter probability, but the proportion of parasites against the fish-host is diminished. As a result, </w:t>
      </w:r>
      <w:r w:rsidR="00354043">
        <w:rPr>
          <w:rFonts w:asciiTheme="majorHAnsi" w:hAnsiTheme="majorHAnsi" w:cstheme="majorHAnsi"/>
          <w:lang w:val="en-US"/>
        </w:rPr>
        <w:lastRenderedPageBreak/>
        <w:t xml:space="preserve">prevalence would decrease with fish abundance if parasite abundance </w:t>
      </w:r>
      <w:r w:rsidR="0029699C">
        <w:rPr>
          <w:rFonts w:asciiTheme="majorHAnsi" w:hAnsiTheme="majorHAnsi" w:cstheme="majorHAnsi"/>
          <w:lang w:val="en-US"/>
        </w:rPr>
        <w:t>were</w:t>
      </w:r>
      <w:r w:rsidR="00354043">
        <w:rPr>
          <w:rFonts w:asciiTheme="majorHAnsi" w:hAnsiTheme="majorHAnsi" w:cstheme="majorHAnsi"/>
          <w:lang w:val="en-US"/>
        </w:rPr>
        <w:t xml:space="preserve"> not correlated to fish abundance. </w:t>
      </w:r>
      <w:r w:rsidR="0029699C">
        <w:rPr>
          <w:rFonts w:asciiTheme="majorHAnsi" w:hAnsiTheme="majorHAnsi" w:cstheme="majorHAnsi"/>
          <w:lang w:val="en-US"/>
        </w:rPr>
        <w:t>A higher abundance of non-host fish also means that success of infection by cercariae are lower, diminishing prevalence values. This has been observed both in the field and in experimental design</w:t>
      </w:r>
      <w:r w:rsidR="00A66164">
        <w:rPr>
          <w:rFonts w:asciiTheme="majorHAnsi" w:hAnsiTheme="majorHAnsi" w:cstheme="majorHAnsi"/>
          <w:lang w:val="en-US"/>
        </w:rPr>
        <w:t xml:space="preserve"> [</w:t>
      </w:r>
      <w:r w:rsidR="00A66164" w:rsidRPr="00A66164">
        <w:rPr>
          <w:rFonts w:asciiTheme="majorHAnsi" w:hAnsiTheme="majorHAnsi" w:cstheme="majorHAnsi"/>
          <w:highlight w:val="yellow"/>
          <w:lang w:val="en-US"/>
        </w:rPr>
        <w:t>Refs</w:t>
      </w:r>
      <w:r w:rsidR="00A66164">
        <w:rPr>
          <w:rFonts w:asciiTheme="majorHAnsi" w:hAnsiTheme="majorHAnsi" w:cstheme="majorHAnsi"/>
          <w:lang w:val="en-US"/>
        </w:rPr>
        <w:t>]</w:t>
      </w:r>
      <w:r w:rsidR="0029699C">
        <w:rPr>
          <w:rFonts w:asciiTheme="majorHAnsi" w:hAnsiTheme="majorHAnsi" w:cstheme="majorHAnsi"/>
          <w:lang w:val="en-US"/>
        </w:rPr>
        <w:t xml:space="preserve">. </w:t>
      </w:r>
      <w:r w:rsidR="00AE3828">
        <w:rPr>
          <w:rFonts w:asciiTheme="majorHAnsi" w:hAnsiTheme="majorHAnsi" w:cstheme="majorHAnsi"/>
          <w:lang w:val="en-US"/>
        </w:rPr>
        <w:t xml:space="preserve">Finally, diverse communities in our system tend to be less infected than communities with dominant species. In our lake system, </w:t>
      </w:r>
      <w:r w:rsidR="00AE3828" w:rsidRPr="00AE3828">
        <w:rPr>
          <w:rFonts w:asciiTheme="majorHAnsi" w:hAnsiTheme="majorHAnsi" w:cstheme="majorHAnsi"/>
          <w:i/>
          <w:iCs/>
          <w:lang w:val="en-US"/>
        </w:rPr>
        <w:t>L. gibbosus</w:t>
      </w:r>
      <w:r w:rsidR="00AE3828">
        <w:rPr>
          <w:rFonts w:asciiTheme="majorHAnsi" w:hAnsiTheme="majorHAnsi" w:cstheme="majorHAnsi"/>
          <w:lang w:val="en-US"/>
        </w:rPr>
        <w:t xml:space="preserve"> is a dominant species of fish communities but also the species with the highest prevalence of infection.</w:t>
      </w:r>
      <w:r w:rsidR="00E62EDB">
        <w:rPr>
          <w:rFonts w:asciiTheme="majorHAnsi" w:hAnsiTheme="majorHAnsi" w:cstheme="majorHAnsi"/>
          <w:lang w:val="en-US"/>
        </w:rPr>
        <w:t xml:space="preserve"> </w:t>
      </w:r>
      <w:r w:rsidR="00AE3828">
        <w:rPr>
          <w:rFonts w:asciiTheme="majorHAnsi" w:hAnsiTheme="majorHAnsi" w:cstheme="majorHAnsi"/>
          <w:lang w:val="en-US"/>
        </w:rPr>
        <w:t xml:space="preserve">Thus, presence of competitor species </w:t>
      </w:r>
      <w:r w:rsidR="00E62EDB">
        <w:rPr>
          <w:rFonts w:asciiTheme="majorHAnsi" w:hAnsiTheme="majorHAnsi" w:cstheme="majorHAnsi"/>
          <w:lang w:val="en-US"/>
        </w:rPr>
        <w:t xml:space="preserve">(e.g., </w:t>
      </w:r>
      <w:r w:rsidR="00E62EDB" w:rsidRPr="00E62EDB">
        <w:rPr>
          <w:rFonts w:asciiTheme="majorHAnsi" w:hAnsiTheme="majorHAnsi" w:cstheme="majorHAnsi"/>
          <w:i/>
          <w:iCs/>
          <w:lang w:val="en-US"/>
        </w:rPr>
        <w:t xml:space="preserve">P. </w:t>
      </w:r>
      <w:proofErr w:type="spellStart"/>
      <w:r w:rsidR="00E62EDB" w:rsidRPr="00E62EDB">
        <w:rPr>
          <w:rFonts w:asciiTheme="majorHAnsi" w:hAnsiTheme="majorHAnsi" w:cstheme="majorHAnsi"/>
          <w:i/>
          <w:iCs/>
          <w:lang w:val="en-US"/>
        </w:rPr>
        <w:t>flavescens</w:t>
      </w:r>
      <w:proofErr w:type="spellEnd"/>
      <w:r w:rsidR="00E62EDB">
        <w:rPr>
          <w:rFonts w:asciiTheme="majorHAnsi" w:hAnsiTheme="majorHAnsi" w:cstheme="majorHAnsi"/>
          <w:lang w:val="en-US"/>
        </w:rPr>
        <w:t xml:space="preserve">) </w:t>
      </w:r>
      <w:r w:rsidR="00AE3828">
        <w:rPr>
          <w:rFonts w:asciiTheme="majorHAnsi" w:hAnsiTheme="majorHAnsi" w:cstheme="majorHAnsi"/>
          <w:lang w:val="en-US"/>
        </w:rPr>
        <w:t xml:space="preserve">showing a lesser prevalence of infection might </w:t>
      </w:r>
      <w:r w:rsidR="00E62EDB">
        <w:rPr>
          <w:rFonts w:asciiTheme="majorHAnsi" w:hAnsiTheme="majorHAnsi" w:cstheme="majorHAnsi"/>
          <w:lang w:val="en-US"/>
        </w:rPr>
        <w:t xml:space="preserve">decrease the overall infection at the community level. Also, as previously discussed, presence of non-host species </w:t>
      </w:r>
      <w:r w:rsidR="00EE7DD1">
        <w:rPr>
          <w:rFonts w:asciiTheme="majorHAnsi" w:hAnsiTheme="majorHAnsi" w:cstheme="majorHAnsi"/>
          <w:lang w:val="en-US"/>
        </w:rPr>
        <w:t>increases</w:t>
      </w:r>
      <w:r w:rsidR="00E62EDB">
        <w:rPr>
          <w:rFonts w:asciiTheme="majorHAnsi" w:hAnsiTheme="majorHAnsi" w:cstheme="majorHAnsi"/>
          <w:lang w:val="en-US"/>
        </w:rPr>
        <w:t xml:space="preserve"> the diversity index, but might lower the prevalence in the community. </w:t>
      </w:r>
      <w:r w:rsidR="00EE7DD1">
        <w:rPr>
          <w:rFonts w:asciiTheme="majorHAnsi" w:hAnsiTheme="majorHAnsi" w:cstheme="majorHAnsi"/>
          <w:lang w:val="en-US"/>
        </w:rPr>
        <w:t xml:space="preserve">In fact, non-host species can reduce </w:t>
      </w:r>
      <w:r w:rsidR="00684E53">
        <w:rPr>
          <w:rFonts w:asciiTheme="majorHAnsi" w:hAnsiTheme="majorHAnsi" w:cstheme="majorHAnsi"/>
          <w:lang w:val="en-US"/>
        </w:rPr>
        <w:t xml:space="preserve">infection </w:t>
      </w:r>
      <w:r w:rsidR="00EE7DD1">
        <w:rPr>
          <w:rFonts w:asciiTheme="majorHAnsi" w:hAnsiTheme="majorHAnsi" w:cstheme="majorHAnsi"/>
          <w:lang w:val="en-US"/>
        </w:rPr>
        <w:t xml:space="preserve">success of cercariae by damaging or feeding on them(). </w:t>
      </w:r>
      <w:r w:rsidR="002E0054">
        <w:rPr>
          <w:rFonts w:asciiTheme="majorHAnsi" w:hAnsiTheme="majorHAnsi" w:cstheme="majorHAnsi"/>
          <w:lang w:val="en-US"/>
        </w:rPr>
        <w:t xml:space="preserve">Many animal species are known to partially feed on cercariae in aquatic systems such as zooplankton, clams, macroinvertebrates, </w:t>
      </w:r>
      <w:r w:rsidR="00241C63">
        <w:rPr>
          <w:rFonts w:asciiTheme="majorHAnsi" w:hAnsiTheme="majorHAnsi" w:cstheme="majorHAnsi"/>
          <w:lang w:val="en-US"/>
        </w:rPr>
        <w:t>cnidarian</w:t>
      </w:r>
      <w:r w:rsidR="002E0054">
        <w:rPr>
          <w:rFonts w:asciiTheme="majorHAnsi" w:hAnsiTheme="majorHAnsi" w:cstheme="majorHAnsi"/>
          <w:lang w:val="en-US"/>
        </w:rPr>
        <w:t>, and small fish</w:t>
      </w:r>
      <w:r w:rsidR="00241C63">
        <w:rPr>
          <w:rFonts w:asciiTheme="majorHAnsi" w:hAnsiTheme="majorHAnsi" w:cstheme="majorHAnsi"/>
          <w:lang w:val="en-US"/>
        </w:rPr>
        <w:t xml:space="preserve"> </w:t>
      </w:r>
      <w:r w:rsidR="00241C63">
        <w:rPr>
          <w:rFonts w:asciiTheme="majorHAnsi" w:hAnsiTheme="majorHAnsi" w:cstheme="majorHAnsi"/>
          <w:lang w:val="en-US"/>
        </w:rPr>
        <w:fldChar w:fldCharType="begin"/>
      </w:r>
      <w:r w:rsidR="00241C63">
        <w:rPr>
          <w:rFonts w:asciiTheme="majorHAnsi" w:hAnsiTheme="majorHAnsi" w:cstheme="majorHAnsi"/>
          <w:lang w:val="en-US"/>
        </w:rPr>
        <w:instrText xml:space="preserve"> ADDIN ZOTERO_ITEM CSL_CITATION {"citationID":"UfWXNhPp","properties":{"formattedCitation":"(Kaplan et al., 2009; E. Mironova et al., 2019; K. Mironova et al., 2020; Schotthoefer et al., 2007; Vielma et al., 2019)","plainCitation":"(Kaplan et al., 2009; E. Mironova et al., 2019; K. Mironova et al., 2020; Schotthoefer et al., 2007; Vielma et al., 2019)","noteIndex":0},"citationItems":[{"id":1993,"uris":["http://zotero.org/groups/2585270/items/HDHWL7ZX"],"itemData":{"id":1993,"type":"article-journal","abstract":"In aquatic ecosystems, dense populations of snails can shed millions of digenean trematode cercariae every day. These short-lived, free-living larvae are rich in energy and present a potential resource for consumers. We investigated whether estuarine fishes eat cercariae shed by trematodes of the estuarine snail Cerithidea californica. In aquaria we presented cercariae from 10 native trematode species to 6 species of native estuarine fishes. Many of these fishes readily engorged on cercariae. To determine if fishes ate cercariae in the field, we collected the most common fish species, Fundulus parvipinnis (California killifish), from shallow water on rising tides when snails shed cercariae. Of 61 killifish, 3 had recognizable cercariae in their gut. Because cercariae are common in this estuary, they could be frequent sources of energy for small fishes. In turn, predation on cercariae by fishes (and other predators) could also reduce the transmission success of trematodes.","container-title":"The Journal of Parasitology","DOI":"10.1645/GE-1737.1","ISSN":"0022-3395","issue":"2","journalAbbreviation":"J Parasitol","language":"eng","note":"PMID: 18763852","page":"477-480","source":"PubMed","title":"Small estuarine fishes feed on large trematode cercariae: lab and field investigations","title-short":"Small estuarine fishes feed on large trematode cercariae","volume":"95","author":[{"family":"Kaplan","given":"Amber T."},{"family":"Rebhal","given":"S."},{"family":"Lafferty","given":"K. D."},{"family":"Kuris","given":"A. M."}],"issued":{"date-parts":[["2009",4]]}}},{"id":1995,"uris":["http://zotero.org/groups/2585270/items/6NHFKXTZ"],"itemData":{"id":1995,"type":"article-journal","abstract":"Removal of parasite free-living stages by predators has previously been suggested an important factor controlling parasite transmission in aquatic habitats. Experimental studies of zooplankton predation on macroparasite larvae are, however, scarce. We tested whether trematode cercariae, which are often numerous in shallow waters, are suitable prey for syntopic zooplankters. Feeding rates and survival of freshwater cyclopoids (Megacyclops viridis, Macrocyclops distinctus), calanoids (Arctodiaptomus paulseni), cladocerans (Sida crystallina) and rotifers Asplanchna spp., fed with cercariae of Diplostomum pseudospathaceum, a common fish trematode, were studied. In additional long-term experiments, we studied reproduction of cyclopoids fed with cercariae. All tested zooplankton species consumed cercariae. The highest feeding rates were observed for cyclopoids (33 ± 12 cercariae ind-1 h-1), which actively reproduced (up to one egg clutch day-1) when fed ad libitum with cercariae. Their reproductive characteristics did not change significantly with time, indicating that cercariae supported cyclopoids' dietary needs. Mortality of rotifers and cladocerans was high (25-28% individuals) when exposed to cercariae in contrast to cyclopoids and calanoids (&amp;lt;2%). Cercariae clogged the filtration apparatus of cladocerans and caused internal injuries in predatory rotifers, which ingested cercariae. Observed trophic links between common freshwater zooplankters and cercariae may significantly influence food webs and parasite transmission in lentic ecosystems.","container-title":"Parasitology","DOI":"10.1017/S0031182018000963","ISSN":"1469-8161","issue":"1","journalAbbreviation":"Parasitology","language":"eng","note":"PMID: 29898802","page":"105-111","source":"PubMed","title":"Trematode cercariae as prey for zooplankton: effect on fitness traits of predators","title-short":"Trematode cercariae as prey for zooplankton","volume":"146","author":[{"family":"Mironova","given":"Ekaterina"},{"family":"Gopko","given":"Mikhail"},{"family":"Pasternak","given":"Anna"},{"family":"Mikheev","given":"Viktor"},{"family":"Taskinen","given":"Jouni"}],"issued":{"date-parts":[["2019",1]]}}},{"id":1988,"uris":["http://zotero.org/groups/2585270/items/538JDPFH"],"itemData":{"id":1988,"type":"article-journal","abstract":"• Many aquatic organisms can consume parasite larvae, thus hampering parasite transmission; however, information about feeding on them in the presence of an alternative prey remains scarce. When having a food choice, predators may decrease parasite consumption, therefore, it is important to assess the role of parasites in the diet of predators in natural communities with different types of prey available. Our study aims to test whether common freshwater cyclopoids feed on trematode free‐living stages (cercariae) when an alternative food source is present.\n• We experimentally studied ingestion rates of cyclopoids Macrocyclops distinctus fed with cercariae of trematode Diplostomum pseudospathaceum, a common and harmful parasite of freshwater fishes, and ciliates Paramecium caudatum (an alternative prey, known as suitable food for copepods). First, the feeding response of cyclopoids to different densities of each prey was studied. Then, feeding selectivity in the mixtures of cercariae and ciliates was tested.\n• Feeding rates of cyclopoids increased with prey densities (both ciliates and cercariae) but almost stopped growing at high prey densities, which indicated saturation (Holling type II functional response). In most cases, cyclopoids consumed cercariae at higher rates than ciliates. Maximum ingestion rates estimated from the obtained curves were 37 cercariae ind⁻¹ hr⁻¹ and 17 ciliate ind⁻¹ hr⁻¹.\n• When exposed to prey mixtures, cyclopoids fed on cercariae selectively. When cercariae were offered to cyclopoids at concentrations exceeding the saturation level, the ingestion of ciliates remained constantly low at all ciliate densities. In contrast, the ingestion of cercariae increased with rising cercariae densities even when ciliates were presented ad libitum, decreasing only at very high prey densities. Possible reasons of such feeding preferences are discussed.\n• Our study demonstrated that cyclopoids may prefer to feed on cercariae when there is an alternative food choice and can ingest cercariae at high rates. These experimental results could be extended to natural communities, suggesting that cyclopoids can reduce the transmission of parasites and contribute to the incorporation of parasite production in food webs of lentic ecosystems.","container-title":"Freshwater Biology","DOI":"10.1111/fwb.13512","journalAbbreviation":"Freshwater Biology","source":"ResearchGate","title":"Cyclopoids feed selectively on free-living stages of parasites","volume":"65","author":[{"family":"Mironova","given":"Katya"},{"family":"Gopko","given":"Mikhail"},{"family":"Pasternak","given":"Anna"},{"family":"Mikheev","given":"Viktor"},{"family":"Taskinen","given":"Jouni"}],"issued":{"date-parts":[["2020",4,15]]}}},{"id":1998,"uris":["http://zotero.org/groups/2585270/items/NHVQT3D8"],"itemData":{"id":1998,"type":"article-journal","abstract":"Trematodes amplify asexually in their snail intermediate hosts, resulting in the potential release of hundreds to thousands of free-living cercariae per day for the life of the snail. The high number of cercariae released into the environment undoubtedly increases the probability of transmission. Although many individual cercariae successfully infect another host in their life cycle, most fail. Factors that prevent successful transmission of cercariae are poorly understood. Microcrustaceans and fish have been observed to eat cercariae of some species, although the possibility that predation represents a significant source of mortality for cercariae has been largely unexplored. We tested the cercariophagic activity of several freshwater invertebrates on Ribeiroia ondatrae, a trematode that causes limb deformities in amphibians. Individuals of potential predators were placed into wells of multiwell plates with 10–15 cercariae, and numbers of cercariae remaining over time were recorded and compared with numbers in control wells that contained no predators. Of the species tested, Hydra sp., damselfly (Odonata, Coenagrionidae) larvae, dragonfly (Odonata, Libellulidae), larvae, and copepods (Cyclopoida) consumed cercariae. In some cases, 80– 90% of the cercariae offered to damselfly and dragonfly larvae were consumed within 10 min. In most cases, predators continued to consume cercariae at the same average rates when offered cercariae together with individuals of an alternate prey item. Hydra sp. ate fewer cercariae in these trials. Our findings suggest the need for field and laboratory studies to further explore the effects of predators on transmission of R. ondatrae to amphibian larvae. In addition, the results suggest that conservation of the biodiversity and numbers of aquatic predators may limit adverse impacts of trematode infections in vertebrate hosts.","container-title":"Journal of Parasitology","DOI":"10.1645/GE1129R.1","ISSN":"0022-3395","issue":"5","journalAbbreviation":"Journal of Parasitology","page":"1240-1243","source":"Silverchair","title":"Ribeiroia ondatrae Cercariae Are Consumed by Aquatic Invertebrate Predators","volume":"93","author":[{"family":"Schotthoefer","given":"Anna M."},{"family":"Labak","given":"K. Marie"},{"family":"Beasley","given":"Val R."}],"issued":{"date-parts":[["2007",10,1]]}}},{"id":9983,"uris":["http://zotero.org/groups/2585270/items/KZKDQPD5"],"itemData":{"id":9983,"type":"article-journal","abstract":"The potential for local biodiversity to ‘dilute’ infection risk has been shown to be particularly important in aquatic trematodes, where non-host organisms can feed on free-living infective stages (cercariae) and reduce transmission rates to target hosts. Non-host organisms could also impact transmission during other stages of the trematode life cycle. In Philophthalmus spp., cercariae encyst as metacercariae on external surfaces, where they remain exposed to the adverse effects of non-host organisms. I</w:instrText>
      </w:r>
      <w:r w:rsidR="00241C63" w:rsidRPr="00241C63">
        <w:rPr>
          <w:rFonts w:asciiTheme="majorHAnsi" w:hAnsiTheme="majorHAnsi" w:cstheme="majorHAnsi"/>
        </w:rPr>
        <w:instrText xml:space="preserve">n laboratory experiments, we tested the potential for a range of non-host organisms to (i) prey on cercariae, (ii) induce early (i.e., faster) encystment and (iii) prey on or destroy metacercariae. Our results show that intertidal anemones, and to a lesser extent clams, can consume substantial numbers of cercariae. However, we found no strong evidence that the presence of these predators causes cercariae to encyst faster as a way to escape from predation. We also found that grazing snails can reduce numbers of encysted metacercariae, either by eating or crushing them. Our findings add to the growing evidence that trematode transmission success can be strongly affected by the local diversity of non-host organisms. They also reinforce the notion that parasites are potentially important food items for many organisms, thus playing roles other than consumers in many food webs.","container-title":"Parasitology Research","DOI":"10.1007/s00436-018-6121-2","ISSN":"1432-1955","issue":"1","journalAbbreviation":"Parasitol Res","language":"en","page":"111-117","source":"Springer Link","title":"Non-host organisms impact transmission at two different life stages in a marine parasite","volume":"118","author":[{"family":"Vielma","given":"Sofia"},{"family":"Lagrue","given":"Clément"},{"family":"Poulin","given":"Robert"},{"family":"Selbach","given":"Christian"}],"issued":{"date-parts":[["2019",1,1]]}}}],"schema":"https://github.com/citation-style-language/schema/raw/master/csl-citation.json"} </w:instrText>
      </w:r>
      <w:r w:rsidR="00241C63">
        <w:rPr>
          <w:rFonts w:asciiTheme="majorHAnsi" w:hAnsiTheme="majorHAnsi" w:cstheme="majorHAnsi"/>
          <w:lang w:val="en-US"/>
        </w:rPr>
        <w:fldChar w:fldCharType="separate"/>
      </w:r>
      <w:r w:rsidR="00241C63" w:rsidRPr="00241C63">
        <w:rPr>
          <w:rFonts w:asciiTheme="majorHAnsi" w:hAnsiTheme="majorHAnsi" w:cstheme="majorHAnsi"/>
          <w:noProof/>
        </w:rPr>
        <w:t>(Kaplan et al., 2009; E. Mironova et al., 2019; K. Mironova et al., 2020; Schotthoefer et al., 2007; Vielma et al., 2019)</w:t>
      </w:r>
      <w:r w:rsidR="00241C63">
        <w:rPr>
          <w:rFonts w:asciiTheme="majorHAnsi" w:hAnsiTheme="majorHAnsi" w:cstheme="majorHAnsi"/>
          <w:lang w:val="en-US"/>
        </w:rPr>
        <w:fldChar w:fldCharType="end"/>
      </w:r>
      <w:r w:rsidR="002E0054" w:rsidRPr="00241C63">
        <w:rPr>
          <w:rFonts w:asciiTheme="majorHAnsi" w:hAnsiTheme="majorHAnsi" w:cstheme="majorHAnsi"/>
        </w:rPr>
        <w:t xml:space="preserve">. </w:t>
      </w:r>
    </w:p>
    <w:sectPr w:rsidR="00EB6998" w:rsidRPr="00241C63" w:rsidSect="008B62BD">
      <w:pgSz w:w="12240" w:h="15840"/>
      <w:pgMar w:top="1418" w:right="1418" w:bottom="1418" w:left="1418"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5084C"/>
    <w:multiLevelType w:val="hybridMultilevel"/>
    <w:tmpl w:val="023AE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2AA07897"/>
    <w:multiLevelType w:val="hybridMultilevel"/>
    <w:tmpl w:val="767603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5DA24FD0"/>
    <w:multiLevelType w:val="hybridMultilevel"/>
    <w:tmpl w:val="536EF496"/>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5F965814"/>
    <w:multiLevelType w:val="hybridMultilevel"/>
    <w:tmpl w:val="A1B06842"/>
    <w:lvl w:ilvl="0" w:tplc="3348B59A">
      <w:numFmt w:val="bullet"/>
      <w:lvlText w:val="-"/>
      <w:lvlJc w:val="left"/>
      <w:pPr>
        <w:ind w:left="720" w:hanging="360"/>
      </w:pPr>
      <w:rPr>
        <w:rFonts w:ascii="Calibri Light" w:eastAsiaTheme="minorHAnsi" w:hAnsi="Calibri Light" w:cs="Calibri Light"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63271F69"/>
    <w:multiLevelType w:val="hybridMultilevel"/>
    <w:tmpl w:val="5EDA491C"/>
    <w:lvl w:ilvl="0" w:tplc="7D0469CE">
      <w:start w:val="1"/>
      <w:numFmt w:val="upp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239408182">
    <w:abstractNumId w:val="0"/>
  </w:num>
  <w:num w:numId="2" w16cid:durableId="1146045902">
    <w:abstractNumId w:val="1"/>
  </w:num>
  <w:num w:numId="3" w16cid:durableId="969745013">
    <w:abstractNumId w:val="3"/>
  </w:num>
  <w:num w:numId="4" w16cid:durableId="1461681304">
    <w:abstractNumId w:val="2"/>
  </w:num>
  <w:num w:numId="5" w16cid:durableId="1592229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C8C"/>
    <w:rsid w:val="00047D41"/>
    <w:rsid w:val="000703AF"/>
    <w:rsid w:val="000722AA"/>
    <w:rsid w:val="000738DF"/>
    <w:rsid w:val="00074AB3"/>
    <w:rsid w:val="000A4CC3"/>
    <w:rsid w:val="000B5C15"/>
    <w:rsid w:val="000B6441"/>
    <w:rsid w:val="000B7C0D"/>
    <w:rsid w:val="000C7212"/>
    <w:rsid w:val="000D7F92"/>
    <w:rsid w:val="000E0D09"/>
    <w:rsid w:val="000E13C3"/>
    <w:rsid w:val="000E7705"/>
    <w:rsid w:val="000F2A66"/>
    <w:rsid w:val="00100C68"/>
    <w:rsid w:val="00104431"/>
    <w:rsid w:val="00106DA3"/>
    <w:rsid w:val="00114236"/>
    <w:rsid w:val="0013275F"/>
    <w:rsid w:val="0014115D"/>
    <w:rsid w:val="00143D13"/>
    <w:rsid w:val="00150902"/>
    <w:rsid w:val="00160139"/>
    <w:rsid w:val="001601F4"/>
    <w:rsid w:val="00163D35"/>
    <w:rsid w:val="00165C9D"/>
    <w:rsid w:val="00177F81"/>
    <w:rsid w:val="00180BBC"/>
    <w:rsid w:val="00184DA8"/>
    <w:rsid w:val="001A6132"/>
    <w:rsid w:val="001C2BF4"/>
    <w:rsid w:val="001D261B"/>
    <w:rsid w:val="001D5003"/>
    <w:rsid w:val="001E0CCF"/>
    <w:rsid w:val="001E6FED"/>
    <w:rsid w:val="00206A97"/>
    <w:rsid w:val="00206E89"/>
    <w:rsid w:val="0021630C"/>
    <w:rsid w:val="0021740A"/>
    <w:rsid w:val="0022093C"/>
    <w:rsid w:val="00241C63"/>
    <w:rsid w:val="00251813"/>
    <w:rsid w:val="00252338"/>
    <w:rsid w:val="0029699C"/>
    <w:rsid w:val="002A41EC"/>
    <w:rsid w:val="002B641F"/>
    <w:rsid w:val="002E0054"/>
    <w:rsid w:val="002E00EF"/>
    <w:rsid w:val="002E34DD"/>
    <w:rsid w:val="002F2505"/>
    <w:rsid w:val="002F2F86"/>
    <w:rsid w:val="00311C0F"/>
    <w:rsid w:val="003422E8"/>
    <w:rsid w:val="00351DC8"/>
    <w:rsid w:val="00354043"/>
    <w:rsid w:val="003600A8"/>
    <w:rsid w:val="00364D9E"/>
    <w:rsid w:val="003668B9"/>
    <w:rsid w:val="0038096E"/>
    <w:rsid w:val="00386278"/>
    <w:rsid w:val="00393C8C"/>
    <w:rsid w:val="003A31C6"/>
    <w:rsid w:val="003B2D9D"/>
    <w:rsid w:val="003D0F24"/>
    <w:rsid w:val="003D19C8"/>
    <w:rsid w:val="003F4259"/>
    <w:rsid w:val="003F6070"/>
    <w:rsid w:val="00410D9D"/>
    <w:rsid w:val="0043119E"/>
    <w:rsid w:val="004454DA"/>
    <w:rsid w:val="00471CF9"/>
    <w:rsid w:val="00485657"/>
    <w:rsid w:val="00496806"/>
    <w:rsid w:val="00497532"/>
    <w:rsid w:val="004A1C20"/>
    <w:rsid w:val="004A79B7"/>
    <w:rsid w:val="004C4B73"/>
    <w:rsid w:val="004D0FDB"/>
    <w:rsid w:val="00502E23"/>
    <w:rsid w:val="00504366"/>
    <w:rsid w:val="005174CC"/>
    <w:rsid w:val="00534252"/>
    <w:rsid w:val="00537EA5"/>
    <w:rsid w:val="00540249"/>
    <w:rsid w:val="00542CA9"/>
    <w:rsid w:val="005777B0"/>
    <w:rsid w:val="005849A5"/>
    <w:rsid w:val="005963A3"/>
    <w:rsid w:val="005C25BB"/>
    <w:rsid w:val="005C4E85"/>
    <w:rsid w:val="005F05D1"/>
    <w:rsid w:val="0060764B"/>
    <w:rsid w:val="00607906"/>
    <w:rsid w:val="00610D72"/>
    <w:rsid w:val="006303B7"/>
    <w:rsid w:val="00632639"/>
    <w:rsid w:val="00646430"/>
    <w:rsid w:val="00650E33"/>
    <w:rsid w:val="00655678"/>
    <w:rsid w:val="006712F1"/>
    <w:rsid w:val="006718D0"/>
    <w:rsid w:val="006745B5"/>
    <w:rsid w:val="00681311"/>
    <w:rsid w:val="00684E53"/>
    <w:rsid w:val="006937FF"/>
    <w:rsid w:val="00696EB9"/>
    <w:rsid w:val="00697F62"/>
    <w:rsid w:val="006B0265"/>
    <w:rsid w:val="006D0D61"/>
    <w:rsid w:val="006D2B59"/>
    <w:rsid w:val="006F23F7"/>
    <w:rsid w:val="00701EF6"/>
    <w:rsid w:val="00707142"/>
    <w:rsid w:val="00713AEF"/>
    <w:rsid w:val="007329BF"/>
    <w:rsid w:val="00754A8A"/>
    <w:rsid w:val="0076048F"/>
    <w:rsid w:val="007A4AA2"/>
    <w:rsid w:val="007B2624"/>
    <w:rsid w:val="007B4DF4"/>
    <w:rsid w:val="007B786B"/>
    <w:rsid w:val="007C6745"/>
    <w:rsid w:val="007C6DD2"/>
    <w:rsid w:val="007D3E69"/>
    <w:rsid w:val="007E50DD"/>
    <w:rsid w:val="0080174F"/>
    <w:rsid w:val="00811401"/>
    <w:rsid w:val="00823A6E"/>
    <w:rsid w:val="008249A4"/>
    <w:rsid w:val="00840515"/>
    <w:rsid w:val="00876A76"/>
    <w:rsid w:val="00877500"/>
    <w:rsid w:val="00880655"/>
    <w:rsid w:val="00891749"/>
    <w:rsid w:val="00897D01"/>
    <w:rsid w:val="008B62BD"/>
    <w:rsid w:val="008D35D2"/>
    <w:rsid w:val="008D46E1"/>
    <w:rsid w:val="008D5B41"/>
    <w:rsid w:val="00912E79"/>
    <w:rsid w:val="00914C16"/>
    <w:rsid w:val="00947563"/>
    <w:rsid w:val="0097791E"/>
    <w:rsid w:val="00994282"/>
    <w:rsid w:val="00995C9C"/>
    <w:rsid w:val="009A7C15"/>
    <w:rsid w:val="009B4414"/>
    <w:rsid w:val="009B6487"/>
    <w:rsid w:val="009C2A7A"/>
    <w:rsid w:val="009E4DC5"/>
    <w:rsid w:val="009E6ACF"/>
    <w:rsid w:val="00A06A65"/>
    <w:rsid w:val="00A574D8"/>
    <w:rsid w:val="00A66164"/>
    <w:rsid w:val="00A70553"/>
    <w:rsid w:val="00A7510C"/>
    <w:rsid w:val="00A861AF"/>
    <w:rsid w:val="00A8671F"/>
    <w:rsid w:val="00AC49F5"/>
    <w:rsid w:val="00AE1ACB"/>
    <w:rsid w:val="00AE3828"/>
    <w:rsid w:val="00AE7E58"/>
    <w:rsid w:val="00AF26A1"/>
    <w:rsid w:val="00AF30DE"/>
    <w:rsid w:val="00B15E20"/>
    <w:rsid w:val="00B34AE0"/>
    <w:rsid w:val="00B453D4"/>
    <w:rsid w:val="00B52AD7"/>
    <w:rsid w:val="00B679D0"/>
    <w:rsid w:val="00B73DC2"/>
    <w:rsid w:val="00B74025"/>
    <w:rsid w:val="00BA3929"/>
    <w:rsid w:val="00BB0B0B"/>
    <w:rsid w:val="00BD3853"/>
    <w:rsid w:val="00BF266F"/>
    <w:rsid w:val="00C01F38"/>
    <w:rsid w:val="00C038FE"/>
    <w:rsid w:val="00C058D5"/>
    <w:rsid w:val="00C2558F"/>
    <w:rsid w:val="00C37509"/>
    <w:rsid w:val="00C40557"/>
    <w:rsid w:val="00C4512A"/>
    <w:rsid w:val="00C47CE0"/>
    <w:rsid w:val="00C63750"/>
    <w:rsid w:val="00C71766"/>
    <w:rsid w:val="00C8134E"/>
    <w:rsid w:val="00C90CBF"/>
    <w:rsid w:val="00CA041B"/>
    <w:rsid w:val="00CB0B6D"/>
    <w:rsid w:val="00CC0F14"/>
    <w:rsid w:val="00CC538E"/>
    <w:rsid w:val="00CE4F13"/>
    <w:rsid w:val="00CF1A0A"/>
    <w:rsid w:val="00D071CF"/>
    <w:rsid w:val="00D13AB7"/>
    <w:rsid w:val="00D207D9"/>
    <w:rsid w:val="00D61128"/>
    <w:rsid w:val="00D670CD"/>
    <w:rsid w:val="00D9176A"/>
    <w:rsid w:val="00D936D1"/>
    <w:rsid w:val="00DA0C0A"/>
    <w:rsid w:val="00DA1A77"/>
    <w:rsid w:val="00DB2E10"/>
    <w:rsid w:val="00DC4F40"/>
    <w:rsid w:val="00DC7426"/>
    <w:rsid w:val="00DD3E5A"/>
    <w:rsid w:val="00DD64C7"/>
    <w:rsid w:val="00DD736A"/>
    <w:rsid w:val="00DE2234"/>
    <w:rsid w:val="00DE2940"/>
    <w:rsid w:val="00DE5662"/>
    <w:rsid w:val="00DE60CE"/>
    <w:rsid w:val="00E05464"/>
    <w:rsid w:val="00E20549"/>
    <w:rsid w:val="00E35171"/>
    <w:rsid w:val="00E36C1D"/>
    <w:rsid w:val="00E37648"/>
    <w:rsid w:val="00E62EDB"/>
    <w:rsid w:val="00E77FE5"/>
    <w:rsid w:val="00E84DBA"/>
    <w:rsid w:val="00E85831"/>
    <w:rsid w:val="00E91647"/>
    <w:rsid w:val="00EB58D9"/>
    <w:rsid w:val="00EB6998"/>
    <w:rsid w:val="00EE03EA"/>
    <w:rsid w:val="00EE7DD1"/>
    <w:rsid w:val="00EF5D6A"/>
    <w:rsid w:val="00F05873"/>
    <w:rsid w:val="00F25F42"/>
    <w:rsid w:val="00F32802"/>
    <w:rsid w:val="00F35592"/>
    <w:rsid w:val="00F46128"/>
    <w:rsid w:val="00F62114"/>
    <w:rsid w:val="00F6595E"/>
    <w:rsid w:val="00F71DB4"/>
    <w:rsid w:val="00F7730B"/>
    <w:rsid w:val="00F8419F"/>
    <w:rsid w:val="00F90EDA"/>
    <w:rsid w:val="00FB2182"/>
    <w:rsid w:val="00FB3566"/>
    <w:rsid w:val="00FC74F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2A75B1"/>
  <w15:chartTrackingRefBased/>
  <w15:docId w15:val="{FD7FEFED-8255-1143-BE33-170E3D28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7730B"/>
    <w:pPr>
      <w:ind w:left="720"/>
      <w:contextualSpacing/>
    </w:pPr>
  </w:style>
  <w:style w:type="character" w:styleId="Marquedecommentaire">
    <w:name w:val="annotation reference"/>
    <w:basedOn w:val="Policepardfaut"/>
    <w:uiPriority w:val="99"/>
    <w:semiHidden/>
    <w:unhideWhenUsed/>
    <w:rsid w:val="0022093C"/>
    <w:rPr>
      <w:sz w:val="16"/>
      <w:szCs w:val="16"/>
    </w:rPr>
  </w:style>
  <w:style w:type="paragraph" w:styleId="Commentaire">
    <w:name w:val="annotation text"/>
    <w:basedOn w:val="Normal"/>
    <w:link w:val="CommentaireCar"/>
    <w:uiPriority w:val="99"/>
    <w:semiHidden/>
    <w:unhideWhenUsed/>
    <w:rsid w:val="0022093C"/>
    <w:rPr>
      <w:sz w:val="20"/>
      <w:szCs w:val="20"/>
    </w:rPr>
  </w:style>
  <w:style w:type="character" w:customStyle="1" w:styleId="CommentaireCar">
    <w:name w:val="Commentaire Car"/>
    <w:basedOn w:val="Policepardfaut"/>
    <w:link w:val="Commentaire"/>
    <w:uiPriority w:val="99"/>
    <w:semiHidden/>
    <w:rsid w:val="0022093C"/>
    <w:rPr>
      <w:sz w:val="20"/>
      <w:szCs w:val="20"/>
    </w:rPr>
  </w:style>
  <w:style w:type="paragraph" w:styleId="Objetducommentaire">
    <w:name w:val="annotation subject"/>
    <w:basedOn w:val="Commentaire"/>
    <w:next w:val="Commentaire"/>
    <w:link w:val="ObjetducommentaireCar"/>
    <w:uiPriority w:val="99"/>
    <w:semiHidden/>
    <w:unhideWhenUsed/>
    <w:rsid w:val="0022093C"/>
    <w:rPr>
      <w:b/>
      <w:bCs/>
    </w:rPr>
  </w:style>
  <w:style w:type="character" w:customStyle="1" w:styleId="ObjetducommentaireCar">
    <w:name w:val="Objet du commentaire Car"/>
    <w:basedOn w:val="CommentaireCar"/>
    <w:link w:val="Objetducommentaire"/>
    <w:uiPriority w:val="99"/>
    <w:semiHidden/>
    <w:rsid w:val="0022093C"/>
    <w:rPr>
      <w:b/>
      <w:bCs/>
      <w:sz w:val="20"/>
      <w:szCs w:val="20"/>
    </w:rPr>
  </w:style>
  <w:style w:type="paragraph" w:styleId="Rvision">
    <w:name w:val="Revision"/>
    <w:hidden/>
    <w:uiPriority w:val="99"/>
    <w:semiHidden/>
    <w:rsid w:val="00F32802"/>
  </w:style>
  <w:style w:type="character" w:styleId="Numrodeligne">
    <w:name w:val="line number"/>
    <w:basedOn w:val="Policepardfaut"/>
    <w:uiPriority w:val="99"/>
    <w:semiHidden/>
    <w:unhideWhenUsed/>
    <w:rsid w:val="00C40557"/>
  </w:style>
  <w:style w:type="paragraph" w:styleId="Textedebulles">
    <w:name w:val="Balloon Text"/>
    <w:basedOn w:val="Normal"/>
    <w:link w:val="TextedebullesCar"/>
    <w:uiPriority w:val="99"/>
    <w:semiHidden/>
    <w:unhideWhenUsed/>
    <w:rsid w:val="00B52AD7"/>
    <w:rPr>
      <w:rFonts w:ascii="Segoe UI" w:hAnsi="Segoe UI" w:cs="Segoe UI"/>
      <w:sz w:val="18"/>
      <w:szCs w:val="18"/>
    </w:rPr>
  </w:style>
  <w:style w:type="character" w:customStyle="1" w:styleId="TextedebullesCar">
    <w:name w:val="Texte de bulles Car"/>
    <w:basedOn w:val="Policepardfaut"/>
    <w:link w:val="Textedebulles"/>
    <w:uiPriority w:val="99"/>
    <w:semiHidden/>
    <w:rsid w:val="00B52A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49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032a3f5-9640-4126-88e9-19eeb8c66ce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F466725DEB80348ABC973061B8F0EC7" ma:contentTypeVersion="17" ma:contentTypeDescription="Crée un document." ma:contentTypeScope="" ma:versionID="c96070badf5862ad6588dc7a97d9ffa8">
  <xsd:schema xmlns:xsd="http://www.w3.org/2001/XMLSchema" xmlns:xs="http://www.w3.org/2001/XMLSchema" xmlns:p="http://schemas.microsoft.com/office/2006/metadata/properties" xmlns:ns3="4032a3f5-9640-4126-88e9-19eeb8c66cef" xmlns:ns4="934d65dc-e19b-47ad-aaf7-637204f21f70" targetNamespace="http://schemas.microsoft.com/office/2006/metadata/properties" ma:root="true" ma:fieldsID="adc1c6a5e64e3d5a84716945a1c5761a" ns3:_="" ns4:_="">
    <xsd:import namespace="4032a3f5-9640-4126-88e9-19eeb8c66cef"/>
    <xsd:import namespace="934d65dc-e19b-47ad-aaf7-637204f21f70"/>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element ref="ns4:SharedWithUsers" minOccurs="0"/>
                <xsd:element ref="ns4:SharedWithDetails" minOccurs="0"/>
                <xsd:element ref="ns4:SharingHintHash" minOccurs="0"/>
                <xsd:element ref="ns3:MediaLengthInSeconds" minOccurs="0"/>
                <xsd:element ref="ns3:MediaServiceObjectDetectorVersions" minOccurs="0"/>
                <xsd:element ref="ns3:_activity"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32a3f5-9640-4126-88e9-19eeb8c66c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SystemTags" ma:index="24"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4d65dc-e19b-47ad-aaf7-637204f21f70" elementFormDefault="qualified">
    <xsd:import namespace="http://schemas.microsoft.com/office/2006/documentManagement/types"/>
    <xsd:import namespace="http://schemas.microsoft.com/office/infopath/2007/PartnerControls"/>
    <xsd:element name="SharedWithUsers" ma:index="1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Partagé avec détails" ma:internalName="SharedWithDetails" ma:readOnly="true">
      <xsd:simpleType>
        <xsd:restriction base="dms:Note">
          <xsd:maxLength value="255"/>
        </xsd:restriction>
      </xsd:simpleType>
    </xsd:element>
    <xsd:element name="SharingHintHash" ma:index="20"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BB990F-2603-4BAB-B0BD-76F88DE15ED3}">
  <ds:schemaRefs>
    <ds:schemaRef ds:uri="http://schemas.microsoft.com/office/2006/metadata/properties"/>
    <ds:schemaRef ds:uri="http://schemas.microsoft.com/office/infopath/2007/PartnerControls"/>
    <ds:schemaRef ds:uri="4032a3f5-9640-4126-88e9-19eeb8c66cef"/>
  </ds:schemaRefs>
</ds:datastoreItem>
</file>

<file path=customXml/itemProps2.xml><?xml version="1.0" encoding="utf-8"?>
<ds:datastoreItem xmlns:ds="http://schemas.openxmlformats.org/officeDocument/2006/customXml" ds:itemID="{BAD5745A-AAA0-4CFF-BEA7-BED96368EC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32a3f5-9640-4126-88e9-19eeb8c66cef"/>
    <ds:schemaRef ds:uri="934d65dc-e19b-47ad-aaf7-637204f21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474F3F-4AC7-4340-A5F4-96B777BC285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4</Pages>
  <Words>5374</Words>
  <Characters>29561</Characters>
  <Application>Microsoft Office Word</Application>
  <DocSecurity>0</DocSecurity>
  <Lines>246</Lines>
  <Paragraphs>69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Juliane Vigneault</dc:creator>
  <cp:keywords/>
  <dc:description/>
  <cp:lastModifiedBy>Juliane Vigneault</cp:lastModifiedBy>
  <cp:revision>29</cp:revision>
  <dcterms:created xsi:type="dcterms:W3CDTF">2023-11-21T16:49:00Z</dcterms:created>
  <dcterms:modified xsi:type="dcterms:W3CDTF">2024-01-20T23:48:00Z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3cefa9747176871004076c65c4215182248868eca384eca150c9f0d334302d5a</vt:lpwstr>
  </property>
  <property fmtid="{D5CDD505-2E9C-101B-9397-08002B2CF9AE}" pid="3" name="ContentTypeId">
    <vt:lpwstr>0x010100CF466725DEB80348ABC973061B8F0EC7</vt:lpwstr>
  </property>
  <property fmtid="{D5CDD505-2E9C-101B-9397-08002B2CF9AE}" pid="4" name="ZOTERO_PREF_1">
    <vt:lpwstr>&lt;data data-version="3" zotero-version="6.0.30"&gt;&lt;session id="LQA4ZU3e"/&gt;&lt;style id="http://www.zotero.org/styles/apa" locale="fr-FR" hasBibliography="1" bibliographyStyleHasBeenSet="0"/&gt;&lt;prefs&gt;&lt;pref name="fieldType" value="Field"/&gt;&lt;pref name="automaticJourn</vt:lpwstr>
  </property>
  <property fmtid="{D5CDD505-2E9C-101B-9397-08002B2CF9AE}" pid="5" name="ZOTERO_PREF_2">
    <vt:lpwstr>alAbbreviations" value="true"/&gt;&lt;/prefs&gt;&lt;/data&gt;</vt:lpwstr>
  </property>
</Properties>
</file>