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61B1" w14:textId="77777777" w:rsidR="005E4456" w:rsidRPr="000F1F75" w:rsidRDefault="005E4456">
      <w:pPr>
        <w:rPr>
          <w:rFonts w:asciiTheme="majorHAnsi" w:hAnsiTheme="majorHAnsi" w:cstheme="majorHAnsi"/>
        </w:rPr>
      </w:pPr>
      <w:r w:rsidRPr="000F1F75">
        <w:rPr>
          <w:rFonts w:asciiTheme="majorHAnsi" w:hAnsiTheme="majorHAnsi" w:cstheme="majorHAnsi"/>
        </w:rPr>
        <w:t>Annexe A</w:t>
      </w:r>
    </w:p>
    <w:p w14:paraId="2ADACBA6" w14:textId="77777777" w:rsidR="005E4456" w:rsidRPr="000F1F75" w:rsidRDefault="005E4456">
      <w:pPr>
        <w:rPr>
          <w:rFonts w:asciiTheme="majorHAnsi" w:hAnsiTheme="majorHAnsi" w:cstheme="majorHAnsi"/>
        </w:rPr>
      </w:pPr>
    </w:p>
    <w:p w14:paraId="51375975" w14:textId="77777777" w:rsidR="005E4456" w:rsidRPr="000F1F75" w:rsidRDefault="005E4456">
      <w:pPr>
        <w:rPr>
          <w:rFonts w:asciiTheme="majorHAnsi" w:hAnsiTheme="majorHAnsi" w:cstheme="majorHAnsi"/>
        </w:rPr>
      </w:pPr>
      <w:r w:rsidRPr="000F1F75">
        <w:rPr>
          <w:rFonts w:asciiTheme="majorHAnsi" w:hAnsiTheme="majorHAnsi" w:cstheme="majorHAnsi"/>
        </w:rPr>
        <w:t>Tableau X. Définition des termes spécifiques au parasitisme</w:t>
      </w:r>
    </w:p>
    <w:p w14:paraId="7E107133" w14:textId="77777777" w:rsidR="005E4456" w:rsidRPr="000F1F75" w:rsidRDefault="005E4456">
      <w:pPr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75"/>
        <w:gridCol w:w="8019"/>
      </w:tblGrid>
      <w:tr w:rsidR="005E4456" w:rsidRPr="000F1F75" w14:paraId="05881749" w14:textId="77777777" w:rsidTr="000F1F75">
        <w:tc>
          <w:tcPr>
            <w:tcW w:w="0" w:type="auto"/>
            <w:vAlign w:val="center"/>
          </w:tcPr>
          <w:p w14:paraId="6A67A1DE" w14:textId="5153996D" w:rsidR="005E4456" w:rsidRPr="000F1F75" w:rsidRDefault="005E4456" w:rsidP="000F1F75">
            <w:pPr>
              <w:jc w:val="center"/>
              <w:rPr>
                <w:rFonts w:asciiTheme="majorHAnsi" w:hAnsiTheme="majorHAnsi" w:cstheme="majorHAnsi"/>
              </w:rPr>
            </w:pPr>
            <w:r w:rsidRPr="000F1F75">
              <w:rPr>
                <w:rFonts w:asciiTheme="majorHAnsi" w:hAnsiTheme="majorHAnsi" w:cstheme="majorHAnsi"/>
              </w:rPr>
              <w:t>Terme</w:t>
            </w:r>
          </w:p>
        </w:tc>
        <w:tc>
          <w:tcPr>
            <w:tcW w:w="0" w:type="auto"/>
            <w:vAlign w:val="center"/>
          </w:tcPr>
          <w:p w14:paraId="24B9C35A" w14:textId="561538DA" w:rsidR="005E4456" w:rsidRPr="000F1F75" w:rsidRDefault="005E4456" w:rsidP="000F1F75">
            <w:pPr>
              <w:jc w:val="center"/>
              <w:rPr>
                <w:rFonts w:asciiTheme="majorHAnsi" w:hAnsiTheme="majorHAnsi" w:cstheme="majorHAnsi"/>
              </w:rPr>
            </w:pPr>
            <w:r w:rsidRPr="000F1F75">
              <w:rPr>
                <w:rFonts w:asciiTheme="majorHAnsi" w:hAnsiTheme="majorHAnsi" w:cstheme="majorHAnsi"/>
              </w:rPr>
              <w:t>Définition</w:t>
            </w:r>
          </w:p>
        </w:tc>
      </w:tr>
      <w:tr w:rsidR="005E4456" w:rsidRPr="000F1F75" w14:paraId="75CB1B0D" w14:textId="77777777" w:rsidTr="000F1F75">
        <w:tc>
          <w:tcPr>
            <w:tcW w:w="0" w:type="auto"/>
            <w:vAlign w:val="center"/>
          </w:tcPr>
          <w:p w14:paraId="50F1F8DA" w14:textId="7AD10E70" w:rsidR="005E4456" w:rsidRPr="000F1F75" w:rsidRDefault="005E4456" w:rsidP="000F1F75">
            <w:pPr>
              <w:jc w:val="center"/>
              <w:rPr>
                <w:rFonts w:asciiTheme="majorHAnsi" w:hAnsiTheme="majorHAnsi" w:cstheme="majorHAnsi"/>
              </w:rPr>
            </w:pPr>
            <w:r w:rsidRPr="000F1F75">
              <w:rPr>
                <w:rFonts w:asciiTheme="majorHAnsi" w:hAnsiTheme="majorHAnsi" w:cstheme="majorHAnsi"/>
              </w:rPr>
              <w:t>Prévalence</w:t>
            </w:r>
          </w:p>
        </w:tc>
        <w:tc>
          <w:tcPr>
            <w:tcW w:w="0" w:type="auto"/>
            <w:vAlign w:val="center"/>
          </w:tcPr>
          <w:p w14:paraId="6DE498E9" w14:textId="1FBDE044" w:rsidR="005E4456" w:rsidRPr="000F1F75" w:rsidRDefault="005E4456" w:rsidP="000F1F75">
            <w:pPr>
              <w:jc w:val="both"/>
              <w:rPr>
                <w:rFonts w:asciiTheme="majorHAnsi" w:hAnsiTheme="majorHAnsi" w:cstheme="majorHAnsi"/>
              </w:rPr>
            </w:pPr>
            <w:r w:rsidRPr="000F1F75">
              <w:rPr>
                <w:rFonts w:asciiTheme="majorHAnsi" w:hAnsiTheme="majorHAnsi" w:cstheme="majorHAnsi"/>
              </w:rPr>
              <w:t>Nombre d’individus</w:t>
            </w:r>
            <w:r w:rsidR="00686711" w:rsidRPr="000F1F75">
              <w:rPr>
                <w:rFonts w:asciiTheme="majorHAnsi" w:hAnsiTheme="majorHAnsi" w:cstheme="majorHAnsi"/>
              </w:rPr>
              <w:t>-hôtes</w:t>
            </w:r>
            <w:r w:rsidRPr="000F1F75">
              <w:rPr>
                <w:rFonts w:asciiTheme="majorHAnsi" w:hAnsiTheme="majorHAnsi" w:cstheme="majorHAnsi"/>
              </w:rPr>
              <w:t xml:space="preserve"> infectés par une ou plusieurs espèces (ou groupe taxonomique) de parasite divisé par le nombre d’individus</w:t>
            </w:r>
            <w:r w:rsidR="00686711" w:rsidRPr="000F1F75">
              <w:rPr>
                <w:rFonts w:asciiTheme="majorHAnsi" w:hAnsiTheme="majorHAnsi" w:cstheme="majorHAnsi"/>
              </w:rPr>
              <w:t>-hôtes examinés</w:t>
            </w:r>
            <w:r w:rsidRPr="000F1F75">
              <w:rPr>
                <w:rFonts w:asciiTheme="majorHAnsi" w:hAnsiTheme="majorHAnsi" w:cstheme="majorHAnsi"/>
              </w:rPr>
              <w:t>.</w:t>
            </w:r>
            <w:r w:rsidR="00686711" w:rsidRPr="000F1F75">
              <w:rPr>
                <w:rFonts w:asciiTheme="majorHAnsi" w:hAnsiTheme="majorHAnsi" w:cstheme="majorHAnsi"/>
              </w:rPr>
              <w:t xml:space="preserve"> Elle est généralement exprimée en pourcentage</w:t>
            </w:r>
            <w:r w:rsidR="00D3776C" w:rsidRPr="000F1F75">
              <w:rPr>
                <w:rFonts w:asciiTheme="majorHAnsi" w:hAnsiTheme="majorHAnsi" w:cstheme="majorHAnsi"/>
              </w:rPr>
              <w:t xml:space="preserve"> (0–100%)</w:t>
            </w:r>
            <w:r w:rsidR="00686711" w:rsidRPr="000F1F75">
              <w:rPr>
                <w:rFonts w:asciiTheme="majorHAnsi" w:hAnsiTheme="majorHAnsi" w:cstheme="majorHAnsi"/>
              </w:rPr>
              <w:t xml:space="preserve">, ou en proportion </w:t>
            </w:r>
            <w:r w:rsidR="00D3776C" w:rsidRPr="000F1F75">
              <w:rPr>
                <w:rFonts w:asciiTheme="majorHAnsi" w:hAnsiTheme="majorHAnsi" w:cstheme="majorHAnsi"/>
              </w:rPr>
              <w:t xml:space="preserve">(0–1) </w:t>
            </w:r>
            <w:r w:rsidR="00686711" w:rsidRPr="000F1F75">
              <w:rPr>
                <w:rFonts w:asciiTheme="majorHAnsi" w:hAnsiTheme="majorHAnsi" w:cstheme="majorHAnsi"/>
              </w:rPr>
              <w:t>lorsqu’utilisée dans un calcul mathématique.</w:t>
            </w:r>
          </w:p>
        </w:tc>
      </w:tr>
      <w:tr w:rsidR="005E4456" w:rsidRPr="000F1F75" w14:paraId="52822683" w14:textId="77777777" w:rsidTr="000F1F75">
        <w:tc>
          <w:tcPr>
            <w:tcW w:w="0" w:type="auto"/>
            <w:vAlign w:val="center"/>
          </w:tcPr>
          <w:p w14:paraId="0BD9BE08" w14:textId="1ABC7E0C" w:rsidR="005E4456" w:rsidRPr="000F1F75" w:rsidRDefault="005E4456" w:rsidP="000F1F75">
            <w:pPr>
              <w:jc w:val="center"/>
              <w:rPr>
                <w:rFonts w:asciiTheme="majorHAnsi" w:hAnsiTheme="majorHAnsi" w:cstheme="majorHAnsi"/>
              </w:rPr>
            </w:pPr>
            <w:r w:rsidRPr="000F1F75">
              <w:rPr>
                <w:rFonts w:asciiTheme="majorHAnsi" w:hAnsiTheme="majorHAnsi" w:cstheme="majorHAnsi"/>
              </w:rPr>
              <w:t>Abondance</w:t>
            </w:r>
          </w:p>
        </w:tc>
        <w:tc>
          <w:tcPr>
            <w:tcW w:w="0" w:type="auto"/>
            <w:vAlign w:val="center"/>
          </w:tcPr>
          <w:p w14:paraId="3B5BF992" w14:textId="12E2795C" w:rsidR="005E4456" w:rsidRPr="000F1F75" w:rsidRDefault="009962ED" w:rsidP="000F1F75">
            <w:pPr>
              <w:jc w:val="both"/>
              <w:rPr>
                <w:rFonts w:asciiTheme="majorHAnsi" w:hAnsiTheme="majorHAnsi" w:cstheme="majorHAnsi"/>
              </w:rPr>
            </w:pPr>
            <w:r w:rsidRPr="000F1F75">
              <w:rPr>
                <w:rFonts w:asciiTheme="majorHAnsi" w:hAnsiTheme="majorHAnsi" w:cstheme="majorHAnsi"/>
              </w:rPr>
              <w:t>Nombre d’individus d’une espèce (ou groupe taxonomique) de parasite sur</w:t>
            </w:r>
            <w:r w:rsidR="00D3776C" w:rsidRPr="000F1F75">
              <w:rPr>
                <w:rFonts w:asciiTheme="majorHAnsi" w:hAnsiTheme="majorHAnsi" w:cstheme="majorHAnsi"/>
              </w:rPr>
              <w:t xml:space="preserve"> un hôte (infecté ou non). Les zéros des individus non-infectés sont alors omis.</w:t>
            </w:r>
          </w:p>
        </w:tc>
      </w:tr>
      <w:tr w:rsidR="005E4456" w:rsidRPr="000F1F75" w14:paraId="0E4FC9A7" w14:textId="77777777" w:rsidTr="000F1F75">
        <w:tc>
          <w:tcPr>
            <w:tcW w:w="0" w:type="auto"/>
            <w:vAlign w:val="center"/>
          </w:tcPr>
          <w:p w14:paraId="660C4C93" w14:textId="7B9A785E" w:rsidR="005E4456" w:rsidRPr="000F1F75" w:rsidRDefault="005E4456" w:rsidP="000F1F75">
            <w:pPr>
              <w:jc w:val="center"/>
              <w:rPr>
                <w:rFonts w:asciiTheme="majorHAnsi" w:hAnsiTheme="majorHAnsi" w:cstheme="majorHAnsi"/>
              </w:rPr>
            </w:pPr>
            <w:r w:rsidRPr="000F1F75">
              <w:rPr>
                <w:rFonts w:asciiTheme="majorHAnsi" w:hAnsiTheme="majorHAnsi" w:cstheme="majorHAnsi"/>
              </w:rPr>
              <w:t>Intensité</w:t>
            </w:r>
          </w:p>
        </w:tc>
        <w:tc>
          <w:tcPr>
            <w:tcW w:w="0" w:type="auto"/>
            <w:vAlign w:val="center"/>
          </w:tcPr>
          <w:p w14:paraId="00E28D35" w14:textId="2E919386" w:rsidR="005E4456" w:rsidRPr="000F1F75" w:rsidRDefault="00686711" w:rsidP="000F1F75">
            <w:pPr>
              <w:jc w:val="both"/>
              <w:rPr>
                <w:rFonts w:asciiTheme="majorHAnsi" w:hAnsiTheme="majorHAnsi" w:cstheme="majorHAnsi"/>
              </w:rPr>
            </w:pPr>
            <w:r w:rsidRPr="000F1F75">
              <w:rPr>
                <w:rFonts w:asciiTheme="majorHAnsi" w:hAnsiTheme="majorHAnsi" w:cstheme="majorHAnsi"/>
              </w:rPr>
              <w:t>Nombre d’individus d’une espèce (ou groupe taxonomique) de parasite sur un individu-hôte infecté.</w:t>
            </w:r>
          </w:p>
        </w:tc>
      </w:tr>
      <w:tr w:rsidR="00FF35B4" w:rsidRPr="000F1F75" w14:paraId="66100EEC" w14:textId="77777777" w:rsidTr="000F1F75">
        <w:tc>
          <w:tcPr>
            <w:tcW w:w="0" w:type="auto"/>
            <w:vAlign w:val="center"/>
          </w:tcPr>
          <w:p w14:paraId="517331F5" w14:textId="6A76C5B6" w:rsidR="00FF35B4" w:rsidRPr="000F1F75" w:rsidRDefault="00FF35B4" w:rsidP="000F1F75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0F1F75">
              <w:rPr>
                <w:rFonts w:asciiTheme="majorHAnsi" w:hAnsiTheme="majorHAnsi" w:cstheme="majorHAnsi"/>
              </w:rPr>
              <w:t>Aggrégation</w:t>
            </w:r>
            <w:proofErr w:type="spellEnd"/>
          </w:p>
        </w:tc>
        <w:tc>
          <w:tcPr>
            <w:tcW w:w="0" w:type="auto"/>
            <w:vAlign w:val="center"/>
          </w:tcPr>
          <w:p w14:paraId="4B5063C3" w14:textId="41B100FA" w:rsidR="00FF35B4" w:rsidRPr="000F1F75" w:rsidRDefault="00FF35B4" w:rsidP="000F1F75">
            <w:pPr>
              <w:jc w:val="both"/>
              <w:rPr>
                <w:rFonts w:asciiTheme="majorHAnsi" w:hAnsiTheme="majorHAnsi" w:cstheme="majorHAnsi"/>
              </w:rPr>
            </w:pPr>
            <w:r w:rsidRPr="000F1F75">
              <w:rPr>
                <w:rFonts w:asciiTheme="majorHAnsi" w:hAnsiTheme="majorHAnsi" w:cstheme="majorHAnsi"/>
              </w:rPr>
              <w:t xml:space="preserve">Patron de distribution des parasites où la plupart des hôtes n’ont pas ou peu de parasites et quelques hôtes en ont beaucoup. </w:t>
            </w:r>
            <w:r w:rsidR="00D3776C" w:rsidRPr="000F1F75">
              <w:rPr>
                <w:rFonts w:asciiTheme="majorHAnsi" w:hAnsiTheme="majorHAnsi" w:cstheme="majorHAnsi"/>
              </w:rPr>
              <w:t>Les indices les plus communs sont : ratio variance-moyenne, exposant</w:t>
            </w:r>
            <w:r w:rsidR="00D3776C" w:rsidRPr="000F1F75">
              <w:rPr>
                <w:rFonts w:asciiTheme="majorHAnsi" w:hAnsiTheme="majorHAnsi" w:cstheme="majorHAnsi"/>
              </w:rPr>
              <w:t xml:space="preserve"> k of </w:t>
            </w:r>
            <w:r w:rsidR="00D3776C" w:rsidRPr="000F1F75">
              <w:rPr>
                <w:rFonts w:asciiTheme="majorHAnsi" w:hAnsiTheme="majorHAnsi" w:cstheme="majorHAnsi"/>
              </w:rPr>
              <w:t>d’une distribution binomiale négative, indice</w:t>
            </w:r>
            <w:r w:rsidR="00D3776C" w:rsidRPr="000F1F75">
              <w:rPr>
                <w:rFonts w:asciiTheme="majorHAnsi" w:hAnsiTheme="majorHAnsi" w:cstheme="majorHAnsi"/>
              </w:rPr>
              <w:t xml:space="preserve"> </w:t>
            </w:r>
            <w:r w:rsidR="000F1F75" w:rsidRPr="000F1F75">
              <w:rPr>
                <w:rFonts w:asciiTheme="majorHAnsi" w:hAnsiTheme="majorHAnsi" w:cstheme="majorHAnsi"/>
              </w:rPr>
              <w:t>de</w:t>
            </w:r>
            <w:r w:rsidR="00D3776C" w:rsidRPr="000F1F75">
              <w:rPr>
                <w:rFonts w:asciiTheme="majorHAnsi" w:hAnsiTheme="majorHAnsi" w:cstheme="majorHAnsi"/>
              </w:rPr>
              <w:t xml:space="preserve"> di</w:t>
            </w:r>
            <w:r w:rsidR="00D3776C" w:rsidRPr="000F1F75">
              <w:rPr>
                <w:rFonts w:asciiTheme="majorHAnsi" w:hAnsiTheme="majorHAnsi" w:cstheme="majorHAnsi"/>
              </w:rPr>
              <w:t>vergence</w:t>
            </w:r>
          </w:p>
        </w:tc>
      </w:tr>
    </w:tbl>
    <w:p w14:paraId="3B26F999" w14:textId="536FAB6E" w:rsidR="005E4456" w:rsidRPr="000F1F75" w:rsidRDefault="005E4456">
      <w:pPr>
        <w:rPr>
          <w:rFonts w:asciiTheme="majorHAnsi" w:hAnsiTheme="majorHAnsi" w:cstheme="majorHAnsi"/>
        </w:rPr>
      </w:pPr>
      <w:r w:rsidRPr="000F1F75">
        <w:rPr>
          <w:rFonts w:asciiTheme="majorHAnsi" w:hAnsiTheme="majorHAnsi" w:cstheme="majorHAnsi"/>
        </w:rPr>
        <w:t xml:space="preserve"> </w:t>
      </w:r>
    </w:p>
    <w:p w14:paraId="2238C154" w14:textId="77777777" w:rsidR="005E4456" w:rsidRPr="000F1F75" w:rsidRDefault="005E4456">
      <w:pPr>
        <w:rPr>
          <w:rFonts w:asciiTheme="majorHAnsi" w:hAnsiTheme="majorHAnsi" w:cstheme="majorHAnsi"/>
        </w:rPr>
      </w:pPr>
    </w:p>
    <w:sectPr w:rsidR="005E4456" w:rsidRPr="000F1F75" w:rsidSect="000C1E4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56"/>
    <w:rsid w:val="000C1E43"/>
    <w:rsid w:val="000F1F75"/>
    <w:rsid w:val="005E4456"/>
    <w:rsid w:val="0066092F"/>
    <w:rsid w:val="00686711"/>
    <w:rsid w:val="008675D4"/>
    <w:rsid w:val="009962ED"/>
    <w:rsid w:val="00D3776C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51CC43"/>
  <w15:chartTrackingRefBased/>
  <w15:docId w15:val="{E019A3EF-22BD-E746-A216-746F43CF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4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</cp:revision>
  <dcterms:created xsi:type="dcterms:W3CDTF">2024-02-04T23:44:00Z</dcterms:created>
  <dcterms:modified xsi:type="dcterms:W3CDTF">2024-02-05T01:10:00Z</dcterms:modified>
</cp:coreProperties>
</file>