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>
          <w:rFonts w:ascii="DejaVu Sans" w:hAnsi="DejaVu Sans"/>
          <w:b/>
          <w:color w:val="000000"/>
          <w:sz w:val="24"/>
          <w:szCs w:val="24"/>
        </w:rPr>
      </w:pPr>
      <w:r>
        <w:rPr>
          <w:rFonts w:ascii="DejaVu Sans" w:hAnsi="DejaVu Sans"/>
          <w:b/>
          <w:color w:val="000000"/>
          <w:sz w:val="24"/>
          <w:szCs w:val="24"/>
        </w:rPr>
      </w:r>
    </w:p>
    <w:p>
      <w:pPr>
        <w:pStyle w:val="Normal"/>
        <w:spacing w:before="0" w:after="80"/>
        <w:jc w:val="center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b/>
          <w:color w:val="000000"/>
          <w:sz w:val="24"/>
          <w:szCs w:val="24"/>
        </w:rPr>
        <w:t xml:space="preserve">CUENTA DE COBRO </w:t>
      </w:r>
      <w:r>
        <w:rPr>
          <w:rFonts w:ascii="DejaVu Sans" w:hAnsi="DejaVu Sans"/>
          <w:b/>
          <w:color w:val="000000"/>
          <w:sz w:val="24"/>
          <w:szCs w:val="24"/>
        </w:rPr>
        <w:t>No.1</w:t>
      </w:r>
    </w:p>
    <w:p>
      <w:pPr>
        <w:pStyle w:val="Normal"/>
        <w:spacing w:before="0" w:after="40"/>
        <w:jc w:val="center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color w:val="000000"/>
          <w:sz w:val="24"/>
          <w:szCs w:val="24"/>
        </w:rPr>
        <w:t>Desarrollo y Construcción de Página Web — Módulo de Transparencia</w:t>
      </w:r>
    </w:p>
    <w:p>
      <w:pPr>
        <w:pStyle w:val="Normal"/>
        <w:spacing w:before="0" w:after="200"/>
        <w:jc w:val="center"/>
        <w:rPr>
          <w:rFonts w:ascii="DejaVu Sans" w:hAnsi="DejaVu Sans"/>
          <w:i w:val="false"/>
          <w:iCs w:val="false"/>
          <w:color w:val="000000"/>
          <w:sz w:val="24"/>
          <w:szCs w:val="24"/>
        </w:rPr>
      </w:pPr>
      <w:r>
        <w:rPr>
          <w:rFonts w:ascii="DejaVu Sans" w:hAnsi="DejaVu Sans"/>
          <w:i w:val="false"/>
          <w:iCs w:val="false"/>
          <w:color w:val="000000"/>
          <w:sz w:val="24"/>
          <w:szCs w:val="24"/>
        </w:rPr>
      </w:r>
    </w:p>
    <w:p>
      <w:pPr>
        <w:pStyle w:val="Normal"/>
        <w:spacing w:before="0" w:after="200"/>
        <w:jc w:val="center"/>
        <w:rPr>
          <w:rFonts w:ascii="DejaVu Sans" w:hAnsi="DejaVu Sans"/>
          <w:i w:val="false"/>
          <w:iCs w:val="false"/>
          <w:color w:val="000000"/>
          <w:sz w:val="24"/>
          <w:szCs w:val="24"/>
        </w:rPr>
      </w:pPr>
      <w:r>
        <w:rPr>
          <w:rFonts w:ascii="DejaVu Sans" w:hAnsi="DejaVu Sans"/>
          <w:i w:val="false"/>
          <w:iCs w:val="false"/>
          <w:color w:val="000000"/>
          <w:sz w:val="24"/>
          <w:szCs w:val="24"/>
        </w:rPr>
        <w:t>La Asociación IPS Indígena Inga Kamentsa</w:t>
      </w:r>
    </w:p>
    <w:p>
      <w:pPr>
        <w:pStyle w:val="Normal"/>
        <w:spacing w:before="0" w:after="200"/>
        <w:jc w:val="center"/>
        <w:rPr>
          <w:rFonts w:ascii="DejaVu Sans" w:hAnsi="DejaVu Sans"/>
          <w:i w:val="false"/>
          <w:iCs w:val="false"/>
          <w:color w:val="000000"/>
          <w:sz w:val="24"/>
          <w:szCs w:val="24"/>
        </w:rPr>
      </w:pPr>
      <w:r>
        <w:rPr>
          <w:rFonts w:ascii="DejaVu Sans" w:hAnsi="DejaVu Sans"/>
          <w:i w:val="false"/>
          <w:iCs w:val="false"/>
          <w:color w:val="000000"/>
          <w:sz w:val="24"/>
          <w:szCs w:val="24"/>
        </w:rPr>
        <w:t>NIT: 846001214-3</w:t>
      </w:r>
    </w:p>
    <w:p>
      <w:pPr>
        <w:pStyle w:val="Normal"/>
        <w:spacing w:before="0" w:after="200"/>
        <w:jc w:val="center"/>
        <w:rPr>
          <w:rFonts w:ascii="DejaVu Sans" w:hAnsi="DejaVu Sans"/>
          <w:i w:val="false"/>
          <w:iCs w:val="false"/>
          <w:color w:val="000000"/>
          <w:sz w:val="24"/>
          <w:szCs w:val="24"/>
        </w:rPr>
      </w:pPr>
      <w:r>
        <w:rPr>
          <w:rFonts w:ascii="DejaVu Sans" w:hAnsi="DejaVu Sans"/>
          <w:i w:val="false"/>
          <w:iCs w:val="false"/>
          <w:color w:val="000000"/>
          <w:sz w:val="24"/>
          <w:szCs w:val="24"/>
        </w:rPr>
      </w:r>
    </w:p>
    <w:p>
      <w:pPr>
        <w:pStyle w:val="Normal"/>
        <w:spacing w:before="0" w:after="200"/>
        <w:jc w:val="center"/>
        <w:rPr>
          <w:rFonts w:ascii="DejaVu Sans" w:hAnsi="DejaVu Sans"/>
          <w:i w:val="false"/>
          <w:iCs w:val="false"/>
          <w:color w:val="000000"/>
          <w:sz w:val="24"/>
          <w:szCs w:val="24"/>
        </w:rPr>
      </w:pPr>
      <w:r>
        <w:rPr>
          <w:rFonts w:ascii="DejaVu Sans" w:hAnsi="DejaVu Sans"/>
          <w:i w:val="false"/>
          <w:iCs w:val="false"/>
          <w:color w:val="000000"/>
          <w:sz w:val="24"/>
          <w:szCs w:val="24"/>
        </w:rPr>
        <w:t>Debe a:</w:t>
      </w:r>
    </w:p>
    <w:p>
      <w:pPr>
        <w:pStyle w:val="Normal"/>
        <w:spacing w:before="0" w:after="200"/>
        <w:jc w:val="center"/>
        <w:rPr>
          <w:rFonts w:ascii="DejaVu Sans" w:hAnsi="DejaVu Sans"/>
          <w:i w:val="false"/>
          <w:iCs w:val="false"/>
          <w:color w:val="000000"/>
          <w:sz w:val="24"/>
          <w:szCs w:val="24"/>
        </w:rPr>
      </w:pPr>
      <w:r>
        <w:rPr>
          <w:rFonts w:ascii="DejaVu Sans" w:hAnsi="DejaVu Sans"/>
          <w:i w:val="false"/>
          <w:iCs w:val="false"/>
          <w:color w:val="000000"/>
          <w:sz w:val="24"/>
          <w:szCs w:val="24"/>
        </w:rPr>
        <w:t>Julián España - CC: 1124315657</w:t>
      </w:r>
    </w:p>
    <w:p>
      <w:pPr>
        <w:pStyle w:val="Normal"/>
        <w:spacing w:before="0" w:after="200"/>
        <w:jc w:val="center"/>
        <w:rPr>
          <w:rFonts w:ascii="DejaVu Sans" w:hAnsi="DejaVu Sans"/>
          <w:i w:val="false"/>
          <w:iCs w:val="false"/>
          <w:color w:val="000000"/>
          <w:sz w:val="24"/>
          <w:szCs w:val="24"/>
        </w:rPr>
      </w:pPr>
      <w:r>
        <w:rPr>
          <w:rFonts w:ascii="DejaVu Sans" w:hAnsi="DejaVu Sans"/>
          <w:i w:val="false"/>
          <w:iCs w:val="false"/>
          <w:color w:val="000000"/>
          <w:sz w:val="24"/>
          <w:szCs w:val="24"/>
        </w:rPr>
        <w:t>La suma de:</w:t>
      </w:r>
    </w:p>
    <w:p>
      <w:pPr>
        <w:pStyle w:val="Normal"/>
        <w:spacing w:before="0" w:after="200"/>
        <w:jc w:val="center"/>
        <w:rPr>
          <w:rFonts w:ascii="DejaVu Sans" w:hAnsi="DejaVu Sans"/>
          <w:i w:val="false"/>
          <w:iCs w:val="false"/>
          <w:color w:val="000000"/>
          <w:sz w:val="24"/>
          <w:szCs w:val="24"/>
        </w:rPr>
      </w:pPr>
      <w:r>
        <w:rPr>
          <w:rFonts w:ascii="DejaVu Sans" w:hAnsi="DejaVu Sans"/>
          <w:i w:val="false"/>
          <w:iCs w:val="false"/>
          <w:color w:val="000000"/>
          <w:sz w:val="24"/>
          <w:szCs w:val="24"/>
        </w:rPr>
        <w:t>Un millón sesenta mil pesos ($1.060.000)</w:t>
      </w:r>
    </w:p>
    <w:p>
      <w:pPr>
        <w:pStyle w:val="Normal"/>
        <w:spacing w:before="0" w:after="200"/>
        <w:jc w:val="center"/>
        <w:rPr>
          <w:rFonts w:ascii="DejaVu Sans" w:hAnsi="DejaVu Sans"/>
          <w:i w:val="false"/>
          <w:iCs w:val="false"/>
          <w:color w:val="000000"/>
          <w:sz w:val="24"/>
          <w:szCs w:val="24"/>
        </w:rPr>
      </w:pPr>
      <w:r>
        <w:rPr>
          <w:rFonts w:ascii="DejaVu Sans" w:hAnsi="DejaVu Sans"/>
          <w:i w:val="false"/>
          <w:iCs w:val="false"/>
          <w:color w:val="000000"/>
          <w:sz w:val="24"/>
          <w:szCs w:val="24"/>
        </w:rPr>
        <w:t>Por concepto de:</w:t>
      </w:r>
    </w:p>
    <w:p>
      <w:pPr>
        <w:pStyle w:val="Normal"/>
        <w:spacing w:before="0" w:after="200"/>
        <w:jc w:val="center"/>
        <w:rPr>
          <w:rFonts w:ascii="DejaVu Sans" w:hAnsi="DejaVu Sans"/>
          <w:i w:val="false"/>
          <w:iCs w:val="false"/>
          <w:color w:val="000000"/>
          <w:sz w:val="24"/>
          <w:szCs w:val="24"/>
        </w:rPr>
      </w:pPr>
      <w:r>
        <w:rPr>
          <w:rFonts w:ascii="DejaVu Sans" w:hAnsi="DejaVu Sans"/>
          <w:i w:val="false"/>
          <w:iCs w:val="false"/>
          <w:color w:val="000000"/>
          <w:sz w:val="24"/>
          <w:szCs w:val="24"/>
        </w:rPr>
        <w:t>Prestacion de servicios mantenimiento y actualizacion sitio web correspondiente a los meses de enero y febrero del año 2026</w:t>
      </w:r>
    </w:p>
    <w:p>
      <w:pPr>
        <w:pStyle w:val="Normal"/>
        <w:spacing w:before="0" w:after="200"/>
        <w:jc w:val="center"/>
        <w:rPr>
          <w:rFonts w:ascii="DejaVu Sans" w:hAnsi="DejaVu Sans"/>
          <w:i w:val="false"/>
          <w:iCs w:val="false"/>
          <w:color w:val="000000"/>
          <w:sz w:val="24"/>
          <w:szCs w:val="24"/>
        </w:rPr>
      </w:pPr>
      <w:r>
        <w:rPr>
          <w:rFonts w:ascii="DejaVu Sans" w:hAnsi="DejaVu Sans"/>
          <w:i w:val="false"/>
          <w:iCs w:val="false"/>
          <w:color w:val="000000"/>
          <w:sz w:val="24"/>
          <w:szCs w:val="24"/>
        </w:rPr>
      </w:r>
    </w:p>
    <w:p>
      <w:pPr>
        <w:pStyle w:val="Normal"/>
        <w:spacing w:before="0" w:after="200"/>
        <w:jc w:val="center"/>
        <w:rPr>
          <w:rFonts w:ascii="DejaVu Sans" w:hAnsi="DejaVu Sans"/>
          <w:i w:val="false"/>
          <w:iCs w:val="false"/>
          <w:color w:val="000000"/>
          <w:sz w:val="24"/>
          <w:szCs w:val="24"/>
        </w:rPr>
      </w:pPr>
      <w:r>
        <w:rPr>
          <w:rFonts w:ascii="DejaVu Sans" w:hAnsi="DejaVu Sans"/>
          <w:i w:val="false"/>
          <w:iCs w:val="false"/>
          <w:color w:val="000000"/>
          <w:sz w:val="24"/>
          <w:szCs w:val="24"/>
        </w:rPr>
        <w:t>Sibundoy, Putumayo 30 de marzo del 2026</w:t>
      </w:r>
    </w:p>
    <w:p>
      <w:pPr>
        <w:pStyle w:val="Normal"/>
        <w:spacing w:before="0" w:after="200"/>
        <w:jc w:val="center"/>
        <w:rPr>
          <w:rFonts w:ascii="DejaVu Sans" w:hAnsi="DejaVu Sans"/>
          <w:i w:val="false"/>
          <w:iCs w:val="false"/>
          <w:color w:val="000000"/>
          <w:sz w:val="24"/>
          <w:szCs w:val="24"/>
        </w:rPr>
      </w:pPr>
      <w:r>
        <w:rPr>
          <w:rFonts w:ascii="DejaVu Sans" w:hAnsi="DejaVu Sans"/>
          <w:i w:val="false"/>
          <w:iCs w:val="false"/>
          <w:color w:val="000000"/>
          <w:sz w:val="24"/>
          <w:szCs w:val="24"/>
        </w:rPr>
      </w:r>
    </w:p>
    <w:p>
      <w:pPr>
        <w:pStyle w:val="Normal"/>
        <w:spacing w:before="0" w:after="200"/>
        <w:jc w:val="center"/>
        <w:rPr>
          <w:rFonts w:ascii="DejaVu Sans" w:hAnsi="DejaVu Sans"/>
          <w:b/>
          <w:bCs/>
          <w:i w:val="false"/>
          <w:iCs w:val="false"/>
          <w:color w:val="000000"/>
          <w:sz w:val="24"/>
          <w:szCs w:val="24"/>
        </w:rPr>
      </w:pPr>
      <w:r>
        <w:rPr>
          <w:rFonts w:ascii="DejaVu Sans" w:hAnsi="DejaVu Sans"/>
          <w:b/>
          <w:bCs/>
          <w:i w:val="false"/>
          <w:iCs w:val="false"/>
          <w:color w:val="000000"/>
          <w:sz w:val="24"/>
          <w:szCs w:val="24"/>
        </w:rPr>
        <w:t>Julián España</w:t>
      </w:r>
    </w:p>
    <w:p>
      <w:pPr>
        <w:pStyle w:val="Normal"/>
        <w:spacing w:before="0" w:after="200"/>
        <w:jc w:val="center"/>
        <w:rPr>
          <w:rFonts w:ascii="DejaVu Sans" w:hAnsi="DejaVu Sans"/>
          <w:i w:val="false"/>
          <w:iCs w:val="false"/>
          <w:color w:val="000000"/>
          <w:sz w:val="24"/>
          <w:szCs w:val="24"/>
        </w:rPr>
      </w:pPr>
      <w:r>
        <w:rPr>
          <w:rFonts w:ascii="DejaVu Sans" w:hAnsi="DejaVu Sans"/>
          <w:i w:val="false"/>
          <w:iCs w:val="false"/>
          <w:color w:val="000000"/>
          <w:sz w:val="24"/>
          <w:szCs w:val="24"/>
        </w:rPr>
        <w:t>CC: 1124315657</w:t>
      </w:r>
    </w:p>
    <w:p>
      <w:pPr>
        <w:pStyle w:val="Normal"/>
        <w:spacing w:before="0" w:after="200"/>
        <w:jc w:val="center"/>
        <w:rPr>
          <w:rFonts w:ascii="DejaVu Sans" w:hAnsi="DejaVu Sans"/>
          <w:i w:val="false"/>
          <w:iCs w:val="false"/>
          <w:color w:val="000000"/>
          <w:sz w:val="24"/>
          <w:szCs w:val="24"/>
        </w:rPr>
      </w:pPr>
      <w:r>
        <w:rPr>
          <w:rFonts w:ascii="DejaVu Sans" w:hAnsi="DejaVu Sans"/>
          <w:i w:val="false"/>
          <w:iCs w:val="false"/>
          <w:color w:val="000000"/>
          <w:sz w:val="24"/>
          <w:szCs w:val="24"/>
        </w:rPr>
        <w:t>Realizar transferencia a cuenta Nequi: 3174503604</w:t>
      </w:r>
    </w:p>
    <w:p>
      <w:pPr>
        <w:pStyle w:val="Normal"/>
        <w:spacing w:before="0" w:after="200"/>
        <w:jc w:val="center"/>
        <w:rPr>
          <w:rFonts w:ascii="DejaVu Sans" w:hAnsi="DejaVu Sans"/>
          <w:i w:val="false"/>
          <w:iCs w:val="false"/>
          <w:color w:val="000000"/>
          <w:sz w:val="24"/>
          <w:szCs w:val="24"/>
        </w:rPr>
      </w:pPr>
      <w:r>
        <w:rPr>
          <w:rFonts w:ascii="DejaVu Sans" w:hAnsi="DejaVu Sans"/>
          <w:i w:val="false"/>
          <w:iCs w:val="false"/>
          <w:color w:val="000000"/>
          <w:sz w:val="24"/>
          <w:szCs w:val="24"/>
        </w:rPr>
      </w:r>
      <w:r>
        <w:br w:type="page"/>
      </w:r>
    </w:p>
    <w:p>
      <w:pPr>
        <w:pStyle w:val="Normal"/>
        <w:spacing w:before="280" w:after="120"/>
        <w:jc w:val="start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b/>
          <w:color w:val="000000"/>
          <w:sz w:val="24"/>
          <w:szCs w:val="24"/>
        </w:rPr>
        <w:t>1. DATOS DEL PROFESIONAL</w:t>
      </w:r>
    </w:p>
    <w:tbl>
      <w:tblPr>
        <w:tblStyle w:val="TableGrid"/>
        <w:tblW w:w="91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561"/>
        <w:gridCol w:w="4561"/>
      </w:tblGrid>
      <w:tr>
        <w:trPr/>
        <w:tc>
          <w:tcPr>
            <w:tcW w:w="4561" w:type="dxa"/>
            <w:tcBorders/>
            <w:shd w:color="auto" w:fill="E8F5E9" w:val="clear"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Nombre completo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color w:val="000000"/>
                <w:kern w:val="0"/>
                <w:sz w:val="24"/>
                <w:szCs w:val="24"/>
                <w:lang w:val="en-US" w:eastAsia="en-US" w:bidi="ar-SA"/>
              </w:rPr>
              <w:t>Julián España</w:t>
            </w:r>
          </w:p>
        </w:tc>
      </w:tr>
      <w:tr>
        <w:trPr/>
        <w:tc>
          <w:tcPr>
            <w:tcW w:w="4561" w:type="dxa"/>
            <w:tcBorders/>
            <w:shd w:color="auto" w:fill="E8F5E9" w:val="clear"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Profesión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color w:val="000000"/>
                <w:kern w:val="0"/>
                <w:sz w:val="24"/>
                <w:szCs w:val="24"/>
                <w:lang w:val="en-US" w:eastAsia="en-US" w:bidi="ar-SA"/>
              </w:rPr>
              <w:t>Ingeniero de Software</w:t>
            </w:r>
          </w:p>
        </w:tc>
      </w:tr>
      <w:tr>
        <w:trPr/>
        <w:tc>
          <w:tcPr>
            <w:tcW w:w="4561" w:type="dxa"/>
            <w:tcBorders/>
            <w:shd w:color="auto" w:fill="E8F5E9" w:val="clear"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Especialidad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color w:val="000000"/>
                <w:kern w:val="0"/>
                <w:sz w:val="24"/>
                <w:szCs w:val="24"/>
                <w:lang w:val="en-US" w:eastAsia="en-US" w:bidi="ar-SA"/>
              </w:rPr>
              <w:t>Desarrollo Web · Next.js</w:t>
            </w:r>
          </w:p>
        </w:tc>
      </w:tr>
      <w:tr>
        <w:trPr/>
        <w:tc>
          <w:tcPr>
            <w:tcW w:w="4561" w:type="dxa"/>
            <w:tcBorders/>
            <w:shd w:color="auto" w:fill="E8F5E9" w:val="clear"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Correo electrónico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color w:val="000000"/>
                <w:kern w:val="0"/>
                <w:sz w:val="24"/>
                <w:szCs w:val="24"/>
                <w:lang w:val="en-US" w:eastAsia="en-US" w:bidi="ar-SA"/>
              </w:rPr>
              <w:t>admin@neurai.dev</w:t>
            </w:r>
          </w:p>
        </w:tc>
      </w:tr>
      <w:tr>
        <w:trPr>
          <w:trHeight w:val="458" w:hRule="atLeast"/>
        </w:trPr>
        <w:tc>
          <w:tcPr>
            <w:tcW w:w="4561" w:type="dxa"/>
            <w:tcBorders/>
            <w:shd w:color="auto" w:fill="E8F5E9" w:val="clear"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Ciudad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color w:val="000000"/>
                <w:kern w:val="0"/>
                <w:sz w:val="24"/>
                <w:szCs w:val="24"/>
                <w:lang w:val="en-US" w:eastAsia="en-US" w:bidi="ar-SA"/>
              </w:rPr>
              <w:t>Colón, Putumayo</w:t>
            </w:r>
          </w:p>
        </w:tc>
      </w:tr>
    </w:tbl>
    <w:p>
      <w:pPr>
        <w:pStyle w:val="Normal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color w:val="000000"/>
          <w:sz w:val="24"/>
          <w:szCs w:val="24"/>
        </w:rPr>
      </w:r>
    </w:p>
    <w:p>
      <w:pPr>
        <w:pStyle w:val="Normal"/>
        <w:spacing w:before="280" w:after="120"/>
        <w:jc w:val="start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b/>
          <w:color w:val="000000"/>
          <w:sz w:val="24"/>
          <w:szCs w:val="24"/>
        </w:rPr>
        <w:t>2. DESCRIPCIÓN DEL PROYECTO</w:t>
      </w:r>
    </w:p>
    <w:p>
      <w:pPr>
        <w:pStyle w:val="Normal"/>
        <w:spacing w:before="40" w:after="40"/>
        <w:jc w:val="start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b w:val="false"/>
          <w:color w:val="000000"/>
          <w:sz w:val="24"/>
          <w:szCs w:val="24"/>
        </w:rPr>
        <w:t>Desarrollo completo del módulo de Transparencia y Rendición de Cuentas para el sitio web de la IPS Indígena Inga Kametsa, implementado con Next.js. La página permite a los usuarios consultar y descargar documentos financieros e institucionales organizados por año, desde 2017 hasta 2025.</w:t>
      </w:r>
    </w:p>
    <w:p>
      <w:pPr>
        <w:pStyle w:val="Normal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color w:val="000000"/>
          <w:sz w:val="24"/>
          <w:szCs w:val="24"/>
        </w:rPr>
      </w:r>
    </w:p>
    <w:p>
      <w:pPr>
        <w:pStyle w:val="Normal"/>
        <w:spacing w:before="280" w:after="120"/>
        <w:jc w:val="start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b/>
          <w:color w:val="000000"/>
          <w:sz w:val="24"/>
          <w:szCs w:val="24"/>
        </w:rPr>
        <w:t>3. ACTIVIDADES REALIZADAS</w:t>
      </w:r>
    </w:p>
    <w:p>
      <w:pPr>
        <w:pStyle w:val="Normal"/>
        <w:spacing w:before="100" w:after="20"/>
        <w:ind w:start="170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b/>
          <w:color w:val="000000"/>
          <w:sz w:val="24"/>
          <w:szCs w:val="24"/>
        </w:rPr>
        <w:t xml:space="preserve">1. </w:t>
      </w:r>
      <w:r>
        <w:rPr>
          <w:rFonts w:ascii="DejaVu Sans" w:hAnsi="DejaVu Sans"/>
          <w:b/>
          <w:color w:val="000000"/>
          <w:sz w:val="24"/>
          <w:szCs w:val="24"/>
        </w:rPr>
        <w:t>Diseño y maquetación de la página</w:t>
      </w:r>
    </w:p>
    <w:p>
      <w:pPr>
        <w:pStyle w:val="Normal"/>
        <w:spacing w:before="20" w:after="60"/>
        <w:ind w:start="454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color w:val="000000"/>
          <w:sz w:val="24"/>
          <w:szCs w:val="24"/>
        </w:rPr>
        <w:t>Creación del layout completo con hero section con degradado verde/azul, sección de cuerpo con fondo blanco/gris, soporte para modo oscuro (dark mode) y diseño totalmente responsivo (mobile-first con Tailwind CSS).</w:t>
      </w:r>
    </w:p>
    <w:p>
      <w:pPr>
        <w:pStyle w:val="Normal"/>
        <w:spacing w:before="100" w:after="20"/>
        <w:ind w:start="170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b/>
          <w:color w:val="000000"/>
          <w:sz w:val="24"/>
          <w:szCs w:val="24"/>
        </w:rPr>
        <w:t xml:space="preserve">2. </w:t>
      </w:r>
      <w:r>
        <w:rPr>
          <w:rFonts w:ascii="DejaVu Sans" w:hAnsi="DejaVu Sans"/>
          <w:b/>
          <w:color w:val="000000"/>
          <w:sz w:val="24"/>
          <w:szCs w:val="24"/>
        </w:rPr>
        <w:t>Componente Hero con barra de búsqueda integrada</w:t>
      </w:r>
    </w:p>
    <w:p>
      <w:pPr>
        <w:pStyle w:val="Normal"/>
        <w:spacing w:before="20" w:after="60"/>
        <w:ind w:start="454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color w:val="000000"/>
          <w:sz w:val="24"/>
          <w:szCs w:val="24"/>
        </w:rPr>
        <w:t>Diseño de un encabezado visual con gradiente, título principal, subtítulo institucional y barra de búsqueda funcional con ícono, botón de limpiar y placeholder descriptivo. Animaciones .</w:t>
      </w:r>
    </w:p>
    <w:p>
      <w:pPr>
        <w:pStyle w:val="Normal"/>
        <w:spacing w:before="100" w:after="20"/>
        <w:ind w:start="170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b/>
          <w:color w:val="000000"/>
          <w:sz w:val="24"/>
          <w:szCs w:val="24"/>
        </w:rPr>
        <w:t xml:space="preserve">3. </w:t>
      </w:r>
      <w:r>
        <w:rPr>
          <w:rFonts w:ascii="DejaVu Sans" w:hAnsi="DejaVu Sans"/>
          <w:b/>
          <w:color w:val="000000"/>
          <w:sz w:val="24"/>
          <w:szCs w:val="24"/>
        </w:rPr>
        <w:t>Sistema de búsqueda en tiempo real</w:t>
      </w:r>
    </w:p>
    <w:p>
      <w:pPr>
        <w:pStyle w:val="Normal"/>
        <w:spacing w:before="20" w:after="60"/>
        <w:ind w:start="454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color w:val="000000"/>
          <w:sz w:val="24"/>
          <w:szCs w:val="24"/>
        </w:rPr>
        <w:t xml:space="preserve">Implementación de un buscador reactivo que filtra documentos por nombre, año o tipo de sección en tiempo real. Muestra resultados con nombre del documento, año, sección de origen y botones de acción. </w:t>
      </w:r>
    </w:p>
    <w:p>
      <w:pPr>
        <w:pStyle w:val="Normal"/>
        <w:spacing w:before="20" w:after="60"/>
        <w:ind w:start="454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color w:val="000000"/>
          <w:sz w:val="24"/>
          <w:szCs w:val="24"/>
        </w:rPr>
      </w:r>
    </w:p>
    <w:p>
      <w:pPr>
        <w:pStyle w:val="Normal"/>
        <w:spacing w:before="100" w:after="20"/>
        <w:ind w:start="170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b/>
          <w:color w:val="000000"/>
          <w:sz w:val="24"/>
          <w:szCs w:val="24"/>
        </w:rPr>
        <w:t xml:space="preserve">4. </w:t>
      </w:r>
      <w:r>
        <w:rPr>
          <w:rFonts w:ascii="DejaVu Sans" w:hAnsi="DejaVu Sans"/>
          <w:b/>
          <w:color w:val="000000"/>
          <w:sz w:val="24"/>
          <w:szCs w:val="24"/>
        </w:rPr>
        <w:t>Componente de acordeón por año</w:t>
      </w:r>
    </w:p>
    <w:p>
      <w:pPr>
        <w:pStyle w:val="Normal"/>
        <w:spacing w:before="20" w:after="60"/>
        <w:ind w:start="454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color w:val="000000"/>
          <w:sz w:val="24"/>
          <w:szCs w:val="24"/>
        </w:rPr>
        <w:t>Desarrollo de acordeones colapsables por año con cabecera con degradado verde, círculo con el número de año, contador de documentos, etiqueta 'Más reciente' para 2025 y animación de apertura/cierre con ícono chevron rotatorio.</w:t>
      </w:r>
    </w:p>
    <w:p>
      <w:pPr>
        <w:pStyle w:val="Normal"/>
        <w:spacing w:before="100" w:after="20"/>
        <w:ind w:start="170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b/>
          <w:color w:val="000000"/>
          <w:sz w:val="24"/>
          <w:szCs w:val="24"/>
        </w:rPr>
        <w:t xml:space="preserve">5. </w:t>
      </w:r>
      <w:r>
        <w:rPr>
          <w:rFonts w:ascii="DejaVu Sans" w:hAnsi="DejaVu Sans"/>
          <w:b/>
          <w:color w:val="000000"/>
          <w:sz w:val="24"/>
          <w:szCs w:val="24"/>
        </w:rPr>
        <w:t xml:space="preserve">Componente de grupos/carpetas colapsables </w:t>
      </w:r>
    </w:p>
    <w:p>
      <w:pPr>
        <w:pStyle w:val="Normal"/>
        <w:spacing w:before="20" w:after="60"/>
        <w:ind w:start="454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color w:val="000000"/>
          <w:sz w:val="24"/>
          <w:szCs w:val="24"/>
        </w:rPr>
        <w:t>Creación de sub-acordeones para agrupar documentos por mes o categoría dentro de un año, con ícono de carpeta amarilla, nombre del grupo y contador de archivos.</w:t>
      </w:r>
    </w:p>
    <w:p>
      <w:pPr>
        <w:pStyle w:val="Normal"/>
        <w:spacing w:before="100" w:after="20"/>
        <w:ind w:start="170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b/>
          <w:color w:val="000000"/>
          <w:sz w:val="24"/>
          <w:szCs w:val="24"/>
        </w:rPr>
        <w:t xml:space="preserve">6. </w:t>
      </w:r>
      <w:r>
        <w:rPr>
          <w:rFonts w:ascii="DejaVu Sans" w:hAnsi="DejaVu Sans"/>
          <w:b/>
          <w:color w:val="000000"/>
          <w:sz w:val="24"/>
          <w:szCs w:val="24"/>
        </w:rPr>
        <w:t xml:space="preserve">Componente de fila de documento </w:t>
      </w:r>
    </w:p>
    <w:p>
      <w:pPr>
        <w:pStyle w:val="Normal"/>
        <w:spacing w:before="20" w:after="60"/>
        <w:ind w:start="454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color w:val="000000"/>
          <w:sz w:val="24"/>
          <w:szCs w:val="24"/>
        </w:rPr>
        <w:t>Diseño de filas individuales por documento con ícono PDF rojo, nombre truncado, botón 'Ver' (verde) que abre en nueva pestaña y botón 'Descargar' (azul) con descarga directa. Efecto hover verde suave.</w:t>
      </w:r>
    </w:p>
    <w:p>
      <w:pPr>
        <w:pStyle w:val="Normal"/>
        <w:spacing w:before="100" w:after="20"/>
        <w:ind w:start="170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b/>
          <w:color w:val="000000"/>
          <w:sz w:val="24"/>
          <w:szCs w:val="24"/>
        </w:rPr>
        <w:t>7</w:t>
      </w:r>
      <w:r>
        <w:rPr>
          <w:rFonts w:ascii="DejaVu Sans" w:hAnsi="DejaVu Sans"/>
          <w:b/>
          <w:color w:val="000000"/>
          <w:sz w:val="24"/>
          <w:szCs w:val="24"/>
        </w:rPr>
        <w:t xml:space="preserve">. </w:t>
      </w:r>
      <w:r>
        <w:rPr>
          <w:rFonts w:ascii="DejaVu Sans" w:hAnsi="DejaVu Sans"/>
          <w:b/>
          <w:color w:val="000000"/>
          <w:sz w:val="24"/>
          <w:szCs w:val="24"/>
        </w:rPr>
        <w:t>Integración con almacenamiento Vercel Blob</w:t>
      </w:r>
    </w:p>
    <w:p>
      <w:pPr>
        <w:pStyle w:val="Normal"/>
        <w:spacing w:before="20" w:after="60"/>
        <w:ind w:start="454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color w:val="000000"/>
          <w:sz w:val="24"/>
          <w:szCs w:val="24"/>
        </w:rPr>
        <w:t>Almacenamiento de los archivos en base de datos en la nube.</w:t>
      </w:r>
    </w:p>
    <w:p>
      <w:pPr>
        <w:pStyle w:val="Normal"/>
        <w:spacing w:before="100" w:after="20"/>
        <w:ind w:start="170"/>
        <w:rPr>
          <w:b/>
        </w:rPr>
      </w:pPr>
      <w:r>
        <w:rPr>
          <w:rFonts w:ascii="DejaVu Sans" w:hAnsi="DejaVu Sans"/>
          <w:color w:val="000000"/>
          <w:sz w:val="24"/>
          <w:szCs w:val="24"/>
        </w:rPr>
      </w:r>
    </w:p>
    <w:p>
      <w:pPr>
        <w:pStyle w:val="Normal"/>
        <w:spacing w:before="100" w:after="20"/>
        <w:ind w:start="170"/>
        <w:rPr>
          <w:rFonts w:ascii="DejaVu Sans" w:hAnsi="DejaVu Sans"/>
          <w:b/>
          <w:color w:val="000000"/>
          <w:sz w:val="24"/>
          <w:szCs w:val="24"/>
        </w:rPr>
      </w:pPr>
      <w:r>
        <w:rPr>
          <w:rFonts w:ascii="DejaVu Sans" w:hAnsi="DejaVu Sans"/>
          <w:b/>
          <w:color w:val="000000"/>
          <w:sz w:val="24"/>
          <w:szCs w:val="24"/>
        </w:rPr>
      </w:r>
    </w:p>
    <w:p>
      <w:pPr>
        <w:pStyle w:val="Normal"/>
        <w:spacing w:before="100" w:after="20"/>
        <w:ind w:start="170"/>
        <w:rPr>
          <w:rFonts w:ascii="DejaVu Sans" w:hAnsi="DejaVu Sans"/>
          <w:b/>
          <w:color w:val="000000"/>
          <w:sz w:val="24"/>
          <w:szCs w:val="24"/>
        </w:rPr>
      </w:pPr>
      <w:r>
        <w:rPr>
          <w:rFonts w:ascii="DejaVu Sans" w:hAnsi="DejaVu Sans"/>
          <w:b/>
          <w:color w:val="000000"/>
          <w:sz w:val="24"/>
          <w:szCs w:val="24"/>
        </w:rPr>
      </w:r>
    </w:p>
    <w:p>
      <w:pPr>
        <w:pStyle w:val="Normal"/>
        <w:spacing w:before="100" w:after="20"/>
        <w:ind w:start="170"/>
        <w:rPr>
          <w:rFonts w:ascii="DejaVu Sans" w:hAnsi="DejaVu Sans"/>
          <w:b/>
          <w:color w:val="000000"/>
          <w:sz w:val="24"/>
          <w:szCs w:val="24"/>
        </w:rPr>
      </w:pPr>
      <w:r>
        <w:rPr>
          <w:rFonts w:ascii="DejaVu Sans" w:hAnsi="DejaVu Sans"/>
          <w:b/>
          <w:color w:val="000000"/>
          <w:sz w:val="24"/>
          <w:szCs w:val="24"/>
        </w:rPr>
      </w:r>
    </w:p>
    <w:p>
      <w:pPr>
        <w:pStyle w:val="Normal"/>
        <w:spacing w:before="100" w:after="20"/>
        <w:ind w:start="170"/>
        <w:rPr>
          <w:rFonts w:ascii="DejaVu Sans" w:hAnsi="DejaVu Sans"/>
          <w:b/>
          <w:color w:val="000000"/>
          <w:sz w:val="24"/>
          <w:szCs w:val="24"/>
        </w:rPr>
      </w:pPr>
      <w:r>
        <w:rPr>
          <w:rFonts w:ascii="DejaVu Sans" w:hAnsi="DejaVu Sans"/>
          <w:b/>
          <w:color w:val="000000"/>
          <w:sz w:val="24"/>
          <w:szCs w:val="24"/>
        </w:rPr>
      </w:r>
    </w:p>
    <w:p>
      <w:pPr>
        <w:pStyle w:val="Normal"/>
        <w:spacing w:before="100" w:after="20"/>
        <w:ind w:start="170"/>
        <w:rPr>
          <w:rFonts w:ascii="DejaVu Sans" w:hAnsi="DejaVu Sans"/>
          <w:b/>
          <w:color w:val="000000"/>
          <w:sz w:val="24"/>
          <w:szCs w:val="24"/>
        </w:rPr>
      </w:pPr>
      <w:r>
        <w:rPr>
          <w:rFonts w:ascii="DejaVu Sans" w:hAnsi="DejaVu Sans"/>
          <w:b/>
          <w:color w:val="000000"/>
          <w:sz w:val="24"/>
          <w:szCs w:val="24"/>
        </w:rPr>
      </w:r>
    </w:p>
    <w:p>
      <w:pPr>
        <w:pStyle w:val="Normal"/>
        <w:spacing w:before="100" w:after="20"/>
        <w:ind w:start="170"/>
        <w:rPr>
          <w:rFonts w:ascii="DejaVu Sans" w:hAnsi="DejaVu Sans"/>
          <w:b/>
          <w:color w:val="000000"/>
          <w:sz w:val="24"/>
          <w:szCs w:val="24"/>
        </w:rPr>
      </w:pPr>
      <w:r>
        <w:rPr>
          <w:rFonts w:ascii="DejaVu Sans" w:hAnsi="DejaVu Sans"/>
          <w:b/>
          <w:color w:val="000000"/>
          <w:sz w:val="24"/>
          <w:szCs w:val="24"/>
        </w:rPr>
      </w:r>
    </w:p>
    <w:p>
      <w:pPr>
        <w:pStyle w:val="Normal"/>
        <w:spacing w:before="100" w:after="20"/>
        <w:ind w:start="170"/>
        <w:rPr>
          <w:rFonts w:ascii="DejaVu Sans" w:hAnsi="DejaVu Sans"/>
          <w:b/>
          <w:color w:val="000000"/>
          <w:sz w:val="24"/>
          <w:szCs w:val="24"/>
        </w:rPr>
      </w:pPr>
      <w:r>
        <w:rPr>
          <w:rFonts w:ascii="DejaVu Sans" w:hAnsi="DejaVu Sans"/>
          <w:b/>
          <w:color w:val="000000"/>
          <w:sz w:val="24"/>
          <w:szCs w:val="24"/>
        </w:rPr>
      </w:r>
    </w:p>
    <w:p>
      <w:pPr>
        <w:pStyle w:val="Normal"/>
        <w:spacing w:before="280" w:after="120"/>
        <w:jc w:val="start"/>
        <w:rPr>
          <w:rFonts w:ascii="DejaVu Sans" w:hAnsi="DejaVu Sans"/>
          <w:b/>
          <w:color w:val="000000"/>
          <w:sz w:val="24"/>
          <w:szCs w:val="24"/>
        </w:rPr>
      </w:pPr>
      <w:r>
        <w:rPr>
          <w:rFonts w:ascii="DejaVu Sans" w:hAnsi="DejaVu Sans"/>
          <w:b/>
          <w:color w:val="000000"/>
          <w:sz w:val="24"/>
          <w:szCs w:val="24"/>
        </w:rPr>
      </w:r>
    </w:p>
    <w:p>
      <w:pPr>
        <w:pStyle w:val="Normal"/>
        <w:spacing w:before="280" w:after="120"/>
        <w:jc w:val="start"/>
        <w:rPr>
          <w:rFonts w:ascii="DejaVu Sans" w:hAnsi="DejaVu Sans"/>
          <w:b/>
          <w:color w:val="000000"/>
          <w:sz w:val="24"/>
          <w:szCs w:val="24"/>
        </w:rPr>
      </w:pPr>
      <w:r>
        <w:rPr>
          <w:rFonts w:ascii="DejaVu Sans" w:hAnsi="DejaVu Sans"/>
          <w:b/>
          <w:color w:val="000000"/>
          <w:sz w:val="24"/>
          <w:szCs w:val="24"/>
        </w:rPr>
        <w:t>4. RESUMEN DE DOCUMENTOS INTEGRADOS</w:t>
      </w:r>
    </w:p>
    <w:tbl>
      <w:tblPr>
        <w:tblStyle w:val="TableGrid"/>
        <w:tblW w:w="91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041"/>
        <w:gridCol w:w="3041"/>
        <w:gridCol w:w="3041"/>
      </w:tblGrid>
      <w:tr>
        <w:trPr/>
        <w:tc>
          <w:tcPr>
            <w:tcW w:w="3041" w:type="dxa"/>
            <w:tcBorders/>
            <w:shd w:color="auto" w:fill="2E7D32" w:val="clear"/>
          </w:tcPr>
          <w:p>
            <w:pPr>
              <w:pStyle w:val="Normal"/>
              <w:widowControl/>
              <w:spacing w:lineRule="auto" w:line="240" w:before="60" w:after="60"/>
              <w:jc w:val="center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Año</w:t>
            </w:r>
          </w:p>
        </w:tc>
        <w:tc>
          <w:tcPr>
            <w:tcW w:w="3041" w:type="dxa"/>
            <w:tcBorders/>
            <w:shd w:color="auto" w:fill="2E7D32" w:val="clear"/>
          </w:tcPr>
          <w:p>
            <w:pPr>
              <w:pStyle w:val="Normal"/>
              <w:widowControl/>
              <w:spacing w:lineRule="auto" w:line="240" w:before="60" w:after="60"/>
              <w:jc w:val="center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Cantidad</w:t>
            </w:r>
          </w:p>
        </w:tc>
        <w:tc>
          <w:tcPr>
            <w:tcW w:w="3041" w:type="dxa"/>
            <w:tcBorders/>
            <w:shd w:color="auto" w:fill="2E7D32" w:val="clear"/>
          </w:tcPr>
          <w:p>
            <w:pPr>
              <w:pStyle w:val="Normal"/>
              <w:widowControl/>
              <w:spacing w:lineRule="auto" w:line="240" w:before="60" w:after="60"/>
              <w:jc w:val="center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Categorías</w:t>
            </w:r>
          </w:p>
        </w:tc>
      </w:tr>
      <w:tr>
        <w:trPr/>
        <w:tc>
          <w:tcPr>
            <w:tcW w:w="3041" w:type="dxa"/>
            <w:tcBorders/>
            <w:shd w:color="auto" w:fill="F1F8E9" w:val="clear"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2025</w:t>
            </w:r>
          </w:p>
        </w:tc>
        <w:tc>
          <w:tcPr>
            <w:tcW w:w="3041" w:type="dxa"/>
            <w:tcBorders/>
            <w:shd w:color="auto" w:fill="F1F8E9" w:val="clear"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color w:val="000000"/>
                <w:kern w:val="0"/>
                <w:sz w:val="24"/>
                <w:szCs w:val="24"/>
                <w:lang w:val="en-US" w:eastAsia="en-US" w:bidi="ar-SA"/>
              </w:rPr>
              <w:t>8 documentos</w:t>
            </w:r>
          </w:p>
        </w:tc>
        <w:tc>
          <w:tcPr>
            <w:tcW w:w="3041" w:type="dxa"/>
            <w:tcBorders/>
            <w:shd w:color="auto" w:fill="F1F8E9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color w:val="000000"/>
                <w:kern w:val="0"/>
                <w:sz w:val="24"/>
                <w:szCs w:val="24"/>
                <w:lang w:val="en-US" w:eastAsia="en-US" w:bidi="ar-SA"/>
              </w:rPr>
              <w:t>Estados Financieros (1) + Informe Financiero (7)</w:t>
            </w:r>
          </w:p>
        </w:tc>
      </w:tr>
      <w:tr>
        <w:trPr/>
        <w:tc>
          <w:tcPr>
            <w:tcW w:w="304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2024</w:t>
            </w:r>
          </w:p>
        </w:tc>
        <w:tc>
          <w:tcPr>
            <w:tcW w:w="304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color w:val="000000"/>
                <w:kern w:val="0"/>
                <w:sz w:val="24"/>
                <w:szCs w:val="24"/>
                <w:lang w:val="en-US" w:eastAsia="en-US" w:bidi="ar-SA"/>
              </w:rPr>
              <w:t>8 documentos</w:t>
            </w:r>
          </w:p>
        </w:tc>
        <w:tc>
          <w:tcPr>
            <w:tcW w:w="304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color w:val="000000"/>
                <w:kern w:val="0"/>
                <w:sz w:val="24"/>
                <w:szCs w:val="24"/>
                <w:lang w:val="en-US" w:eastAsia="en-US" w:bidi="ar-SA"/>
              </w:rPr>
              <w:t>Informe Financiero</w:t>
            </w:r>
          </w:p>
        </w:tc>
      </w:tr>
      <w:tr>
        <w:trPr/>
        <w:tc>
          <w:tcPr>
            <w:tcW w:w="3041" w:type="dxa"/>
            <w:tcBorders/>
            <w:shd w:color="auto" w:fill="F1F8E9" w:val="clear"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2023</w:t>
            </w:r>
          </w:p>
        </w:tc>
        <w:tc>
          <w:tcPr>
            <w:tcW w:w="3041" w:type="dxa"/>
            <w:tcBorders/>
            <w:shd w:color="auto" w:fill="F1F8E9" w:val="clear"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color w:val="000000"/>
                <w:kern w:val="0"/>
                <w:sz w:val="24"/>
                <w:szCs w:val="24"/>
                <w:lang w:val="en-US" w:eastAsia="en-US" w:bidi="ar-SA"/>
              </w:rPr>
              <w:t>8 documentos</w:t>
            </w:r>
          </w:p>
        </w:tc>
        <w:tc>
          <w:tcPr>
            <w:tcW w:w="3041" w:type="dxa"/>
            <w:tcBorders/>
            <w:shd w:color="auto" w:fill="F1F8E9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color w:val="000000"/>
                <w:kern w:val="0"/>
                <w:sz w:val="24"/>
                <w:szCs w:val="24"/>
                <w:lang w:val="en-US" w:eastAsia="en-US" w:bidi="ar-SA"/>
              </w:rPr>
              <w:t>Informe Financiero (vigencia 2022)</w:t>
            </w:r>
          </w:p>
        </w:tc>
      </w:tr>
      <w:tr>
        <w:trPr/>
        <w:tc>
          <w:tcPr>
            <w:tcW w:w="304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2021</w:t>
            </w:r>
          </w:p>
        </w:tc>
        <w:tc>
          <w:tcPr>
            <w:tcW w:w="304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color w:val="000000"/>
                <w:kern w:val="0"/>
                <w:sz w:val="24"/>
                <w:szCs w:val="24"/>
                <w:lang w:val="en-US" w:eastAsia="en-US" w:bidi="ar-SA"/>
              </w:rPr>
              <w:t>7 documentos</w:t>
            </w:r>
          </w:p>
        </w:tc>
        <w:tc>
          <w:tcPr>
            <w:tcW w:w="304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color w:val="000000"/>
                <w:kern w:val="0"/>
                <w:sz w:val="24"/>
                <w:szCs w:val="24"/>
                <w:lang w:val="en-US" w:eastAsia="en-US" w:bidi="ar-SA"/>
              </w:rPr>
              <w:t>Informe Financiero</w:t>
            </w:r>
          </w:p>
        </w:tc>
      </w:tr>
      <w:tr>
        <w:trPr/>
        <w:tc>
          <w:tcPr>
            <w:tcW w:w="3041" w:type="dxa"/>
            <w:tcBorders/>
            <w:shd w:color="auto" w:fill="F1F8E9" w:val="clear"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2020</w:t>
            </w:r>
          </w:p>
        </w:tc>
        <w:tc>
          <w:tcPr>
            <w:tcW w:w="3041" w:type="dxa"/>
            <w:tcBorders/>
            <w:shd w:color="auto" w:fill="F1F8E9" w:val="clear"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color w:val="000000"/>
                <w:kern w:val="0"/>
                <w:sz w:val="24"/>
                <w:szCs w:val="24"/>
                <w:lang w:val="en-US" w:eastAsia="en-US" w:bidi="ar-SA"/>
              </w:rPr>
              <w:t>21 documentos</w:t>
            </w:r>
          </w:p>
        </w:tc>
        <w:tc>
          <w:tcPr>
            <w:tcW w:w="3041" w:type="dxa"/>
            <w:tcBorders/>
            <w:shd w:color="auto" w:fill="F1F8E9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color w:val="000000"/>
                <w:kern w:val="0"/>
                <w:sz w:val="24"/>
                <w:szCs w:val="24"/>
                <w:lang w:val="en-US" w:eastAsia="en-US" w:bidi="ar-SA"/>
              </w:rPr>
              <w:t>Informe Financiero (7) + Informes EPP mensuales (14)</w:t>
            </w:r>
          </w:p>
        </w:tc>
      </w:tr>
      <w:tr>
        <w:trPr/>
        <w:tc>
          <w:tcPr>
            <w:tcW w:w="304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2019</w:t>
            </w:r>
          </w:p>
        </w:tc>
        <w:tc>
          <w:tcPr>
            <w:tcW w:w="304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color w:val="000000"/>
                <w:kern w:val="0"/>
                <w:sz w:val="24"/>
                <w:szCs w:val="24"/>
                <w:lang w:val="en-US" w:eastAsia="en-US" w:bidi="ar-SA"/>
              </w:rPr>
              <w:t>7 documentos</w:t>
            </w:r>
          </w:p>
        </w:tc>
        <w:tc>
          <w:tcPr>
            <w:tcW w:w="304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color w:val="000000"/>
                <w:kern w:val="0"/>
                <w:sz w:val="24"/>
                <w:szCs w:val="24"/>
                <w:lang w:val="en-US" w:eastAsia="en-US" w:bidi="ar-SA"/>
              </w:rPr>
              <w:t>Documentos institucionales</w:t>
            </w:r>
          </w:p>
        </w:tc>
      </w:tr>
      <w:tr>
        <w:trPr/>
        <w:tc>
          <w:tcPr>
            <w:tcW w:w="3041" w:type="dxa"/>
            <w:tcBorders/>
            <w:shd w:color="auto" w:fill="F1F8E9" w:val="clear"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2018</w:t>
            </w:r>
          </w:p>
        </w:tc>
        <w:tc>
          <w:tcPr>
            <w:tcW w:w="3041" w:type="dxa"/>
            <w:tcBorders/>
            <w:shd w:color="auto" w:fill="F1F8E9" w:val="clear"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color w:val="000000"/>
                <w:kern w:val="0"/>
                <w:sz w:val="24"/>
                <w:szCs w:val="24"/>
                <w:lang w:val="en-US" w:eastAsia="en-US" w:bidi="ar-SA"/>
              </w:rPr>
              <w:t>6 documentos</w:t>
            </w:r>
          </w:p>
        </w:tc>
        <w:tc>
          <w:tcPr>
            <w:tcW w:w="3041" w:type="dxa"/>
            <w:tcBorders/>
            <w:shd w:color="auto" w:fill="F1F8E9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color w:val="000000"/>
                <w:kern w:val="0"/>
                <w:sz w:val="24"/>
                <w:szCs w:val="24"/>
                <w:lang w:val="en-US" w:eastAsia="en-US" w:bidi="ar-SA"/>
              </w:rPr>
              <w:t>Documentos institucionales</w:t>
            </w:r>
          </w:p>
        </w:tc>
      </w:tr>
      <w:tr>
        <w:trPr/>
        <w:tc>
          <w:tcPr>
            <w:tcW w:w="304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2017</w:t>
            </w:r>
          </w:p>
        </w:tc>
        <w:tc>
          <w:tcPr>
            <w:tcW w:w="304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color w:val="000000"/>
                <w:kern w:val="0"/>
                <w:sz w:val="24"/>
                <w:szCs w:val="24"/>
                <w:lang w:val="en-US" w:eastAsia="en-US" w:bidi="ar-SA"/>
              </w:rPr>
              <w:t>5 documentos</w:t>
            </w:r>
          </w:p>
        </w:tc>
        <w:tc>
          <w:tcPr>
            <w:tcW w:w="304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color w:val="000000"/>
                <w:kern w:val="0"/>
                <w:sz w:val="24"/>
                <w:szCs w:val="24"/>
                <w:lang w:val="en-US" w:eastAsia="en-US" w:bidi="ar-SA"/>
              </w:rPr>
              <w:t>Documentos institucionales</w:t>
            </w:r>
          </w:p>
        </w:tc>
      </w:tr>
    </w:tbl>
    <w:p>
      <w:pPr>
        <w:pStyle w:val="Normal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color w:val="000000"/>
          <w:sz w:val="24"/>
          <w:szCs w:val="24"/>
        </w:rPr>
      </w:r>
    </w:p>
    <w:p>
      <w:pPr>
        <w:pStyle w:val="Normal"/>
        <w:spacing w:before="40" w:after="200"/>
        <w:jc w:val="end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b/>
          <w:color w:val="000000"/>
          <w:sz w:val="24"/>
          <w:szCs w:val="24"/>
        </w:rPr>
        <w:t>Total documentos integrados: 70 archivos PDF</w:t>
      </w:r>
    </w:p>
    <w:p>
      <w:pPr>
        <w:pStyle w:val="Normal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color w:val="000000"/>
          <w:sz w:val="24"/>
          <w:szCs w:val="24"/>
        </w:rPr>
      </w:r>
    </w:p>
    <w:p>
      <w:pPr>
        <w:pStyle w:val="Normal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color w:val="000000"/>
          <w:sz w:val="24"/>
          <w:szCs w:val="24"/>
        </w:rPr>
      </w:r>
    </w:p>
    <w:p>
      <w:pPr>
        <w:pStyle w:val="Normal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color w:val="000000"/>
          <w:sz w:val="24"/>
          <w:szCs w:val="24"/>
        </w:rPr>
      </w:r>
    </w:p>
    <w:p>
      <w:pPr>
        <w:pStyle w:val="Normal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color w:val="000000"/>
          <w:sz w:val="24"/>
          <w:szCs w:val="24"/>
        </w:rPr>
      </w:r>
    </w:p>
    <w:p>
      <w:pPr>
        <w:pStyle w:val="Normal"/>
        <w:rPr>
          <w:rFonts w:ascii="DejaVu Sans" w:hAnsi="DejaVu Sans"/>
          <w:b/>
          <w:color w:val="000000"/>
          <w:sz w:val="24"/>
          <w:szCs w:val="24"/>
        </w:rPr>
      </w:pPr>
      <w:r>
        <w:rPr>
          <w:rFonts w:ascii="DejaVu Sans" w:hAnsi="DejaVu Sans"/>
          <w:b/>
          <w:color w:val="000000"/>
          <w:sz w:val="24"/>
          <w:szCs w:val="24"/>
        </w:rPr>
      </w:r>
    </w:p>
    <w:p>
      <w:pPr>
        <w:pStyle w:val="Normal"/>
        <w:spacing w:before="280" w:after="120"/>
        <w:jc w:val="start"/>
        <w:rPr>
          <w:rFonts w:ascii="DejaVu Sans" w:hAnsi="DejaVu Sans"/>
          <w:b/>
          <w:color w:val="000000"/>
          <w:sz w:val="24"/>
          <w:szCs w:val="24"/>
        </w:rPr>
      </w:pPr>
      <w:r>
        <w:rPr>
          <w:rFonts w:ascii="DejaVu Sans" w:hAnsi="DejaVu Sans"/>
          <w:b/>
          <w:color w:val="000000"/>
          <w:sz w:val="24"/>
          <w:szCs w:val="24"/>
        </w:rPr>
        <w:t>5. VALOR DEL SERVICIO</w:t>
      </w:r>
    </w:p>
    <w:tbl>
      <w:tblPr>
        <w:tblStyle w:val="TableGrid"/>
        <w:tblW w:w="91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561"/>
        <w:gridCol w:w="4561"/>
      </w:tblGrid>
      <w:tr>
        <w:trPr/>
        <w:tc>
          <w:tcPr>
            <w:tcW w:w="4561" w:type="dxa"/>
            <w:tcBorders/>
            <w:shd w:color="auto" w:fill="E8F5E9" w:val="clear"/>
          </w:tcPr>
          <w:p>
            <w:pPr>
              <w:pStyle w:val="Normal"/>
              <w:widowControl/>
              <w:spacing w:lineRule="auto" w:line="240" w:before="100" w:after="100"/>
              <w:jc w:val="start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Descripción del servicio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100" w:after="100"/>
              <w:jc w:val="start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 w:val="false"/>
                <w:color w:val="000000"/>
                <w:kern w:val="0"/>
                <w:sz w:val="24"/>
                <w:szCs w:val="24"/>
                <w:lang w:val="en-US" w:eastAsia="en-US" w:bidi="ar-SA"/>
              </w:rPr>
              <w:t>Desarrollo del módulo de Transparencia — sitio web IPS Indígena Inga Kametsa</w:t>
            </w:r>
          </w:p>
        </w:tc>
      </w:tr>
      <w:tr>
        <w:trPr/>
        <w:tc>
          <w:tcPr>
            <w:tcW w:w="4561" w:type="dxa"/>
            <w:tcBorders/>
            <w:shd w:color="auto" w:fill="E8F5E9" w:val="clear"/>
          </w:tcPr>
          <w:p>
            <w:pPr>
              <w:pStyle w:val="Normal"/>
              <w:widowControl/>
              <w:spacing w:lineRule="auto" w:line="240" w:before="100" w:after="100"/>
              <w:jc w:val="start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Tecnologías utilizadas</w:t>
            </w:r>
          </w:p>
        </w:tc>
        <w:tc>
          <w:tcPr>
            <w:tcW w:w="4561" w:type="dxa"/>
            <w:tcBorders/>
          </w:tcPr>
          <w:p>
            <w:pPr>
              <w:pStyle w:val="Normal"/>
              <w:widowControl/>
              <w:spacing w:lineRule="auto" w:line="240" w:before="100" w:after="100"/>
              <w:jc w:val="start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 w:val="false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Next.js · React · Tailwind CSS · </w:t>
            </w:r>
            <w:r>
              <w:rPr>
                <w:rFonts w:eastAsia="ＭＳ 明朝" w:cs="" w:ascii="DejaVu Sans" w:hAnsi="DejaVu Sans"/>
                <w:b w:val="false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Almacenamiento en </w:t>
            </w:r>
            <w:r>
              <w:rPr>
                <w:rFonts w:eastAsia="ＭＳ 明朝" w:cs="" w:ascii="DejaVu Sans" w:hAnsi="DejaVu Sans"/>
                <w:b w:val="false"/>
                <w:color w:val="000000"/>
                <w:kern w:val="0"/>
                <w:sz w:val="24"/>
                <w:szCs w:val="24"/>
                <w:lang w:val="en-US" w:eastAsia="en-US" w:bidi="ar-SA"/>
              </w:rPr>
              <w:t>Vercel · JavaScript</w:t>
            </w:r>
          </w:p>
        </w:tc>
      </w:tr>
      <w:tr>
        <w:trPr/>
        <w:tc>
          <w:tcPr>
            <w:tcW w:w="4561" w:type="dxa"/>
            <w:tcBorders/>
            <w:shd w:color="auto" w:fill="1B5E20" w:val="clear"/>
          </w:tcPr>
          <w:p>
            <w:pPr>
              <w:pStyle w:val="Normal"/>
              <w:widowControl/>
              <w:spacing w:lineRule="auto" w:line="240" w:before="100" w:after="100"/>
              <w:jc w:val="start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VALOR TOTAL A COBRAR</w:t>
            </w:r>
          </w:p>
        </w:tc>
        <w:tc>
          <w:tcPr>
            <w:tcW w:w="4561" w:type="dxa"/>
            <w:tcBorders/>
            <w:shd w:color="auto" w:fill="2E7D32" w:val="clear"/>
          </w:tcPr>
          <w:p>
            <w:pPr>
              <w:pStyle w:val="Normal"/>
              <w:widowControl/>
              <w:spacing w:lineRule="auto" w:line="240" w:before="100" w:after="100"/>
              <w:jc w:val="end"/>
              <w:rPr>
                <w:rFonts w:ascii="DejaVu Sans" w:hAnsi="DejaVu Sans" w:eastAsia="ＭＳ 明朝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 w:ascii="DejaVu Sans" w:hAnsi="DejaVu Sans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$ 1.060.000 COP</w:t>
            </w:r>
          </w:p>
        </w:tc>
      </w:tr>
    </w:tbl>
    <w:p>
      <w:pPr>
        <w:pStyle w:val="Normal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color w:val="000000"/>
          <w:sz w:val="24"/>
          <w:szCs w:val="24"/>
        </w:rPr>
      </w:r>
    </w:p>
    <w:p>
      <w:pPr>
        <w:pStyle w:val="Normal"/>
        <w:pBdr>
          <w:bottom w:val="single" w:sz="6" w:space="1" w:color="2E7D32"/>
        </w:pBdr>
        <w:spacing w:before="80" w:after="80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color w:val="000000"/>
          <w:sz w:val="24"/>
          <w:szCs w:val="24"/>
        </w:rPr>
      </w:r>
    </w:p>
    <w:p>
      <w:pPr>
        <w:pStyle w:val="Normal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color w:val="000000"/>
          <w:sz w:val="24"/>
          <w:szCs w:val="24"/>
        </w:rPr>
      </w:r>
    </w:p>
    <w:p>
      <w:pPr>
        <w:pStyle w:val="Normal"/>
        <w:spacing w:before="400" w:after="200"/>
        <w:jc w:val="center"/>
        <w:rPr/>
      </w:pPr>
      <w:r>
        <w:rPr>
          <w:rFonts w:ascii="DejaVu Sans" w:hAnsi="DejaVu Sans"/>
          <w:color w:val="000000"/>
          <w:sz w:val="24"/>
          <w:szCs w:val="24"/>
        </w:rPr>
      </w:r>
    </w:p>
    <w:p>
      <w:pPr>
        <w:pStyle w:val="Normal"/>
        <w:spacing w:before="400" w:after="200"/>
        <w:jc w:val="center"/>
        <w:rPr/>
      </w:pPr>
      <w:r>
        <w:rPr>
          <w:rFonts w:ascii="DejaVu Sans" w:hAnsi="DejaVu Sans"/>
          <w:color w:val="000000"/>
          <w:sz w:val="24"/>
          <w:szCs w:val="24"/>
        </w:rPr>
      </w:r>
    </w:p>
    <w:p>
      <w:pPr>
        <w:pStyle w:val="Normal"/>
        <w:spacing w:before="400" w:after="200"/>
        <w:jc w:val="center"/>
        <w:rPr/>
      </w:pPr>
      <w:r>
        <w:rPr>
          <w:rFonts w:ascii="DejaVu Sans" w:hAnsi="DejaVu Sans"/>
          <w:color w:val="000000"/>
          <w:sz w:val="24"/>
          <w:szCs w:val="24"/>
        </w:rPr>
      </w:r>
    </w:p>
    <w:p>
      <w:pPr>
        <w:pStyle w:val="Normal"/>
        <w:spacing w:before="400" w:after="200"/>
        <w:jc w:val="center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color w:val="000000"/>
          <w:sz w:val="24"/>
          <w:szCs w:val="24"/>
        </w:rPr>
        <w:t>________________________________________</w:t>
      </w:r>
      <w:r>
        <w:rPr>
          <w:rFonts w:ascii="DejaVu Sans" w:hAnsi="DejaVu Sans"/>
          <w:color w:val="000000"/>
          <w:sz w:val="24"/>
          <w:szCs w:val="24"/>
        </w:rPr>
        <w:t>____</w:t>
      </w:r>
    </w:p>
    <w:p>
      <w:pPr>
        <w:pStyle w:val="Normal"/>
        <w:spacing w:before="80" w:after="40"/>
        <w:jc w:val="center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b/>
          <w:color w:val="000000"/>
          <w:sz w:val="24"/>
          <w:szCs w:val="24"/>
        </w:rPr>
        <w:t>Julián España</w:t>
      </w:r>
    </w:p>
    <w:p>
      <w:pPr>
        <w:pStyle w:val="Normal"/>
        <w:spacing w:before="0" w:after="200"/>
        <w:jc w:val="center"/>
        <w:rPr>
          <w:rFonts w:ascii="DejaVu Sans" w:hAnsi="DejaVu Sans"/>
          <w:color w:val="000000"/>
          <w:sz w:val="24"/>
          <w:szCs w:val="24"/>
        </w:rPr>
      </w:pPr>
      <w:r>
        <w:rPr>
          <w:rFonts w:ascii="DejaVu Sans" w:hAnsi="DejaVu Sans"/>
          <w:color w:val="000000"/>
          <w:sz w:val="24"/>
          <w:szCs w:val="24"/>
        </w:rPr>
        <w:t>Ingeniero de Software — Desarrollador Web</w:t>
      </w:r>
    </w:p>
    <w:sectPr>
      <w:headerReference w:type="default" r:id="rId2"/>
      <w:footerReference w:type="default" r:id="rId3"/>
      <w:type w:val="nextPage"/>
      <w:pgSz w:w="12240" w:h="15840"/>
      <w:pgMar w:left="1701" w:right="1417" w:gutter="0" w:header="1417" w:top="3065" w:footer="1417" w:bottom="23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ejaVu Sans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i/>
        <w:iCs/>
      </w:rPr>
    </w:pPr>
    <w:r>
      <w:rPr>
        <w:i/>
        <w:iCs/>
      </w:rPr>
      <w:t>__________________________________________________________________________________________</w:t>
    </w:r>
  </w:p>
  <w:p>
    <w:pPr>
      <w:pStyle w:val="Footer"/>
      <w:jc w:val="center"/>
      <w:rPr>
        <w:i/>
        <w:iCs/>
      </w:rPr>
    </w:pPr>
    <w:r>
      <w:rPr>
        <w:i/>
        <w:iCs/>
      </w:rPr>
      <w:t>“</w:t>
    </w:r>
    <w:r>
      <w:rPr>
        <w:i/>
        <w:iCs/>
      </w:rPr>
      <w:t>Arquitectura web moderna para tu negocio 🌐”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0"/>
        <w:szCs w:val="20"/>
      </w:rPr>
    </w:pPr>
    <w:r>
      <w:drawing>
        <wp:anchor distT="0" distB="0" distL="0" distR="0" simplePos="0" relativeHeight="2" behindDoc="0" locked="0" layoutInCell="0" allowOverlap="1">
          <wp:simplePos x="0" y="0"/>
          <wp:positionH relativeFrom="column">
            <wp:posOffset>61595</wp:posOffset>
          </wp:positionH>
          <wp:positionV relativeFrom="paragraph">
            <wp:posOffset>46355</wp:posOffset>
          </wp:positionV>
          <wp:extent cx="701675" cy="769620"/>
          <wp:effectExtent l="0" t="0" r="0" b="0"/>
          <wp:wrapSquare wrapText="largest"/>
          <wp:docPr id="1" name="Imagen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01675" cy="769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20"/>
        <w:szCs w:val="20"/>
      </w:rPr>
      <w:t>Ingeniero de software</w:t>
    </w:r>
  </w:p>
  <w:p>
    <w:pPr>
      <w:pStyle w:val="Header"/>
      <w:jc w:val="end"/>
      <w:rPr>
        <w:sz w:val="20"/>
        <w:szCs w:val="20"/>
      </w:rPr>
    </w:pPr>
    <w:r>
      <w:rPr>
        <w:sz w:val="20"/>
        <w:szCs w:val="20"/>
      </w:rPr>
      <w:t>Desarrollador web</w:t>
    </w:r>
  </w:p>
  <w:p>
    <w:pPr>
      <w:pStyle w:val="Header"/>
      <w:jc w:val="end"/>
      <w:rPr/>
    </w:pPr>
    <w:hyperlink r:id="rId2">
      <w:r>
        <w:rPr>
          <w:rStyle w:val="Hyperlink"/>
          <w:color w:val="000000"/>
          <w:sz w:val="20"/>
          <w:szCs w:val="20"/>
        </w:rPr>
        <w:t>admin@neurai.dev</w:t>
      </w:r>
    </w:hyperlink>
  </w:p>
  <w:p>
    <w:pPr>
      <w:pStyle w:val="Header"/>
      <w:spacing w:lineRule="auto" w:line="240"/>
      <w:jc w:val="end"/>
      <w:rPr>
        <w:sz w:val="20"/>
        <w:szCs w:val="20"/>
      </w:rPr>
    </w:pPr>
    <w:r>
      <w:rPr>
        <w:sz w:val="20"/>
        <w:szCs w:val="20"/>
      </w:rPr>
      <w:t>3174503604</w:t>
    </w:r>
  </w:p>
  <w:p>
    <w:pPr>
      <w:pStyle w:val="Header"/>
      <w:spacing w:lineRule="auto" w:line="240"/>
      <w:jc w:val="end"/>
      <w:rPr>
        <w:sz w:val="20"/>
        <w:szCs w:val="20"/>
      </w:rPr>
    </w:pPr>
    <w:r>
      <w:rPr>
        <w:sz w:val="20"/>
        <w:szCs w:val="20"/>
      </w:rPr>
      <w:t>___________________________________________________________________________________________________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admin@neurai.dev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Application>LibreOffice/25.8.5.2$Linux_X86_64 LibreOffice_project/580$Build-2</Application>
  <AppVersion>15.0000</AppVersion>
  <Pages>5</Pages>
  <Words>521</Words>
  <Characters>3369</Characters>
  <CharactersWithSpaces>3803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es-MX</dc:language>
  <cp:lastModifiedBy/>
  <dcterms:modified xsi:type="dcterms:W3CDTF">2026-03-29T20:28:40Z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