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Informe de auditoría científica del notebook de clustering de tractos (v9 → v10)</w:t>
      </w:r>
    </w:p>
    <w:p>
      <w:pPr/>
      <w:r>
        <w:t xml:space="preserve">Revisión estadística, computacional y de perspectiva neuroquirúrgica del notebook </w:t>
      </w:r>
      <w:r>
        <w:rPr>
          <w:i/>
        </w:rPr>
        <w:t xml:space="preserve">Archivo2 Visión por Computador – Clustering de Tractos</w:t>
      </w:r>
      <w:r>
        <w:t xml:space="preserve">, con ejecución sobre los archivos adjuntos del paciente S1.</w:t>
      </w:r>
    </w:p>
    <w:p>
      <w:pPr/>
      <w:r>
        <w:rPr>
          <w:b/>
        </w:rPr>
        <w:t xml:space="preserve">Fecha:</w:t>
      </w:r>
      <w:r>
        <w:t xml:space="preserve"> 10 de octubre de 2026 · </w:t>
      </w:r>
      <w:r>
        <w:rPr>
          <w:b/>
        </w:rPr>
        <w:t xml:space="preserve">Alcance:</w:t>
      </w:r>
      <w:r>
        <w:t xml:space="preserve"> 152 celdas del notebook v9 · </w:t>
      </w:r>
      <w:r>
        <w:rPr>
          <w:b/>
        </w:rPr>
        <w:t xml:space="preserve">Datos:</w:t>
      </w:r>
      <w:r>
        <w:t xml:space="preserve"> </w:t>
      </w:r>
      <w:r>
        <w:rPr>
          <w:rStyle w:val="CodeChar"/>
        </w:rPr>
        <w:t xml:space="preserve">S1.nii.sz.corrected.dti.fz</w:t>
      </w:r>
      <w:r>
        <w:t xml:space="preserve">, </w:t>
      </w:r>
      <w:r>
        <w:rPr>
          <w:rStyle w:val="CodeChar"/>
        </w:rPr>
        <w:t xml:space="preserve">nii_sz_corrected.tt.gz</w:t>
      </w:r>
      <w:r>
        <w:t xml:space="preserve"> (108,929 streamlines, 8 clústeres) y lista de nombres de Autotrack.</w:t>
      </w:r>
    </w:p>
    <w:p>
      <w:pPr>
        <w:pStyle w:val="Heading2"/>
      </w:pPr>
      <w:r>
        <w:t xml:space="preserve">1. Resumen ejecutivo</w:t>
      </w:r>
    </w:p>
    <w:p>
      <w:pPr/>
      <w:r>
        <w:t xml:space="preserve">El notebook decodifica correctamente el formato TinyTrack, usa un marco de coordenadas coherente con el tensor de difusión y reproduce sus propias cifras al ejecutarlo con los datos reales. Sin embargo, presenta </w:t>
      </w:r>
      <w:r>
        <w:rPr>
          <w:b/>
        </w:rPr>
        <w:t xml:space="preserve">un error de código que inutiliza las Secciones 7 y 8</w:t>
      </w:r>
      <w:r>
        <w:t xml:space="preserve">, una </w:t>
      </w:r>
      <w:r>
        <w:rPr>
          <w:b/>
        </w:rPr>
        <w:t xml:space="preserve">validación circular sobreafirmada</w:t>
      </w:r>
      <w:r>
        <w:t xml:space="preserve"> (n = 1, reglas diseñadas con el mismo paciente), </w:t>
      </w:r>
      <w:r>
        <w:rPr>
          <w:b/>
        </w:rPr>
        <w:t xml:space="preserve">inferencia estadística que trata streamlines redundantes como independientes</w:t>
      </w:r>
      <w:r>
        <w:t xml:space="preserve"> y varias limitaciones de adquisición relevantes para cualquier uso clínico.</w:t>
      </w:r>
    </w:p>
    <w:p>
      <w:pPr/>
      <w:r>
        <w:t xml:space="preserve">Se entregó una versión corregida (v10) que se ejecutó completa sin errores (262 s), con un nuevo Anexo A de auditoría.</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Aspecto</w:t>
            </w:r>
          </w:p>
        </w:tc>
        <w:tc>
          <w:tcPr>
            <w:tcW w:w="4680" w:type="dxa"/>
            <w:shd w:val="clear" w:color="auto" w:fill="F2F2F2"/>
          </w:tcPr>
          <w:p>
            <w:pPr/>
            <w:r>
              <w:t xml:space="preserve">Veredicto</w:t>
            </w:r>
          </w:p>
        </w:tc>
      </w:tr>
      <w:tr>
        <w:tc>
          <w:tcPr>
            <w:tcW w:w="4680" w:type="dxa"/>
          </w:tcPr>
          <w:p>
            <w:pPr/>
            <w:r>
              <w:t xml:space="preserve">Decodificación TinyTrack y ejes</w:t>
            </w:r>
          </w:p>
        </w:tc>
        <w:tc>
          <w:tcPr>
            <w:tcW w:w="4680" w:type="dxa"/>
          </w:tcPr>
          <w:p>
            <w:pPr/>
            <w:r>
              <w:t xml:space="preserve">Correcta (verificada de forma independiente)</w:t>
            </w:r>
          </w:p>
        </w:tc>
      </w:tr>
      <w:tr>
        <w:tc>
          <w:tcPr>
            <w:tcW w:w="4680" w:type="dxa"/>
          </w:tcPr>
          <w:p>
            <w:pPr/>
            <w:r>
              <w:t xml:space="preserve">Reproducibilidad de cifras del autor</w:t>
            </w:r>
          </w:p>
        </w:tc>
        <w:tc>
          <w:tcPr>
            <w:tcW w:w="4680" w:type="dxa"/>
          </w:tcPr>
          <w:p>
            <w:pPr/>
            <w:r>
              <w:t xml:space="preserve">Confirmada</w:t>
            </w:r>
          </w:p>
        </w:tc>
      </w:tr>
      <w:tr>
        <w:tc>
          <w:tcPr>
            <w:tcW w:w="4680" w:type="dxa"/>
          </w:tcPr>
          <w:p>
            <w:pPr/>
            <w:r>
              <w:t xml:space="preserve">Secciones 7 y 8 (render DSI, imágenes para CNN)</w:t>
            </w:r>
          </w:p>
        </w:tc>
        <w:tc>
          <w:tcPr>
            <w:tcW w:w="4680" w:type="dxa"/>
          </w:tcPr>
          <w:p>
            <w:pPr/>
            <w:r>
              <w:t xml:space="preserve">Estaban inoperantes por un bug; corregido en v10</w:t>
            </w:r>
          </w:p>
        </w:tc>
      </w:tr>
      <w:tr>
        <w:tc>
          <w:tcPr>
            <w:tcW w:w="4680" w:type="dxa"/>
          </w:tcPr>
          <w:p>
            <w:pPr/>
            <w:r>
              <w:t xml:space="preserve">"Validación 100 %" de reglas</w:t>
            </w:r>
          </w:p>
        </w:tc>
        <w:tc>
          <w:tcPr>
            <w:tcW w:w="4680" w:type="dxa"/>
          </w:tcPr>
          <w:p>
            <w:pPr/>
            <w:r>
              <w:t xml:space="preserve">Sobreafirmada: resustitución, n = 1</w:t>
            </w:r>
          </w:p>
        </w:tc>
      </w:tr>
      <w:tr>
        <w:tc>
          <w:tcPr>
            <w:tcW w:w="4680" w:type="dxa"/>
          </w:tcPr>
          <w:p>
            <w:pPr/>
            <w:r>
              <w:t xml:space="preserve">Bootstrap y Mann-Whitney por streamline</w:t>
            </w:r>
          </w:p>
        </w:tc>
        <w:tc>
          <w:tcPr>
            <w:tcW w:w="4680" w:type="dxa"/>
          </w:tcPr>
          <w:p>
            <w:pPr/>
            <w:r>
              <w:t xml:space="preserve">No son inferencia válida a nivel de sujeto</w:t>
            </w:r>
          </w:p>
        </w:tc>
      </w:tr>
      <w:tr>
        <w:tc>
          <w:tcPr>
            <w:tcW w:w="4680" w:type="dxa"/>
          </w:tcPr>
          <w:p>
            <w:pPr/>
            <w:r>
              <w:t xml:space="preserve">Uso para planificación quirúrgica</w:t>
            </w:r>
          </w:p>
        </w:tc>
        <w:tc>
          <w:tcPr>
            <w:tcW w:w="4680" w:type="dxa"/>
          </w:tcPr>
          <w:p>
            <w:pPr/>
            <w:r>
              <w:t xml:space="preserve">No apto sin validación adicional</w:t>
            </w:r>
          </w:p>
        </w:tc>
      </w:tr>
    </w:tbl>
    <w:p>
      <w:pPr>
        <w:pStyle w:val="Heading2"/>
      </w:pPr>
      <w:r>
        <w:t xml:space="preserve">2. Metodología de la auditoría</w:t>
      </w:r>
    </w:p>
    <w:p>
      <w:pPr>
        <w:pStyle w:val="ListParagraph"/>
        <w:numPr>
          <w:ilvl w:val="0"/>
          <w:numId w:val="2"/>
        </w:numPr>
      </w:pPr>
      <w:r>
        <w:rPr>
          <w:b/>
        </w:rPr>
        <w:t xml:space="preserve">Ejecución completa</w:t>
      </w:r>
      <w:r>
        <w:t xml:space="preserve"> del notebook original con los adjuntos en un entorno local (Python 3.12), con sustitución de rutas de Drive y sin interfaz gráfica.</w:t>
      </w:r>
    </w:p>
    <w:p>
      <w:pPr>
        <w:pStyle w:val="ListParagraph"/>
        <w:numPr>
          <w:ilvl w:val="0"/>
          <w:numId w:val="2"/>
        </w:numPr>
      </w:pPr>
      <w:r>
        <w:rPr>
          <w:b/>
        </w:rPr>
        <w:t xml:space="preserve">Reproducción</w:t>
      </w:r>
      <w:r>
        <w:t xml:space="preserve"> de las salidas guardadas por el autor (por ejemplo, densidades TDI por clúster en la celda 118) para confirmar que los resultados no dependen del entorno.</w:t>
      </w:r>
    </w:p>
    <w:p>
      <w:pPr>
        <w:pStyle w:val="ListParagraph"/>
        <w:numPr>
          <w:ilvl w:val="0"/>
          <w:numId w:val="2"/>
        </w:numPr>
      </w:pPr>
      <w:r>
        <w:rPr>
          <w:b/>
        </w:rPr>
        <w:t xml:space="preserve">Pruebas independientes propias</w:t>
      </w:r>
      <w:r>
        <w:t xml:space="preserve"> sobre los datos: integridad de la decodificación, coherencia de ejes contra </w:t>
      </w:r>
      <w:r>
        <w:rPr>
          <w:rStyle w:val="CodeChar"/>
        </w:rPr>
        <w:t xml:space="preserve">dir0</w:t>
      </w:r>
      <w:r>
        <w:t xml:space="preserve">, margen del algoritmo húngaro, robustez de reglas por hemisferio, duplicados, solapamiento espacial, redundancia de streamlines, sensibilidad al tamaño de clúster, truncamiento de longitudes y orientación extremo-a-extremo.</w:t>
      </w:r>
    </w:p>
    <w:p>
      <w:pPr>
        <w:pStyle w:val="ListParagraph"/>
        <w:numPr>
          <w:ilvl w:val="0"/>
          <w:numId w:val="2"/>
        </w:numPr>
      </w:pPr>
      <w:r>
        <w:rPr>
          <w:b/>
        </w:rPr>
        <w:t xml:space="preserve">Lectura crítica del código y del texto</w:t>
      </w:r>
      <w:r>
        <w:t xml:space="preserve"> celda por celda.</w:t>
      </w:r>
    </w:p>
    <w:p>
      <w:pPr>
        <w:pStyle w:val="ListParagraph"/>
        <w:numPr>
          <w:ilvl w:val="0"/>
          <w:numId w:val="2"/>
        </w:numPr>
      </w:pPr>
      <w:r>
        <w:rPr>
          <w:b/>
        </w:rPr>
        <w:t xml:space="preserve">Verificación bibliográfica</w:t>
      </w:r>
      <w:r>
        <w:t xml:space="preserve"> de una referencia clave (Yeh 2025, </w:t>
      </w:r>
      <w:r>
        <w:rPr>
          <w:i/>
        </w:rPr>
        <w:t xml:space="preserve">Nature Methods</w:t>
      </w:r>
      <w:r>
        <w:t xml:space="preserve"> 22(8):1617–1619), confirmada. Las demás citas no se verificaron.</w:t>
      </w:r>
    </w:p>
    <w:p>
      <w:pPr/>
      <w:r>
        <w:rPr>
          <w:b/>
        </w:rPr>
        <w:t xml:space="preserve">Limitación de la auditoría:</w:t>
      </w:r>
      <w:r>
        <w:t xml:space="preserve"> no se inspeccionaron visualmente las figuras (ejecución sin pantalla), de modo que la calidad estética y la corrección visual de renders 2D/3D quedan sin revisar.</w:t>
      </w:r>
    </w:p>
    <w:p>
      <w:pPr>
        <w:pStyle w:val="Heading2"/>
      </w:pPr>
      <w:r>
        <w:t xml:space="preserve">3. Lo que está bien (verificado)</w:t>
      </w:r>
    </w:p>
    <w:p>
      <w:pPr>
        <w:pStyle w:val="ListParagraph"/>
        <w:numPr>
          <w:ilvl w:val="0"/>
          <w:numId w:val="3"/>
        </w:numPr>
      </w:pPr>
      <w:r>
        <w:rPr>
          <w:b/>
        </w:rPr>
        <w:t xml:space="preserve">Decodificación:</w:t>
      </w:r>
      <w:r>
        <w:t xml:space="preserve"> el buffer binario se consume exactamente; paso medio entre puntos 1.000 ± 0.013 mm (muestreo uniforme, lo que valida el PCA sobre puntos agrupados como ponderación por longitud de arco).</w:t>
      </w:r>
    </w:p>
    <w:p>
      <w:pPr>
        <w:pStyle w:val="ListParagraph"/>
        <w:numPr>
          <w:ilvl w:val="0"/>
          <w:numId w:val="3"/>
        </w:numPr>
      </w:pPr>
      <w:r>
        <w:rPr>
          <w:b/>
        </w:rPr>
        <w:t xml:space="preserve">Marco de coordenadas:</w:t>
      </w:r>
      <w:r>
        <w:t xml:space="preserve"> la tangente de las streamlines contra la dirección principal </w:t>
      </w:r>
      <w:r>
        <w:rPr>
          <w:rStyle w:val="CodeChar"/>
        </w:rPr>
        <w:t xml:space="preserve">dir0</w:t>
      </w:r>
      <w:r>
        <w:t xml:space="preserve"> del </w:t>
      </w:r>
      <w:r>
        <w:rPr>
          <w:rStyle w:val="CodeChar"/>
        </w:rPr>
        <w:t xml:space="preserve">.fz</w:t>
      </w:r>
      <w:r>
        <w:t xml:space="preserve"> da |cos| medio = </w:t>
      </w:r>
      <w:r>
        <w:rPr>
          <w:b/>
        </w:rPr>
        <w:t xml:space="preserve">0.989</w:t>
      </w:r>
      <w:r>
        <w:t xml:space="preserve"> con los ejes tal como están, frente a </w:t>
      </w:r>
      <w:r>
        <w:rPr>
          <w:b/>
        </w:rPr>
        <w:t xml:space="preserve">0.723–0.728</w:t>
      </w:r>
      <w:r>
        <w:t xml:space="preserve"> para la mejor alternativa con ejes permutados o invertidos (azar ≈ 0.5). El FA en los puntos de cada clúster va de 0.46 a 0.59.</w:t>
      </w:r>
    </w:p>
    <w:p>
      <w:pPr>
        <w:pStyle w:val="ListParagraph"/>
        <w:numPr>
          <w:ilvl w:val="0"/>
          <w:numId w:val="3"/>
        </w:numPr>
      </w:pPr>
      <w:r>
        <w:rPr>
          <w:b/>
        </w:rPr>
        <w:t xml:space="preserve">Lateralidad:</w:t>
      </w:r>
      <w:r>
        <w:t xml:space="preserve"> X crece hacia la izquierda; coherente con los datos y con el signo del eje X de la afín del archivo.</w:t>
      </w:r>
    </w:p>
    <w:p>
      <w:pPr>
        <w:pStyle w:val="ListParagraph"/>
        <w:numPr>
          <w:ilvl w:val="0"/>
          <w:numId w:val="3"/>
        </w:numPr>
      </w:pPr>
      <w:r>
        <w:rPr>
          <w:b/>
        </w:rPr>
        <w:t xml:space="preserve">Asimetrías (índices de lateralidad):</w:t>
      </w:r>
      <w:r>
        <w:t xml:space="preserve"> no son artefacto del desbalance de N. Al igualar el tamaño de muestra (submuestreo del lado mayor, 200 repeticiones) los índices casi no cambian (por ejemplo, ILF λ₂: +0.309 → +0.309).</w:t>
      </w:r>
    </w:p>
    <w:p>
      <w:pPr>
        <w:pStyle w:val="ListParagraph"/>
        <w:numPr>
          <w:ilvl w:val="0"/>
          <w:numId w:val="3"/>
        </w:numPr>
      </w:pPr>
      <w:r>
        <w:rPr>
          <w:b/>
        </w:rPr>
        <w:t xml:space="preserve">Integridad de datos:</w:t>
      </w:r>
      <w:r>
        <w:t xml:space="preserve"> no hay streamlines duplicadas y el solapamiento voxelar entre clústeres es bajo (Dice ≤ 0.12).</w:t>
      </w:r>
    </w:p>
    <w:p>
      <w:pPr>
        <w:pStyle w:val="ListParagraph"/>
        <w:numPr>
          <w:ilvl w:val="0"/>
          <w:numId w:val="3"/>
        </w:numPr>
      </w:pPr>
      <w:r>
        <w:rPr>
          <w:b/>
        </w:rPr>
        <w:t xml:space="preserve">Emparejamiento húngaro:</w:t>
      </w:r>
      <w:r>
        <w:t xml:space="preserve"> robusto (margen del 67 % con el costo original y 79 % con z-score), aunque falla si se usa solo la longitud.</w:t>
      </w:r>
    </w:p>
    <w:p>
      <w:pPr>
        <w:pStyle w:val="Heading2"/>
      </w:pPr>
      <w:r>
        <w:t xml:space="preserve">4. Hallazgos críticos de código</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Celda(s)</w:t>
            </w:r>
          </w:p>
        </w:tc>
        <w:tc>
          <w:tcPr>
            <w:tcW w:w="2340" w:type="dxa"/>
            <w:shd w:val="clear" w:color="auto" w:fill="F2F2F2"/>
          </w:tcPr>
          <w:p>
            <w:pPr/>
            <w:r>
              <w:t xml:space="preserve">Hallazgo</w:t>
            </w:r>
          </w:p>
        </w:tc>
        <w:tc>
          <w:tcPr>
            <w:tcW w:w="2340" w:type="dxa"/>
            <w:shd w:val="clear" w:color="auto" w:fill="F2F2F2"/>
          </w:tcPr>
          <w:p>
            <w:pPr/>
            <w:r>
              <w:t xml:space="preserve">Impacto</w:t>
            </w:r>
          </w:p>
        </w:tc>
        <w:tc>
          <w:tcPr>
            <w:tcW w:w="2340" w:type="dxa"/>
            <w:shd w:val="clear" w:color="auto" w:fill="F2F2F2"/>
          </w:tcPr>
          <w:p>
            <w:pPr/>
            <w:r>
              <w:t xml:space="preserve">Corrección en v10</w:t>
            </w:r>
          </w:p>
        </w:tc>
      </w:tr>
      <w:tr>
        <w:tc>
          <w:tcPr>
            <w:tcW w:w="2340" w:type="dxa"/>
          </w:tcPr>
          <w:p>
            <w:pPr/>
            <w:r>
              <w:t xml:space="preserve">118 → 128, 143, 145, 147</w:t>
            </w:r>
          </w:p>
        </w:tc>
        <w:tc>
          <w:tcPr>
            <w:tcW w:w="2340" w:type="dxa"/>
          </w:tcPr>
          <w:p>
            <w:pPr/>
            <w:r>
              <w:rPr>
                <w:rStyle w:val="CodeChar"/>
              </w:rPr>
              <w:t xml:space="preserve">volumenes_tdi</w:t>
            </w:r>
            <w:r>
              <w:t xml:space="preserve"> nunca se asigna. Las Secciones 7 y 8 imprimen "Ejecute primero…" y no generan nada. Las salidas guardadas de esas celdas están vacías y la Conclusión afirma que se generaron.</w:t>
            </w:r>
          </w:p>
        </w:tc>
        <w:tc>
          <w:tcPr>
            <w:tcW w:w="2340" w:type="dxa"/>
          </w:tcPr>
          <w:p>
            <w:pPr/>
            <w:r>
              <w:t xml:space="preserve">Alto: pipeline para la CNN del Archivo 3 inoperante</w:t>
            </w:r>
          </w:p>
        </w:tc>
        <w:tc>
          <w:tcPr>
            <w:tcW w:w="2340" w:type="dxa"/>
          </w:tcPr>
          <w:p>
            <w:pPr/>
            <w:r>
              <w:t xml:space="preserve">Se crea </w:t>
            </w:r>
            <w:r>
              <w:rPr>
                <w:rStyle w:val="CodeChar"/>
              </w:rPr>
              <w:t xml:space="preserve">volumenes_tdi = {}</w:t>
            </w:r>
            <w:r>
              <w:t xml:space="preserve"> y se llena por clúster en el bucle</w:t>
            </w:r>
          </w:p>
        </w:tc>
      </w:tr>
      <w:tr>
        <w:tc>
          <w:tcPr>
            <w:tcW w:w="2340" w:type="dxa"/>
          </w:tcPr>
          <w:p>
            <w:pPr/>
            <w:r>
              <w:t xml:space="preserve">131</w:t>
            </w:r>
          </w:p>
        </w:tc>
        <w:tc>
          <w:tcPr>
            <w:tcW w:w="2340" w:type="dxa"/>
          </w:tcPr>
          <w:p>
            <w:pPr/>
            <w:r>
              <w:t xml:space="preserve">El visor 3D con deslizador repite la traza completa de fibras en cada uno de ~80 frames; excede 150 s</w:t>
            </w:r>
          </w:p>
        </w:tc>
        <w:tc>
          <w:tcPr>
            <w:tcW w:w="2340" w:type="dxa"/>
          </w:tcPr>
          <w:p>
            <w:pPr/>
            <w:r>
              <w:t xml:space="preserve">Medio: celda impráctica</w:t>
            </w:r>
          </w:p>
        </w:tc>
        <w:tc>
          <w:tcPr>
            <w:tcW w:w="2340" w:type="dxa"/>
          </w:tcPr>
          <w:p>
            <w:pPr/>
            <w:r>
              <w:t xml:space="preserve">Frames solo actualizan la superficie (</w:t>
            </w:r>
            <w:r>
              <w:rPr>
                <w:rStyle w:val="CodeChar"/>
              </w:rPr>
              <w:t xml:space="preserve">traces=[1]</w:t>
            </w:r>
            <w:r>
              <w:t xml:space="preserve">)</w:t>
            </w:r>
          </w:p>
        </w:tc>
      </w:tr>
      <w:tr>
        <w:tc>
          <w:tcPr>
            <w:tcW w:w="2340" w:type="dxa"/>
          </w:tcPr>
          <w:p>
            <w:pPr/>
            <w:r>
              <w:t xml:space="preserve">7</w:t>
            </w:r>
          </w:p>
        </w:tc>
        <w:tc>
          <w:tcPr>
            <w:tcW w:w="2340" w:type="dxa"/>
          </w:tcPr>
          <w:p>
            <w:pPr/>
            <w:r>
              <w:t xml:space="preserve">Import de </w:t>
            </w:r>
            <w:r>
              <w:rPr>
                <w:rStyle w:val="CodeChar"/>
              </w:rPr>
              <w:t xml:space="preserve">google.colab</w:t>
            </w:r>
            <w:r>
              <w:t xml:space="preserve"> sin protección</w:t>
            </w:r>
          </w:p>
        </w:tc>
        <w:tc>
          <w:tcPr>
            <w:tcW w:w="2340" w:type="dxa"/>
          </w:tcPr>
          <w:p>
            <w:pPr/>
            <w:r>
              <w:t xml:space="preserve">Medio: falla fuera de Colab</w:t>
            </w:r>
          </w:p>
        </w:tc>
        <w:tc>
          <w:tcPr>
            <w:tcW w:w="2340" w:type="dxa"/>
          </w:tcPr>
          <w:p>
            <w:pPr/>
            <w:r>
              <w:t xml:space="preserve">Bloque </w:t>
            </w:r>
            <w:r>
              <w:rPr>
                <w:rStyle w:val="CodeChar"/>
              </w:rPr>
              <w:t xml:space="preserve">try/except</w:t>
            </w:r>
          </w:p>
        </w:tc>
      </w:tr>
      <w:tr>
        <w:tc>
          <w:tcPr>
            <w:tcW w:w="2340" w:type="dxa"/>
          </w:tcPr>
          <w:p>
            <w:pPr/>
            <w:r>
              <w:t xml:space="preserve">8, 40</w:t>
            </w:r>
          </w:p>
        </w:tc>
        <w:tc>
          <w:tcPr>
            <w:tcW w:w="2340" w:type="dxa"/>
          </w:tcPr>
          <w:p>
            <w:pPr/>
            <w:r>
              <w:t xml:space="preserve">Rutas solo de Drive; nombre de </w:t>
            </w:r>
            <w:r>
              <w:rPr>
                <w:rStyle w:val="CodeChar"/>
              </w:rPr>
              <w:t xml:space="preserve">.tt.gz</w:t>
            </w:r>
            <w:r>
              <w:t xml:space="preserve"> sin prefijo </w:t>
            </w:r>
            <w:r>
              <w:rPr>
                <w:rStyle w:val="CodeChar"/>
              </w:rPr>
              <w:t xml:space="preserve">S1_</w:t>
            </w:r>
            <w:r>
              <w:t xml:space="preserve"> mientras el de nombres sí lo lleva; el respaldo nunca coincide</w:t>
            </w:r>
          </w:p>
        </w:tc>
        <w:tc>
          <w:tcPr>
            <w:tcW w:w="2340" w:type="dxa"/>
          </w:tcPr>
          <w:p>
            <w:pPr/>
            <w:r>
              <w:t xml:space="preserve">Medio</w:t>
            </w:r>
          </w:p>
        </w:tc>
        <w:tc>
          <w:tcPr>
            <w:tcW w:w="2340" w:type="dxa"/>
          </w:tcPr>
          <w:p>
            <w:pPr/>
            <w:r>
              <w:t xml:space="preserve">Búsqueda portable de rutas con nombres alternativos</w:t>
            </w:r>
          </w:p>
        </w:tc>
      </w:tr>
      <w:tr>
        <w:tc>
          <w:tcPr>
            <w:tcW w:w="2340" w:type="dxa"/>
          </w:tcPr>
          <w:p>
            <w:pPr/>
            <w:r>
              <w:t xml:space="preserve">17</w:t>
            </w:r>
          </w:p>
        </w:tc>
        <w:tc>
          <w:tcPr>
            <w:tcW w:w="2340" w:type="dxa"/>
          </w:tcPr>
          <w:p>
            <w:pPr/>
            <w:r>
              <w:t xml:space="preserve">Si el tamaño no coincide con la máscara, se asigna el vector compacto sin avisar</w:t>
            </w:r>
          </w:p>
        </w:tc>
        <w:tc>
          <w:tcPr>
            <w:tcW w:w="2340" w:type="dxa"/>
          </w:tcPr>
          <w:p>
            <w:pPr/>
            <w:r>
              <w:t xml:space="preserve">Medio: volumen corrupto silencioso</w:t>
            </w:r>
          </w:p>
        </w:tc>
        <w:tc>
          <w:tcPr>
            <w:tcW w:w="2340" w:type="dxa"/>
          </w:tcPr>
          <w:p>
            <w:pPr/>
            <w:r>
              <w:t xml:space="preserve">Lanza </w:t>
            </w:r>
            <w:r>
              <w:rPr>
                <w:rStyle w:val="CodeChar"/>
              </w:rPr>
              <w:t xml:space="preserve">ValueError</w:t>
            </w:r>
          </w:p>
        </w:tc>
      </w:tr>
      <w:tr>
        <w:tc>
          <w:tcPr>
            <w:tcW w:w="2340" w:type="dxa"/>
          </w:tcPr>
          <w:p>
            <w:pPr/>
            <w:r>
              <w:t xml:space="preserve">67</w:t>
            </w:r>
          </w:p>
        </w:tc>
        <w:tc>
          <w:tcPr>
            <w:tcW w:w="2340" w:type="dxa"/>
          </w:tcPr>
          <w:p>
            <w:pPr/>
            <w:r>
              <w:t xml:space="preserve">Tabla "Resumen por tracto" con SD = NaN y rango trivial (n = 1 por grupo)</w:t>
            </w:r>
          </w:p>
        </w:tc>
        <w:tc>
          <w:tcPr>
            <w:tcW w:w="2340" w:type="dxa"/>
          </w:tcPr>
          <w:p>
            <w:pPr/>
            <w:r>
              <w:t xml:space="preserve">Bajo</w:t>
            </w:r>
          </w:p>
        </w:tc>
        <w:tc>
          <w:tcPr>
            <w:tcW w:w="2340" w:type="dxa"/>
          </w:tcPr>
          <w:p>
            <w:pPr/>
            <w:r>
              <w:t xml:space="preserve">Columnas eliminadas</w:t>
            </w:r>
          </w:p>
        </w:tc>
      </w:tr>
      <w:tr>
        <w:tc>
          <w:tcPr>
            <w:tcW w:w="2340" w:type="dxa"/>
          </w:tcPr>
          <w:p>
            <w:pPr/>
            <w:r>
              <w:t xml:space="preserve">30, 148</w:t>
            </w:r>
          </w:p>
        </w:tc>
        <w:tc>
          <w:tcPr>
            <w:tcW w:w="2340" w:type="dxa"/>
          </w:tcPr>
          <w:p>
            <w:pPr/>
            <w:r>
              <w:t xml:space="preserve">Se llama "distancia euclidiana" a un costo L1 con unidades mezcladas</w:t>
            </w:r>
          </w:p>
        </w:tc>
        <w:tc>
          <w:tcPr>
            <w:tcW w:w="2340" w:type="dxa"/>
          </w:tcPr>
          <w:p>
            <w:pPr/>
            <w:r>
              <w:t xml:space="preserve">Bajo (consistencia)</w:t>
            </w:r>
          </w:p>
        </w:tc>
        <w:tc>
          <w:tcPr>
            <w:tcW w:w="2340" w:type="dxa"/>
          </w:tcPr>
          <w:p>
            <w:pPr/>
            <w:r>
              <w:t xml:space="preserve">Se renombra a L1 (Manhattan, sin estandarizar)</w:t>
            </w:r>
          </w:p>
        </w:tc>
      </w:tr>
      <w:tr>
        <w:tc>
          <w:tcPr>
            <w:tcW w:w="2340" w:type="dxa"/>
          </w:tcPr>
          <w:p>
            <w:pPr/>
            <w:r>
              <w:t xml:space="preserve">74 = 97, 133 = 136, 135, 76/77</w:t>
            </w:r>
          </w:p>
        </w:tc>
        <w:tc>
          <w:tcPr>
            <w:tcW w:w="2340" w:type="dxa"/>
          </w:tcPr>
          <w:p>
            <w:pPr/>
            <w:r>
              <w:t xml:space="preserve">Celdas duplicadas, una vacía y un encabezado repetido</w:t>
            </w:r>
          </w:p>
        </w:tc>
        <w:tc>
          <w:tcPr>
            <w:tcW w:w="2340" w:type="dxa"/>
          </w:tcPr>
          <w:p>
            <w:pPr/>
            <w:r>
              <w:t xml:space="preserve">Bajo</w:t>
            </w:r>
          </w:p>
        </w:tc>
        <w:tc>
          <w:tcPr>
            <w:tcW w:w="2340" w:type="dxa"/>
          </w:tcPr>
          <w:p>
            <w:pPr/>
            <w:r>
              <w:t xml:space="preserve">Eliminadas</w:t>
            </w:r>
          </w:p>
        </w:tc>
      </w:tr>
    </w:tbl>
    <w:p>
      <w:pPr>
        <w:pStyle w:val="Heading2"/>
      </w:pPr>
      <w:r>
        <w:t xml:space="preserve">5. Validez científica y estadística</w:t>
      </w:r>
    </w:p>
    <w:p>
      <w:pPr>
        <w:pStyle w:val="Heading3"/>
      </w:pPr>
      <w:r>
        <w:t xml:space="preserve">5.1 Validación circular y sobreafirmada</w:t>
      </w:r>
    </w:p>
    <w:p>
      <w:pPr/>
      <w:r>
        <w:t xml:space="preserve">Las reglas geométricas se diseñaron y se evaluaron con el mismo paciente (</w:t>
      </w:r>
      <w:r>
        <w:rPr>
          <w:b/>
        </w:rPr>
        <w:t xml:space="preserve">resustitución, n = 1</w:t>
      </w:r>
      <w:r>
        <w:t xml:space="preserve">). El "100 %" ponderado por streamlines carece de valor informativo y el </w:t>
      </w:r>
      <w:r>
        <w:rPr>
          <w:i/>
        </w:rPr>
        <w:t xml:space="preserve">recall</w:t>
      </w:r>
      <w:r>
        <w:t xml:space="preserve"> por clase solo puede valer 0, 0.5 o 1 (hay dos clústeres por tracto). La probabilidad de acertar los cuatro pares por azar es </w:t>
      </w:r>
      <w:r>
        <w:rPr>
          <w:b/>
        </w:rPr>
        <w:t xml:space="preserve">1/24 ≈ 0.042</w:t>
      </w:r>
      <w:r>
        <w:t xml:space="preserve">.</w:t>
      </w:r>
    </w:p>
    <w:p>
      <w:pPr/>
      <w:r>
        <w:t xml:space="preserve">La "referencia independiente" tampoco lo es: los nombres </w:t>
      </w:r>
      <w:r>
        <w:rPr>
          <w:rStyle w:val="CodeChar"/>
        </w:rPr>
        <w:t xml:space="preserve">s1_arc</w:t>
      </w:r>
      <w:r>
        <w:t xml:space="preserve">, </w:t>
      </w:r>
      <w:r>
        <w:rPr>
          <w:rStyle w:val="CodeChar"/>
        </w:rPr>
        <w:t xml:space="preserve">s1_unc</w:t>
      </w:r>
      <w:r>
        <w:t xml:space="preserve">, </w:t>
      </w:r>
      <w:r>
        <w:rPr>
          <w:rStyle w:val="CodeChar"/>
        </w:rPr>
        <w:t xml:space="preserve">s1_flm</w:t>
      </w:r>
      <w:r>
        <w:t xml:space="preserve">, </w:t>
      </w:r>
      <w:r>
        <w:rPr>
          <w:rStyle w:val="CodeChar"/>
        </w:rPr>
        <w:t xml:space="preserve">s1_fli</w:t>
      </w:r>
      <w:r>
        <w:t xml:space="preserve"> son etiquetas manuales, y el mapeo </w:t>
      </w:r>
      <w:r>
        <w:rPr>
          <w:rStyle w:val="CodeChar"/>
        </w:rPr>
        <w:t xml:space="preserve">flm → MdLF</w:t>
      </w:r>
      <w:r>
        <w:t xml:space="preserve">, </w:t>
      </w:r>
      <w:r>
        <w:rPr>
          <w:rStyle w:val="CodeChar"/>
        </w:rPr>
        <w:t xml:space="preserve">fli → ILF</w:t>
      </w:r>
      <w:r>
        <w:t xml:space="preserve"> es una suposición del notebook (abreviaturas aparentemente en francés) no documentada. El reporte interno del </w:t>
      </w:r>
      <w:r>
        <w:rPr>
          <w:rStyle w:val="CodeChar"/>
        </w:rPr>
        <w:t xml:space="preserve">.tt.gz</w:t>
      </w:r>
      <w:r>
        <w:t xml:space="preserve"> menciona únicamente </w:t>
      </w:r>
      <w:r>
        <w:rPr>
          <w:rStyle w:val="CodeChar"/>
        </w:rPr>
        <w:t xml:space="preserve">ArcuateFasciculusL</w:t>
      </w:r>
      <w:r>
        <w:t xml:space="preserve">.</w:t>
      </w:r>
    </w:p>
    <w:p>
      <w:pPr>
        <w:pStyle w:val="Heading3"/>
      </w:pPr>
      <w:r>
        <w:t xml:space="preserve">5.2 Fragilidad de las reglas de clasificación</w:t>
      </w:r>
    </w:p>
    <w:p>
      <w:pPr>
        <w:pStyle w:val="ListParagraph"/>
        <w:numPr>
          <w:ilvl w:val="0"/>
          <w:numId w:val="4"/>
        </w:numPr>
      </w:pPr>
      <w:r>
        <w:t xml:space="preserve">Aplicadas </w:t>
      </w:r>
      <w:r>
        <w:rPr>
          <w:b/>
        </w:rPr>
        <w:t xml:space="preserve">por hemisferio</w:t>
      </w:r>
      <w:r>
        <w:t xml:space="preserve"> fallan en el lado derecho: el clúster </w:t>
      </w:r>
      <w:r>
        <w:rPr>
          <w:rStyle w:val="CodeChar"/>
        </w:rPr>
        <w:t xml:space="preserve">fli_r</w:t>
      </w:r>
      <w:r>
        <w:t xml:space="preserve"> queda como arcuato y </w:t>
      </w:r>
      <w:r>
        <w:rPr>
          <w:rStyle w:val="CodeChar"/>
        </w:rPr>
        <w:t xml:space="preserve">arc_r</w:t>
      </w:r>
      <w:r>
        <w:t xml:space="preserve"> como ILF.</w:t>
      </w:r>
    </w:p>
    <w:p>
      <w:pPr>
        <w:pStyle w:val="ListParagraph"/>
        <w:numPr>
          <w:ilvl w:val="0"/>
          <w:numId w:val="4"/>
        </w:numPr>
      </w:pPr>
      <w:r>
        <w:t xml:space="preserve">ILF-R mide 98.85 mm y ARC-R 98.82 mm; solo el promedio del par (101.6 frente a 93.2 mm) los separa.</w:t>
      </w:r>
    </w:p>
    <w:p>
      <w:pPr>
        <w:pStyle w:val="ListParagraph"/>
        <w:numPr>
          <w:ilvl w:val="0"/>
          <w:numId w:val="4"/>
        </w:numPr>
      </w:pPr>
      <w:r>
        <w:t xml:space="preserve">La Regla 3 (MdLF = mínimo de distancia medial − z) se decide por z (diferencia de 18.9 mm); la diferencia en distancia medial es de solo 1.4 mm.</w:t>
      </w:r>
    </w:p>
    <w:p>
      <w:pPr>
        <w:pStyle w:val="ListParagraph"/>
        <w:numPr>
          <w:ilvl w:val="0"/>
          <w:numId w:val="4"/>
        </w:numPr>
      </w:pPr>
      <w:r>
        <w:t xml:space="preserve">La premisa "el arcuato es más largo que el ILF" no está respaldada de forma sólida en la literatura.</w:t>
      </w:r>
    </w:p>
    <w:p>
      <w:pPr>
        <w:pStyle w:val="Heading3"/>
      </w:pPr>
      <w:r>
        <w:t xml:space="preserve">5.3 Inferencia por streamline</w:t>
      </w:r>
    </w:p>
    <w:p>
      <w:pPr/>
      <w:r>
        <w:t xml:space="preserve">Las streamlines son muy redundantes: el </w:t>
      </w:r>
      <w:r>
        <w:rPr>
          <w:b/>
        </w:rPr>
        <w:t xml:space="preserve">99.8 %</w:t>
      </w:r>
      <w:r>
        <w:t xml:space="preserve"> tiene otro punto de inicio a menos de un vóxel. En consecuencia:</w:t>
      </w:r>
    </w:p>
    <w:p>
      <w:pPr>
        <w:pStyle w:val="ListParagraph"/>
        <w:numPr>
          <w:ilvl w:val="0"/>
          <w:numId w:val="5"/>
        </w:numPr>
      </w:pPr>
      <w:r>
        <w:t xml:space="preserve">Los intervalos de confianza por bootstrap (por ejemplo, ±0.23 mm en la longitud media del arcuato) describen solo el muestreo de fibras, no la variabilidad biológica ni la de reconstrucción entre ejecuciones.</w:t>
      </w:r>
    </w:p>
    <w:p>
      <w:pPr>
        <w:pStyle w:val="ListParagraph"/>
        <w:numPr>
          <w:ilvl w:val="0"/>
          <w:numId w:val="5"/>
        </w:numPr>
      </w:pPr>
      <w:r>
        <w:t xml:space="preserve">"22 de 24 índices significativos" es anticonservador y no tiene corrección por multiplicidad.</w:t>
      </w:r>
    </w:p>
    <w:p>
      <w:pPr>
        <w:pStyle w:val="ListParagraph"/>
        <w:numPr>
          <w:ilvl w:val="0"/>
          <w:numId w:val="5"/>
        </w:numPr>
      </w:pPr>
      <w:r>
        <w:t xml:space="preserve">El Mann-Whitney con n ≈ 10⁴ y los 8/8 "significativos" no informan.</w:t>
      </w:r>
    </w:p>
    <w:p>
      <w:pPr>
        <w:pStyle w:val="ListParagraph"/>
        <w:numPr>
          <w:ilvl w:val="0"/>
          <w:numId w:val="5"/>
        </w:numPr>
      </w:pPr>
      <w:r>
        <w:t xml:space="preserve">El índice de lateralidad del número de fibras y los índices de cocientes (λ₁/λ₂) no tienen interpretación biológica clara.</w:t>
      </w:r>
    </w:p>
    <w:p>
      <w:pPr>
        <w:pStyle w:val="ListParagraph"/>
        <w:numPr>
          <w:ilvl w:val="0"/>
          <w:numId w:val="5"/>
        </w:numPr>
      </w:pPr>
      <w:r>
        <w:t xml:space="preserve">La correlación de Pearson con N = 8 (celda 78) usa variables acopladas y anidadas; debe tratarse como exploratoria.</w:t>
      </w:r>
    </w:p>
    <w:p>
      <w:pPr>
        <w:pStyle w:val="ListParagraph"/>
        <w:numPr>
          <w:ilvl w:val="0"/>
          <w:numId w:val="5"/>
        </w:numPr>
      </w:pPr>
      <w:r>
        <w:t xml:space="preserve">Como contraprueba: la variación entre bloques contiguos del archivo es similar a la de bloques aleatorios (CV ≈ 0.2–0.6 %), sin evidencia de deriva por orden. La variabilidad entre ejecuciones independientes de tractografía no puede evaluarse con un solo paciente.</w:t>
      </w:r>
    </w:p>
    <w:p>
      <w:pPr>
        <w:pStyle w:val="Heading3"/>
      </w:pPr>
      <w:r>
        <w:t xml:space="preserve">5.4 PCA lineal sobre haces curvos</w:t>
      </w:r>
    </w:p>
    <w:p>
      <w:pPr/>
      <w:r>
        <w:t xml:space="preserve">En el arcuato L_eq/longitud = 0.72 y el uncinado tiene forma de gancho; por ello λ₁/λ₂ y λ₁/λ₃ no equivalen a "elongación" o "esfericidad" anatómicas. El "eje dominante" por argmax es inestable cuando los componentes son similares.</w:t>
      </w:r>
    </w:p>
    <w:p>
      <w:pPr>
        <w:pStyle w:val="Heading3"/>
      </w:pPr>
      <w:r>
        <w:t xml:space="preserve">5.5 Hallazgo morfológico oculto por el PC1</w:t>
      </w:r>
    </w:p>
    <w:p>
      <w:pPr/>
      <w:r>
        <w:t xml:space="preserve">El </w:t>
      </w:r>
      <w:r>
        <w:rPr>
          <w:b/>
        </w:rPr>
        <w:t xml:space="preserve">85 %</w:t>
      </w:r>
      <w:r>
        <w:t xml:space="preserve"> de las streamlines de </w:t>
      </w:r>
      <w:r>
        <w:rPr>
          <w:rStyle w:val="CodeChar"/>
        </w:rPr>
        <w:t xml:space="preserve">flm_r</w:t>
      </w:r>
      <w:r>
        <w:t xml:space="preserve"> tiene su vector extremo-a-extremo dominante en Z (supero-inferior), frente a un </w:t>
      </w:r>
      <w:r>
        <w:rPr>
          <w:b/>
        </w:rPr>
        <w:t xml:space="preserve">78 %</w:t>
      </w:r>
      <w:r>
        <w:t xml:space="preserve"> con dominancia en Y (antero-posterior) en </w:t>
      </w:r>
      <w:r>
        <w:rPr>
          <w:rStyle w:val="CodeChar"/>
        </w:rPr>
        <w:t xml:space="preserve">flm_l</w:t>
      </w:r>
      <w:r>
        <w:t xml:space="preserve">. El ángulo de 15° entre ejes principales no refleja esta diferencia. Una MdLF derecha predominantemente vertical es anatómicamente atípica y requiere inspección visual.</w:t>
      </w:r>
    </w:p>
    <w:p>
      <w:pPr>
        <w:pStyle w:val="Heading3"/>
      </w:pPr>
      <w:r>
        <w:t xml:space="preserve">5.6 Truncamiento de longitudes</w:t>
      </w:r>
    </w:p>
    <w:p>
      <w:pPr/>
      <w:r>
        <w:t xml:space="preserve">Los parámetros del tractograma descartan fibras fuera de 30–200 mm. En UNC-L, el 33.6 % mide menos de 35 mm (mínimo 29 mm), por lo que su media (39.3 mm) está sesgada al alza y no es comparable con la literatura. El ILF es heterogéneo: ILF-L tiene un 17 % de fibras bajo 60 mm y un 3.5 % sobre 150 mm.</w:t>
      </w:r>
    </w:p>
    <w:p>
      <w:pPr>
        <w:pStyle w:val="Heading3"/>
      </w:pPr>
      <w:r>
        <w:t xml:space="preserve">5.7 Registro a espacio MNI</w:t>
      </w:r>
    </w:p>
    <w:p>
      <w:pPr/>
      <w:r>
        <w:t xml:space="preserve">La afín </w:t>
      </w:r>
      <w:r>
        <w:rPr>
          <w:rStyle w:val="CodeChar"/>
        </w:rPr>
        <w:t xml:space="preserve">trans_to_mni</w:t>
      </w:r>
      <w:r>
        <w:t xml:space="preserve"> del archivo tiene una submatriz 3×3 con valores singulares 2.60 / 1.00 / 0.38. No pudo interpretarse como un registro plausible, ni directa ni inversa, respecto de la geometría del cerebro. Como Autotrack identifica tractos en espacio ICBM152, se recomienda control visual del registro en DSI Studio.</w:t>
      </w:r>
    </w:p>
    <w:p>
      <w:pPr>
        <w:pStyle w:val="Heading2"/>
      </w:pPr>
      <w:r>
        <w:t xml:space="preserve">6. Lectura neuroquirúrgica</w:t>
      </w:r>
    </w:p>
    <w:p>
      <w:pPr>
        <w:pStyle w:val="ListParagraph"/>
        <w:numPr>
          <w:ilvl w:val="0"/>
          <w:numId w:val="6"/>
        </w:numPr>
      </w:pPr>
      <w:r>
        <w:rPr>
          <w:b/>
        </w:rPr>
        <w:t xml:space="preserve">Adquisición:</w:t>
      </w:r>
      <w:r>
        <w:t xml:space="preserve"> 24 direcciones, b = 1000 s/mm² y cortes de 5.2 mm remuestreados a 1 mm isotrópico. El remuestreo no añade información y el efecto de volumen parcial es considerable.</w:t>
      </w:r>
    </w:p>
    <w:p>
      <w:pPr>
        <w:pStyle w:val="ListParagraph"/>
        <w:numPr>
          <w:ilvl w:val="0"/>
          <w:numId w:val="6"/>
        </w:numPr>
      </w:pPr>
      <w:r>
        <w:rPr>
          <w:b/>
        </w:rPr>
        <w:t xml:space="preserve">Modelo:</w:t>
      </w:r>
      <w:r>
        <w:t xml:space="preserve"> DTI determinista no resuelve cruces de fibras (arcuato/SLF, uncinado/IFOF, MdLF), con riesgo de falsos negativos.</w:t>
      </w:r>
    </w:p>
    <w:p>
      <w:pPr>
        <w:pStyle w:val="ListParagraph"/>
        <w:numPr>
          <w:ilvl w:val="0"/>
          <w:numId w:val="6"/>
        </w:numPr>
      </w:pPr>
      <w:r>
        <w:rPr>
          <w:b/>
        </w:rPr>
        <w:t xml:space="preserve">Asimetrías de conteo:</w:t>
      </w:r>
      <w:r>
        <w:t xml:space="preserve"> ARC-R tiene 3,100 streamlines frente a 12,242 de ARC-L; MdLF-L 3,941 frente a 17,121 de MdLF-R. Es más probable que refleje subreconstrucción que biología (aunque la lateralización izquierda del arcuato es un hallazgo conocido).</w:t>
      </w:r>
    </w:p>
    <w:p>
      <w:pPr>
        <w:pStyle w:val="ListParagraph"/>
        <w:numPr>
          <w:ilvl w:val="0"/>
          <w:numId w:val="6"/>
        </w:numPr>
      </w:pPr>
      <w:r>
        <w:rPr>
          <w:b/>
        </w:rPr>
        <w:t xml:space="preserve">Uso clínico:</w:t>
      </w:r>
      <w:r>
        <w:t xml:space="preserve"> no es apto para planificación quirúrgica sin validación (por ejemplo, estimulación cortical directa).</w:t>
      </w:r>
    </w:p>
    <w:p>
      <w:pPr>
        <w:pStyle w:val="ListParagraph"/>
        <w:numPr>
          <w:ilvl w:val="0"/>
          <w:numId w:val="6"/>
        </w:numPr>
      </w:pPr>
      <w:r>
        <w:rPr>
          <w:b/>
        </w:rPr>
        <w:t xml:space="preserve">Exportaciones NIfTI:</w:t>
      </w:r>
      <w:r>
        <w:t xml:space="preserve"> la afín es construida (origen en la esquina) y no corresponde al espacio del paciente; los TDI no sirven para neuronavegación.</w:t>
      </w:r>
    </w:p>
    <w:p>
      <w:pPr>
        <w:pStyle w:val="ListParagraph"/>
        <w:numPr>
          <w:ilvl w:val="0"/>
          <w:numId w:val="6"/>
        </w:numPr>
      </w:pPr>
      <w:r>
        <w:rPr>
          <w:b/>
        </w:rPr>
        <w:t xml:space="preserve">Anatomía:</w:t>
      </w:r>
      <w:r>
        <w:t xml:space="preserve"> la existencia y definición de la MdLF son debatidas; el ILF puede confundirse con el IFOF a esta resolución.</w:t>
      </w:r>
    </w:p>
    <w:p>
      <w:pPr>
        <w:pStyle w:val="Heading2"/>
      </w:pPr>
      <w:r>
        <w:t xml:space="preserve">7. Cambios entregados en la versión v10</w:t>
      </w:r>
    </w:p>
    <w:p>
      <w:pPr/>
      <w:r>
        <w:rPr>
          <w:b/>
        </w:rPr>
        <w:t xml:space="preserve">Correcciones de código:</w:t>
      </w:r>
      <w:r>
        <w:t xml:space="preserve"> las listadas en la sección 4.</w:t>
      </w:r>
    </w:p>
    <w:p>
      <w:pPr/>
      <w:r>
        <w:rPr>
          <w:b/>
        </w:rPr>
        <w:t xml:space="preserve">Correcciones de texto:</w:t>
      </w:r>
      <w:r>
        <w:t xml:space="preserve"> se reformularon la Nota I.4, la justificación inicial y la Conclusión para indicar que la evaluación es exploratoria por resustitución (n = 1, azar 1/24), que los nombres de Autotrack no son verdad terreno independiente y que, aplicadas por hemisferio, las reglas fallan en el derecho.</w:t>
      </w:r>
    </w:p>
    <w:p>
      <w:pPr/>
      <w:r>
        <w:rPr>
          <w:b/>
        </w:rPr>
        <w:t xml:space="preserve">Anexo A nuevo (auditoría):</w:t>
      </w:r>
    </w:p>
    <w:p>
      <w:pPr>
        <w:pStyle w:val="ListParagraph"/>
        <w:numPr>
          <w:ilvl w:val="0"/>
          <w:numId w:val="7"/>
        </w:numPr>
      </w:pPr>
      <w:r>
        <w:rPr>
          <w:b/>
        </w:rPr>
        <w:t xml:space="preserve">A.1</w:t>
      </w:r>
      <w:r>
        <w:t xml:space="preserve"> prueba tangente contra </w:t>
      </w:r>
      <w:r>
        <w:rPr>
          <w:rStyle w:val="CodeChar"/>
        </w:rPr>
        <w:t xml:space="preserve">dir0</w:t>
      </w:r>
      <w:r>
        <w:t xml:space="preserve"> (imprime ✓ o ⚠ según coherencia de ejes).</w:t>
      </w:r>
    </w:p>
    <w:p>
      <w:pPr>
        <w:pStyle w:val="ListParagraph"/>
        <w:numPr>
          <w:ilvl w:val="0"/>
          <w:numId w:val="7"/>
        </w:numPr>
      </w:pPr>
      <w:r>
        <w:rPr>
          <w:b/>
        </w:rPr>
        <w:t xml:space="preserve">A.2</w:t>
      </w:r>
      <w:r>
        <w:t xml:space="preserve"> reglas por hemisferio y azar esperado de 1/24.</w:t>
      </w:r>
    </w:p>
    <w:p>
      <w:pPr>
        <w:pStyle w:val="ListParagraph"/>
        <w:numPr>
          <w:ilvl w:val="0"/>
          <w:numId w:val="7"/>
        </w:numPr>
      </w:pPr>
      <w:r>
        <w:rPr>
          <w:b/>
        </w:rPr>
        <w:t xml:space="preserve">A.3</w:t>
      </w:r>
      <w:r>
        <w:t xml:space="preserve"> truncamiento de longitudes y orientación extremo-a-extremo por clúster.</w:t>
      </w:r>
    </w:p>
    <w:p>
      <w:pPr/>
      <w:r>
        <w:rPr>
          <w:b/>
        </w:rPr>
        <w:t xml:space="preserve">Resultado de la ejecución:</w:t>
      </w:r>
      <w:r>
        <w:t xml:space="preserve"> 0 errores; las Secciones 7 y 8 ya no están bloqueadas; el Anexo A imprime |cos| = 0.989 frente a 0.728 y la tabla de truncamiento y orientación.</w:t>
      </w:r>
    </w:p>
    <w:p>
      <w:pPr/>
      <w:r>
        <w:rPr>
          <w:b/>
        </w:rPr>
        <w:t xml:space="preserve">No modificado deliberadamente</w:t>
      </w:r>
      <w:r>
        <w:t xml:space="preserve"> (decisiones metodológicas del autor, documentadas como advertencias): las reglas geométricas, el bootstrap por streamline, el Mann-Whitney y el PCA lineal.</w:t>
      </w:r>
    </w:p>
    <w:p>
      <w:pPr>
        <w:pStyle w:val="Heading2"/>
      </w:pPr>
      <w:r>
        <w:t xml:space="preserve">8. Recomendaciones priorizadas</w:t>
      </w:r>
    </w:p>
    <w:p>
      <w:pPr>
        <w:pStyle w:val="ListParagraph"/>
        <w:numPr>
          <w:ilvl w:val="0"/>
          <w:numId w:val="8"/>
        </w:numPr>
      </w:pPr>
      <w:r>
        <w:t xml:space="preserve">Reformular siempre la "validación" como concordancia exploratoria en n = 1 y evaluar en la cohorte con etiquetas independientes (por ejemplo, un segundo observador o atlas distinto).</w:t>
      </w:r>
    </w:p>
    <w:p>
      <w:pPr>
        <w:pStyle w:val="ListParagraph"/>
        <w:numPr>
          <w:ilvl w:val="0"/>
          <w:numId w:val="8"/>
        </w:numPr>
      </w:pPr>
      <w:r>
        <w:t xml:space="preserve">Documentar y confirmar el mapeo </w:t>
      </w:r>
      <w:r>
        <w:rPr>
          <w:rStyle w:val="CodeChar"/>
        </w:rPr>
        <w:t xml:space="preserve">flm → MdLF</w:t>
      </w:r>
      <w:r>
        <w:t xml:space="preserve">, </w:t>
      </w:r>
      <w:r>
        <w:rPr>
          <w:rStyle w:val="CodeChar"/>
        </w:rPr>
        <w:t xml:space="preserve">fli → ILF</w:t>
      </w:r>
      <w:r>
        <w:t xml:space="preserve"> con quien etiquetó los clústeres.</w:t>
      </w:r>
    </w:p>
    <w:p>
      <w:pPr>
        <w:pStyle w:val="ListParagraph"/>
        <w:numPr>
          <w:ilvl w:val="0"/>
          <w:numId w:val="8"/>
        </w:numPr>
      </w:pPr>
      <w:r>
        <w:t xml:space="preserve">Realizar la inferencia estadística </w:t>
      </w:r>
      <w:r>
        <w:rPr>
          <w:b/>
        </w:rPr>
        <w:t xml:space="preserve">a nivel de sujeto</w:t>
      </w:r>
      <w:r>
        <w:t xml:space="preserve"> en la cohorte (tamaños de efecto con IC, pruebas por permutación de sujetos, corrección por multiplicidad) y no sobre streamlines.</w:t>
      </w:r>
    </w:p>
    <w:p>
      <w:pPr>
        <w:pStyle w:val="ListParagraph"/>
        <w:numPr>
          <w:ilvl w:val="0"/>
          <w:numId w:val="8"/>
        </w:numPr>
      </w:pPr>
      <w:r>
        <w:t xml:space="preserve">Estimar la variabilidad entre ejecuciones (repetir Autotrack con distintas semillas) para fijar umbrales de lateralidad con sustento.</w:t>
      </w:r>
    </w:p>
    <w:p>
      <w:pPr>
        <w:pStyle w:val="ListParagraph"/>
        <w:numPr>
          <w:ilvl w:val="0"/>
          <w:numId w:val="8"/>
        </w:numPr>
      </w:pPr>
      <w:r>
        <w:t xml:space="preserve">Complementar el PCA con métricas a lo largo del haz (curvatura, diámetro, perfiles a lo largo del tracto, centroides de QuickBundles).</w:t>
      </w:r>
    </w:p>
    <w:p>
      <w:pPr>
        <w:pStyle w:val="ListParagraph"/>
        <w:numPr>
          <w:ilvl w:val="0"/>
          <w:numId w:val="8"/>
        </w:numPr>
      </w:pPr>
      <w:r>
        <w:t xml:space="preserve">Reportar el filtro 30–200 mm junto con cualquier longitud y evitar compararlas con la literatura sin ajustar.</w:t>
      </w:r>
    </w:p>
    <w:p>
      <w:pPr>
        <w:pStyle w:val="ListParagraph"/>
        <w:numPr>
          <w:ilvl w:val="0"/>
          <w:numId w:val="8"/>
        </w:numPr>
      </w:pPr>
      <w:r>
        <w:t xml:space="preserve">Inspección visual en DSI Studio de </w:t>
      </w:r>
      <w:r>
        <w:rPr>
          <w:b/>
        </w:rPr>
        <w:t xml:space="preserve">MdLF derecha</w:t>
      </w:r>
      <w:r>
        <w:t xml:space="preserve">, </w:t>
      </w:r>
      <w:r>
        <w:rPr>
          <w:b/>
        </w:rPr>
        <w:t xml:space="preserve">ILF izquierda</w:t>
      </w:r>
      <w:r>
        <w:t xml:space="preserve"> y </w:t>
      </w:r>
      <w:r>
        <w:rPr>
          <w:b/>
        </w:rPr>
        <w:t xml:space="preserve">arcuato derecho</w:t>
      </w:r>
      <w:r>
        <w:t xml:space="preserve">, además del control del registro </w:t>
      </w:r>
      <w:r>
        <w:rPr>
          <w:rStyle w:val="CodeChar"/>
        </w:rPr>
        <w:t xml:space="preserve">trans_to_mni</w:t>
      </w:r>
      <w:r>
        <w:t xml:space="preserve">.</w:t>
      </w:r>
    </w:p>
    <w:p>
      <w:pPr>
        <w:pStyle w:val="ListParagraph"/>
        <w:numPr>
          <w:ilvl w:val="0"/>
          <w:numId w:val="8"/>
        </w:numPr>
      </w:pPr>
      <w:r>
        <w:t xml:space="preserve">Si el objetivo es modelar con CNN (Archivo 3), llevar los pacientes a un espacio común antes de apilarlos.</w:t>
      </w:r>
    </w:p>
    <w:p>
      <w:pPr>
        <w:pStyle w:val="ListParagraph"/>
        <w:numPr>
          <w:ilvl w:val="0"/>
          <w:numId w:val="8"/>
        </w:numPr>
      </w:pPr>
      <w:r>
        <w:t xml:space="preserve">Mantener la prueba A.1 como control de calidad de ejes en cada paciente.</w:t>
      </w:r>
    </w:p>
    <w:p>
      <w:pPr>
        <w:pStyle w:val="Heading2"/>
      </w:pPr>
      <w:r>
        <w:t xml:space="preserve">9. Archivos entregados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Archivo</w:t>
            </w:r>
          </w:p>
        </w:tc>
        <w:tc>
          <w:tcPr>
            <w:tcW w:w="4680" w:type="dxa"/>
            <w:shd w:val="clear" w:color="auto" w:fill="F2F2F2"/>
          </w:tcPr>
          <w:p>
            <w:pPr/>
            <w:r>
              <w:t xml:space="preserve">Contenido</w:t>
            </w:r>
          </w:p>
        </w:tc>
      </w:tr>
      <w:tr>
        <w:tc>
          <w:tcPr>
            <w:tcW w:w="4680" w:type="dxa"/>
          </w:tcPr>
          <w:p>
            <w:pPr/>
            <w:r>
              <w:rPr>
                <w:rStyle w:val="CodeChar"/>
              </w:rPr>
              <w:t xml:space="preserve">Archivo2_Vision_Computador_Clustering_Tractos_v10_ejecutado.ipynb</w:t>
            </w:r>
          </w:p>
        </w:tc>
        <w:tc>
          <w:tcPr>
            <w:tcW w:w="4680" w:type="dxa"/>
          </w:tcPr>
          <w:p>
            <w:pPr/>
            <w:r>
              <w:t xml:space="preserve">Notebook corregido y ejecutado con los datos de S1 (se omitieron 14 figuras Plotly interactivas para reducir de 538 MB a unos 4 MB; se regeneran al ejecutar)</w:t>
            </w:r>
          </w:p>
        </w:tc>
      </w:tr>
      <w:tr>
        <w:tc>
          <w:tcPr>
            <w:tcW w:w="4680" w:type="dxa"/>
          </w:tcPr>
          <w:p>
            <w:pPr/>
            <w:r>
              <w:rPr>
                <w:rStyle w:val="CodeChar"/>
              </w:rPr>
              <w:t xml:space="preserve">resultados_v10_salida.zip</w:t>
            </w:r>
          </w:p>
        </w:tc>
        <w:tc>
          <w:tcPr>
            <w:tcW w:w="4680" w:type="dxa"/>
          </w:tcPr>
          <w:p>
            <w:pPr/>
            <w:r>
              <w:t xml:space="preserve">CSV, PNG, </w:t>
            </w:r>
            <w:r>
              <w:rPr>
                <w:rStyle w:val="CodeChar"/>
              </w:rPr>
              <w:t xml:space="preserve">dsi_2d</w:t>
            </w:r>
            <w:r>
              <w:t xml:space="preserve"> e </w:t>
            </w:r>
            <w:r>
              <w:rPr>
                <w:rStyle w:val="CodeChar"/>
              </w:rPr>
              <w:t xml:space="preserve">imagenes_cnn</w:t>
            </w:r>
            <w:r>
              <w:t xml:space="preserve"> generados (sin los volúmenes </w:t>
            </w:r>
            <w:r>
              <w:rPr>
                <w:rStyle w:val="CodeChar"/>
              </w:rPr>
              <w:t xml:space="preserve">.nii</w:t>
            </w:r>
            <w:r>
              <w:t xml:space="preserve"> de TDI, que se regeneran en </w:t>
            </w:r>
            <w:r>
              <w:rPr>
                <w:rStyle w:val="CodeChar"/>
              </w:rPr>
              <w:t xml:space="preserve">salida/tdi</w:t>
            </w:r>
            <w:r>
              <w:t xml:space="preserve">)</w:t>
            </w:r>
          </w:p>
        </w:tc>
      </w:tr>
    </w:tbl>
    <w:p>
      <w:pPr>
        <w:pStyle w:val="Heading2"/>
      </w:pPr>
      <w:r>
        <w:t xml:space="preserve">10. Referencias</w:t>
      </w:r>
    </w:p>
    <w:p>
      <w:pPr>
        <w:pStyle w:val="ListParagraph"/>
        <w:numPr>
          <w:ilvl w:val="0"/>
          <w:numId w:val="9"/>
        </w:numPr>
      </w:pPr>
      <w:r>
        <w:t xml:space="preserve">Yeh F.-C. DSI Studio: an integrated tractography platform and fiber data hub for accelerating brain research. </w:t>
      </w:r>
      <w:r>
        <w:rPr>
          <w:i/>
        </w:rPr>
        <w:t xml:space="preserve">Nature Methods</w:t>
      </w:r>
      <w:r>
        <w:t xml:space="preserve"> 2025; 22(8):1617–1619. (Verificada.)</w:t>
      </w:r>
    </w:p>
    <w:p>
      <w:pPr>
        <w:pStyle w:val="ListParagraph"/>
        <w:numPr>
          <w:ilvl w:val="0"/>
          <w:numId w:val="9"/>
        </w:numPr>
      </w:pPr>
      <w:r>
        <w:t xml:space="preserve">Yeh F.-C. et al. Population-based tract-to-region connectome of the human brain and its hierarchical topology. </w:t>
      </w:r>
      <w:r>
        <w:rPr>
          <w:i/>
        </w:rPr>
        <w:t xml:space="preserve">Nature Communications</w:t>
      </w:r>
      <w:r>
        <w:t xml:space="preserve"> 2022; 13:4933. (Citada en el reporte interno del archivo; no re-verificada.)</w:t>
      </w:r>
    </w:p>
    <w:p>
      <w:pPr>
        <w:pStyle w:val="ListParagraph"/>
        <w:numPr>
          <w:ilvl w:val="0"/>
          <w:numId w:val="9"/>
        </w:numPr>
      </w:pPr>
      <w:r>
        <w:t xml:space="preserve">Las demás referencias del notebook (Sección 10 del original) no se verificaron en esta auditoría.</w:t>
      </w:r>
    </w:p>
    <w:p>
      <w:pPr>
        <w:pBdr>
          <w:bottom w:val="single" w:sz="6" w:space="1" w:color="auto"/>
        </w:pBdr>
      </w:pPr>
    </w:p>
    <w:p>
      <w:pPr/>
      <w:r>
        <w:rPr>
          <w:i/>
        </w:rPr>
        <w:t xml:space="preserve">Este informe describe una revisión técnica sobre un único paciente. No constituye asesoramiento clínico ni valida el uso del pipeline en decisiones quirúrgicas.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1"/>
    <w:lvlOverride w:ilvl="0">
      <w:startOverride w:val="1"/>
    </w:lvlOverride>
  </w:num>
  <w:num w:numId="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Informe de auditoría científica del notebook de clustering de tractos (v9 → v10)</dc:title>
  <dc:description>Claude Docs node/0372dbc8-a0eb@1 docx-w6</dc:description>
  <cp:revision>1</cp:revision>
</cp:coreProperties>
</file>