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0A41" w:rsidRPr="00FC7288" w:rsidRDefault="000C0A41" w:rsidP="00FC7288">
      <w:pPr>
        <w:jc w:val="center"/>
        <w:rPr>
          <w:b/>
          <w:sz w:val="72"/>
          <w:szCs w:val="72"/>
        </w:rPr>
      </w:pPr>
      <w:r>
        <w:rPr>
          <w:b/>
          <w:sz w:val="72"/>
          <w:szCs w:val="72"/>
        </w:rPr>
        <w:t xml:space="preserve">COPD </w:t>
      </w:r>
      <w:r w:rsidRPr="00FC7288">
        <w:rPr>
          <w:b/>
          <w:sz w:val="72"/>
          <w:szCs w:val="72"/>
        </w:rPr>
        <w:t>prevalence model for small populations:</w:t>
      </w:r>
    </w:p>
    <w:p w:rsidR="000C0A41" w:rsidRDefault="000C0A41" w:rsidP="00FC7288">
      <w:pPr>
        <w:jc w:val="center"/>
        <w:rPr>
          <w:b/>
          <w:sz w:val="56"/>
          <w:szCs w:val="56"/>
        </w:rPr>
      </w:pPr>
      <w:r>
        <w:rPr>
          <w:b/>
          <w:sz w:val="56"/>
          <w:szCs w:val="56"/>
        </w:rPr>
        <w:t>Technical D</w:t>
      </w:r>
      <w:r w:rsidRPr="00E87356">
        <w:rPr>
          <w:b/>
          <w:sz w:val="56"/>
          <w:szCs w:val="56"/>
        </w:rPr>
        <w:t xml:space="preserve">ocument produced for </w:t>
      </w:r>
      <w:r>
        <w:rPr>
          <w:b/>
          <w:sz w:val="56"/>
          <w:szCs w:val="56"/>
        </w:rPr>
        <w:t>Public Health England</w:t>
      </w:r>
    </w:p>
    <w:p w:rsidR="000C0A41" w:rsidRDefault="000C0A41" w:rsidP="00FC7288">
      <w:pPr>
        <w:pBdr>
          <w:bottom w:val="single" w:sz="8" w:space="3" w:color="5B9BD5" w:themeColor="accent1"/>
        </w:pBdr>
        <w:spacing w:after="300"/>
        <w:jc w:val="center"/>
        <w:rPr>
          <w:rFonts w:ascii="Calibri" w:eastAsiaTheme="majorEastAsia" w:hAnsi="Calibri" w:cs="Calibri"/>
          <w:b/>
          <w:bCs/>
          <w:spacing w:val="5"/>
          <w:kern w:val="28"/>
          <w:sz w:val="36"/>
          <w:szCs w:val="36"/>
        </w:rPr>
      </w:pPr>
    </w:p>
    <w:p w:rsidR="000C0A41" w:rsidRDefault="000C0A41" w:rsidP="00FC7288">
      <w:pPr>
        <w:pBdr>
          <w:bottom w:val="single" w:sz="8" w:space="3" w:color="5B9BD5" w:themeColor="accent1"/>
        </w:pBdr>
        <w:spacing w:after="300"/>
        <w:jc w:val="center"/>
        <w:rPr>
          <w:rFonts w:ascii="Calibri" w:eastAsiaTheme="majorEastAsia" w:hAnsi="Calibri" w:cs="Calibri"/>
          <w:b/>
          <w:bCs/>
          <w:spacing w:val="5"/>
          <w:kern w:val="28"/>
          <w:sz w:val="36"/>
          <w:szCs w:val="36"/>
        </w:rPr>
      </w:pPr>
    </w:p>
    <w:p w:rsidR="000C0A41" w:rsidRPr="00C93FF0" w:rsidRDefault="000C0A41" w:rsidP="00FC7288">
      <w:pPr>
        <w:pBdr>
          <w:bottom w:val="single" w:sz="8" w:space="3" w:color="5B9BD5" w:themeColor="accent1"/>
        </w:pBdr>
        <w:spacing w:after="300"/>
        <w:jc w:val="center"/>
        <w:rPr>
          <w:rFonts w:ascii="Calibri" w:eastAsiaTheme="majorEastAsia" w:hAnsi="Calibri" w:cs="Calibri"/>
          <w:b/>
          <w:bCs/>
          <w:spacing w:val="5"/>
          <w:kern w:val="28"/>
          <w:sz w:val="36"/>
          <w:szCs w:val="36"/>
          <w:lang w:val="fr-FR"/>
        </w:rPr>
      </w:pPr>
      <w:r w:rsidRPr="00C93FF0">
        <w:rPr>
          <w:rFonts w:ascii="Calibri" w:eastAsiaTheme="majorEastAsia" w:hAnsi="Calibri" w:cs="Calibri"/>
          <w:b/>
          <w:bCs/>
          <w:spacing w:val="5"/>
          <w:kern w:val="28"/>
          <w:sz w:val="36"/>
          <w:szCs w:val="36"/>
          <w:lang w:val="fr-FR"/>
        </w:rPr>
        <w:t>Kieran J Rothnie, Bowen Su, Roger Newson, Jennifer K Quint, Michael Soljak</w:t>
      </w:r>
    </w:p>
    <w:p w:rsidR="000C0A41" w:rsidRDefault="000C0A41" w:rsidP="00FC7288">
      <w:pPr>
        <w:pBdr>
          <w:bottom w:val="single" w:sz="8" w:space="3" w:color="5B9BD5" w:themeColor="accent1"/>
        </w:pBdr>
        <w:spacing w:after="300"/>
        <w:jc w:val="center"/>
        <w:rPr>
          <w:rFonts w:ascii="Calibri" w:eastAsiaTheme="majorEastAsia" w:hAnsi="Calibri" w:cs="Calibri"/>
          <w:b/>
          <w:bCs/>
          <w:spacing w:val="5"/>
          <w:kern w:val="28"/>
          <w:sz w:val="36"/>
          <w:szCs w:val="36"/>
        </w:rPr>
      </w:pPr>
      <w:r>
        <w:rPr>
          <w:rFonts w:ascii="Calibri" w:eastAsiaTheme="majorEastAsia" w:hAnsi="Calibri" w:cs="Calibri"/>
          <w:b/>
          <w:bCs/>
          <w:spacing w:val="5"/>
          <w:kern w:val="28"/>
          <w:sz w:val="36"/>
          <w:szCs w:val="36"/>
        </w:rPr>
        <w:t xml:space="preserve">National Heart and Lung Institute and </w:t>
      </w:r>
      <w:r w:rsidRPr="00AE3804">
        <w:rPr>
          <w:rFonts w:ascii="Calibri" w:eastAsiaTheme="majorEastAsia" w:hAnsi="Calibri" w:cs="Calibri"/>
          <w:b/>
          <w:bCs/>
          <w:spacing w:val="5"/>
          <w:kern w:val="28"/>
          <w:sz w:val="36"/>
          <w:szCs w:val="36"/>
        </w:rPr>
        <w:t xml:space="preserve">Department </w:t>
      </w:r>
      <w:r>
        <w:rPr>
          <w:rFonts w:ascii="Calibri" w:eastAsiaTheme="majorEastAsia" w:hAnsi="Calibri" w:cs="Calibri"/>
          <w:b/>
          <w:bCs/>
          <w:spacing w:val="5"/>
          <w:kern w:val="28"/>
          <w:sz w:val="36"/>
          <w:szCs w:val="36"/>
        </w:rPr>
        <w:t xml:space="preserve">of </w:t>
      </w:r>
      <w:r w:rsidRPr="00AE3804">
        <w:rPr>
          <w:rFonts w:ascii="Calibri" w:eastAsiaTheme="majorEastAsia" w:hAnsi="Calibri" w:cs="Calibri"/>
          <w:b/>
          <w:bCs/>
          <w:spacing w:val="5"/>
          <w:kern w:val="28"/>
          <w:sz w:val="36"/>
          <w:szCs w:val="36"/>
        </w:rPr>
        <w:t>Primary Care &amp; Public Health</w:t>
      </w:r>
      <w:r>
        <w:rPr>
          <w:rFonts w:ascii="Calibri" w:eastAsiaTheme="majorEastAsia" w:hAnsi="Calibri" w:cs="Calibri"/>
          <w:b/>
          <w:bCs/>
          <w:spacing w:val="5"/>
          <w:kern w:val="28"/>
          <w:sz w:val="36"/>
          <w:szCs w:val="36"/>
        </w:rPr>
        <w:t xml:space="preserve">, </w:t>
      </w:r>
      <w:r w:rsidRPr="00AE3804">
        <w:rPr>
          <w:rFonts w:ascii="Calibri" w:eastAsiaTheme="majorEastAsia" w:hAnsi="Calibri" w:cs="Calibri"/>
          <w:b/>
          <w:bCs/>
          <w:spacing w:val="5"/>
          <w:kern w:val="28"/>
          <w:sz w:val="36"/>
          <w:szCs w:val="36"/>
        </w:rPr>
        <w:t>School of Public Health</w:t>
      </w:r>
    </w:p>
    <w:p w:rsidR="000C0A41" w:rsidRDefault="000C0A41" w:rsidP="00FC7288">
      <w:pPr>
        <w:pBdr>
          <w:bottom w:val="single" w:sz="8" w:space="3" w:color="5B9BD5" w:themeColor="accent1"/>
        </w:pBdr>
        <w:spacing w:after="300"/>
        <w:jc w:val="center"/>
        <w:rPr>
          <w:rFonts w:ascii="Calibri" w:eastAsiaTheme="majorEastAsia" w:hAnsi="Calibri" w:cs="Calibri"/>
          <w:b/>
          <w:bCs/>
          <w:spacing w:val="5"/>
          <w:kern w:val="28"/>
          <w:sz w:val="36"/>
          <w:szCs w:val="36"/>
        </w:rPr>
      </w:pPr>
    </w:p>
    <w:p w:rsidR="000C0A41" w:rsidRDefault="000C0A41" w:rsidP="00FC7288">
      <w:pPr>
        <w:pBdr>
          <w:bottom w:val="single" w:sz="8" w:space="3" w:color="5B9BD5" w:themeColor="accent1"/>
        </w:pBdr>
        <w:spacing w:after="300"/>
        <w:jc w:val="center"/>
        <w:rPr>
          <w:rFonts w:ascii="Calibri" w:eastAsiaTheme="majorEastAsia" w:hAnsi="Calibri" w:cs="Calibri"/>
          <w:b/>
          <w:bCs/>
          <w:spacing w:val="5"/>
          <w:kern w:val="28"/>
          <w:sz w:val="36"/>
          <w:szCs w:val="36"/>
        </w:rPr>
      </w:pPr>
      <w:r w:rsidRPr="003A1933">
        <w:rPr>
          <w:rFonts w:asciiTheme="majorHAnsi" w:eastAsiaTheme="majorEastAsia" w:hAnsiTheme="majorHAnsi" w:cstheme="majorBidi"/>
          <w:noProof/>
          <w:spacing w:val="5"/>
          <w:kern w:val="28"/>
          <w:sz w:val="52"/>
          <w:szCs w:val="52"/>
          <w:lang w:eastAsia="en-GB"/>
        </w:rPr>
        <w:drawing>
          <wp:inline distT="0" distB="0" distL="0" distR="0" wp14:anchorId="5694F0C8" wp14:editId="2AE61F1F">
            <wp:extent cx="2667000" cy="704850"/>
            <wp:effectExtent l="0" t="0" r="0" b="0"/>
            <wp:docPr id="16" name="Picture 16" descr="H:\Documents\Templates\Imperial\IC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ocuments\Templates\Imperial\ICL_Logo.jpg"/>
                    <pic:cNvPicPr>
                      <a:picLocks noChangeAspect="1" noChangeArrowheads="1"/>
                    </pic:cNvPicPr>
                  </pic:nvPicPr>
                  <pic:blipFill rotWithShape="1">
                    <a:blip r:embed="rId7">
                      <a:extLst>
                        <a:ext uri="{28A0092B-C50C-407E-A947-70E740481C1C}">
                          <a14:useLocalDpi xmlns:a14="http://schemas.microsoft.com/office/drawing/2010/main" val="0"/>
                        </a:ext>
                      </a:extLst>
                    </a:blip>
                    <a:srcRect t="36786" b="36786"/>
                    <a:stretch/>
                  </pic:blipFill>
                  <pic:spPr bwMode="auto">
                    <a:xfrm>
                      <a:off x="0" y="0"/>
                      <a:ext cx="2667600" cy="705009"/>
                    </a:xfrm>
                    <a:prstGeom prst="rect">
                      <a:avLst/>
                    </a:prstGeom>
                    <a:noFill/>
                    <a:ln>
                      <a:noFill/>
                    </a:ln>
                    <a:extLst>
                      <a:ext uri="{53640926-AAD7-44D8-BBD7-CCE9431645EC}">
                        <a14:shadowObscured xmlns:a14="http://schemas.microsoft.com/office/drawing/2010/main"/>
                      </a:ext>
                    </a:extLst>
                  </pic:spPr>
                </pic:pic>
              </a:graphicData>
            </a:graphic>
          </wp:inline>
        </w:drawing>
      </w:r>
    </w:p>
    <w:p w:rsidR="000C0A41" w:rsidRPr="00AE3804" w:rsidRDefault="000C0A41" w:rsidP="00FC7288">
      <w:pPr>
        <w:spacing w:after="300"/>
        <w:jc w:val="center"/>
        <w:rPr>
          <w:rFonts w:ascii="Calibri" w:eastAsiaTheme="majorEastAsia" w:hAnsi="Calibri" w:cs="Calibri"/>
          <w:b/>
          <w:spacing w:val="5"/>
          <w:kern w:val="28"/>
          <w:sz w:val="36"/>
          <w:szCs w:val="36"/>
        </w:rPr>
      </w:pPr>
    </w:p>
    <w:p w:rsidR="000C0A41" w:rsidRDefault="000C0A41" w:rsidP="00FC7288">
      <w:pPr>
        <w:sectPr w:rsidR="000C0A41" w:rsidSect="000C0A41">
          <w:footerReference w:type="default" r:id="rId8"/>
          <w:pgSz w:w="11906" w:h="16838"/>
          <w:pgMar w:top="1440" w:right="1440" w:bottom="1440" w:left="1440" w:header="709" w:footer="709" w:gutter="0"/>
          <w:cols w:space="708"/>
          <w:vAlign w:val="center"/>
          <w:docGrid w:linePitch="360"/>
        </w:sectPr>
      </w:pPr>
    </w:p>
    <w:sdt>
      <w:sdtPr>
        <w:rPr>
          <w:rFonts w:asciiTheme="minorHAnsi" w:eastAsiaTheme="minorEastAsia" w:hAnsiTheme="minorHAnsi" w:cstheme="minorBidi"/>
          <w:color w:val="auto"/>
          <w:sz w:val="22"/>
          <w:szCs w:val="22"/>
          <w:lang w:val="en-GB"/>
        </w:rPr>
        <w:id w:val="-1418171488"/>
        <w:docPartObj>
          <w:docPartGallery w:val="Table of Contents"/>
          <w:docPartUnique/>
        </w:docPartObj>
      </w:sdtPr>
      <w:sdtEndPr>
        <w:rPr>
          <w:b/>
          <w:bCs/>
          <w:noProof/>
        </w:rPr>
      </w:sdtEndPr>
      <w:sdtContent>
        <w:p w:rsidR="000C0A41" w:rsidRDefault="000C0A41">
          <w:pPr>
            <w:pStyle w:val="TOCHeading"/>
          </w:pPr>
          <w:r>
            <w:t>Contents</w:t>
          </w:r>
        </w:p>
        <w:p w:rsidR="000C0A41" w:rsidRDefault="000C0A41">
          <w:pPr>
            <w:pStyle w:val="TOC1"/>
            <w:rPr>
              <w:rFonts w:eastAsiaTheme="minorEastAsia" w:cstheme="minorBidi"/>
              <w:b w:val="0"/>
              <w:bCs w:val="0"/>
              <w:sz w:val="22"/>
              <w:lang w:eastAsia="en-GB"/>
            </w:rPr>
          </w:pPr>
          <w:r>
            <w:fldChar w:fldCharType="begin"/>
          </w:r>
          <w:r>
            <w:instrText xml:space="preserve"> TOC \o "1-3" \h \z \u </w:instrText>
          </w:r>
          <w:r>
            <w:fldChar w:fldCharType="separate"/>
          </w:r>
          <w:hyperlink w:anchor="_Toc458185245" w:history="1">
            <w:r w:rsidRPr="00EF1D23">
              <w:rPr>
                <w:rStyle w:val="Hyperlink"/>
              </w:rPr>
              <w:t>1</w:t>
            </w:r>
            <w:r>
              <w:rPr>
                <w:rFonts w:eastAsiaTheme="minorEastAsia" w:cstheme="minorBidi"/>
                <w:b w:val="0"/>
                <w:bCs w:val="0"/>
                <w:sz w:val="22"/>
                <w:lang w:eastAsia="en-GB"/>
              </w:rPr>
              <w:tab/>
            </w:r>
            <w:r w:rsidRPr="00EF1D23">
              <w:rPr>
                <w:rStyle w:val="Hyperlink"/>
              </w:rPr>
              <w:t>Executive Summary</w:t>
            </w:r>
            <w:r>
              <w:rPr>
                <w:webHidden/>
              </w:rPr>
              <w:tab/>
            </w:r>
            <w:r>
              <w:rPr>
                <w:webHidden/>
              </w:rPr>
              <w:fldChar w:fldCharType="begin"/>
            </w:r>
            <w:r>
              <w:rPr>
                <w:webHidden/>
              </w:rPr>
              <w:instrText xml:space="preserve"> PAGEREF _Toc458185245 \h </w:instrText>
            </w:r>
            <w:r>
              <w:rPr>
                <w:webHidden/>
              </w:rPr>
            </w:r>
            <w:r>
              <w:rPr>
                <w:webHidden/>
              </w:rPr>
              <w:fldChar w:fldCharType="separate"/>
            </w:r>
            <w:r>
              <w:rPr>
                <w:webHidden/>
              </w:rPr>
              <w:t>3</w:t>
            </w:r>
            <w:r>
              <w:rPr>
                <w:webHidden/>
              </w:rPr>
              <w:fldChar w:fldCharType="end"/>
            </w:r>
          </w:hyperlink>
        </w:p>
        <w:p w:rsidR="000C0A41" w:rsidRDefault="000C0A41">
          <w:pPr>
            <w:pStyle w:val="TOC1"/>
            <w:rPr>
              <w:rFonts w:eastAsiaTheme="minorEastAsia" w:cstheme="minorBidi"/>
              <w:b w:val="0"/>
              <w:bCs w:val="0"/>
              <w:sz w:val="22"/>
              <w:lang w:eastAsia="en-GB"/>
            </w:rPr>
          </w:pPr>
          <w:hyperlink w:anchor="_Toc458185246" w:history="1">
            <w:r w:rsidRPr="00EF1D23">
              <w:rPr>
                <w:rStyle w:val="Hyperlink"/>
              </w:rPr>
              <w:t>2</w:t>
            </w:r>
            <w:r>
              <w:rPr>
                <w:rFonts w:eastAsiaTheme="minorEastAsia" w:cstheme="minorBidi"/>
                <w:b w:val="0"/>
                <w:bCs w:val="0"/>
                <w:sz w:val="22"/>
                <w:lang w:eastAsia="en-GB"/>
              </w:rPr>
              <w:tab/>
            </w:r>
            <w:r w:rsidRPr="00EF1D23">
              <w:rPr>
                <w:rStyle w:val="Hyperlink"/>
              </w:rPr>
              <w:t>Background</w:t>
            </w:r>
            <w:r>
              <w:rPr>
                <w:webHidden/>
              </w:rPr>
              <w:tab/>
            </w:r>
            <w:r>
              <w:rPr>
                <w:webHidden/>
              </w:rPr>
              <w:fldChar w:fldCharType="begin"/>
            </w:r>
            <w:r>
              <w:rPr>
                <w:webHidden/>
              </w:rPr>
              <w:instrText xml:space="preserve"> PAGEREF _Toc458185246 \h </w:instrText>
            </w:r>
            <w:r>
              <w:rPr>
                <w:webHidden/>
              </w:rPr>
            </w:r>
            <w:r>
              <w:rPr>
                <w:webHidden/>
              </w:rPr>
              <w:fldChar w:fldCharType="separate"/>
            </w:r>
            <w:r>
              <w:rPr>
                <w:webHidden/>
              </w:rPr>
              <w:t>4</w:t>
            </w:r>
            <w:r>
              <w:rPr>
                <w:webHidden/>
              </w:rPr>
              <w:fldChar w:fldCharType="end"/>
            </w:r>
          </w:hyperlink>
        </w:p>
        <w:p w:rsidR="000C0A41" w:rsidRDefault="000C0A41">
          <w:pPr>
            <w:pStyle w:val="TOC2"/>
            <w:tabs>
              <w:tab w:val="left" w:pos="880"/>
              <w:tab w:val="right" w:leader="dot" w:pos="9016"/>
            </w:tabs>
            <w:rPr>
              <w:noProof/>
              <w:lang w:eastAsia="en-GB"/>
            </w:rPr>
          </w:pPr>
          <w:hyperlink w:anchor="_Toc458185247" w:history="1">
            <w:r w:rsidRPr="00EF1D23">
              <w:rPr>
                <w:rStyle w:val="Hyperlink"/>
                <w:noProof/>
              </w:rPr>
              <w:t>2.1</w:t>
            </w:r>
            <w:r>
              <w:rPr>
                <w:noProof/>
                <w:lang w:eastAsia="en-GB"/>
              </w:rPr>
              <w:tab/>
            </w:r>
            <w:r w:rsidRPr="00EF1D23">
              <w:rPr>
                <w:rStyle w:val="Hyperlink"/>
                <w:noProof/>
              </w:rPr>
              <w:t>Previous COPD prevalence models</w:t>
            </w:r>
            <w:r>
              <w:rPr>
                <w:noProof/>
                <w:webHidden/>
              </w:rPr>
              <w:tab/>
            </w:r>
            <w:r>
              <w:rPr>
                <w:noProof/>
                <w:webHidden/>
              </w:rPr>
              <w:fldChar w:fldCharType="begin"/>
            </w:r>
            <w:r>
              <w:rPr>
                <w:noProof/>
                <w:webHidden/>
              </w:rPr>
              <w:instrText xml:space="preserve"> PAGEREF _Toc458185247 \h </w:instrText>
            </w:r>
            <w:r>
              <w:rPr>
                <w:noProof/>
                <w:webHidden/>
              </w:rPr>
            </w:r>
            <w:r>
              <w:rPr>
                <w:noProof/>
                <w:webHidden/>
              </w:rPr>
              <w:fldChar w:fldCharType="separate"/>
            </w:r>
            <w:r>
              <w:rPr>
                <w:noProof/>
                <w:webHidden/>
              </w:rPr>
              <w:t>4</w:t>
            </w:r>
            <w:r>
              <w:rPr>
                <w:noProof/>
                <w:webHidden/>
              </w:rPr>
              <w:fldChar w:fldCharType="end"/>
            </w:r>
          </w:hyperlink>
        </w:p>
        <w:p w:rsidR="000C0A41" w:rsidRDefault="000C0A41">
          <w:pPr>
            <w:pStyle w:val="TOC2"/>
            <w:tabs>
              <w:tab w:val="left" w:pos="880"/>
              <w:tab w:val="right" w:leader="dot" w:pos="9016"/>
            </w:tabs>
            <w:rPr>
              <w:noProof/>
              <w:lang w:eastAsia="en-GB"/>
            </w:rPr>
          </w:pPr>
          <w:hyperlink w:anchor="_Toc458185248" w:history="1">
            <w:r w:rsidRPr="00EF1D23">
              <w:rPr>
                <w:rStyle w:val="Hyperlink"/>
                <w:noProof/>
              </w:rPr>
              <w:t>2.2</w:t>
            </w:r>
            <w:r>
              <w:rPr>
                <w:noProof/>
                <w:lang w:eastAsia="en-GB"/>
              </w:rPr>
              <w:tab/>
            </w:r>
            <w:r w:rsidRPr="00EF1D23">
              <w:rPr>
                <w:rStyle w:val="Hyperlink"/>
                <w:noProof/>
              </w:rPr>
              <w:t>COPD epidemiology and management</w:t>
            </w:r>
            <w:r>
              <w:rPr>
                <w:noProof/>
                <w:webHidden/>
              </w:rPr>
              <w:tab/>
            </w:r>
            <w:r>
              <w:rPr>
                <w:noProof/>
                <w:webHidden/>
              </w:rPr>
              <w:fldChar w:fldCharType="begin"/>
            </w:r>
            <w:r>
              <w:rPr>
                <w:noProof/>
                <w:webHidden/>
              </w:rPr>
              <w:instrText xml:space="preserve"> PAGEREF _Toc458185248 \h </w:instrText>
            </w:r>
            <w:r>
              <w:rPr>
                <w:noProof/>
                <w:webHidden/>
              </w:rPr>
            </w:r>
            <w:r>
              <w:rPr>
                <w:noProof/>
                <w:webHidden/>
              </w:rPr>
              <w:fldChar w:fldCharType="separate"/>
            </w:r>
            <w:r>
              <w:rPr>
                <w:noProof/>
                <w:webHidden/>
              </w:rPr>
              <w:t>4</w:t>
            </w:r>
            <w:r>
              <w:rPr>
                <w:noProof/>
                <w:webHidden/>
              </w:rPr>
              <w:fldChar w:fldCharType="end"/>
            </w:r>
          </w:hyperlink>
        </w:p>
        <w:p w:rsidR="000C0A41" w:rsidRDefault="000C0A41">
          <w:pPr>
            <w:pStyle w:val="TOC2"/>
            <w:tabs>
              <w:tab w:val="left" w:pos="880"/>
              <w:tab w:val="right" w:leader="dot" w:pos="9016"/>
            </w:tabs>
            <w:rPr>
              <w:noProof/>
              <w:lang w:eastAsia="en-GB"/>
            </w:rPr>
          </w:pPr>
          <w:hyperlink w:anchor="_Toc458185249" w:history="1">
            <w:r w:rsidRPr="00EF1D23">
              <w:rPr>
                <w:rStyle w:val="Hyperlink"/>
                <w:noProof/>
              </w:rPr>
              <w:t>2.3</w:t>
            </w:r>
            <w:r>
              <w:rPr>
                <w:noProof/>
                <w:lang w:eastAsia="en-GB"/>
              </w:rPr>
              <w:tab/>
            </w:r>
            <w:r w:rsidRPr="00EF1D23">
              <w:rPr>
                <w:rStyle w:val="Hyperlink"/>
                <w:noProof/>
              </w:rPr>
              <w:t>COPD Prevalence</w:t>
            </w:r>
            <w:r>
              <w:rPr>
                <w:noProof/>
                <w:webHidden/>
              </w:rPr>
              <w:tab/>
            </w:r>
            <w:r>
              <w:rPr>
                <w:noProof/>
                <w:webHidden/>
              </w:rPr>
              <w:fldChar w:fldCharType="begin"/>
            </w:r>
            <w:r>
              <w:rPr>
                <w:noProof/>
                <w:webHidden/>
              </w:rPr>
              <w:instrText xml:space="preserve"> PAGEREF _Toc458185249 \h </w:instrText>
            </w:r>
            <w:r>
              <w:rPr>
                <w:noProof/>
                <w:webHidden/>
              </w:rPr>
            </w:r>
            <w:r>
              <w:rPr>
                <w:noProof/>
                <w:webHidden/>
              </w:rPr>
              <w:fldChar w:fldCharType="separate"/>
            </w:r>
            <w:r>
              <w:rPr>
                <w:noProof/>
                <w:webHidden/>
              </w:rPr>
              <w:t>6</w:t>
            </w:r>
            <w:r>
              <w:rPr>
                <w:noProof/>
                <w:webHidden/>
              </w:rPr>
              <w:fldChar w:fldCharType="end"/>
            </w:r>
          </w:hyperlink>
        </w:p>
        <w:p w:rsidR="000C0A41" w:rsidRDefault="000C0A41">
          <w:pPr>
            <w:pStyle w:val="TOC2"/>
            <w:tabs>
              <w:tab w:val="left" w:pos="880"/>
              <w:tab w:val="right" w:leader="dot" w:pos="9016"/>
            </w:tabs>
            <w:rPr>
              <w:noProof/>
              <w:lang w:eastAsia="en-GB"/>
            </w:rPr>
          </w:pPr>
          <w:hyperlink w:anchor="_Toc458185250" w:history="1">
            <w:r w:rsidRPr="00EF1D23">
              <w:rPr>
                <w:rStyle w:val="Hyperlink"/>
                <w:noProof/>
              </w:rPr>
              <w:t>2.4</w:t>
            </w:r>
            <w:r>
              <w:rPr>
                <w:noProof/>
                <w:lang w:eastAsia="en-GB"/>
              </w:rPr>
              <w:tab/>
            </w:r>
            <w:r w:rsidRPr="00EF1D23">
              <w:rPr>
                <w:rStyle w:val="Hyperlink"/>
                <w:noProof/>
              </w:rPr>
              <w:t>COPD Risk Factors</w:t>
            </w:r>
            <w:r>
              <w:rPr>
                <w:noProof/>
                <w:webHidden/>
              </w:rPr>
              <w:tab/>
            </w:r>
            <w:r>
              <w:rPr>
                <w:noProof/>
                <w:webHidden/>
              </w:rPr>
              <w:fldChar w:fldCharType="begin"/>
            </w:r>
            <w:r>
              <w:rPr>
                <w:noProof/>
                <w:webHidden/>
              </w:rPr>
              <w:instrText xml:space="preserve"> PAGEREF _Toc458185250 \h </w:instrText>
            </w:r>
            <w:r>
              <w:rPr>
                <w:noProof/>
                <w:webHidden/>
              </w:rPr>
            </w:r>
            <w:r>
              <w:rPr>
                <w:noProof/>
                <w:webHidden/>
              </w:rPr>
              <w:fldChar w:fldCharType="separate"/>
            </w:r>
            <w:r>
              <w:rPr>
                <w:noProof/>
                <w:webHidden/>
              </w:rPr>
              <w:t>11</w:t>
            </w:r>
            <w:r>
              <w:rPr>
                <w:noProof/>
                <w:webHidden/>
              </w:rPr>
              <w:fldChar w:fldCharType="end"/>
            </w:r>
          </w:hyperlink>
        </w:p>
        <w:p w:rsidR="000C0A41" w:rsidRDefault="000C0A41">
          <w:pPr>
            <w:pStyle w:val="TOC3"/>
            <w:tabs>
              <w:tab w:val="left" w:pos="1320"/>
              <w:tab w:val="right" w:leader="dot" w:pos="9016"/>
            </w:tabs>
            <w:rPr>
              <w:noProof/>
              <w:lang w:eastAsia="en-GB"/>
            </w:rPr>
          </w:pPr>
          <w:hyperlink w:anchor="_Toc458185251" w:history="1">
            <w:r w:rsidRPr="00EF1D23">
              <w:rPr>
                <w:rStyle w:val="Hyperlink"/>
                <w:noProof/>
              </w:rPr>
              <w:t>2.4.1</w:t>
            </w:r>
            <w:r>
              <w:rPr>
                <w:noProof/>
                <w:lang w:eastAsia="en-GB"/>
              </w:rPr>
              <w:tab/>
            </w:r>
            <w:r w:rsidRPr="00EF1D23">
              <w:rPr>
                <w:rStyle w:val="Hyperlink"/>
                <w:noProof/>
              </w:rPr>
              <w:t>Risk factor – Smoking</w:t>
            </w:r>
            <w:r>
              <w:rPr>
                <w:noProof/>
                <w:webHidden/>
              </w:rPr>
              <w:tab/>
            </w:r>
            <w:r>
              <w:rPr>
                <w:noProof/>
                <w:webHidden/>
              </w:rPr>
              <w:fldChar w:fldCharType="begin"/>
            </w:r>
            <w:r>
              <w:rPr>
                <w:noProof/>
                <w:webHidden/>
              </w:rPr>
              <w:instrText xml:space="preserve"> PAGEREF _Toc458185251 \h </w:instrText>
            </w:r>
            <w:r>
              <w:rPr>
                <w:noProof/>
                <w:webHidden/>
              </w:rPr>
            </w:r>
            <w:r>
              <w:rPr>
                <w:noProof/>
                <w:webHidden/>
              </w:rPr>
              <w:fldChar w:fldCharType="separate"/>
            </w:r>
            <w:r>
              <w:rPr>
                <w:noProof/>
                <w:webHidden/>
              </w:rPr>
              <w:t>11</w:t>
            </w:r>
            <w:r>
              <w:rPr>
                <w:noProof/>
                <w:webHidden/>
              </w:rPr>
              <w:fldChar w:fldCharType="end"/>
            </w:r>
          </w:hyperlink>
        </w:p>
        <w:p w:rsidR="000C0A41" w:rsidRDefault="000C0A41">
          <w:pPr>
            <w:pStyle w:val="TOC3"/>
            <w:tabs>
              <w:tab w:val="left" w:pos="1320"/>
              <w:tab w:val="right" w:leader="dot" w:pos="9016"/>
            </w:tabs>
            <w:rPr>
              <w:noProof/>
              <w:lang w:eastAsia="en-GB"/>
            </w:rPr>
          </w:pPr>
          <w:hyperlink w:anchor="_Toc458185252" w:history="1">
            <w:r w:rsidRPr="00EF1D23">
              <w:rPr>
                <w:rStyle w:val="Hyperlink"/>
                <w:noProof/>
              </w:rPr>
              <w:t>2.4.2</w:t>
            </w:r>
            <w:r>
              <w:rPr>
                <w:noProof/>
                <w:lang w:eastAsia="en-GB"/>
              </w:rPr>
              <w:tab/>
            </w:r>
            <w:r w:rsidRPr="00EF1D23">
              <w:rPr>
                <w:rStyle w:val="Hyperlink"/>
                <w:noProof/>
              </w:rPr>
              <w:t>Risk factor- Age</w:t>
            </w:r>
            <w:r>
              <w:rPr>
                <w:noProof/>
                <w:webHidden/>
              </w:rPr>
              <w:tab/>
            </w:r>
            <w:r>
              <w:rPr>
                <w:noProof/>
                <w:webHidden/>
              </w:rPr>
              <w:fldChar w:fldCharType="begin"/>
            </w:r>
            <w:r>
              <w:rPr>
                <w:noProof/>
                <w:webHidden/>
              </w:rPr>
              <w:instrText xml:space="preserve"> PAGEREF _Toc458185252 \h </w:instrText>
            </w:r>
            <w:r>
              <w:rPr>
                <w:noProof/>
                <w:webHidden/>
              </w:rPr>
            </w:r>
            <w:r>
              <w:rPr>
                <w:noProof/>
                <w:webHidden/>
              </w:rPr>
              <w:fldChar w:fldCharType="separate"/>
            </w:r>
            <w:r>
              <w:rPr>
                <w:noProof/>
                <w:webHidden/>
              </w:rPr>
              <w:t>11</w:t>
            </w:r>
            <w:r>
              <w:rPr>
                <w:noProof/>
                <w:webHidden/>
              </w:rPr>
              <w:fldChar w:fldCharType="end"/>
            </w:r>
          </w:hyperlink>
        </w:p>
        <w:p w:rsidR="000C0A41" w:rsidRDefault="000C0A41">
          <w:pPr>
            <w:pStyle w:val="TOC3"/>
            <w:tabs>
              <w:tab w:val="left" w:pos="1320"/>
              <w:tab w:val="right" w:leader="dot" w:pos="9016"/>
            </w:tabs>
            <w:rPr>
              <w:noProof/>
              <w:lang w:eastAsia="en-GB"/>
            </w:rPr>
          </w:pPr>
          <w:hyperlink w:anchor="_Toc458185253" w:history="1">
            <w:r w:rsidRPr="00EF1D23">
              <w:rPr>
                <w:rStyle w:val="Hyperlink"/>
                <w:noProof/>
              </w:rPr>
              <w:t>2.4.3</w:t>
            </w:r>
            <w:r>
              <w:rPr>
                <w:noProof/>
                <w:lang w:eastAsia="en-GB"/>
              </w:rPr>
              <w:tab/>
            </w:r>
            <w:r w:rsidRPr="00EF1D23">
              <w:rPr>
                <w:rStyle w:val="Hyperlink"/>
                <w:noProof/>
              </w:rPr>
              <w:t>Risk factor – socioeconomic status/deprivation</w:t>
            </w:r>
            <w:r>
              <w:rPr>
                <w:noProof/>
                <w:webHidden/>
              </w:rPr>
              <w:tab/>
            </w:r>
            <w:r>
              <w:rPr>
                <w:noProof/>
                <w:webHidden/>
              </w:rPr>
              <w:fldChar w:fldCharType="begin"/>
            </w:r>
            <w:r>
              <w:rPr>
                <w:noProof/>
                <w:webHidden/>
              </w:rPr>
              <w:instrText xml:space="preserve"> PAGEREF _Toc458185253 \h </w:instrText>
            </w:r>
            <w:r>
              <w:rPr>
                <w:noProof/>
                <w:webHidden/>
              </w:rPr>
            </w:r>
            <w:r>
              <w:rPr>
                <w:noProof/>
                <w:webHidden/>
              </w:rPr>
              <w:fldChar w:fldCharType="separate"/>
            </w:r>
            <w:r>
              <w:rPr>
                <w:noProof/>
                <w:webHidden/>
              </w:rPr>
              <w:t>11</w:t>
            </w:r>
            <w:r>
              <w:rPr>
                <w:noProof/>
                <w:webHidden/>
              </w:rPr>
              <w:fldChar w:fldCharType="end"/>
            </w:r>
          </w:hyperlink>
        </w:p>
        <w:p w:rsidR="000C0A41" w:rsidRDefault="000C0A41">
          <w:pPr>
            <w:pStyle w:val="TOC3"/>
            <w:tabs>
              <w:tab w:val="left" w:pos="1320"/>
              <w:tab w:val="right" w:leader="dot" w:pos="9016"/>
            </w:tabs>
            <w:rPr>
              <w:noProof/>
              <w:lang w:eastAsia="en-GB"/>
            </w:rPr>
          </w:pPr>
          <w:hyperlink w:anchor="_Toc458185254" w:history="1">
            <w:r w:rsidRPr="00EF1D23">
              <w:rPr>
                <w:rStyle w:val="Hyperlink"/>
                <w:noProof/>
              </w:rPr>
              <w:t>2.4.4</w:t>
            </w:r>
            <w:r>
              <w:rPr>
                <w:noProof/>
                <w:lang w:eastAsia="en-GB"/>
              </w:rPr>
              <w:tab/>
            </w:r>
            <w:r w:rsidRPr="00EF1D23">
              <w:rPr>
                <w:rStyle w:val="Hyperlink"/>
                <w:noProof/>
              </w:rPr>
              <w:t>Risk factor – Ethnicity</w:t>
            </w:r>
            <w:r>
              <w:rPr>
                <w:noProof/>
                <w:webHidden/>
              </w:rPr>
              <w:tab/>
            </w:r>
            <w:r>
              <w:rPr>
                <w:noProof/>
                <w:webHidden/>
              </w:rPr>
              <w:fldChar w:fldCharType="begin"/>
            </w:r>
            <w:r>
              <w:rPr>
                <w:noProof/>
                <w:webHidden/>
              </w:rPr>
              <w:instrText xml:space="preserve"> PAGEREF _Toc458185254 \h </w:instrText>
            </w:r>
            <w:r>
              <w:rPr>
                <w:noProof/>
                <w:webHidden/>
              </w:rPr>
            </w:r>
            <w:r>
              <w:rPr>
                <w:noProof/>
                <w:webHidden/>
              </w:rPr>
              <w:fldChar w:fldCharType="separate"/>
            </w:r>
            <w:r>
              <w:rPr>
                <w:noProof/>
                <w:webHidden/>
              </w:rPr>
              <w:t>12</w:t>
            </w:r>
            <w:r>
              <w:rPr>
                <w:noProof/>
                <w:webHidden/>
              </w:rPr>
              <w:fldChar w:fldCharType="end"/>
            </w:r>
          </w:hyperlink>
        </w:p>
        <w:p w:rsidR="000C0A41" w:rsidRDefault="000C0A41">
          <w:pPr>
            <w:pStyle w:val="TOC3"/>
            <w:tabs>
              <w:tab w:val="left" w:pos="1320"/>
              <w:tab w:val="right" w:leader="dot" w:pos="9016"/>
            </w:tabs>
            <w:rPr>
              <w:noProof/>
              <w:lang w:eastAsia="en-GB"/>
            </w:rPr>
          </w:pPr>
          <w:hyperlink w:anchor="_Toc458185255" w:history="1">
            <w:r w:rsidRPr="00EF1D23">
              <w:rPr>
                <w:rStyle w:val="Hyperlink"/>
                <w:noProof/>
              </w:rPr>
              <w:t>2.4.5</w:t>
            </w:r>
            <w:r>
              <w:rPr>
                <w:noProof/>
                <w:lang w:eastAsia="en-GB"/>
              </w:rPr>
              <w:tab/>
            </w:r>
            <w:r w:rsidRPr="00EF1D23">
              <w:rPr>
                <w:rStyle w:val="Hyperlink"/>
                <w:noProof/>
              </w:rPr>
              <w:t>Risk factor – Sex</w:t>
            </w:r>
            <w:r>
              <w:rPr>
                <w:noProof/>
                <w:webHidden/>
              </w:rPr>
              <w:tab/>
            </w:r>
            <w:r>
              <w:rPr>
                <w:noProof/>
                <w:webHidden/>
              </w:rPr>
              <w:fldChar w:fldCharType="begin"/>
            </w:r>
            <w:r>
              <w:rPr>
                <w:noProof/>
                <w:webHidden/>
              </w:rPr>
              <w:instrText xml:space="preserve"> PAGEREF _Toc458185255 \h </w:instrText>
            </w:r>
            <w:r>
              <w:rPr>
                <w:noProof/>
                <w:webHidden/>
              </w:rPr>
            </w:r>
            <w:r>
              <w:rPr>
                <w:noProof/>
                <w:webHidden/>
              </w:rPr>
              <w:fldChar w:fldCharType="separate"/>
            </w:r>
            <w:r>
              <w:rPr>
                <w:noProof/>
                <w:webHidden/>
              </w:rPr>
              <w:t>12</w:t>
            </w:r>
            <w:r>
              <w:rPr>
                <w:noProof/>
                <w:webHidden/>
              </w:rPr>
              <w:fldChar w:fldCharType="end"/>
            </w:r>
          </w:hyperlink>
        </w:p>
        <w:p w:rsidR="000C0A41" w:rsidRDefault="000C0A41">
          <w:pPr>
            <w:pStyle w:val="TOC3"/>
            <w:tabs>
              <w:tab w:val="left" w:pos="1320"/>
              <w:tab w:val="right" w:leader="dot" w:pos="9016"/>
            </w:tabs>
            <w:rPr>
              <w:noProof/>
              <w:lang w:eastAsia="en-GB"/>
            </w:rPr>
          </w:pPr>
          <w:hyperlink w:anchor="_Toc458185256" w:history="1">
            <w:r w:rsidRPr="00EF1D23">
              <w:rPr>
                <w:rStyle w:val="Hyperlink"/>
                <w:noProof/>
              </w:rPr>
              <w:t>2.4.6</w:t>
            </w:r>
            <w:r>
              <w:rPr>
                <w:noProof/>
                <w:lang w:eastAsia="en-GB"/>
              </w:rPr>
              <w:tab/>
            </w:r>
            <w:r w:rsidRPr="00EF1D23">
              <w:rPr>
                <w:rStyle w:val="Hyperlink"/>
                <w:noProof/>
              </w:rPr>
              <w:t>Risk factor – Occupation</w:t>
            </w:r>
            <w:r>
              <w:rPr>
                <w:noProof/>
                <w:webHidden/>
              </w:rPr>
              <w:tab/>
            </w:r>
            <w:r>
              <w:rPr>
                <w:noProof/>
                <w:webHidden/>
              </w:rPr>
              <w:fldChar w:fldCharType="begin"/>
            </w:r>
            <w:r>
              <w:rPr>
                <w:noProof/>
                <w:webHidden/>
              </w:rPr>
              <w:instrText xml:space="preserve"> PAGEREF _Toc458185256 \h </w:instrText>
            </w:r>
            <w:r>
              <w:rPr>
                <w:noProof/>
                <w:webHidden/>
              </w:rPr>
            </w:r>
            <w:r>
              <w:rPr>
                <w:noProof/>
                <w:webHidden/>
              </w:rPr>
              <w:fldChar w:fldCharType="separate"/>
            </w:r>
            <w:r>
              <w:rPr>
                <w:noProof/>
                <w:webHidden/>
              </w:rPr>
              <w:t>12</w:t>
            </w:r>
            <w:r>
              <w:rPr>
                <w:noProof/>
                <w:webHidden/>
              </w:rPr>
              <w:fldChar w:fldCharType="end"/>
            </w:r>
          </w:hyperlink>
        </w:p>
        <w:p w:rsidR="000C0A41" w:rsidRDefault="000C0A41">
          <w:pPr>
            <w:pStyle w:val="TOC1"/>
            <w:rPr>
              <w:rFonts w:eastAsiaTheme="minorEastAsia" w:cstheme="minorBidi"/>
              <w:b w:val="0"/>
              <w:bCs w:val="0"/>
              <w:sz w:val="22"/>
              <w:lang w:eastAsia="en-GB"/>
            </w:rPr>
          </w:pPr>
          <w:hyperlink w:anchor="_Toc458185257" w:history="1">
            <w:r w:rsidRPr="00EF1D23">
              <w:rPr>
                <w:rStyle w:val="Hyperlink"/>
              </w:rPr>
              <w:t>3</w:t>
            </w:r>
            <w:r>
              <w:rPr>
                <w:rFonts w:eastAsiaTheme="minorEastAsia" w:cstheme="minorBidi"/>
                <w:b w:val="0"/>
                <w:bCs w:val="0"/>
                <w:sz w:val="22"/>
                <w:lang w:eastAsia="en-GB"/>
              </w:rPr>
              <w:tab/>
            </w:r>
            <w:r w:rsidRPr="00EF1D23">
              <w:rPr>
                <w:rStyle w:val="Hyperlink"/>
              </w:rPr>
              <w:t>Methods</w:t>
            </w:r>
            <w:r>
              <w:rPr>
                <w:webHidden/>
              </w:rPr>
              <w:tab/>
            </w:r>
            <w:r>
              <w:rPr>
                <w:webHidden/>
              </w:rPr>
              <w:fldChar w:fldCharType="begin"/>
            </w:r>
            <w:r>
              <w:rPr>
                <w:webHidden/>
              </w:rPr>
              <w:instrText xml:space="preserve"> PAGEREF _Toc458185257 \h </w:instrText>
            </w:r>
            <w:r>
              <w:rPr>
                <w:webHidden/>
              </w:rPr>
            </w:r>
            <w:r>
              <w:rPr>
                <w:webHidden/>
              </w:rPr>
              <w:fldChar w:fldCharType="separate"/>
            </w:r>
            <w:r>
              <w:rPr>
                <w:webHidden/>
              </w:rPr>
              <w:t>15</w:t>
            </w:r>
            <w:r>
              <w:rPr>
                <w:webHidden/>
              </w:rPr>
              <w:fldChar w:fldCharType="end"/>
            </w:r>
          </w:hyperlink>
        </w:p>
        <w:p w:rsidR="000C0A41" w:rsidRDefault="000C0A41">
          <w:pPr>
            <w:pStyle w:val="TOC2"/>
            <w:tabs>
              <w:tab w:val="left" w:pos="880"/>
              <w:tab w:val="right" w:leader="dot" w:pos="9016"/>
            </w:tabs>
            <w:rPr>
              <w:noProof/>
              <w:lang w:eastAsia="en-GB"/>
            </w:rPr>
          </w:pPr>
          <w:hyperlink w:anchor="_Toc458185258" w:history="1">
            <w:r w:rsidRPr="00EF1D23">
              <w:rPr>
                <w:rStyle w:val="Hyperlink"/>
                <w:noProof/>
              </w:rPr>
              <w:t>3.1</w:t>
            </w:r>
            <w:r>
              <w:rPr>
                <w:noProof/>
                <w:lang w:eastAsia="en-GB"/>
              </w:rPr>
              <w:tab/>
            </w:r>
            <w:r w:rsidRPr="00EF1D23">
              <w:rPr>
                <w:rStyle w:val="Hyperlink"/>
                <w:noProof/>
              </w:rPr>
              <w:t>COPD prevalence from UK primary care data: Clinical Practice Research Datalink</w:t>
            </w:r>
            <w:r>
              <w:rPr>
                <w:noProof/>
                <w:webHidden/>
              </w:rPr>
              <w:tab/>
            </w:r>
            <w:r>
              <w:rPr>
                <w:noProof/>
                <w:webHidden/>
              </w:rPr>
              <w:fldChar w:fldCharType="begin"/>
            </w:r>
            <w:r>
              <w:rPr>
                <w:noProof/>
                <w:webHidden/>
              </w:rPr>
              <w:instrText xml:space="preserve"> PAGEREF _Toc458185258 \h </w:instrText>
            </w:r>
            <w:r>
              <w:rPr>
                <w:noProof/>
                <w:webHidden/>
              </w:rPr>
            </w:r>
            <w:r>
              <w:rPr>
                <w:noProof/>
                <w:webHidden/>
              </w:rPr>
              <w:fldChar w:fldCharType="separate"/>
            </w:r>
            <w:r>
              <w:rPr>
                <w:noProof/>
                <w:webHidden/>
              </w:rPr>
              <w:t>15</w:t>
            </w:r>
            <w:r>
              <w:rPr>
                <w:noProof/>
                <w:webHidden/>
              </w:rPr>
              <w:fldChar w:fldCharType="end"/>
            </w:r>
          </w:hyperlink>
        </w:p>
        <w:p w:rsidR="000C0A41" w:rsidRDefault="000C0A41">
          <w:pPr>
            <w:pStyle w:val="TOC3"/>
            <w:tabs>
              <w:tab w:val="left" w:pos="1320"/>
              <w:tab w:val="right" w:leader="dot" w:pos="9016"/>
            </w:tabs>
            <w:rPr>
              <w:noProof/>
              <w:lang w:eastAsia="en-GB"/>
            </w:rPr>
          </w:pPr>
          <w:hyperlink w:anchor="_Toc458185259" w:history="1">
            <w:r w:rsidRPr="00EF1D23">
              <w:rPr>
                <w:rStyle w:val="Hyperlink"/>
                <w:noProof/>
              </w:rPr>
              <w:t>3.1.1</w:t>
            </w:r>
            <w:r>
              <w:rPr>
                <w:noProof/>
                <w:lang w:eastAsia="en-GB"/>
              </w:rPr>
              <w:tab/>
            </w:r>
            <w:r w:rsidRPr="00EF1D23">
              <w:rPr>
                <w:rStyle w:val="Hyperlink"/>
                <w:noProof/>
              </w:rPr>
              <w:t>Data source, sampling and COPD code lists</w:t>
            </w:r>
            <w:r>
              <w:rPr>
                <w:noProof/>
                <w:webHidden/>
              </w:rPr>
              <w:tab/>
            </w:r>
            <w:r>
              <w:rPr>
                <w:noProof/>
                <w:webHidden/>
              </w:rPr>
              <w:fldChar w:fldCharType="begin"/>
            </w:r>
            <w:r>
              <w:rPr>
                <w:noProof/>
                <w:webHidden/>
              </w:rPr>
              <w:instrText xml:space="preserve"> PAGEREF _Toc458185259 \h </w:instrText>
            </w:r>
            <w:r>
              <w:rPr>
                <w:noProof/>
                <w:webHidden/>
              </w:rPr>
            </w:r>
            <w:r>
              <w:rPr>
                <w:noProof/>
                <w:webHidden/>
              </w:rPr>
              <w:fldChar w:fldCharType="separate"/>
            </w:r>
            <w:r>
              <w:rPr>
                <w:noProof/>
                <w:webHidden/>
              </w:rPr>
              <w:t>15</w:t>
            </w:r>
            <w:r>
              <w:rPr>
                <w:noProof/>
                <w:webHidden/>
              </w:rPr>
              <w:fldChar w:fldCharType="end"/>
            </w:r>
          </w:hyperlink>
        </w:p>
        <w:p w:rsidR="000C0A41" w:rsidRDefault="000C0A41">
          <w:pPr>
            <w:pStyle w:val="TOC2"/>
            <w:tabs>
              <w:tab w:val="left" w:pos="880"/>
              <w:tab w:val="right" w:leader="dot" w:pos="9016"/>
            </w:tabs>
            <w:rPr>
              <w:noProof/>
              <w:lang w:eastAsia="en-GB"/>
            </w:rPr>
          </w:pPr>
          <w:hyperlink w:anchor="_Toc458185260" w:history="1">
            <w:r w:rsidRPr="00EF1D23">
              <w:rPr>
                <w:rStyle w:val="Hyperlink"/>
                <w:noProof/>
              </w:rPr>
              <w:t>3.2</w:t>
            </w:r>
            <w:r>
              <w:rPr>
                <w:noProof/>
                <w:lang w:eastAsia="en-GB"/>
              </w:rPr>
              <w:tab/>
            </w:r>
            <w:r w:rsidRPr="00EF1D23">
              <w:rPr>
                <w:rStyle w:val="Hyperlink"/>
                <w:noProof/>
              </w:rPr>
              <w:t>Outcome definition: definite/probable COPD</w:t>
            </w:r>
            <w:r>
              <w:rPr>
                <w:noProof/>
                <w:webHidden/>
              </w:rPr>
              <w:tab/>
            </w:r>
            <w:r>
              <w:rPr>
                <w:noProof/>
                <w:webHidden/>
              </w:rPr>
              <w:fldChar w:fldCharType="begin"/>
            </w:r>
            <w:r>
              <w:rPr>
                <w:noProof/>
                <w:webHidden/>
              </w:rPr>
              <w:instrText xml:space="preserve"> PAGEREF _Toc458185260 \h </w:instrText>
            </w:r>
            <w:r>
              <w:rPr>
                <w:noProof/>
                <w:webHidden/>
              </w:rPr>
            </w:r>
            <w:r>
              <w:rPr>
                <w:noProof/>
                <w:webHidden/>
              </w:rPr>
              <w:fldChar w:fldCharType="separate"/>
            </w:r>
            <w:r>
              <w:rPr>
                <w:noProof/>
                <w:webHidden/>
              </w:rPr>
              <w:t>15</w:t>
            </w:r>
            <w:r>
              <w:rPr>
                <w:noProof/>
                <w:webHidden/>
              </w:rPr>
              <w:fldChar w:fldCharType="end"/>
            </w:r>
          </w:hyperlink>
        </w:p>
        <w:p w:rsidR="000C0A41" w:rsidRDefault="000C0A41">
          <w:pPr>
            <w:pStyle w:val="TOC3"/>
            <w:tabs>
              <w:tab w:val="left" w:pos="1320"/>
              <w:tab w:val="right" w:leader="dot" w:pos="9016"/>
            </w:tabs>
            <w:rPr>
              <w:noProof/>
              <w:lang w:eastAsia="en-GB"/>
            </w:rPr>
          </w:pPr>
          <w:hyperlink w:anchor="_Toc458185261" w:history="1">
            <w:r w:rsidRPr="00EF1D23">
              <w:rPr>
                <w:rStyle w:val="Hyperlink"/>
                <w:noProof/>
              </w:rPr>
              <w:t>3.2.1</w:t>
            </w:r>
            <w:r>
              <w:rPr>
                <w:noProof/>
                <w:lang w:eastAsia="en-GB"/>
              </w:rPr>
              <w:tab/>
            </w:r>
            <w:r w:rsidRPr="00EF1D23">
              <w:rPr>
                <w:rStyle w:val="Hyperlink"/>
                <w:noProof/>
              </w:rPr>
              <w:t>CPRD risk factors</w:t>
            </w:r>
            <w:r>
              <w:rPr>
                <w:noProof/>
                <w:webHidden/>
              </w:rPr>
              <w:tab/>
            </w:r>
            <w:r>
              <w:rPr>
                <w:noProof/>
                <w:webHidden/>
              </w:rPr>
              <w:fldChar w:fldCharType="begin"/>
            </w:r>
            <w:r>
              <w:rPr>
                <w:noProof/>
                <w:webHidden/>
              </w:rPr>
              <w:instrText xml:space="preserve"> PAGEREF _Toc458185261 \h </w:instrText>
            </w:r>
            <w:r>
              <w:rPr>
                <w:noProof/>
                <w:webHidden/>
              </w:rPr>
            </w:r>
            <w:r>
              <w:rPr>
                <w:noProof/>
                <w:webHidden/>
              </w:rPr>
              <w:fldChar w:fldCharType="separate"/>
            </w:r>
            <w:r>
              <w:rPr>
                <w:noProof/>
                <w:webHidden/>
              </w:rPr>
              <w:t>17</w:t>
            </w:r>
            <w:r>
              <w:rPr>
                <w:noProof/>
                <w:webHidden/>
              </w:rPr>
              <w:fldChar w:fldCharType="end"/>
            </w:r>
          </w:hyperlink>
        </w:p>
        <w:p w:rsidR="000C0A41" w:rsidRDefault="000C0A41">
          <w:pPr>
            <w:pStyle w:val="TOC3"/>
            <w:tabs>
              <w:tab w:val="left" w:pos="1320"/>
              <w:tab w:val="right" w:leader="dot" w:pos="9016"/>
            </w:tabs>
            <w:rPr>
              <w:noProof/>
              <w:lang w:eastAsia="en-GB"/>
            </w:rPr>
          </w:pPr>
          <w:hyperlink w:anchor="_Toc458185262" w:history="1">
            <w:r w:rsidRPr="00EF1D23">
              <w:rPr>
                <w:rStyle w:val="Hyperlink"/>
                <w:noProof/>
              </w:rPr>
              <w:t>3.2.2</w:t>
            </w:r>
            <w:r>
              <w:rPr>
                <w:noProof/>
                <w:lang w:eastAsia="en-GB"/>
              </w:rPr>
              <w:tab/>
            </w:r>
            <w:r w:rsidRPr="00EF1D23">
              <w:rPr>
                <w:rStyle w:val="Hyperlink"/>
                <w:noProof/>
              </w:rPr>
              <w:t>CPRD descriptive analyses</w:t>
            </w:r>
            <w:r>
              <w:rPr>
                <w:noProof/>
                <w:webHidden/>
              </w:rPr>
              <w:tab/>
            </w:r>
            <w:r>
              <w:rPr>
                <w:noProof/>
                <w:webHidden/>
              </w:rPr>
              <w:fldChar w:fldCharType="begin"/>
            </w:r>
            <w:r>
              <w:rPr>
                <w:noProof/>
                <w:webHidden/>
              </w:rPr>
              <w:instrText xml:space="preserve"> PAGEREF _Toc458185262 \h </w:instrText>
            </w:r>
            <w:r>
              <w:rPr>
                <w:noProof/>
                <w:webHidden/>
              </w:rPr>
            </w:r>
            <w:r>
              <w:rPr>
                <w:noProof/>
                <w:webHidden/>
              </w:rPr>
              <w:fldChar w:fldCharType="separate"/>
            </w:r>
            <w:r>
              <w:rPr>
                <w:noProof/>
                <w:webHidden/>
              </w:rPr>
              <w:t>18</w:t>
            </w:r>
            <w:r>
              <w:rPr>
                <w:noProof/>
                <w:webHidden/>
              </w:rPr>
              <w:fldChar w:fldCharType="end"/>
            </w:r>
          </w:hyperlink>
        </w:p>
        <w:p w:rsidR="000C0A41" w:rsidRDefault="000C0A41">
          <w:pPr>
            <w:pStyle w:val="TOC3"/>
            <w:tabs>
              <w:tab w:val="left" w:pos="1320"/>
              <w:tab w:val="right" w:leader="dot" w:pos="9016"/>
            </w:tabs>
            <w:rPr>
              <w:noProof/>
              <w:lang w:eastAsia="en-GB"/>
            </w:rPr>
          </w:pPr>
          <w:hyperlink w:anchor="_Toc458185263" w:history="1">
            <w:r w:rsidRPr="00EF1D23">
              <w:rPr>
                <w:rStyle w:val="Hyperlink"/>
                <w:noProof/>
              </w:rPr>
              <w:t>3.2.3</w:t>
            </w:r>
            <w:r>
              <w:rPr>
                <w:noProof/>
                <w:lang w:eastAsia="en-GB"/>
              </w:rPr>
              <w:tab/>
            </w:r>
            <w:r w:rsidRPr="00EF1D23">
              <w:rPr>
                <w:rStyle w:val="Hyperlink"/>
                <w:noProof/>
              </w:rPr>
              <w:t>CPRD regression modelling</w:t>
            </w:r>
            <w:r>
              <w:rPr>
                <w:noProof/>
                <w:webHidden/>
              </w:rPr>
              <w:tab/>
            </w:r>
            <w:r>
              <w:rPr>
                <w:noProof/>
                <w:webHidden/>
              </w:rPr>
              <w:fldChar w:fldCharType="begin"/>
            </w:r>
            <w:r>
              <w:rPr>
                <w:noProof/>
                <w:webHidden/>
              </w:rPr>
              <w:instrText xml:space="preserve"> PAGEREF _Toc458185263 \h </w:instrText>
            </w:r>
            <w:r>
              <w:rPr>
                <w:noProof/>
                <w:webHidden/>
              </w:rPr>
            </w:r>
            <w:r>
              <w:rPr>
                <w:noProof/>
                <w:webHidden/>
              </w:rPr>
              <w:fldChar w:fldCharType="separate"/>
            </w:r>
            <w:r>
              <w:rPr>
                <w:noProof/>
                <w:webHidden/>
              </w:rPr>
              <w:t>18</w:t>
            </w:r>
            <w:r>
              <w:rPr>
                <w:noProof/>
                <w:webHidden/>
              </w:rPr>
              <w:fldChar w:fldCharType="end"/>
            </w:r>
          </w:hyperlink>
        </w:p>
        <w:p w:rsidR="000C0A41" w:rsidRDefault="000C0A41">
          <w:pPr>
            <w:pStyle w:val="TOC3"/>
            <w:tabs>
              <w:tab w:val="left" w:pos="1320"/>
              <w:tab w:val="right" w:leader="dot" w:pos="9016"/>
            </w:tabs>
            <w:rPr>
              <w:noProof/>
              <w:lang w:eastAsia="en-GB"/>
            </w:rPr>
          </w:pPr>
          <w:hyperlink w:anchor="_Toc458185264" w:history="1">
            <w:r w:rsidRPr="00EF1D23">
              <w:rPr>
                <w:rStyle w:val="Hyperlink"/>
                <w:noProof/>
              </w:rPr>
              <w:t>3.2.4</w:t>
            </w:r>
            <w:r>
              <w:rPr>
                <w:noProof/>
                <w:lang w:eastAsia="en-GB"/>
              </w:rPr>
              <w:tab/>
            </w:r>
            <w:r w:rsidRPr="00EF1D23">
              <w:rPr>
                <w:rStyle w:val="Hyperlink"/>
                <w:noProof/>
              </w:rPr>
              <w:t>Interactions</w:t>
            </w:r>
            <w:r>
              <w:rPr>
                <w:noProof/>
                <w:webHidden/>
              </w:rPr>
              <w:tab/>
            </w:r>
            <w:r>
              <w:rPr>
                <w:noProof/>
                <w:webHidden/>
              </w:rPr>
              <w:fldChar w:fldCharType="begin"/>
            </w:r>
            <w:r>
              <w:rPr>
                <w:noProof/>
                <w:webHidden/>
              </w:rPr>
              <w:instrText xml:space="preserve"> PAGEREF _Toc458185264 \h </w:instrText>
            </w:r>
            <w:r>
              <w:rPr>
                <w:noProof/>
                <w:webHidden/>
              </w:rPr>
            </w:r>
            <w:r>
              <w:rPr>
                <w:noProof/>
                <w:webHidden/>
              </w:rPr>
              <w:fldChar w:fldCharType="separate"/>
            </w:r>
            <w:r>
              <w:rPr>
                <w:noProof/>
                <w:webHidden/>
              </w:rPr>
              <w:t>18</w:t>
            </w:r>
            <w:r>
              <w:rPr>
                <w:noProof/>
                <w:webHidden/>
              </w:rPr>
              <w:fldChar w:fldCharType="end"/>
            </w:r>
          </w:hyperlink>
        </w:p>
        <w:p w:rsidR="000C0A41" w:rsidRDefault="000C0A41">
          <w:pPr>
            <w:pStyle w:val="TOC3"/>
            <w:tabs>
              <w:tab w:val="left" w:pos="1320"/>
              <w:tab w:val="right" w:leader="dot" w:pos="9016"/>
            </w:tabs>
            <w:rPr>
              <w:noProof/>
              <w:lang w:eastAsia="en-GB"/>
            </w:rPr>
          </w:pPr>
          <w:hyperlink w:anchor="_Toc458185265" w:history="1">
            <w:r w:rsidRPr="00EF1D23">
              <w:rPr>
                <w:rStyle w:val="Hyperlink"/>
                <w:noProof/>
              </w:rPr>
              <w:t>3.2.5</w:t>
            </w:r>
            <w:r>
              <w:rPr>
                <w:noProof/>
                <w:lang w:eastAsia="en-GB"/>
              </w:rPr>
              <w:tab/>
            </w:r>
            <w:r w:rsidRPr="00EF1D23">
              <w:rPr>
                <w:rStyle w:val="Hyperlink"/>
                <w:noProof/>
              </w:rPr>
              <w:t>Internal validation</w:t>
            </w:r>
            <w:r>
              <w:rPr>
                <w:noProof/>
                <w:webHidden/>
              </w:rPr>
              <w:tab/>
            </w:r>
            <w:r>
              <w:rPr>
                <w:noProof/>
                <w:webHidden/>
              </w:rPr>
              <w:fldChar w:fldCharType="begin"/>
            </w:r>
            <w:r>
              <w:rPr>
                <w:noProof/>
                <w:webHidden/>
              </w:rPr>
              <w:instrText xml:space="preserve"> PAGEREF _Toc458185265 \h </w:instrText>
            </w:r>
            <w:r>
              <w:rPr>
                <w:noProof/>
                <w:webHidden/>
              </w:rPr>
            </w:r>
            <w:r>
              <w:rPr>
                <w:noProof/>
                <w:webHidden/>
              </w:rPr>
              <w:fldChar w:fldCharType="separate"/>
            </w:r>
            <w:r>
              <w:rPr>
                <w:noProof/>
                <w:webHidden/>
              </w:rPr>
              <w:t>18</w:t>
            </w:r>
            <w:r>
              <w:rPr>
                <w:noProof/>
                <w:webHidden/>
              </w:rPr>
              <w:fldChar w:fldCharType="end"/>
            </w:r>
          </w:hyperlink>
        </w:p>
        <w:p w:rsidR="000C0A41" w:rsidRDefault="000C0A41">
          <w:pPr>
            <w:pStyle w:val="TOC2"/>
            <w:tabs>
              <w:tab w:val="left" w:pos="880"/>
              <w:tab w:val="right" w:leader="dot" w:pos="9016"/>
            </w:tabs>
            <w:rPr>
              <w:noProof/>
              <w:lang w:eastAsia="en-GB"/>
            </w:rPr>
          </w:pPr>
          <w:hyperlink w:anchor="_Toc458185266" w:history="1">
            <w:r w:rsidRPr="00EF1D23">
              <w:rPr>
                <w:rStyle w:val="Hyperlink"/>
                <w:noProof/>
              </w:rPr>
              <w:t>3.3</w:t>
            </w:r>
            <w:r>
              <w:rPr>
                <w:noProof/>
                <w:lang w:eastAsia="en-GB"/>
              </w:rPr>
              <w:tab/>
            </w:r>
            <w:r w:rsidRPr="00EF1D23">
              <w:rPr>
                <w:rStyle w:val="Hyperlink"/>
                <w:noProof/>
              </w:rPr>
              <w:t>Local prevalence estimates</w:t>
            </w:r>
            <w:r>
              <w:rPr>
                <w:noProof/>
                <w:webHidden/>
              </w:rPr>
              <w:tab/>
            </w:r>
            <w:r>
              <w:rPr>
                <w:noProof/>
                <w:webHidden/>
              </w:rPr>
              <w:fldChar w:fldCharType="begin"/>
            </w:r>
            <w:r>
              <w:rPr>
                <w:noProof/>
                <w:webHidden/>
              </w:rPr>
              <w:instrText xml:space="preserve"> PAGEREF _Toc458185266 \h </w:instrText>
            </w:r>
            <w:r>
              <w:rPr>
                <w:noProof/>
                <w:webHidden/>
              </w:rPr>
            </w:r>
            <w:r>
              <w:rPr>
                <w:noProof/>
                <w:webHidden/>
              </w:rPr>
              <w:fldChar w:fldCharType="separate"/>
            </w:r>
            <w:r>
              <w:rPr>
                <w:noProof/>
                <w:webHidden/>
              </w:rPr>
              <w:t>18</w:t>
            </w:r>
            <w:r>
              <w:rPr>
                <w:noProof/>
                <w:webHidden/>
              </w:rPr>
              <w:fldChar w:fldCharType="end"/>
            </w:r>
          </w:hyperlink>
        </w:p>
        <w:p w:rsidR="000C0A41" w:rsidRDefault="000C0A41">
          <w:pPr>
            <w:pStyle w:val="TOC3"/>
            <w:tabs>
              <w:tab w:val="left" w:pos="1320"/>
              <w:tab w:val="right" w:leader="dot" w:pos="9016"/>
            </w:tabs>
            <w:rPr>
              <w:noProof/>
              <w:lang w:eastAsia="en-GB"/>
            </w:rPr>
          </w:pPr>
          <w:hyperlink w:anchor="_Toc458185267" w:history="1">
            <w:r w:rsidRPr="00EF1D23">
              <w:rPr>
                <w:rStyle w:val="Hyperlink"/>
                <w:noProof/>
              </w:rPr>
              <w:t>3.3.1</w:t>
            </w:r>
            <w:r>
              <w:rPr>
                <w:noProof/>
                <w:lang w:eastAsia="en-GB"/>
              </w:rPr>
              <w:tab/>
            </w:r>
            <w:r w:rsidRPr="00EF1D23">
              <w:rPr>
                <w:rStyle w:val="Hyperlink"/>
                <w:noProof/>
              </w:rPr>
              <w:t>Method 1: bootstrapping procedure to produce repeated samples</w:t>
            </w:r>
            <w:r>
              <w:rPr>
                <w:noProof/>
                <w:webHidden/>
              </w:rPr>
              <w:tab/>
            </w:r>
            <w:r>
              <w:rPr>
                <w:noProof/>
                <w:webHidden/>
              </w:rPr>
              <w:fldChar w:fldCharType="begin"/>
            </w:r>
            <w:r>
              <w:rPr>
                <w:noProof/>
                <w:webHidden/>
              </w:rPr>
              <w:instrText xml:space="preserve"> PAGEREF _Toc458185267 \h </w:instrText>
            </w:r>
            <w:r>
              <w:rPr>
                <w:noProof/>
                <w:webHidden/>
              </w:rPr>
            </w:r>
            <w:r>
              <w:rPr>
                <w:noProof/>
                <w:webHidden/>
              </w:rPr>
              <w:fldChar w:fldCharType="separate"/>
            </w:r>
            <w:r>
              <w:rPr>
                <w:noProof/>
                <w:webHidden/>
              </w:rPr>
              <w:t>20</w:t>
            </w:r>
            <w:r>
              <w:rPr>
                <w:noProof/>
                <w:webHidden/>
              </w:rPr>
              <w:fldChar w:fldCharType="end"/>
            </w:r>
          </w:hyperlink>
        </w:p>
        <w:p w:rsidR="000C0A41" w:rsidRDefault="000C0A41">
          <w:pPr>
            <w:pStyle w:val="TOC3"/>
            <w:tabs>
              <w:tab w:val="left" w:pos="1320"/>
              <w:tab w:val="right" w:leader="dot" w:pos="9016"/>
            </w:tabs>
            <w:rPr>
              <w:noProof/>
              <w:lang w:eastAsia="en-GB"/>
            </w:rPr>
          </w:pPr>
          <w:hyperlink w:anchor="_Toc458185268" w:history="1">
            <w:r w:rsidRPr="00EF1D23">
              <w:rPr>
                <w:rStyle w:val="Hyperlink"/>
                <w:noProof/>
              </w:rPr>
              <w:t>3.3.2</w:t>
            </w:r>
            <w:r>
              <w:rPr>
                <w:noProof/>
                <w:lang w:eastAsia="en-GB"/>
              </w:rPr>
              <w:tab/>
            </w:r>
            <w:r w:rsidRPr="00EF1D23">
              <w:rPr>
                <w:rStyle w:val="Hyperlink"/>
                <w:noProof/>
              </w:rPr>
              <w:t>Method 2: Logistic regression and inverse probability weights</w:t>
            </w:r>
            <w:r>
              <w:rPr>
                <w:noProof/>
                <w:webHidden/>
              </w:rPr>
              <w:tab/>
            </w:r>
            <w:r>
              <w:rPr>
                <w:noProof/>
                <w:webHidden/>
              </w:rPr>
              <w:fldChar w:fldCharType="begin"/>
            </w:r>
            <w:r>
              <w:rPr>
                <w:noProof/>
                <w:webHidden/>
              </w:rPr>
              <w:instrText xml:space="preserve"> PAGEREF _Toc458185268 \h </w:instrText>
            </w:r>
            <w:r>
              <w:rPr>
                <w:noProof/>
                <w:webHidden/>
              </w:rPr>
            </w:r>
            <w:r>
              <w:rPr>
                <w:noProof/>
                <w:webHidden/>
              </w:rPr>
              <w:fldChar w:fldCharType="separate"/>
            </w:r>
            <w:r>
              <w:rPr>
                <w:noProof/>
                <w:webHidden/>
              </w:rPr>
              <w:t>21</w:t>
            </w:r>
            <w:r>
              <w:rPr>
                <w:noProof/>
                <w:webHidden/>
              </w:rPr>
              <w:fldChar w:fldCharType="end"/>
            </w:r>
          </w:hyperlink>
        </w:p>
        <w:p w:rsidR="000C0A41" w:rsidRDefault="000C0A41">
          <w:pPr>
            <w:pStyle w:val="TOC2"/>
            <w:tabs>
              <w:tab w:val="left" w:pos="880"/>
              <w:tab w:val="right" w:leader="dot" w:pos="9016"/>
            </w:tabs>
            <w:rPr>
              <w:noProof/>
              <w:lang w:eastAsia="en-GB"/>
            </w:rPr>
          </w:pPr>
          <w:hyperlink w:anchor="_Toc458185269" w:history="1">
            <w:r w:rsidRPr="00EF1D23">
              <w:rPr>
                <w:rStyle w:val="Hyperlink"/>
                <w:noProof/>
              </w:rPr>
              <w:t>3.4</w:t>
            </w:r>
            <w:r>
              <w:rPr>
                <w:noProof/>
                <w:lang w:eastAsia="en-GB"/>
              </w:rPr>
              <w:tab/>
            </w:r>
            <w:r w:rsidRPr="00EF1D23">
              <w:rPr>
                <w:rStyle w:val="Hyperlink"/>
                <w:noProof/>
              </w:rPr>
              <w:t>Validation of local estimates</w:t>
            </w:r>
            <w:r>
              <w:rPr>
                <w:noProof/>
                <w:webHidden/>
              </w:rPr>
              <w:tab/>
            </w:r>
            <w:r>
              <w:rPr>
                <w:noProof/>
                <w:webHidden/>
              </w:rPr>
              <w:fldChar w:fldCharType="begin"/>
            </w:r>
            <w:r>
              <w:rPr>
                <w:noProof/>
                <w:webHidden/>
              </w:rPr>
              <w:instrText xml:space="preserve"> PAGEREF _Toc458185269 \h </w:instrText>
            </w:r>
            <w:r>
              <w:rPr>
                <w:noProof/>
                <w:webHidden/>
              </w:rPr>
            </w:r>
            <w:r>
              <w:rPr>
                <w:noProof/>
                <w:webHidden/>
              </w:rPr>
              <w:fldChar w:fldCharType="separate"/>
            </w:r>
            <w:r>
              <w:rPr>
                <w:noProof/>
                <w:webHidden/>
              </w:rPr>
              <w:t>23</w:t>
            </w:r>
            <w:r>
              <w:rPr>
                <w:noProof/>
                <w:webHidden/>
              </w:rPr>
              <w:fldChar w:fldCharType="end"/>
            </w:r>
          </w:hyperlink>
        </w:p>
        <w:p w:rsidR="000C0A41" w:rsidRDefault="000C0A41">
          <w:pPr>
            <w:pStyle w:val="TOC3"/>
            <w:tabs>
              <w:tab w:val="left" w:pos="1320"/>
              <w:tab w:val="right" w:leader="dot" w:pos="9016"/>
            </w:tabs>
            <w:rPr>
              <w:noProof/>
              <w:lang w:eastAsia="en-GB"/>
            </w:rPr>
          </w:pPr>
          <w:hyperlink w:anchor="_Toc458185270" w:history="1">
            <w:r w:rsidRPr="00EF1D23">
              <w:rPr>
                <w:rStyle w:val="Hyperlink"/>
                <w:noProof/>
              </w:rPr>
              <w:t>3.4.1</w:t>
            </w:r>
            <w:r>
              <w:rPr>
                <w:noProof/>
                <w:lang w:eastAsia="en-GB"/>
              </w:rPr>
              <w:tab/>
            </w:r>
            <w:r w:rsidRPr="00EF1D23">
              <w:rPr>
                <w:rStyle w:val="Hyperlink"/>
                <w:noProof/>
              </w:rPr>
              <w:t>Internal validation</w:t>
            </w:r>
            <w:r>
              <w:rPr>
                <w:noProof/>
                <w:webHidden/>
              </w:rPr>
              <w:tab/>
            </w:r>
            <w:r>
              <w:rPr>
                <w:noProof/>
                <w:webHidden/>
              </w:rPr>
              <w:fldChar w:fldCharType="begin"/>
            </w:r>
            <w:r>
              <w:rPr>
                <w:noProof/>
                <w:webHidden/>
              </w:rPr>
              <w:instrText xml:space="preserve"> PAGEREF _Toc458185270 \h </w:instrText>
            </w:r>
            <w:r>
              <w:rPr>
                <w:noProof/>
                <w:webHidden/>
              </w:rPr>
            </w:r>
            <w:r>
              <w:rPr>
                <w:noProof/>
                <w:webHidden/>
              </w:rPr>
              <w:fldChar w:fldCharType="separate"/>
            </w:r>
            <w:r>
              <w:rPr>
                <w:noProof/>
                <w:webHidden/>
              </w:rPr>
              <w:t>23</w:t>
            </w:r>
            <w:r>
              <w:rPr>
                <w:noProof/>
                <w:webHidden/>
              </w:rPr>
              <w:fldChar w:fldCharType="end"/>
            </w:r>
          </w:hyperlink>
        </w:p>
        <w:p w:rsidR="000C0A41" w:rsidRDefault="000C0A41">
          <w:pPr>
            <w:pStyle w:val="TOC3"/>
            <w:tabs>
              <w:tab w:val="left" w:pos="1320"/>
              <w:tab w:val="right" w:leader="dot" w:pos="9016"/>
            </w:tabs>
            <w:rPr>
              <w:noProof/>
              <w:lang w:eastAsia="en-GB"/>
            </w:rPr>
          </w:pPr>
          <w:hyperlink w:anchor="_Toc458185271" w:history="1">
            <w:r w:rsidRPr="00EF1D23">
              <w:rPr>
                <w:rStyle w:val="Hyperlink"/>
                <w:noProof/>
              </w:rPr>
              <w:t>3.4.2</w:t>
            </w:r>
            <w:r>
              <w:rPr>
                <w:noProof/>
                <w:lang w:eastAsia="en-GB"/>
              </w:rPr>
              <w:tab/>
            </w:r>
            <w:r w:rsidRPr="00EF1D23">
              <w:rPr>
                <w:rStyle w:val="Hyperlink"/>
                <w:noProof/>
              </w:rPr>
              <w:t>External validation</w:t>
            </w:r>
            <w:r>
              <w:rPr>
                <w:noProof/>
                <w:webHidden/>
              </w:rPr>
              <w:tab/>
            </w:r>
            <w:r>
              <w:rPr>
                <w:noProof/>
                <w:webHidden/>
              </w:rPr>
              <w:fldChar w:fldCharType="begin"/>
            </w:r>
            <w:r>
              <w:rPr>
                <w:noProof/>
                <w:webHidden/>
              </w:rPr>
              <w:instrText xml:space="preserve"> PAGEREF _Toc458185271 \h </w:instrText>
            </w:r>
            <w:r>
              <w:rPr>
                <w:noProof/>
                <w:webHidden/>
              </w:rPr>
            </w:r>
            <w:r>
              <w:rPr>
                <w:noProof/>
                <w:webHidden/>
              </w:rPr>
              <w:fldChar w:fldCharType="separate"/>
            </w:r>
            <w:r>
              <w:rPr>
                <w:noProof/>
                <w:webHidden/>
              </w:rPr>
              <w:t>23</w:t>
            </w:r>
            <w:r>
              <w:rPr>
                <w:noProof/>
                <w:webHidden/>
              </w:rPr>
              <w:fldChar w:fldCharType="end"/>
            </w:r>
          </w:hyperlink>
        </w:p>
        <w:p w:rsidR="000C0A41" w:rsidRDefault="000C0A41">
          <w:pPr>
            <w:pStyle w:val="TOC1"/>
            <w:rPr>
              <w:rFonts w:eastAsiaTheme="minorEastAsia" w:cstheme="minorBidi"/>
              <w:b w:val="0"/>
              <w:bCs w:val="0"/>
              <w:sz w:val="22"/>
              <w:lang w:eastAsia="en-GB"/>
            </w:rPr>
          </w:pPr>
          <w:hyperlink w:anchor="_Toc458185272" w:history="1">
            <w:r w:rsidRPr="00EF1D23">
              <w:rPr>
                <w:rStyle w:val="Hyperlink"/>
              </w:rPr>
              <w:t>4</w:t>
            </w:r>
            <w:r>
              <w:rPr>
                <w:rFonts w:eastAsiaTheme="minorEastAsia" w:cstheme="minorBidi"/>
                <w:b w:val="0"/>
                <w:bCs w:val="0"/>
                <w:sz w:val="22"/>
                <w:lang w:eastAsia="en-GB"/>
              </w:rPr>
              <w:tab/>
            </w:r>
            <w:r w:rsidRPr="00EF1D23">
              <w:rPr>
                <w:rStyle w:val="Hyperlink"/>
              </w:rPr>
              <w:t>Results</w:t>
            </w:r>
            <w:r>
              <w:rPr>
                <w:webHidden/>
              </w:rPr>
              <w:tab/>
            </w:r>
            <w:r>
              <w:rPr>
                <w:webHidden/>
              </w:rPr>
              <w:fldChar w:fldCharType="begin"/>
            </w:r>
            <w:r>
              <w:rPr>
                <w:webHidden/>
              </w:rPr>
              <w:instrText xml:space="preserve"> PAGEREF _Toc458185272 \h </w:instrText>
            </w:r>
            <w:r>
              <w:rPr>
                <w:webHidden/>
              </w:rPr>
            </w:r>
            <w:r>
              <w:rPr>
                <w:webHidden/>
              </w:rPr>
              <w:fldChar w:fldCharType="separate"/>
            </w:r>
            <w:r>
              <w:rPr>
                <w:webHidden/>
              </w:rPr>
              <w:t>24</w:t>
            </w:r>
            <w:r>
              <w:rPr>
                <w:webHidden/>
              </w:rPr>
              <w:fldChar w:fldCharType="end"/>
            </w:r>
          </w:hyperlink>
        </w:p>
        <w:p w:rsidR="000C0A41" w:rsidRDefault="000C0A41">
          <w:pPr>
            <w:pStyle w:val="TOC2"/>
            <w:tabs>
              <w:tab w:val="left" w:pos="880"/>
              <w:tab w:val="right" w:leader="dot" w:pos="9016"/>
            </w:tabs>
            <w:rPr>
              <w:noProof/>
              <w:lang w:eastAsia="en-GB"/>
            </w:rPr>
          </w:pPr>
          <w:hyperlink w:anchor="_Toc458185273" w:history="1">
            <w:r w:rsidRPr="00EF1D23">
              <w:rPr>
                <w:rStyle w:val="Hyperlink"/>
                <w:noProof/>
              </w:rPr>
              <w:t>4.1</w:t>
            </w:r>
            <w:r>
              <w:rPr>
                <w:noProof/>
                <w:lang w:eastAsia="en-GB"/>
              </w:rPr>
              <w:tab/>
            </w:r>
            <w:r w:rsidRPr="00EF1D23">
              <w:rPr>
                <w:rStyle w:val="Hyperlink"/>
                <w:noProof/>
              </w:rPr>
              <w:t>COPD definitions and prevalence</w:t>
            </w:r>
            <w:r>
              <w:rPr>
                <w:noProof/>
                <w:webHidden/>
              </w:rPr>
              <w:tab/>
            </w:r>
            <w:r>
              <w:rPr>
                <w:noProof/>
                <w:webHidden/>
              </w:rPr>
              <w:fldChar w:fldCharType="begin"/>
            </w:r>
            <w:r>
              <w:rPr>
                <w:noProof/>
                <w:webHidden/>
              </w:rPr>
              <w:instrText xml:space="preserve"> PAGEREF _Toc458185273 \h </w:instrText>
            </w:r>
            <w:r>
              <w:rPr>
                <w:noProof/>
                <w:webHidden/>
              </w:rPr>
            </w:r>
            <w:r>
              <w:rPr>
                <w:noProof/>
                <w:webHidden/>
              </w:rPr>
              <w:fldChar w:fldCharType="separate"/>
            </w:r>
            <w:r>
              <w:rPr>
                <w:noProof/>
                <w:webHidden/>
              </w:rPr>
              <w:t>24</w:t>
            </w:r>
            <w:r>
              <w:rPr>
                <w:noProof/>
                <w:webHidden/>
              </w:rPr>
              <w:fldChar w:fldCharType="end"/>
            </w:r>
          </w:hyperlink>
        </w:p>
        <w:p w:rsidR="000C0A41" w:rsidRDefault="000C0A41">
          <w:pPr>
            <w:pStyle w:val="TOC3"/>
            <w:tabs>
              <w:tab w:val="left" w:pos="1320"/>
              <w:tab w:val="right" w:leader="dot" w:pos="9016"/>
            </w:tabs>
            <w:rPr>
              <w:noProof/>
              <w:lang w:eastAsia="en-GB"/>
            </w:rPr>
          </w:pPr>
          <w:hyperlink w:anchor="_Toc458185274" w:history="1">
            <w:r w:rsidRPr="00EF1D23">
              <w:rPr>
                <w:rStyle w:val="Hyperlink"/>
                <w:noProof/>
              </w:rPr>
              <w:t>4.1.1</w:t>
            </w:r>
            <w:r>
              <w:rPr>
                <w:noProof/>
                <w:lang w:eastAsia="en-GB"/>
              </w:rPr>
              <w:tab/>
            </w:r>
            <w:r w:rsidRPr="00EF1D23">
              <w:rPr>
                <w:rStyle w:val="Hyperlink"/>
                <w:noProof/>
              </w:rPr>
              <w:t>Missing data</w:t>
            </w:r>
            <w:r>
              <w:rPr>
                <w:noProof/>
                <w:webHidden/>
              </w:rPr>
              <w:tab/>
            </w:r>
            <w:r>
              <w:rPr>
                <w:noProof/>
                <w:webHidden/>
              </w:rPr>
              <w:fldChar w:fldCharType="begin"/>
            </w:r>
            <w:r>
              <w:rPr>
                <w:noProof/>
                <w:webHidden/>
              </w:rPr>
              <w:instrText xml:space="preserve"> PAGEREF _Toc458185274 \h </w:instrText>
            </w:r>
            <w:r>
              <w:rPr>
                <w:noProof/>
                <w:webHidden/>
              </w:rPr>
            </w:r>
            <w:r>
              <w:rPr>
                <w:noProof/>
                <w:webHidden/>
              </w:rPr>
              <w:fldChar w:fldCharType="separate"/>
            </w:r>
            <w:r>
              <w:rPr>
                <w:noProof/>
                <w:webHidden/>
              </w:rPr>
              <w:t>24</w:t>
            </w:r>
            <w:r>
              <w:rPr>
                <w:noProof/>
                <w:webHidden/>
              </w:rPr>
              <w:fldChar w:fldCharType="end"/>
            </w:r>
          </w:hyperlink>
        </w:p>
        <w:p w:rsidR="000C0A41" w:rsidRDefault="000C0A41">
          <w:pPr>
            <w:pStyle w:val="TOC2"/>
            <w:tabs>
              <w:tab w:val="left" w:pos="880"/>
              <w:tab w:val="right" w:leader="dot" w:pos="9016"/>
            </w:tabs>
            <w:rPr>
              <w:noProof/>
              <w:lang w:eastAsia="en-GB"/>
            </w:rPr>
          </w:pPr>
          <w:hyperlink w:anchor="_Toc458185275" w:history="1">
            <w:r w:rsidRPr="00EF1D23">
              <w:rPr>
                <w:rStyle w:val="Hyperlink"/>
                <w:noProof/>
              </w:rPr>
              <w:t>4.2</w:t>
            </w:r>
            <w:r>
              <w:rPr>
                <w:noProof/>
                <w:lang w:eastAsia="en-GB"/>
              </w:rPr>
              <w:tab/>
            </w:r>
            <w:r w:rsidRPr="00EF1D23">
              <w:rPr>
                <w:rStyle w:val="Hyperlink"/>
                <w:noProof/>
              </w:rPr>
              <w:t>CPRD COPD definitions, incidence &amp; prevalence</w:t>
            </w:r>
            <w:r>
              <w:rPr>
                <w:noProof/>
                <w:webHidden/>
              </w:rPr>
              <w:tab/>
            </w:r>
            <w:r>
              <w:rPr>
                <w:noProof/>
                <w:webHidden/>
              </w:rPr>
              <w:fldChar w:fldCharType="begin"/>
            </w:r>
            <w:r>
              <w:rPr>
                <w:noProof/>
                <w:webHidden/>
              </w:rPr>
              <w:instrText xml:space="preserve"> PAGEREF _Toc458185275 \h </w:instrText>
            </w:r>
            <w:r>
              <w:rPr>
                <w:noProof/>
                <w:webHidden/>
              </w:rPr>
            </w:r>
            <w:r>
              <w:rPr>
                <w:noProof/>
                <w:webHidden/>
              </w:rPr>
              <w:fldChar w:fldCharType="separate"/>
            </w:r>
            <w:r>
              <w:rPr>
                <w:noProof/>
                <w:webHidden/>
              </w:rPr>
              <w:t>24</w:t>
            </w:r>
            <w:r>
              <w:rPr>
                <w:noProof/>
                <w:webHidden/>
              </w:rPr>
              <w:fldChar w:fldCharType="end"/>
            </w:r>
          </w:hyperlink>
        </w:p>
        <w:p w:rsidR="000C0A41" w:rsidRDefault="000C0A41">
          <w:pPr>
            <w:pStyle w:val="TOC3"/>
            <w:tabs>
              <w:tab w:val="left" w:pos="1320"/>
              <w:tab w:val="right" w:leader="dot" w:pos="9016"/>
            </w:tabs>
            <w:rPr>
              <w:noProof/>
              <w:lang w:eastAsia="en-GB"/>
            </w:rPr>
          </w:pPr>
          <w:hyperlink w:anchor="_Toc458185276" w:history="1">
            <w:r w:rsidRPr="00EF1D23">
              <w:rPr>
                <w:rStyle w:val="Hyperlink"/>
                <w:noProof/>
              </w:rPr>
              <w:t>4.2.1</w:t>
            </w:r>
            <w:r>
              <w:rPr>
                <w:noProof/>
                <w:lang w:eastAsia="en-GB"/>
              </w:rPr>
              <w:tab/>
            </w:r>
            <w:r w:rsidRPr="00EF1D23">
              <w:rPr>
                <w:rStyle w:val="Hyperlink"/>
                <w:noProof/>
              </w:rPr>
              <w:t>COPD definions and flowchart</w:t>
            </w:r>
            <w:r>
              <w:rPr>
                <w:noProof/>
                <w:webHidden/>
              </w:rPr>
              <w:tab/>
            </w:r>
            <w:r>
              <w:rPr>
                <w:noProof/>
                <w:webHidden/>
              </w:rPr>
              <w:fldChar w:fldCharType="begin"/>
            </w:r>
            <w:r>
              <w:rPr>
                <w:noProof/>
                <w:webHidden/>
              </w:rPr>
              <w:instrText xml:space="preserve"> PAGEREF _Toc458185276 \h </w:instrText>
            </w:r>
            <w:r>
              <w:rPr>
                <w:noProof/>
                <w:webHidden/>
              </w:rPr>
            </w:r>
            <w:r>
              <w:rPr>
                <w:noProof/>
                <w:webHidden/>
              </w:rPr>
              <w:fldChar w:fldCharType="separate"/>
            </w:r>
            <w:r>
              <w:rPr>
                <w:noProof/>
                <w:webHidden/>
              </w:rPr>
              <w:t>24</w:t>
            </w:r>
            <w:r>
              <w:rPr>
                <w:noProof/>
                <w:webHidden/>
              </w:rPr>
              <w:fldChar w:fldCharType="end"/>
            </w:r>
          </w:hyperlink>
        </w:p>
        <w:p w:rsidR="000C0A41" w:rsidRDefault="000C0A41">
          <w:pPr>
            <w:pStyle w:val="TOC3"/>
            <w:tabs>
              <w:tab w:val="left" w:pos="1320"/>
              <w:tab w:val="right" w:leader="dot" w:pos="9016"/>
            </w:tabs>
            <w:rPr>
              <w:noProof/>
              <w:lang w:eastAsia="en-GB"/>
            </w:rPr>
          </w:pPr>
          <w:hyperlink w:anchor="_Toc458185277" w:history="1">
            <w:r w:rsidRPr="00EF1D23">
              <w:rPr>
                <w:rStyle w:val="Hyperlink"/>
                <w:noProof/>
              </w:rPr>
              <w:t>4.2.2</w:t>
            </w:r>
            <w:r>
              <w:rPr>
                <w:noProof/>
                <w:lang w:eastAsia="en-GB"/>
              </w:rPr>
              <w:tab/>
            </w:r>
            <w:r w:rsidRPr="00EF1D23">
              <w:rPr>
                <w:rStyle w:val="Hyperlink"/>
                <w:noProof/>
              </w:rPr>
              <w:t>Doctor diagnosed COPD cases</w:t>
            </w:r>
            <w:r>
              <w:rPr>
                <w:noProof/>
                <w:webHidden/>
              </w:rPr>
              <w:tab/>
            </w:r>
            <w:r>
              <w:rPr>
                <w:noProof/>
                <w:webHidden/>
              </w:rPr>
              <w:fldChar w:fldCharType="begin"/>
            </w:r>
            <w:r>
              <w:rPr>
                <w:noProof/>
                <w:webHidden/>
              </w:rPr>
              <w:instrText xml:space="preserve"> PAGEREF _Toc458185277 \h </w:instrText>
            </w:r>
            <w:r>
              <w:rPr>
                <w:noProof/>
                <w:webHidden/>
              </w:rPr>
            </w:r>
            <w:r>
              <w:rPr>
                <w:noProof/>
                <w:webHidden/>
              </w:rPr>
              <w:fldChar w:fldCharType="separate"/>
            </w:r>
            <w:r>
              <w:rPr>
                <w:noProof/>
                <w:webHidden/>
              </w:rPr>
              <w:t>24</w:t>
            </w:r>
            <w:r>
              <w:rPr>
                <w:noProof/>
                <w:webHidden/>
              </w:rPr>
              <w:fldChar w:fldCharType="end"/>
            </w:r>
          </w:hyperlink>
        </w:p>
        <w:p w:rsidR="000C0A41" w:rsidRDefault="000C0A41">
          <w:pPr>
            <w:pStyle w:val="TOC3"/>
            <w:tabs>
              <w:tab w:val="left" w:pos="1320"/>
              <w:tab w:val="right" w:leader="dot" w:pos="9016"/>
            </w:tabs>
            <w:rPr>
              <w:noProof/>
              <w:lang w:eastAsia="en-GB"/>
            </w:rPr>
          </w:pPr>
          <w:hyperlink w:anchor="_Toc458185278" w:history="1">
            <w:r w:rsidRPr="00EF1D23">
              <w:rPr>
                <w:rStyle w:val="Hyperlink"/>
                <w:noProof/>
              </w:rPr>
              <w:t>4.2.3</w:t>
            </w:r>
            <w:r>
              <w:rPr>
                <w:noProof/>
                <w:lang w:eastAsia="en-GB"/>
              </w:rPr>
              <w:tab/>
            </w:r>
            <w:r w:rsidRPr="00EF1D23">
              <w:rPr>
                <w:rStyle w:val="Hyperlink"/>
                <w:noProof/>
              </w:rPr>
              <w:t>CPRD prevalence and incidence</w:t>
            </w:r>
            <w:r>
              <w:rPr>
                <w:noProof/>
                <w:webHidden/>
              </w:rPr>
              <w:tab/>
            </w:r>
            <w:r>
              <w:rPr>
                <w:noProof/>
                <w:webHidden/>
              </w:rPr>
              <w:fldChar w:fldCharType="begin"/>
            </w:r>
            <w:r>
              <w:rPr>
                <w:noProof/>
                <w:webHidden/>
              </w:rPr>
              <w:instrText xml:space="preserve"> PAGEREF _Toc458185278 \h </w:instrText>
            </w:r>
            <w:r>
              <w:rPr>
                <w:noProof/>
                <w:webHidden/>
              </w:rPr>
            </w:r>
            <w:r>
              <w:rPr>
                <w:noProof/>
                <w:webHidden/>
              </w:rPr>
              <w:fldChar w:fldCharType="separate"/>
            </w:r>
            <w:r>
              <w:rPr>
                <w:noProof/>
                <w:webHidden/>
              </w:rPr>
              <w:t>25</w:t>
            </w:r>
            <w:r>
              <w:rPr>
                <w:noProof/>
                <w:webHidden/>
              </w:rPr>
              <w:fldChar w:fldCharType="end"/>
            </w:r>
          </w:hyperlink>
        </w:p>
        <w:p w:rsidR="000C0A41" w:rsidRDefault="000C0A41">
          <w:pPr>
            <w:pStyle w:val="TOC3"/>
            <w:tabs>
              <w:tab w:val="left" w:pos="1320"/>
              <w:tab w:val="right" w:leader="dot" w:pos="9016"/>
            </w:tabs>
            <w:rPr>
              <w:noProof/>
              <w:lang w:eastAsia="en-GB"/>
            </w:rPr>
          </w:pPr>
          <w:hyperlink w:anchor="_Toc458185279" w:history="1">
            <w:r w:rsidRPr="00EF1D23">
              <w:rPr>
                <w:rStyle w:val="Hyperlink"/>
                <w:noProof/>
              </w:rPr>
              <w:t>4.2.4</w:t>
            </w:r>
            <w:r>
              <w:rPr>
                <w:noProof/>
                <w:lang w:eastAsia="en-GB"/>
              </w:rPr>
              <w:tab/>
            </w:r>
            <w:r w:rsidRPr="00EF1D23">
              <w:rPr>
                <w:rStyle w:val="Hyperlink"/>
                <w:noProof/>
              </w:rPr>
              <w:t>Baseline descriptive characteristics of CPRD patients</w:t>
            </w:r>
            <w:r>
              <w:rPr>
                <w:noProof/>
                <w:webHidden/>
              </w:rPr>
              <w:tab/>
            </w:r>
            <w:r>
              <w:rPr>
                <w:noProof/>
                <w:webHidden/>
              </w:rPr>
              <w:fldChar w:fldCharType="begin"/>
            </w:r>
            <w:r>
              <w:rPr>
                <w:noProof/>
                <w:webHidden/>
              </w:rPr>
              <w:instrText xml:space="preserve"> PAGEREF _Toc458185279 \h </w:instrText>
            </w:r>
            <w:r>
              <w:rPr>
                <w:noProof/>
                <w:webHidden/>
              </w:rPr>
            </w:r>
            <w:r>
              <w:rPr>
                <w:noProof/>
                <w:webHidden/>
              </w:rPr>
              <w:fldChar w:fldCharType="separate"/>
            </w:r>
            <w:r>
              <w:rPr>
                <w:noProof/>
                <w:webHidden/>
              </w:rPr>
              <w:t>28</w:t>
            </w:r>
            <w:r>
              <w:rPr>
                <w:noProof/>
                <w:webHidden/>
              </w:rPr>
              <w:fldChar w:fldCharType="end"/>
            </w:r>
          </w:hyperlink>
        </w:p>
        <w:p w:rsidR="000C0A41" w:rsidRDefault="000C0A41">
          <w:pPr>
            <w:pStyle w:val="TOC2"/>
            <w:tabs>
              <w:tab w:val="left" w:pos="880"/>
              <w:tab w:val="right" w:leader="dot" w:pos="9016"/>
            </w:tabs>
            <w:rPr>
              <w:noProof/>
              <w:lang w:eastAsia="en-GB"/>
            </w:rPr>
          </w:pPr>
          <w:hyperlink w:anchor="_Toc458185280" w:history="1">
            <w:r w:rsidRPr="00EF1D23">
              <w:rPr>
                <w:rStyle w:val="Hyperlink"/>
                <w:noProof/>
              </w:rPr>
              <w:t>4.3</w:t>
            </w:r>
            <w:r>
              <w:rPr>
                <w:noProof/>
                <w:lang w:eastAsia="en-GB"/>
              </w:rPr>
              <w:tab/>
            </w:r>
            <w:r w:rsidRPr="00EF1D23">
              <w:rPr>
                <w:rStyle w:val="Hyperlink"/>
                <w:noProof/>
              </w:rPr>
              <w:t>Regression modelling using CPRD data</w:t>
            </w:r>
            <w:r>
              <w:rPr>
                <w:noProof/>
                <w:webHidden/>
              </w:rPr>
              <w:tab/>
            </w:r>
            <w:r>
              <w:rPr>
                <w:noProof/>
                <w:webHidden/>
              </w:rPr>
              <w:fldChar w:fldCharType="begin"/>
            </w:r>
            <w:r>
              <w:rPr>
                <w:noProof/>
                <w:webHidden/>
              </w:rPr>
              <w:instrText xml:space="preserve"> PAGEREF _Toc458185280 \h </w:instrText>
            </w:r>
            <w:r>
              <w:rPr>
                <w:noProof/>
                <w:webHidden/>
              </w:rPr>
            </w:r>
            <w:r>
              <w:rPr>
                <w:noProof/>
                <w:webHidden/>
              </w:rPr>
              <w:fldChar w:fldCharType="separate"/>
            </w:r>
            <w:r>
              <w:rPr>
                <w:noProof/>
                <w:webHidden/>
              </w:rPr>
              <w:t>28</w:t>
            </w:r>
            <w:r>
              <w:rPr>
                <w:noProof/>
                <w:webHidden/>
              </w:rPr>
              <w:fldChar w:fldCharType="end"/>
            </w:r>
          </w:hyperlink>
        </w:p>
        <w:p w:rsidR="000C0A41" w:rsidRDefault="000C0A41">
          <w:pPr>
            <w:pStyle w:val="TOC3"/>
            <w:tabs>
              <w:tab w:val="left" w:pos="1320"/>
              <w:tab w:val="right" w:leader="dot" w:pos="9016"/>
            </w:tabs>
            <w:rPr>
              <w:noProof/>
              <w:lang w:eastAsia="en-GB"/>
            </w:rPr>
          </w:pPr>
          <w:hyperlink w:anchor="_Toc458185281" w:history="1">
            <w:r w:rsidRPr="00EF1D23">
              <w:rPr>
                <w:rStyle w:val="Hyperlink"/>
                <w:noProof/>
              </w:rPr>
              <w:t>4.3.1</w:t>
            </w:r>
            <w:r>
              <w:rPr>
                <w:noProof/>
                <w:lang w:eastAsia="en-GB"/>
              </w:rPr>
              <w:tab/>
            </w:r>
            <w:r w:rsidRPr="00EF1D23">
              <w:rPr>
                <w:rStyle w:val="Hyperlink"/>
                <w:noProof/>
              </w:rPr>
              <w:t>CPRD univariate logistic analysis</w:t>
            </w:r>
            <w:r>
              <w:rPr>
                <w:noProof/>
                <w:webHidden/>
              </w:rPr>
              <w:tab/>
            </w:r>
            <w:r>
              <w:rPr>
                <w:noProof/>
                <w:webHidden/>
              </w:rPr>
              <w:fldChar w:fldCharType="begin"/>
            </w:r>
            <w:r>
              <w:rPr>
                <w:noProof/>
                <w:webHidden/>
              </w:rPr>
              <w:instrText xml:space="preserve"> PAGEREF _Toc458185281 \h </w:instrText>
            </w:r>
            <w:r>
              <w:rPr>
                <w:noProof/>
                <w:webHidden/>
              </w:rPr>
            </w:r>
            <w:r>
              <w:rPr>
                <w:noProof/>
                <w:webHidden/>
              </w:rPr>
              <w:fldChar w:fldCharType="separate"/>
            </w:r>
            <w:r>
              <w:rPr>
                <w:noProof/>
                <w:webHidden/>
              </w:rPr>
              <w:t>28</w:t>
            </w:r>
            <w:r>
              <w:rPr>
                <w:noProof/>
                <w:webHidden/>
              </w:rPr>
              <w:fldChar w:fldCharType="end"/>
            </w:r>
          </w:hyperlink>
        </w:p>
        <w:p w:rsidR="000C0A41" w:rsidRDefault="000C0A41">
          <w:pPr>
            <w:pStyle w:val="TOC3"/>
            <w:tabs>
              <w:tab w:val="left" w:pos="1320"/>
              <w:tab w:val="right" w:leader="dot" w:pos="9016"/>
            </w:tabs>
            <w:rPr>
              <w:noProof/>
              <w:lang w:eastAsia="en-GB"/>
            </w:rPr>
          </w:pPr>
          <w:hyperlink w:anchor="_Toc458185282" w:history="1">
            <w:r w:rsidRPr="00EF1D23">
              <w:rPr>
                <w:rStyle w:val="Hyperlink"/>
                <w:noProof/>
              </w:rPr>
              <w:t>4.3.2</w:t>
            </w:r>
            <w:r>
              <w:rPr>
                <w:noProof/>
                <w:lang w:eastAsia="en-GB"/>
              </w:rPr>
              <w:tab/>
            </w:r>
            <w:r w:rsidRPr="00EF1D23">
              <w:rPr>
                <w:rStyle w:val="Hyperlink"/>
                <w:noProof/>
              </w:rPr>
              <w:t>Multivariate logistic analysis</w:t>
            </w:r>
            <w:r>
              <w:rPr>
                <w:noProof/>
                <w:webHidden/>
              </w:rPr>
              <w:tab/>
            </w:r>
            <w:r>
              <w:rPr>
                <w:noProof/>
                <w:webHidden/>
              </w:rPr>
              <w:fldChar w:fldCharType="begin"/>
            </w:r>
            <w:r>
              <w:rPr>
                <w:noProof/>
                <w:webHidden/>
              </w:rPr>
              <w:instrText xml:space="preserve"> PAGEREF _Toc458185282 \h </w:instrText>
            </w:r>
            <w:r>
              <w:rPr>
                <w:noProof/>
                <w:webHidden/>
              </w:rPr>
            </w:r>
            <w:r>
              <w:rPr>
                <w:noProof/>
                <w:webHidden/>
              </w:rPr>
              <w:fldChar w:fldCharType="separate"/>
            </w:r>
            <w:r>
              <w:rPr>
                <w:noProof/>
                <w:webHidden/>
              </w:rPr>
              <w:t>28</w:t>
            </w:r>
            <w:r>
              <w:rPr>
                <w:noProof/>
                <w:webHidden/>
              </w:rPr>
              <w:fldChar w:fldCharType="end"/>
            </w:r>
          </w:hyperlink>
        </w:p>
        <w:p w:rsidR="000C0A41" w:rsidRDefault="000C0A41">
          <w:pPr>
            <w:pStyle w:val="TOC3"/>
            <w:tabs>
              <w:tab w:val="left" w:pos="1320"/>
              <w:tab w:val="right" w:leader="dot" w:pos="9016"/>
            </w:tabs>
            <w:rPr>
              <w:noProof/>
              <w:lang w:eastAsia="en-GB"/>
            </w:rPr>
          </w:pPr>
          <w:hyperlink w:anchor="_Toc458185283" w:history="1">
            <w:r w:rsidRPr="00EF1D23">
              <w:rPr>
                <w:rStyle w:val="Hyperlink"/>
                <w:noProof/>
              </w:rPr>
              <w:t>4.3.3</w:t>
            </w:r>
            <w:r>
              <w:rPr>
                <w:noProof/>
                <w:lang w:eastAsia="en-GB"/>
              </w:rPr>
              <w:tab/>
            </w:r>
            <w:r w:rsidRPr="00EF1D23">
              <w:rPr>
                <w:rStyle w:val="Hyperlink"/>
                <w:noProof/>
              </w:rPr>
              <w:t>ROC curves</w:t>
            </w:r>
            <w:r>
              <w:rPr>
                <w:noProof/>
                <w:webHidden/>
              </w:rPr>
              <w:tab/>
            </w:r>
            <w:r>
              <w:rPr>
                <w:noProof/>
                <w:webHidden/>
              </w:rPr>
              <w:fldChar w:fldCharType="begin"/>
            </w:r>
            <w:r>
              <w:rPr>
                <w:noProof/>
                <w:webHidden/>
              </w:rPr>
              <w:instrText xml:space="preserve"> PAGEREF _Toc458185283 \h </w:instrText>
            </w:r>
            <w:r>
              <w:rPr>
                <w:noProof/>
                <w:webHidden/>
              </w:rPr>
            </w:r>
            <w:r>
              <w:rPr>
                <w:noProof/>
                <w:webHidden/>
              </w:rPr>
              <w:fldChar w:fldCharType="separate"/>
            </w:r>
            <w:r>
              <w:rPr>
                <w:noProof/>
                <w:webHidden/>
              </w:rPr>
              <w:t>34</w:t>
            </w:r>
            <w:r>
              <w:rPr>
                <w:noProof/>
                <w:webHidden/>
              </w:rPr>
              <w:fldChar w:fldCharType="end"/>
            </w:r>
          </w:hyperlink>
        </w:p>
        <w:p w:rsidR="000C0A41" w:rsidRDefault="000C0A41">
          <w:pPr>
            <w:pStyle w:val="TOC3"/>
            <w:tabs>
              <w:tab w:val="left" w:pos="1320"/>
              <w:tab w:val="right" w:leader="dot" w:pos="9016"/>
            </w:tabs>
            <w:rPr>
              <w:noProof/>
              <w:lang w:eastAsia="en-GB"/>
            </w:rPr>
          </w:pPr>
          <w:hyperlink w:anchor="_Toc458185284" w:history="1">
            <w:r w:rsidRPr="00EF1D23">
              <w:rPr>
                <w:rStyle w:val="Hyperlink"/>
                <w:noProof/>
              </w:rPr>
              <w:t>4.3.4</w:t>
            </w:r>
            <w:r>
              <w:rPr>
                <w:noProof/>
                <w:lang w:eastAsia="en-GB"/>
              </w:rPr>
              <w:tab/>
            </w:r>
            <w:r w:rsidRPr="00EF1D23">
              <w:rPr>
                <w:rStyle w:val="Hyperlink"/>
                <w:noProof/>
              </w:rPr>
              <w:t>Probability and sensitivity/specificity analysis</w:t>
            </w:r>
            <w:r>
              <w:rPr>
                <w:noProof/>
                <w:webHidden/>
              </w:rPr>
              <w:tab/>
            </w:r>
            <w:r>
              <w:rPr>
                <w:noProof/>
                <w:webHidden/>
              </w:rPr>
              <w:fldChar w:fldCharType="begin"/>
            </w:r>
            <w:r>
              <w:rPr>
                <w:noProof/>
                <w:webHidden/>
              </w:rPr>
              <w:instrText xml:space="preserve"> PAGEREF _Toc458185284 \h </w:instrText>
            </w:r>
            <w:r>
              <w:rPr>
                <w:noProof/>
                <w:webHidden/>
              </w:rPr>
            </w:r>
            <w:r>
              <w:rPr>
                <w:noProof/>
                <w:webHidden/>
              </w:rPr>
              <w:fldChar w:fldCharType="separate"/>
            </w:r>
            <w:r>
              <w:rPr>
                <w:noProof/>
                <w:webHidden/>
              </w:rPr>
              <w:t>35</w:t>
            </w:r>
            <w:r>
              <w:rPr>
                <w:noProof/>
                <w:webHidden/>
              </w:rPr>
              <w:fldChar w:fldCharType="end"/>
            </w:r>
          </w:hyperlink>
        </w:p>
        <w:p w:rsidR="000C0A41" w:rsidRDefault="000C0A41">
          <w:pPr>
            <w:pStyle w:val="TOC2"/>
            <w:tabs>
              <w:tab w:val="left" w:pos="880"/>
              <w:tab w:val="right" w:leader="dot" w:pos="9016"/>
            </w:tabs>
            <w:rPr>
              <w:noProof/>
              <w:lang w:eastAsia="en-GB"/>
            </w:rPr>
          </w:pPr>
          <w:hyperlink w:anchor="_Toc458185285" w:history="1">
            <w:r w:rsidRPr="00EF1D23">
              <w:rPr>
                <w:rStyle w:val="Hyperlink"/>
                <w:noProof/>
              </w:rPr>
              <w:t>4.4</w:t>
            </w:r>
            <w:r>
              <w:rPr>
                <w:noProof/>
                <w:lang w:eastAsia="en-GB"/>
              </w:rPr>
              <w:tab/>
            </w:r>
            <w:r w:rsidRPr="00EF1D23">
              <w:rPr>
                <w:rStyle w:val="Hyperlink"/>
                <w:noProof/>
              </w:rPr>
              <w:t>Local estimates</w:t>
            </w:r>
            <w:r>
              <w:rPr>
                <w:noProof/>
                <w:webHidden/>
              </w:rPr>
              <w:tab/>
            </w:r>
            <w:r>
              <w:rPr>
                <w:noProof/>
                <w:webHidden/>
              </w:rPr>
              <w:fldChar w:fldCharType="begin"/>
            </w:r>
            <w:r>
              <w:rPr>
                <w:noProof/>
                <w:webHidden/>
              </w:rPr>
              <w:instrText xml:space="preserve"> PAGEREF _Toc458185285 \h </w:instrText>
            </w:r>
            <w:r>
              <w:rPr>
                <w:noProof/>
                <w:webHidden/>
              </w:rPr>
            </w:r>
            <w:r>
              <w:rPr>
                <w:noProof/>
                <w:webHidden/>
              </w:rPr>
              <w:fldChar w:fldCharType="separate"/>
            </w:r>
            <w:r>
              <w:rPr>
                <w:noProof/>
                <w:webHidden/>
              </w:rPr>
              <w:t>36</w:t>
            </w:r>
            <w:r>
              <w:rPr>
                <w:noProof/>
                <w:webHidden/>
              </w:rPr>
              <w:fldChar w:fldCharType="end"/>
            </w:r>
          </w:hyperlink>
        </w:p>
        <w:p w:rsidR="000C0A41" w:rsidRDefault="000C0A41">
          <w:pPr>
            <w:pStyle w:val="TOC3"/>
            <w:tabs>
              <w:tab w:val="left" w:pos="1320"/>
              <w:tab w:val="right" w:leader="dot" w:pos="9016"/>
            </w:tabs>
            <w:rPr>
              <w:noProof/>
              <w:lang w:eastAsia="en-GB"/>
            </w:rPr>
          </w:pPr>
          <w:hyperlink w:anchor="_Toc458185286" w:history="1">
            <w:r w:rsidRPr="00EF1D23">
              <w:rPr>
                <w:rStyle w:val="Hyperlink"/>
                <w:noProof/>
              </w:rPr>
              <w:t>4.4.1</w:t>
            </w:r>
            <w:r>
              <w:rPr>
                <w:noProof/>
                <w:lang w:eastAsia="en-GB"/>
              </w:rPr>
              <w:tab/>
            </w:r>
            <w:r w:rsidRPr="00EF1D23">
              <w:rPr>
                <w:rStyle w:val="Hyperlink"/>
                <w:noProof/>
              </w:rPr>
              <w:t>Internal validation</w:t>
            </w:r>
            <w:r>
              <w:rPr>
                <w:noProof/>
                <w:webHidden/>
              </w:rPr>
              <w:tab/>
            </w:r>
            <w:r>
              <w:rPr>
                <w:noProof/>
                <w:webHidden/>
              </w:rPr>
              <w:fldChar w:fldCharType="begin"/>
            </w:r>
            <w:r>
              <w:rPr>
                <w:noProof/>
                <w:webHidden/>
              </w:rPr>
              <w:instrText xml:space="preserve"> PAGEREF _Toc458185286 \h </w:instrText>
            </w:r>
            <w:r>
              <w:rPr>
                <w:noProof/>
                <w:webHidden/>
              </w:rPr>
            </w:r>
            <w:r>
              <w:rPr>
                <w:noProof/>
                <w:webHidden/>
              </w:rPr>
              <w:fldChar w:fldCharType="separate"/>
            </w:r>
            <w:r>
              <w:rPr>
                <w:noProof/>
                <w:webHidden/>
              </w:rPr>
              <w:t>36</w:t>
            </w:r>
            <w:r>
              <w:rPr>
                <w:noProof/>
                <w:webHidden/>
              </w:rPr>
              <w:fldChar w:fldCharType="end"/>
            </w:r>
          </w:hyperlink>
        </w:p>
        <w:p w:rsidR="000C0A41" w:rsidRDefault="000C0A41">
          <w:pPr>
            <w:pStyle w:val="TOC3"/>
            <w:tabs>
              <w:tab w:val="left" w:pos="1320"/>
              <w:tab w:val="right" w:leader="dot" w:pos="9016"/>
            </w:tabs>
            <w:rPr>
              <w:noProof/>
              <w:lang w:eastAsia="en-GB"/>
            </w:rPr>
          </w:pPr>
          <w:hyperlink w:anchor="_Toc458185287" w:history="1">
            <w:r w:rsidRPr="00EF1D23">
              <w:rPr>
                <w:rStyle w:val="Hyperlink"/>
                <w:noProof/>
              </w:rPr>
              <w:t>4.4.2</w:t>
            </w:r>
            <w:r>
              <w:rPr>
                <w:noProof/>
                <w:lang w:eastAsia="en-GB"/>
              </w:rPr>
              <w:tab/>
            </w:r>
            <w:r w:rsidRPr="00EF1D23">
              <w:rPr>
                <w:rStyle w:val="Hyperlink"/>
                <w:noProof/>
              </w:rPr>
              <w:t>External validation of practice estimates against QOF prevalence</w:t>
            </w:r>
            <w:r>
              <w:rPr>
                <w:noProof/>
                <w:webHidden/>
              </w:rPr>
              <w:tab/>
            </w:r>
            <w:r>
              <w:rPr>
                <w:noProof/>
                <w:webHidden/>
              </w:rPr>
              <w:fldChar w:fldCharType="begin"/>
            </w:r>
            <w:r>
              <w:rPr>
                <w:noProof/>
                <w:webHidden/>
              </w:rPr>
              <w:instrText xml:space="preserve"> PAGEREF _Toc458185287 \h </w:instrText>
            </w:r>
            <w:r>
              <w:rPr>
                <w:noProof/>
                <w:webHidden/>
              </w:rPr>
            </w:r>
            <w:r>
              <w:rPr>
                <w:noProof/>
                <w:webHidden/>
              </w:rPr>
              <w:fldChar w:fldCharType="separate"/>
            </w:r>
            <w:r>
              <w:rPr>
                <w:noProof/>
                <w:webHidden/>
              </w:rPr>
              <w:t>37</w:t>
            </w:r>
            <w:r>
              <w:rPr>
                <w:noProof/>
                <w:webHidden/>
              </w:rPr>
              <w:fldChar w:fldCharType="end"/>
            </w:r>
          </w:hyperlink>
        </w:p>
        <w:p w:rsidR="000C0A41" w:rsidRDefault="000C0A41">
          <w:pPr>
            <w:pStyle w:val="TOC1"/>
            <w:rPr>
              <w:rFonts w:eastAsiaTheme="minorEastAsia" w:cstheme="minorBidi"/>
              <w:b w:val="0"/>
              <w:bCs w:val="0"/>
              <w:sz w:val="22"/>
              <w:lang w:eastAsia="en-GB"/>
            </w:rPr>
          </w:pPr>
          <w:hyperlink w:anchor="_Toc458185288" w:history="1">
            <w:r w:rsidRPr="00EF1D23">
              <w:rPr>
                <w:rStyle w:val="Hyperlink"/>
              </w:rPr>
              <w:t>5</w:t>
            </w:r>
            <w:r>
              <w:rPr>
                <w:rFonts w:eastAsiaTheme="minorEastAsia" w:cstheme="minorBidi"/>
                <w:b w:val="0"/>
                <w:bCs w:val="0"/>
                <w:sz w:val="22"/>
                <w:lang w:eastAsia="en-GB"/>
              </w:rPr>
              <w:tab/>
            </w:r>
            <w:r w:rsidRPr="00EF1D23">
              <w:rPr>
                <w:rStyle w:val="Hyperlink"/>
              </w:rPr>
              <w:t>Discussion</w:t>
            </w:r>
            <w:r>
              <w:rPr>
                <w:webHidden/>
              </w:rPr>
              <w:tab/>
            </w:r>
            <w:r>
              <w:rPr>
                <w:webHidden/>
              </w:rPr>
              <w:fldChar w:fldCharType="begin"/>
            </w:r>
            <w:r>
              <w:rPr>
                <w:webHidden/>
              </w:rPr>
              <w:instrText xml:space="preserve"> PAGEREF _Toc458185288 \h </w:instrText>
            </w:r>
            <w:r>
              <w:rPr>
                <w:webHidden/>
              </w:rPr>
            </w:r>
            <w:r>
              <w:rPr>
                <w:webHidden/>
              </w:rPr>
              <w:fldChar w:fldCharType="separate"/>
            </w:r>
            <w:r>
              <w:rPr>
                <w:webHidden/>
              </w:rPr>
              <w:t>41</w:t>
            </w:r>
            <w:r>
              <w:rPr>
                <w:webHidden/>
              </w:rPr>
              <w:fldChar w:fldCharType="end"/>
            </w:r>
          </w:hyperlink>
        </w:p>
        <w:p w:rsidR="000C0A41" w:rsidRDefault="000C0A41">
          <w:pPr>
            <w:pStyle w:val="TOC1"/>
            <w:rPr>
              <w:rFonts w:eastAsiaTheme="minorEastAsia" w:cstheme="minorBidi"/>
              <w:b w:val="0"/>
              <w:bCs w:val="0"/>
              <w:sz w:val="22"/>
              <w:lang w:eastAsia="en-GB"/>
            </w:rPr>
          </w:pPr>
          <w:hyperlink w:anchor="_Toc458185289" w:history="1">
            <w:r w:rsidRPr="00EF1D23">
              <w:rPr>
                <w:rStyle w:val="Hyperlink"/>
              </w:rPr>
              <w:t>6</w:t>
            </w:r>
            <w:r>
              <w:rPr>
                <w:rFonts w:eastAsiaTheme="minorEastAsia" w:cstheme="minorBidi"/>
                <w:b w:val="0"/>
                <w:bCs w:val="0"/>
                <w:sz w:val="22"/>
                <w:lang w:eastAsia="en-GB"/>
              </w:rPr>
              <w:tab/>
            </w:r>
            <w:r w:rsidRPr="00EF1D23">
              <w:rPr>
                <w:rStyle w:val="Hyperlink"/>
              </w:rPr>
              <w:t>References</w:t>
            </w:r>
            <w:r>
              <w:rPr>
                <w:webHidden/>
              </w:rPr>
              <w:tab/>
            </w:r>
            <w:r>
              <w:rPr>
                <w:webHidden/>
              </w:rPr>
              <w:fldChar w:fldCharType="begin"/>
            </w:r>
            <w:r>
              <w:rPr>
                <w:webHidden/>
              </w:rPr>
              <w:instrText xml:space="preserve"> PAGEREF _Toc458185289 \h </w:instrText>
            </w:r>
            <w:r>
              <w:rPr>
                <w:webHidden/>
              </w:rPr>
            </w:r>
            <w:r>
              <w:rPr>
                <w:webHidden/>
              </w:rPr>
              <w:fldChar w:fldCharType="separate"/>
            </w:r>
            <w:r>
              <w:rPr>
                <w:webHidden/>
              </w:rPr>
              <w:t>42</w:t>
            </w:r>
            <w:r>
              <w:rPr>
                <w:webHidden/>
              </w:rPr>
              <w:fldChar w:fldCharType="end"/>
            </w:r>
          </w:hyperlink>
        </w:p>
        <w:p w:rsidR="000C0A41" w:rsidRDefault="000C0A41">
          <w:pPr>
            <w:pStyle w:val="TOC1"/>
            <w:rPr>
              <w:rFonts w:eastAsiaTheme="minorEastAsia" w:cstheme="minorBidi"/>
              <w:b w:val="0"/>
              <w:bCs w:val="0"/>
              <w:sz w:val="22"/>
              <w:lang w:eastAsia="en-GB"/>
            </w:rPr>
          </w:pPr>
          <w:hyperlink w:anchor="_Toc458185290" w:history="1">
            <w:r w:rsidRPr="00EF1D23">
              <w:rPr>
                <w:rStyle w:val="Hyperlink"/>
              </w:rPr>
              <w:t>7</w:t>
            </w:r>
            <w:r>
              <w:rPr>
                <w:rFonts w:eastAsiaTheme="minorEastAsia" w:cstheme="minorBidi"/>
                <w:b w:val="0"/>
                <w:bCs w:val="0"/>
                <w:sz w:val="22"/>
                <w:lang w:eastAsia="en-GB"/>
              </w:rPr>
              <w:tab/>
            </w:r>
            <w:r w:rsidRPr="00EF1D23">
              <w:rPr>
                <w:rStyle w:val="Hyperlink"/>
              </w:rPr>
              <w:t>Appendix: additional information</w:t>
            </w:r>
            <w:r>
              <w:rPr>
                <w:webHidden/>
              </w:rPr>
              <w:tab/>
            </w:r>
            <w:r>
              <w:rPr>
                <w:webHidden/>
              </w:rPr>
              <w:fldChar w:fldCharType="begin"/>
            </w:r>
            <w:r>
              <w:rPr>
                <w:webHidden/>
              </w:rPr>
              <w:instrText xml:space="preserve"> PAGEREF _Toc458185290 \h </w:instrText>
            </w:r>
            <w:r>
              <w:rPr>
                <w:webHidden/>
              </w:rPr>
            </w:r>
            <w:r>
              <w:rPr>
                <w:webHidden/>
              </w:rPr>
              <w:fldChar w:fldCharType="separate"/>
            </w:r>
            <w:r>
              <w:rPr>
                <w:webHidden/>
              </w:rPr>
              <w:t>49</w:t>
            </w:r>
            <w:r>
              <w:rPr>
                <w:webHidden/>
              </w:rPr>
              <w:fldChar w:fldCharType="end"/>
            </w:r>
          </w:hyperlink>
        </w:p>
        <w:p w:rsidR="000C0A41" w:rsidRDefault="000C0A41">
          <w:pPr>
            <w:pStyle w:val="TOC2"/>
            <w:tabs>
              <w:tab w:val="left" w:pos="880"/>
              <w:tab w:val="right" w:leader="dot" w:pos="9016"/>
            </w:tabs>
            <w:rPr>
              <w:noProof/>
              <w:lang w:eastAsia="en-GB"/>
            </w:rPr>
          </w:pPr>
          <w:hyperlink w:anchor="_Toc458185291" w:history="1">
            <w:r w:rsidRPr="00EF1D23">
              <w:rPr>
                <w:rStyle w:val="Hyperlink"/>
                <w:noProof/>
              </w:rPr>
              <w:t>7.1</w:t>
            </w:r>
            <w:r>
              <w:rPr>
                <w:noProof/>
                <w:lang w:eastAsia="en-GB"/>
              </w:rPr>
              <w:tab/>
            </w:r>
            <w:r w:rsidRPr="00EF1D23">
              <w:rPr>
                <w:rStyle w:val="Hyperlink"/>
                <w:noProof/>
              </w:rPr>
              <w:t>CPRD medcodes and drug codes</w:t>
            </w:r>
            <w:r>
              <w:rPr>
                <w:noProof/>
                <w:webHidden/>
              </w:rPr>
              <w:tab/>
            </w:r>
            <w:r>
              <w:rPr>
                <w:noProof/>
                <w:webHidden/>
              </w:rPr>
              <w:fldChar w:fldCharType="begin"/>
            </w:r>
            <w:r>
              <w:rPr>
                <w:noProof/>
                <w:webHidden/>
              </w:rPr>
              <w:instrText xml:space="preserve"> PAGEREF _Toc458185291 \h </w:instrText>
            </w:r>
            <w:r>
              <w:rPr>
                <w:noProof/>
                <w:webHidden/>
              </w:rPr>
            </w:r>
            <w:r>
              <w:rPr>
                <w:noProof/>
                <w:webHidden/>
              </w:rPr>
              <w:fldChar w:fldCharType="separate"/>
            </w:r>
            <w:r>
              <w:rPr>
                <w:noProof/>
                <w:webHidden/>
              </w:rPr>
              <w:t>49</w:t>
            </w:r>
            <w:r>
              <w:rPr>
                <w:noProof/>
                <w:webHidden/>
              </w:rPr>
              <w:fldChar w:fldCharType="end"/>
            </w:r>
          </w:hyperlink>
        </w:p>
        <w:p w:rsidR="000C0A41" w:rsidRDefault="000C0A41">
          <w:r>
            <w:rPr>
              <w:b/>
              <w:bCs/>
              <w:noProof/>
            </w:rPr>
            <w:fldChar w:fldCharType="end"/>
          </w:r>
        </w:p>
      </w:sdtContent>
    </w:sdt>
    <w:p w:rsidR="000C0A41" w:rsidRDefault="000C0A41">
      <w:pPr>
        <w:sectPr w:rsidR="000C0A41" w:rsidSect="000C0A41">
          <w:headerReference w:type="default" r:id="rId9"/>
          <w:footerReference w:type="default" r:id="rId10"/>
          <w:pgSz w:w="11906" w:h="16838"/>
          <w:pgMar w:top="1440" w:right="1440" w:bottom="1440" w:left="1440" w:header="708" w:footer="708" w:gutter="0"/>
          <w:pgNumType w:fmt="upperRoman" w:start="1"/>
          <w:cols w:space="708"/>
          <w:titlePg/>
          <w:docGrid w:linePitch="360"/>
        </w:sectPr>
      </w:pPr>
      <w:r>
        <w:br w:type="page"/>
      </w:r>
    </w:p>
    <w:p w:rsidR="000C0A41" w:rsidRPr="00667DE7" w:rsidRDefault="000C0A41" w:rsidP="000705C4">
      <w:pPr>
        <w:pStyle w:val="Title"/>
        <w:spacing w:line="276" w:lineRule="auto"/>
        <w:rPr>
          <w:rFonts w:asciiTheme="minorHAnsi" w:hAnsiTheme="minorHAnsi"/>
          <w:color w:val="auto"/>
          <w:sz w:val="40"/>
          <w:szCs w:val="40"/>
          <w:lang w:val="fr-FR"/>
        </w:rPr>
      </w:pPr>
      <w:r w:rsidRPr="00667DE7">
        <w:rPr>
          <w:rFonts w:asciiTheme="minorHAnsi" w:hAnsiTheme="minorHAnsi"/>
          <w:color w:val="auto"/>
          <w:sz w:val="40"/>
          <w:szCs w:val="40"/>
          <w:lang w:val="fr-FR"/>
        </w:rPr>
        <w:lastRenderedPageBreak/>
        <w:t>COPD prevalence model Technical Document</w:t>
      </w:r>
    </w:p>
    <w:p w:rsidR="000C0A41" w:rsidRDefault="000C0A41" w:rsidP="000C0A41">
      <w:pPr>
        <w:pStyle w:val="Heading1"/>
        <w:numPr>
          <w:ilvl w:val="0"/>
          <w:numId w:val="19"/>
        </w:numPr>
      </w:pPr>
      <w:bookmarkStart w:id="0" w:name="_Toc458185245"/>
      <w:r>
        <w:t>Executive Summary</w:t>
      </w:r>
      <w:bookmarkEnd w:id="0"/>
    </w:p>
    <w:p w:rsidR="000C0A41" w:rsidRDefault="000C0A41" w:rsidP="004E4291">
      <w:r>
        <w:t>TBA during editing</w:t>
      </w:r>
    </w:p>
    <w:p w:rsidR="000C0A41" w:rsidRDefault="000C0A41" w:rsidP="004E4291"/>
    <w:p w:rsidR="000C0A41" w:rsidRDefault="000C0A41" w:rsidP="004E4291">
      <w:r>
        <w:t>However will include:</w:t>
      </w:r>
    </w:p>
    <w:p w:rsidR="000C0A41" w:rsidRDefault="000C0A41" w:rsidP="004E4291"/>
    <w:p w:rsidR="000C0A41" w:rsidRDefault="000C0A41" w:rsidP="004E4291">
      <w:r w:rsidRPr="0094532D">
        <w:t xml:space="preserve">The CPRD COPD prevalence model prevalence as it currently stands is therefore disappointing and certainly under-estimates actual prevalence, because we have failed to identify patients who are likely to have COPD but do not have a diagnosis from any </w:t>
      </w:r>
      <w:r>
        <w:t xml:space="preserve">other </w:t>
      </w:r>
      <w:r w:rsidRPr="0094532D">
        <w:t>source. However we did not have the time or resources to investigate further. It is possible that we could use 2010 HSfE data now that we have a better method of producing local estimates than was the case in 2012. In addition there is an obvious need to look within high risk groups such as our algorithm group for other supporting evidence e.g. spirometry data. We therefore recommend that these estimates should not be used except as an interim measure which now includes HES diagnoses, and suggest that PHE considers allocating addit</w:t>
      </w:r>
      <w:r>
        <w:t>ional funding to look further for probable cases.</w:t>
      </w:r>
    </w:p>
    <w:p w:rsidR="000C0A41" w:rsidRDefault="000C0A41" w:rsidP="004E4291">
      <w:r>
        <w:br w:type="page"/>
      </w:r>
    </w:p>
    <w:p w:rsidR="000C0A41" w:rsidRPr="00A62166" w:rsidRDefault="000C0A41" w:rsidP="000C0A41">
      <w:pPr>
        <w:pStyle w:val="Heading1"/>
        <w:numPr>
          <w:ilvl w:val="0"/>
          <w:numId w:val="19"/>
        </w:numPr>
      </w:pPr>
      <w:bookmarkStart w:id="1" w:name="_Toc458185246"/>
      <w:r w:rsidRPr="00A62166">
        <w:lastRenderedPageBreak/>
        <w:t>Background</w:t>
      </w:r>
      <w:bookmarkEnd w:id="1"/>
    </w:p>
    <w:p w:rsidR="000C0A41" w:rsidRDefault="000C0A41" w:rsidP="00667DE7">
      <w:r>
        <w:t xml:space="preserve">The Department of Primary Care &amp; Public Health (PCPH) in the School of Public Health (SPH) at Imperial College London (ICL) has tendered successfully to Public Health England (PHE) to develop small population prevalence models for several chronic diseases. PHE has requested a prevalence model for chronic obstructive pulmonary disease (COPD), and another for asthma. As there may be some overlap between these diseases we decided to use the same data source and to develop a common diagnostic algorithm which splits into COPD and asthma. </w:t>
      </w:r>
    </w:p>
    <w:p w:rsidR="000C0A41" w:rsidRDefault="000C0A41" w:rsidP="00B06BEB">
      <w:pPr>
        <w:pStyle w:val="Heading2"/>
      </w:pPr>
      <w:bookmarkStart w:id="2" w:name="_Toc458185247"/>
      <w:r>
        <w:t>Previous COPD prevalence models</w:t>
      </w:r>
      <w:bookmarkEnd w:id="2"/>
    </w:p>
    <w:p w:rsidR="000C0A41" w:rsidRDefault="000C0A41" w:rsidP="008B47A8">
      <w:r>
        <w:t xml:space="preserve">Respiratory function tests were included in the </w:t>
      </w:r>
      <w:r w:rsidRPr="00A5693E">
        <w:t xml:space="preserve">Health Survey for England (HSfE) 2010 data. </w:t>
      </w:r>
      <w:r>
        <w:t>In 2012 we were commissioned by PHE to repeat the statistical modelling used for the first prevalence model using HSfE 2010 data. For this project we decided to continue to use the British Thoracic Society (BTS) COPD definition firstly because the 2010 National Institute for Health and Clinical Excellence (NICE) guidance had reiterated it,</w:t>
      </w:r>
      <w:r>
        <w:rPr>
          <w:noProof/>
        </w:rPr>
        <w:t>[1]</w:t>
      </w:r>
      <w:r>
        <w:t xml:space="preserve"> and secondly to retain continuity with the previous modelled estimates. (The NICE giuidance requires respiratory symptoms to be present as well.)</w:t>
      </w:r>
    </w:p>
    <w:p w:rsidR="000C0A41" w:rsidRDefault="000C0A41" w:rsidP="008B47A8"/>
    <w:p w:rsidR="000C0A41" w:rsidRDefault="000C0A41" w:rsidP="008B47A8">
      <w:r>
        <w:t>The 2001 HSfE data which we used in our first model referred to 5,269 men and 6,133 women over 15 years old with valid lung function measures.</w:t>
      </w:r>
      <w:r>
        <w:rPr>
          <w:noProof/>
        </w:rPr>
        <w:t>[2]</w:t>
      </w:r>
      <w:r>
        <w:t xml:space="preserve"> In 2010, only 1,440 men and 1,966 women (65% and 67% respectively of those having a nurse visit) had usable spirometry measurements.</w:t>
      </w:r>
      <w:r>
        <w:rPr>
          <w:noProof/>
        </w:rPr>
        <w:t>[3]</w:t>
      </w:r>
      <w:r>
        <w:t xml:space="preserve"> The spirometers used in 2010 differed substantially from those used previously, which enabled exclusion of inadequate spirometry measurements (referred to in the report as quality assurance).</w:t>
      </w:r>
    </w:p>
    <w:p w:rsidR="000C0A41" w:rsidRDefault="000C0A41" w:rsidP="008B47A8"/>
    <w:p w:rsidR="000C0A41" w:rsidRDefault="000C0A41" w:rsidP="008B47A8">
      <w:r>
        <w:t xml:space="preserve">Overall observed COPD prevalence in 2010 was 12% in males and 8.3% in females (14.3% and 9.9% respectively in over 35s). Prevalence rates were about three per cent lower in males in 2010, moreso in the quality assured data, with a smaller reduction in women, although male prevalence was still 50% higher. This may reflect falls in smoking prevalence (from 28% in 1993 to 21% in 2011), and possibly higher mortality in older people with COPD. </w:t>
      </w:r>
      <w:r w:rsidRPr="00397FFB">
        <w:t xml:space="preserve">We fitted univariate then multivariate logistic regression models to the 2010 HSfE data. </w:t>
      </w:r>
      <w:r>
        <w:t>Consistent with other surveys and the previous model, the final 2010 regression model shows age group and smoking history are the strongest predictors of COPD in both genders. Unlike the 2001 analysis, residence in urban areas and ethnicity are not associated with increased risk in either gender, but the numbers tested in ethnic minority groups was very small. Living in more deprived areas is still associated with increased risk in men, but not in women.</w:t>
      </w:r>
    </w:p>
    <w:p w:rsidR="000C0A41" w:rsidRDefault="000C0A41" w:rsidP="008B47A8"/>
    <w:p w:rsidR="000C0A41" w:rsidRDefault="000C0A41" w:rsidP="008B47A8">
      <w:r>
        <w:t>When the 2010 model was used to predict COPD caseness and compared with the actual values in an age/sex breakdown table, the modelled prevalence rates agreed closely with the observed rates. However when the expected prevalence is broken down further by smoking category, the modelled values become unstable, and tend to over-predict prevalence. We carried out extensive checking of the modelling process and formulae and came to the conclusion that the 2010 data has characteristics which compromise the use of the regression coefficients to calculate prevalence in small populations, most likely an effect from the smaller sample size in HSfE 2010, as prevalence stimates are obtained for permutations of risk factor subcategories. We therefore recommended against using estimates based on HSfE 2010 for small population prevalence modelling, which disqualified it as a data source for the 2016 model.</w:t>
      </w:r>
    </w:p>
    <w:p w:rsidR="000C0A41" w:rsidRDefault="000C0A41" w:rsidP="00397FFB">
      <w:pPr>
        <w:pStyle w:val="Heading2"/>
      </w:pPr>
      <w:bookmarkStart w:id="3" w:name="_Toc458185248"/>
      <w:r>
        <w:t>COPD epidemiology and management</w:t>
      </w:r>
      <w:bookmarkEnd w:id="3"/>
    </w:p>
    <w:p w:rsidR="000C0A41" w:rsidRPr="002349ED" w:rsidRDefault="000C0A41" w:rsidP="002349ED">
      <w:pPr>
        <w:rPr>
          <w:bCs/>
        </w:rPr>
      </w:pPr>
      <w:r w:rsidRPr="002349ED">
        <w:rPr>
          <w:bCs/>
        </w:rPr>
        <w:t>COPD is a chronic condition characterised by progressive airflow obstruction, which is not completely reversible.</w:t>
      </w:r>
      <w:r>
        <w:rPr>
          <w:bCs/>
          <w:noProof/>
        </w:rPr>
        <w:t>[4 ,5]</w:t>
      </w:r>
      <w:r w:rsidRPr="002349ED">
        <w:rPr>
          <w:bCs/>
        </w:rPr>
        <w:t xml:space="preserve"> COPD contributes to nearly 30,000 deaths each year in the United Kingdom (UK), </w:t>
      </w:r>
      <w:r w:rsidRPr="002349ED">
        <w:rPr>
          <w:bCs/>
        </w:rPr>
        <w:lastRenderedPageBreak/>
        <w:t>corresponding to 5.7 percent of adult male and 4 percent of adult female deaths, including a significant number of premature deaths.</w:t>
      </w:r>
      <w:r>
        <w:rPr>
          <w:bCs/>
          <w:noProof/>
        </w:rPr>
        <w:t>[6]</w:t>
      </w:r>
      <w:r w:rsidRPr="002349ED">
        <w:rPr>
          <w:bCs/>
        </w:rPr>
        <w:t xml:space="preserve"> In addition, 1.4% of the population consult their GPs for COPD each year. It accounts for 2% of hospital admission spells and over three per cent of bed-days in adults,</w:t>
      </w:r>
      <w:r>
        <w:rPr>
          <w:bCs/>
          <w:noProof/>
        </w:rPr>
        <w:t>[6]</w:t>
      </w:r>
      <w:r w:rsidRPr="002349ED">
        <w:rPr>
          <w:bCs/>
        </w:rPr>
        <w:t xml:space="preserve"> costing the NHS £800 million, and leading to 24 million working days lost each year.</w:t>
      </w:r>
      <w:r>
        <w:rPr>
          <w:bCs/>
          <w:noProof/>
        </w:rPr>
        <w:t>[7]</w:t>
      </w:r>
    </w:p>
    <w:p w:rsidR="000C0A41" w:rsidRPr="002349ED" w:rsidRDefault="000C0A41" w:rsidP="002349ED">
      <w:pPr>
        <w:rPr>
          <w:bCs/>
        </w:rPr>
      </w:pPr>
    </w:p>
    <w:p w:rsidR="000C0A41" w:rsidRPr="002349ED" w:rsidRDefault="000C0A41" w:rsidP="002349ED">
      <w:pPr>
        <w:rPr>
          <w:bCs/>
        </w:rPr>
      </w:pPr>
      <w:r w:rsidRPr="002349ED">
        <w:rPr>
          <w:bCs/>
        </w:rPr>
        <w:t>Respiratory function indices have been shown to be predictive of mortality from respiratory disease, cardiovascular disease and all causes.</w:t>
      </w:r>
      <w:r>
        <w:rPr>
          <w:bCs/>
          <w:noProof/>
        </w:rPr>
        <w:t>[8 ,9]</w:t>
      </w:r>
      <w:r w:rsidRPr="002349ED">
        <w:rPr>
          <w:bCs/>
        </w:rPr>
        <w:t xml:space="preserve"> A UK GP database study to quantify the burden of comorbidity and to determine the risk of first acute CVD events among individuals with COPD showed that physician-diagnosed COPD was</w:t>
      </w:r>
      <w:r>
        <w:rPr>
          <w:bCs/>
        </w:rPr>
        <w:t xml:space="preserve"> also</w:t>
      </w:r>
      <w:r w:rsidRPr="002349ED">
        <w:rPr>
          <w:bCs/>
        </w:rPr>
        <w:t xml:space="preserve"> associated with increased risks of CVD (odds ratios [OR] 4.98, 95% CI 4.85 to 5.81; p&lt;0.001), stroke (OR 3.34, 95% CI 3.21 to 3.48; p&lt;0.001) and DM (OR 2.04, 95% CI 1.97 to 2.12; p&lt;0.001).</w:t>
      </w:r>
      <w:r>
        <w:rPr>
          <w:bCs/>
          <w:noProof/>
        </w:rPr>
        <w:t>[10]</w:t>
      </w:r>
    </w:p>
    <w:p w:rsidR="000C0A41" w:rsidRPr="002349ED" w:rsidRDefault="000C0A41" w:rsidP="002349ED">
      <w:pPr>
        <w:rPr>
          <w:bCs/>
        </w:rPr>
      </w:pPr>
    </w:p>
    <w:p w:rsidR="000C0A41" w:rsidRPr="002349ED" w:rsidRDefault="000C0A41" w:rsidP="002349ED">
      <w:pPr>
        <w:rPr>
          <w:bCs/>
        </w:rPr>
      </w:pPr>
      <w:r w:rsidRPr="002349ED">
        <w:rPr>
          <w:bCs/>
        </w:rPr>
        <w:t>Airflow limitation may precede the development of significant symptoms of COPD by many years and its progression is directly linked to the continuing exposure to risk factors, particularly tobacco smoking. As COPD is difficult to diagnose clinically (without spirometry) in its milder forms, it is often diagnosed late - the average age at diagnosis of COPD in the UK is 67 years.</w:t>
      </w:r>
      <w:r>
        <w:rPr>
          <w:bCs/>
          <w:noProof/>
        </w:rPr>
        <w:t>[5]</w:t>
      </w:r>
      <w:r w:rsidRPr="002349ED">
        <w:rPr>
          <w:bCs/>
        </w:rPr>
        <w:t xml:space="preserve"> Widespread use of spirometry allowing early detection of airflow obstruction has been increasingly advocated as it enables early management of COPD.</w:t>
      </w:r>
      <w:r>
        <w:rPr>
          <w:bCs/>
          <w:noProof/>
        </w:rPr>
        <w:t>[11]</w:t>
      </w:r>
    </w:p>
    <w:p w:rsidR="000C0A41" w:rsidRPr="002349ED" w:rsidRDefault="000C0A41" w:rsidP="002349ED">
      <w:pPr>
        <w:rPr>
          <w:bCs/>
        </w:rPr>
      </w:pPr>
    </w:p>
    <w:p w:rsidR="000C0A41" w:rsidRPr="002349ED" w:rsidRDefault="000C0A41" w:rsidP="002349ED">
      <w:pPr>
        <w:rPr>
          <w:bCs/>
        </w:rPr>
      </w:pPr>
      <w:r w:rsidRPr="002349ED">
        <w:rPr>
          <w:bCs/>
        </w:rPr>
        <w:t>The prevalence of COPD is higher in smokers and in men, and it increases with age.</w:t>
      </w:r>
      <w:r>
        <w:rPr>
          <w:bCs/>
          <w:noProof/>
        </w:rPr>
        <w:t>[3]</w:t>
      </w:r>
      <w:r w:rsidRPr="002349ED">
        <w:rPr>
          <w:bCs/>
        </w:rPr>
        <w:t xml:space="preserve"> Stopping smoking prevents the development of COPD, or slows its progress and reduces the risk of hospital admissions.</w:t>
      </w:r>
      <w:r>
        <w:rPr>
          <w:bCs/>
          <w:noProof/>
        </w:rPr>
        <w:t>[12]</w:t>
      </w:r>
      <w:r w:rsidRPr="002349ED">
        <w:rPr>
          <w:bCs/>
        </w:rPr>
        <w:t xml:space="preserve"> Smoking cessation programmes are highly cost-effective, and crucially, have been specifically shown to be cost-effective when directed to individuals with asymptomatic airway obstruction.</w:t>
      </w:r>
      <w:r>
        <w:rPr>
          <w:bCs/>
          <w:noProof/>
        </w:rPr>
        <w:t>[13]</w:t>
      </w:r>
      <w:r w:rsidRPr="002349ED">
        <w:rPr>
          <w:bCs/>
        </w:rPr>
        <w:t xml:space="preserve"> This is because smokers may be motivated to attempt to quit when given a diagnosis of airflow limitation.</w:t>
      </w:r>
      <w:r>
        <w:rPr>
          <w:bCs/>
          <w:noProof/>
        </w:rPr>
        <w:t>[14]</w:t>
      </w:r>
      <w:r w:rsidRPr="002349ED">
        <w:rPr>
          <w:bCs/>
        </w:rPr>
        <w:t xml:space="preserve"> The Finnish National Programme for Chronic Bronchitis and COPD was set up 1998 to reduce prevalence, and improve diagnosis and care. Prevalence remained unchanged, but smoking decreased in males from 30% to 26% and in females from 20% to 17%. Significant improvements in the quality of spirometry were obtained, hospitalisation decreased by 39.7% (p&lt;0.001), and COPD costs were 88% lower than had been anticipated.</w:t>
      </w:r>
      <w:r>
        <w:rPr>
          <w:bCs/>
          <w:noProof/>
        </w:rPr>
        <w:t>[15]</w:t>
      </w:r>
    </w:p>
    <w:p w:rsidR="000C0A41" w:rsidRPr="002349ED" w:rsidRDefault="000C0A41" w:rsidP="002349ED">
      <w:pPr>
        <w:rPr>
          <w:bCs/>
        </w:rPr>
      </w:pPr>
    </w:p>
    <w:p w:rsidR="000C0A41" w:rsidRPr="002349ED" w:rsidRDefault="000C0A41" w:rsidP="002349ED">
      <w:pPr>
        <w:rPr>
          <w:bCs/>
        </w:rPr>
      </w:pPr>
      <w:r w:rsidRPr="002349ED">
        <w:rPr>
          <w:bCs/>
        </w:rPr>
        <w:t>The incremental cost effectiveness ratio (ICER) of opportunistic COPD case-finding for this purpose is a cost per life year gained of £713.16 and a cost per QALY of £814.56.</w:t>
      </w:r>
      <w:r>
        <w:rPr>
          <w:bCs/>
          <w:noProof/>
        </w:rPr>
        <w:t>[16]</w:t>
      </w:r>
      <w:r w:rsidRPr="002349ED">
        <w:rPr>
          <w:bCs/>
        </w:rPr>
        <w:t xml:space="preserve"> The magnitude of undiagnosed cases can be ascertained by comparing the model estimates with the recorded prevalence of COPD, to indicate the extent of unmet needs in COPD. In the UK this is facilitated by GP performance payments for COPD management through the QOF of the GP Contract based on an electronic register of all patients with diagnosed COPD. If this is linked to case finding and intervention, there is a potential for reducing the population burden and progression of the disease.</w:t>
      </w:r>
    </w:p>
    <w:p w:rsidR="000C0A41" w:rsidRPr="002349ED" w:rsidRDefault="000C0A41" w:rsidP="002349ED">
      <w:pPr>
        <w:rPr>
          <w:bCs/>
        </w:rPr>
      </w:pPr>
    </w:p>
    <w:p w:rsidR="000C0A41" w:rsidRPr="002349ED" w:rsidRDefault="000C0A41" w:rsidP="00397FFB">
      <w:pPr>
        <w:spacing w:before="120"/>
        <w:contextualSpacing w:val="0"/>
        <w:rPr>
          <w:bCs/>
        </w:rPr>
      </w:pPr>
      <w:r w:rsidRPr="002349ED">
        <w:rPr>
          <w:bCs/>
        </w:rPr>
        <w:t>The English Outcomes Strategy for COPD and Asthma was published in 2011.</w:t>
      </w:r>
      <w:r>
        <w:rPr>
          <w:bCs/>
          <w:noProof/>
        </w:rPr>
        <w:t>[17]</w:t>
      </w:r>
      <w:r w:rsidRPr="002349ED">
        <w:rPr>
          <w:bCs/>
        </w:rPr>
        <w:t xml:space="preserve"> Six shared objectives are set out in the strategy:</w:t>
      </w:r>
    </w:p>
    <w:p w:rsidR="000C0A41" w:rsidRPr="002349ED" w:rsidRDefault="000C0A41" w:rsidP="00397FFB">
      <w:pPr>
        <w:numPr>
          <w:ilvl w:val="0"/>
          <w:numId w:val="27"/>
        </w:numPr>
        <w:spacing w:before="120"/>
        <w:contextualSpacing w:val="0"/>
        <w:rPr>
          <w:bCs/>
        </w:rPr>
      </w:pPr>
      <w:r w:rsidRPr="002349ED">
        <w:rPr>
          <w:bCs/>
        </w:rPr>
        <w:t>Objective 1: To improve the respiratory health and well-being of all communities and minimise inequalities between communities.</w:t>
      </w:r>
    </w:p>
    <w:p w:rsidR="000C0A41" w:rsidRPr="002349ED" w:rsidRDefault="000C0A41" w:rsidP="00397FFB">
      <w:pPr>
        <w:numPr>
          <w:ilvl w:val="0"/>
          <w:numId w:val="27"/>
        </w:numPr>
        <w:spacing w:before="120"/>
        <w:contextualSpacing w:val="0"/>
        <w:rPr>
          <w:bCs/>
        </w:rPr>
      </w:pPr>
      <w:r w:rsidRPr="002349ED">
        <w:rPr>
          <w:bCs/>
        </w:rPr>
        <w:t>Objective 2: To reduce the number of people who develop COPD by ensuring they are aware of the importance of good lung health and well-being, with risk factors understood, avoided or minimised, and proactively address health inequalities.</w:t>
      </w:r>
    </w:p>
    <w:p w:rsidR="000C0A41" w:rsidRPr="002349ED" w:rsidRDefault="000C0A41" w:rsidP="00397FFB">
      <w:pPr>
        <w:numPr>
          <w:ilvl w:val="0"/>
          <w:numId w:val="27"/>
        </w:numPr>
        <w:spacing w:before="120"/>
        <w:contextualSpacing w:val="0"/>
        <w:rPr>
          <w:bCs/>
        </w:rPr>
      </w:pPr>
      <w:r w:rsidRPr="002349ED">
        <w:rPr>
          <w:bCs/>
        </w:rPr>
        <w:t>Objective 3: To reduce the number of people with COPD who die prematurely through a proactive approach to early identification, diagnosis and intervention, and proactive care and management at all stages of the disease, with a particular focus on the disadvantaged groups and areas with high prevalence.</w:t>
      </w:r>
    </w:p>
    <w:p w:rsidR="000C0A41" w:rsidRPr="002349ED" w:rsidRDefault="000C0A41" w:rsidP="00397FFB">
      <w:pPr>
        <w:numPr>
          <w:ilvl w:val="0"/>
          <w:numId w:val="27"/>
        </w:numPr>
        <w:spacing w:before="120"/>
        <w:contextualSpacing w:val="0"/>
        <w:rPr>
          <w:bCs/>
        </w:rPr>
      </w:pPr>
      <w:r w:rsidRPr="002349ED">
        <w:rPr>
          <w:bCs/>
        </w:rPr>
        <w:lastRenderedPageBreak/>
        <w:t>Objective 4: To enhance quality of life for people with COPD, across all social groups, with a positive, enabling, experience of care and support right through to the end of life.</w:t>
      </w:r>
    </w:p>
    <w:p w:rsidR="000C0A41" w:rsidRPr="002349ED" w:rsidRDefault="000C0A41" w:rsidP="00397FFB">
      <w:pPr>
        <w:numPr>
          <w:ilvl w:val="0"/>
          <w:numId w:val="27"/>
        </w:numPr>
        <w:spacing w:before="120"/>
        <w:contextualSpacing w:val="0"/>
        <w:rPr>
          <w:bCs/>
        </w:rPr>
      </w:pPr>
      <w:r w:rsidRPr="002349ED">
        <w:rPr>
          <w:bCs/>
        </w:rPr>
        <w:t>Objective 5: To ensure that people with COPD, across all social groups, receive safe and effective care, which minimises progression, enhances recovery and promotes independence.</w:t>
      </w:r>
    </w:p>
    <w:p w:rsidR="000C0A41" w:rsidRPr="002349ED" w:rsidRDefault="000C0A41" w:rsidP="00397FFB">
      <w:pPr>
        <w:numPr>
          <w:ilvl w:val="0"/>
          <w:numId w:val="27"/>
        </w:numPr>
        <w:spacing w:before="120"/>
        <w:contextualSpacing w:val="0"/>
        <w:rPr>
          <w:bCs/>
        </w:rPr>
      </w:pPr>
      <w:r w:rsidRPr="002349ED">
        <w:rPr>
          <w:bCs/>
        </w:rPr>
        <w:t>Objective 6: To ensure that people with asthma, across all social groups, are free of symptoms because of prompt and accurate diagnosis, shared decision making regarding treatment, and on-going support as they self-manage their own condition and to reduce need for unscheduled health care and risk of death.</w:t>
      </w:r>
    </w:p>
    <w:p w:rsidR="000C0A41" w:rsidRPr="002349ED" w:rsidRDefault="000C0A41" w:rsidP="002349ED">
      <w:pPr>
        <w:rPr>
          <w:bCs/>
        </w:rPr>
      </w:pPr>
    </w:p>
    <w:p w:rsidR="000C0A41" w:rsidRPr="002349ED" w:rsidRDefault="000C0A41" w:rsidP="00366694">
      <w:pPr>
        <w:rPr>
          <w:bCs/>
        </w:rPr>
      </w:pPr>
      <w:r w:rsidRPr="002349ED">
        <w:rPr>
          <w:bCs/>
        </w:rPr>
        <w:t>Objective 3, covering early identification, diagnosis and intervention, is obviously relevant to the prevalence models. The Strategy notes that late diagnosis has a substantial impact on symptom control, quality of life, clinical outcome and cost because undiagnosed people receive inappropriate or inadequate treatment.</w:t>
      </w:r>
      <w:r>
        <w:rPr>
          <w:bCs/>
        </w:rPr>
        <w:t xml:space="preserve"> As mentioned below, NICE published its most recent COPD </w:t>
      </w:r>
      <w:r w:rsidRPr="00366694">
        <w:rPr>
          <w:bCs/>
        </w:rPr>
        <w:t xml:space="preserve">guidelines [CG101] </w:t>
      </w:r>
      <w:r>
        <w:rPr>
          <w:bCs/>
        </w:rPr>
        <w:t xml:space="preserve">in </w:t>
      </w:r>
      <w:r w:rsidRPr="00366694">
        <w:rPr>
          <w:bCs/>
        </w:rPr>
        <w:t>June 2010</w:t>
      </w:r>
      <w:r>
        <w:rPr>
          <w:bCs/>
        </w:rPr>
        <w:t xml:space="preserve">. </w:t>
      </w:r>
      <w:r>
        <w:rPr>
          <w:bCs/>
          <w:noProof/>
        </w:rPr>
        <w:t>[1]</w:t>
      </w:r>
      <w:r>
        <w:rPr>
          <w:bCs/>
        </w:rPr>
        <w:t xml:space="preserve"> An update of </w:t>
      </w:r>
      <w:r w:rsidRPr="00366694">
        <w:rPr>
          <w:bCs/>
        </w:rPr>
        <w:t>diagnosis and management</w:t>
      </w:r>
      <w:r>
        <w:rPr>
          <w:bCs/>
        </w:rPr>
        <w:t xml:space="preserve"> is planned by the COPD </w:t>
      </w:r>
      <w:r w:rsidRPr="00366694">
        <w:rPr>
          <w:bCs/>
        </w:rPr>
        <w:t>Standing Committee</w:t>
      </w:r>
      <w:r>
        <w:rPr>
          <w:bCs/>
        </w:rPr>
        <w:t>, but as of July 2016 no completion date had been announced.</w:t>
      </w:r>
    </w:p>
    <w:p w:rsidR="000C0A41" w:rsidRPr="002349ED" w:rsidRDefault="000C0A41" w:rsidP="00397FFB">
      <w:pPr>
        <w:pStyle w:val="Heading2"/>
      </w:pPr>
      <w:bookmarkStart w:id="4" w:name="_Toc458185249"/>
      <w:r>
        <w:t>COPD Prevalence</w:t>
      </w:r>
      <w:bookmarkEnd w:id="4"/>
    </w:p>
    <w:p w:rsidR="000C0A41" w:rsidRPr="002349ED" w:rsidRDefault="000C0A41" w:rsidP="002349ED">
      <w:pPr>
        <w:rPr>
          <w:bCs/>
          <w:lang w:val="en"/>
        </w:rPr>
      </w:pPr>
      <w:r w:rsidRPr="002349ED">
        <w:rPr>
          <w:bCs/>
        </w:rPr>
        <w:t xml:space="preserve">There is considerable variation in the reported prevalence of COPD internationally. One reason for this is the differing definitions in use. </w:t>
      </w:r>
      <w:r>
        <w:rPr>
          <w:bCs/>
        </w:rPr>
        <w:t xml:space="preserve"> The </w:t>
      </w:r>
      <w:r w:rsidRPr="002349ED">
        <w:rPr>
          <w:bCs/>
        </w:rPr>
        <w:t>BTS criteria</w:t>
      </w:r>
      <w:r>
        <w:rPr>
          <w:bCs/>
          <w:noProof/>
        </w:rPr>
        <w:t>[18]</w:t>
      </w:r>
      <w:r w:rsidRPr="002349ED">
        <w:rPr>
          <w:bCs/>
        </w:rPr>
        <w:t xml:space="preserve"> are based on the </w:t>
      </w:r>
      <w:r>
        <w:rPr>
          <w:bCs/>
        </w:rPr>
        <w:t xml:space="preserve">post bronchodilator </w:t>
      </w:r>
      <w:r w:rsidRPr="002349ED">
        <w:rPr>
          <w:bCs/>
        </w:rPr>
        <w:t xml:space="preserve">values of forced expiratory volume in 1 second (FEV1) </w:t>
      </w:r>
      <w:r w:rsidRPr="002349ED">
        <w:rPr>
          <w:bCs/>
          <w:u w:val="single"/>
        </w:rPr>
        <w:t>and</w:t>
      </w:r>
      <w:r w:rsidRPr="002349ED">
        <w:rPr>
          <w:bCs/>
        </w:rPr>
        <w:t xml:space="preserve"> the forced vital capacity (FVC) i.e. FEV1/ FVC &lt; 0.70 and FEV1&lt;80% predicted, using British reference values derived from the HSfE. The NICE COPD guideline,</w:t>
      </w:r>
      <w:r>
        <w:rPr>
          <w:bCs/>
          <w:noProof/>
        </w:rPr>
        <w:t>[1]</w:t>
      </w:r>
      <w:r w:rsidRPr="002349ED">
        <w:rPr>
          <w:bCs/>
        </w:rPr>
        <w:t xml:space="preserve"> which was revised in 2010, states that t</w:t>
      </w:r>
      <w:r w:rsidRPr="002349ED">
        <w:rPr>
          <w:bCs/>
          <w:lang w:val="en"/>
        </w:rPr>
        <w:t>he following should be used as a definition of COPD:</w:t>
      </w:r>
    </w:p>
    <w:p w:rsidR="000C0A41" w:rsidRPr="002349ED" w:rsidRDefault="000C0A41" w:rsidP="00914231">
      <w:pPr>
        <w:numPr>
          <w:ilvl w:val="0"/>
          <w:numId w:val="32"/>
        </w:numPr>
        <w:spacing w:before="120"/>
        <w:ind w:left="714" w:hanging="357"/>
        <w:contextualSpacing w:val="0"/>
        <w:rPr>
          <w:bCs/>
          <w:lang w:val="en"/>
        </w:rPr>
      </w:pPr>
      <w:r w:rsidRPr="002349ED">
        <w:rPr>
          <w:bCs/>
          <w:lang w:val="en"/>
        </w:rPr>
        <w:t>Airflow obstruction is defined as a reduced FEV</w:t>
      </w:r>
      <w:r w:rsidRPr="002349ED">
        <w:rPr>
          <w:bCs/>
          <w:vertAlign w:val="subscript"/>
          <w:lang w:val="en"/>
        </w:rPr>
        <w:t>1</w:t>
      </w:r>
      <w:r w:rsidRPr="002349ED">
        <w:rPr>
          <w:bCs/>
          <w:lang w:val="en"/>
        </w:rPr>
        <w:t>/FVC ratio (where FEV</w:t>
      </w:r>
      <w:r w:rsidRPr="002349ED">
        <w:rPr>
          <w:bCs/>
          <w:vertAlign w:val="subscript"/>
          <w:lang w:val="en"/>
        </w:rPr>
        <w:t>1</w:t>
      </w:r>
      <w:r w:rsidRPr="002349ED">
        <w:rPr>
          <w:bCs/>
          <w:lang w:val="en"/>
        </w:rPr>
        <w:t xml:space="preserve"> is forced expired volume in 1 second and FVC is forced vital capacity), such that FEV</w:t>
      </w:r>
      <w:r w:rsidRPr="002349ED">
        <w:rPr>
          <w:bCs/>
          <w:vertAlign w:val="subscript"/>
          <w:lang w:val="en"/>
        </w:rPr>
        <w:t>1</w:t>
      </w:r>
      <w:r w:rsidRPr="002349ED">
        <w:rPr>
          <w:bCs/>
          <w:lang w:val="en"/>
        </w:rPr>
        <w:t>/FVC is less than 0.7.</w:t>
      </w:r>
    </w:p>
    <w:p w:rsidR="000C0A41" w:rsidRPr="002349ED" w:rsidRDefault="000C0A41" w:rsidP="00914231">
      <w:pPr>
        <w:numPr>
          <w:ilvl w:val="0"/>
          <w:numId w:val="32"/>
        </w:numPr>
        <w:spacing w:before="120"/>
        <w:ind w:left="714" w:hanging="357"/>
        <w:contextualSpacing w:val="0"/>
        <w:rPr>
          <w:bCs/>
          <w:lang w:val="en"/>
        </w:rPr>
      </w:pPr>
      <w:r w:rsidRPr="002349ED">
        <w:rPr>
          <w:bCs/>
          <w:lang w:val="en"/>
        </w:rPr>
        <w:t>If FEV</w:t>
      </w:r>
      <w:r w:rsidRPr="002349ED">
        <w:rPr>
          <w:bCs/>
          <w:vertAlign w:val="subscript"/>
          <w:lang w:val="en"/>
        </w:rPr>
        <w:t>1</w:t>
      </w:r>
      <w:r w:rsidRPr="002349ED">
        <w:rPr>
          <w:bCs/>
          <w:lang w:val="en"/>
        </w:rPr>
        <w:t xml:space="preserve"> is ≥ 80% predicted normal a diagnosis of COPD should only be made in the presence of respiratory symptoms, for example breathlessness or cough.</w:t>
      </w:r>
    </w:p>
    <w:p w:rsidR="000C0A41" w:rsidRPr="002349ED" w:rsidRDefault="000C0A41" w:rsidP="002349ED">
      <w:pPr>
        <w:rPr>
          <w:bCs/>
          <w:lang w:val="en"/>
        </w:rPr>
      </w:pPr>
    </w:p>
    <w:p w:rsidR="000C0A41" w:rsidRPr="002349ED" w:rsidRDefault="000C0A41" w:rsidP="002349ED">
      <w:pPr>
        <w:rPr>
          <w:bCs/>
        </w:rPr>
      </w:pPr>
      <w:r w:rsidRPr="002349ED">
        <w:rPr>
          <w:bCs/>
          <w:lang w:val="en"/>
        </w:rPr>
        <w:t xml:space="preserve">This is the BTS definition </w:t>
      </w:r>
      <w:r w:rsidRPr="002349ED">
        <w:rPr>
          <w:bCs/>
          <w:u w:val="single"/>
          <w:lang w:val="en"/>
        </w:rPr>
        <w:t>plus</w:t>
      </w:r>
      <w:r w:rsidRPr="002349ED">
        <w:rPr>
          <w:bCs/>
          <w:lang w:val="en"/>
        </w:rPr>
        <w:t xml:space="preserve"> the presence of symptoms. </w:t>
      </w:r>
      <w:r w:rsidRPr="002349ED">
        <w:rPr>
          <w:bCs/>
        </w:rPr>
        <w:t>For the previous prevalence model we decided to use the BTS definition for a practical reason, because the main objective of the model was to estimate the size of practice populations in which primary care intervention for COPD was clearly justified by the evidence base. In addition we did not have reliable data from HSfE on respiratory symptoms. Finally practices did not have the resources to identify as many as possible of their patients with a broader definition; and diagnosed prevalence in most practices was and is still well below the expected BTS-definition prevalence.</w:t>
      </w:r>
      <w:r>
        <w:rPr>
          <w:bCs/>
          <w:noProof/>
        </w:rPr>
        <w:t>[19]</w:t>
      </w:r>
      <w:r w:rsidRPr="002349ED">
        <w:rPr>
          <w:bCs/>
        </w:rPr>
        <w:t xml:space="preserve"> The second BTS criterion is not part of the international Global Initiative for Chronic Obstructive Lung Disease (GOLD) definition: FEV1 &gt;80% is defined as mild COPD or GOLD Stage 1. </w:t>
      </w:r>
      <w:r>
        <w:rPr>
          <w:bCs/>
        </w:rPr>
        <w:fldChar w:fldCharType="begin"/>
      </w:r>
      <w:r>
        <w:rPr>
          <w:bCs/>
        </w:rPr>
        <w:instrText xml:space="preserve"> REF _Ref350001972 \h </w:instrText>
      </w:r>
      <w:r>
        <w:rPr>
          <w:bCs/>
        </w:rPr>
      </w:r>
      <w:r>
        <w:rPr>
          <w:bCs/>
        </w:rPr>
        <w:fldChar w:fldCharType="separate"/>
      </w:r>
      <w:r w:rsidRPr="002349ED">
        <w:t xml:space="preserve">Table </w:t>
      </w:r>
      <w:r>
        <w:rPr>
          <w:noProof/>
        </w:rPr>
        <w:t>1</w:t>
      </w:r>
      <w:r>
        <w:rPr>
          <w:bCs/>
        </w:rPr>
        <w:fldChar w:fldCharType="end"/>
      </w:r>
      <w:r w:rsidRPr="002349ED">
        <w:rPr>
          <w:bCs/>
        </w:rPr>
        <w:t xml:space="preserve"> shows the GOLD criteria for severity of COPD as used in the BOLD protocol.</w:t>
      </w:r>
      <w:r>
        <w:rPr>
          <w:bCs/>
          <w:noProof/>
        </w:rPr>
        <w:t>[20]</w:t>
      </w:r>
    </w:p>
    <w:p w:rsidR="000C0A41" w:rsidRPr="002349ED" w:rsidRDefault="000C0A41" w:rsidP="002349ED">
      <w:pPr>
        <w:pStyle w:val="Caption"/>
      </w:pPr>
      <w:bookmarkStart w:id="5" w:name="_Ref350001972"/>
      <w:r w:rsidRPr="002349ED">
        <w:t xml:space="preserve">Table </w:t>
      </w:r>
      <w:fldSimple w:instr=" SEQ Table \* ARABIC ">
        <w:r>
          <w:rPr>
            <w:noProof/>
          </w:rPr>
          <w:t>1</w:t>
        </w:r>
      </w:fldSimple>
      <w:bookmarkEnd w:id="5"/>
      <w:r w:rsidRPr="002349ED">
        <w:t>: GOLD criteria for severity of COPD</w:t>
      </w:r>
      <w:r>
        <w:rPr>
          <w:noProof/>
        </w:rPr>
        <w:t>[20]</w:t>
      </w:r>
    </w:p>
    <w:tbl>
      <w:tblPr>
        <w:tblStyle w:val="GridTable4-Accent1"/>
        <w:tblW w:w="4105" w:type="pct"/>
        <w:jc w:val="center"/>
        <w:tblLook w:val="04A0" w:firstRow="1" w:lastRow="0" w:firstColumn="1" w:lastColumn="0" w:noHBand="0" w:noVBand="1"/>
      </w:tblPr>
      <w:tblGrid>
        <w:gridCol w:w="3171"/>
        <w:gridCol w:w="4231"/>
      </w:tblGrid>
      <w:tr w:rsidR="000C0A41" w:rsidRPr="00914231" w:rsidTr="00914231">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2142" w:type="pct"/>
            <w:hideMark/>
          </w:tcPr>
          <w:p w:rsidR="000C0A41" w:rsidRPr="00914231" w:rsidRDefault="000C0A41" w:rsidP="00914231">
            <w:pPr>
              <w:jc w:val="center"/>
              <w:rPr>
                <w:bCs w:val="0"/>
              </w:rPr>
            </w:pPr>
            <w:r w:rsidRPr="00914231">
              <w:rPr>
                <w:bCs w:val="0"/>
              </w:rPr>
              <w:t>Severity of COPD (GOLD scale)</w:t>
            </w:r>
          </w:p>
        </w:tc>
        <w:tc>
          <w:tcPr>
            <w:tcW w:w="2858" w:type="pct"/>
            <w:hideMark/>
          </w:tcPr>
          <w:p w:rsidR="000C0A41" w:rsidRPr="00914231" w:rsidRDefault="000C0A41" w:rsidP="00914231">
            <w:pPr>
              <w:jc w:val="center"/>
              <w:cnfStyle w:val="100000000000" w:firstRow="1" w:lastRow="0" w:firstColumn="0" w:lastColumn="0" w:oddVBand="0" w:evenVBand="0" w:oddHBand="0" w:evenHBand="0" w:firstRowFirstColumn="0" w:firstRowLastColumn="0" w:lastRowFirstColumn="0" w:lastRowLastColumn="0"/>
              <w:rPr>
                <w:bCs w:val="0"/>
              </w:rPr>
            </w:pPr>
            <w:r w:rsidRPr="00914231">
              <w:rPr>
                <w:bCs w:val="0"/>
              </w:rPr>
              <w:t>FEV</w:t>
            </w:r>
            <w:r w:rsidRPr="00914231">
              <w:rPr>
                <w:bCs w:val="0"/>
                <w:vertAlign w:val="subscript"/>
              </w:rPr>
              <w:t>1</w:t>
            </w:r>
            <w:r w:rsidRPr="00914231">
              <w:rPr>
                <w:bCs w:val="0"/>
              </w:rPr>
              <w:t xml:space="preserve"> % predicted</w:t>
            </w:r>
          </w:p>
        </w:tc>
      </w:tr>
      <w:tr w:rsidR="000C0A41" w:rsidRPr="002349ED" w:rsidTr="009142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42" w:type="pct"/>
            <w:hideMark/>
          </w:tcPr>
          <w:p w:rsidR="000C0A41" w:rsidRPr="002349ED" w:rsidRDefault="000C0A41" w:rsidP="002349ED">
            <w:pPr>
              <w:rPr>
                <w:bCs w:val="0"/>
              </w:rPr>
            </w:pPr>
            <w:r w:rsidRPr="002349ED">
              <w:rPr>
                <w:bCs w:val="0"/>
              </w:rPr>
              <w:t>Mild (GOLD 1)</w:t>
            </w:r>
          </w:p>
        </w:tc>
        <w:tc>
          <w:tcPr>
            <w:tcW w:w="2858" w:type="pct"/>
            <w:hideMark/>
          </w:tcPr>
          <w:p w:rsidR="000C0A41" w:rsidRPr="002349ED" w:rsidRDefault="000C0A41" w:rsidP="002349ED">
            <w:pPr>
              <w:cnfStyle w:val="000000100000" w:firstRow="0" w:lastRow="0" w:firstColumn="0" w:lastColumn="0" w:oddVBand="0" w:evenVBand="0" w:oddHBand="1" w:evenHBand="0" w:firstRowFirstColumn="0" w:firstRowLastColumn="0" w:lastRowFirstColumn="0" w:lastRowLastColumn="0"/>
              <w:rPr>
                <w:bCs/>
              </w:rPr>
            </w:pPr>
            <w:r w:rsidRPr="002349ED">
              <w:rPr>
                <w:bCs/>
              </w:rPr>
              <w:t>≥80</w:t>
            </w:r>
          </w:p>
        </w:tc>
      </w:tr>
      <w:tr w:rsidR="000C0A41" w:rsidRPr="002349ED" w:rsidTr="00914231">
        <w:trPr>
          <w:jc w:val="center"/>
        </w:trPr>
        <w:tc>
          <w:tcPr>
            <w:cnfStyle w:val="001000000000" w:firstRow="0" w:lastRow="0" w:firstColumn="1" w:lastColumn="0" w:oddVBand="0" w:evenVBand="0" w:oddHBand="0" w:evenHBand="0" w:firstRowFirstColumn="0" w:firstRowLastColumn="0" w:lastRowFirstColumn="0" w:lastRowLastColumn="0"/>
            <w:tcW w:w="2142" w:type="pct"/>
            <w:hideMark/>
          </w:tcPr>
          <w:p w:rsidR="000C0A41" w:rsidRPr="002349ED" w:rsidRDefault="000C0A41" w:rsidP="002349ED">
            <w:pPr>
              <w:rPr>
                <w:bCs w:val="0"/>
              </w:rPr>
            </w:pPr>
            <w:r w:rsidRPr="002349ED">
              <w:rPr>
                <w:bCs w:val="0"/>
              </w:rPr>
              <w:t>Moderate (GOLD 2)</w:t>
            </w:r>
          </w:p>
        </w:tc>
        <w:tc>
          <w:tcPr>
            <w:tcW w:w="2858" w:type="pct"/>
            <w:hideMark/>
          </w:tcPr>
          <w:p w:rsidR="000C0A41" w:rsidRPr="002349ED" w:rsidRDefault="000C0A41" w:rsidP="002349ED">
            <w:pPr>
              <w:cnfStyle w:val="000000000000" w:firstRow="0" w:lastRow="0" w:firstColumn="0" w:lastColumn="0" w:oddVBand="0" w:evenVBand="0" w:oddHBand="0" w:evenHBand="0" w:firstRowFirstColumn="0" w:firstRowLastColumn="0" w:lastRowFirstColumn="0" w:lastRowLastColumn="0"/>
              <w:rPr>
                <w:bCs/>
              </w:rPr>
            </w:pPr>
            <w:r w:rsidRPr="002349ED">
              <w:rPr>
                <w:bCs/>
              </w:rPr>
              <w:t>50–79</w:t>
            </w:r>
          </w:p>
        </w:tc>
      </w:tr>
      <w:tr w:rsidR="000C0A41" w:rsidRPr="002349ED" w:rsidTr="009142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42" w:type="pct"/>
            <w:hideMark/>
          </w:tcPr>
          <w:p w:rsidR="000C0A41" w:rsidRPr="002349ED" w:rsidRDefault="000C0A41" w:rsidP="002349ED">
            <w:pPr>
              <w:rPr>
                <w:bCs w:val="0"/>
              </w:rPr>
            </w:pPr>
            <w:r w:rsidRPr="002349ED">
              <w:rPr>
                <w:bCs w:val="0"/>
              </w:rPr>
              <w:t>Severe (GOLD 3)</w:t>
            </w:r>
          </w:p>
        </w:tc>
        <w:tc>
          <w:tcPr>
            <w:tcW w:w="2858" w:type="pct"/>
            <w:hideMark/>
          </w:tcPr>
          <w:p w:rsidR="000C0A41" w:rsidRPr="002349ED" w:rsidRDefault="000C0A41" w:rsidP="002349ED">
            <w:pPr>
              <w:cnfStyle w:val="000000100000" w:firstRow="0" w:lastRow="0" w:firstColumn="0" w:lastColumn="0" w:oddVBand="0" w:evenVBand="0" w:oddHBand="1" w:evenHBand="0" w:firstRowFirstColumn="0" w:firstRowLastColumn="0" w:lastRowFirstColumn="0" w:lastRowLastColumn="0"/>
              <w:rPr>
                <w:bCs/>
              </w:rPr>
            </w:pPr>
            <w:r w:rsidRPr="002349ED">
              <w:rPr>
                <w:bCs/>
              </w:rPr>
              <w:t>30–49</w:t>
            </w:r>
          </w:p>
        </w:tc>
      </w:tr>
      <w:tr w:rsidR="000C0A41" w:rsidRPr="002349ED" w:rsidTr="00914231">
        <w:trPr>
          <w:jc w:val="center"/>
        </w:trPr>
        <w:tc>
          <w:tcPr>
            <w:cnfStyle w:val="001000000000" w:firstRow="0" w:lastRow="0" w:firstColumn="1" w:lastColumn="0" w:oddVBand="0" w:evenVBand="0" w:oddHBand="0" w:evenHBand="0" w:firstRowFirstColumn="0" w:firstRowLastColumn="0" w:lastRowFirstColumn="0" w:lastRowLastColumn="0"/>
            <w:tcW w:w="2142" w:type="pct"/>
            <w:hideMark/>
          </w:tcPr>
          <w:p w:rsidR="000C0A41" w:rsidRPr="002349ED" w:rsidRDefault="000C0A41" w:rsidP="002349ED">
            <w:pPr>
              <w:rPr>
                <w:bCs w:val="0"/>
              </w:rPr>
            </w:pPr>
            <w:r w:rsidRPr="002349ED">
              <w:rPr>
                <w:bCs w:val="0"/>
              </w:rPr>
              <w:t>Very severe (GOLD 4)</w:t>
            </w:r>
          </w:p>
        </w:tc>
        <w:tc>
          <w:tcPr>
            <w:tcW w:w="2858" w:type="pct"/>
            <w:hideMark/>
          </w:tcPr>
          <w:p w:rsidR="000C0A41" w:rsidRPr="002349ED" w:rsidRDefault="000C0A41" w:rsidP="002349ED">
            <w:pPr>
              <w:cnfStyle w:val="000000000000" w:firstRow="0" w:lastRow="0" w:firstColumn="0" w:lastColumn="0" w:oddVBand="0" w:evenVBand="0" w:oddHBand="0" w:evenHBand="0" w:firstRowFirstColumn="0" w:firstRowLastColumn="0" w:lastRowFirstColumn="0" w:lastRowLastColumn="0"/>
              <w:rPr>
                <w:bCs/>
              </w:rPr>
            </w:pPr>
            <w:r w:rsidRPr="002349ED">
              <w:rPr>
                <w:bCs/>
              </w:rPr>
              <w:t>&lt;30 or chronic respiratory failure symptoms</w:t>
            </w:r>
          </w:p>
        </w:tc>
      </w:tr>
    </w:tbl>
    <w:p w:rsidR="000C0A41" w:rsidRPr="002349ED" w:rsidRDefault="000C0A41" w:rsidP="002349ED">
      <w:pPr>
        <w:rPr>
          <w:bCs/>
        </w:rPr>
      </w:pPr>
    </w:p>
    <w:p w:rsidR="000C0A41" w:rsidRPr="002349ED" w:rsidRDefault="000C0A41" w:rsidP="00F14EB5">
      <w:pPr>
        <w:rPr>
          <w:bCs/>
        </w:rPr>
      </w:pPr>
      <w:r w:rsidRPr="002349ED">
        <w:rPr>
          <w:bCs/>
        </w:rPr>
        <w:lastRenderedPageBreak/>
        <w:t>There is no consensus regarding using a fixed threshold to define airflow obstruction versus using the lower limit of normal (LLN) adjusted for age.</w:t>
      </w:r>
      <w:r>
        <w:rPr>
          <w:bCs/>
          <w:noProof/>
        </w:rPr>
        <w:t>[21]</w:t>
      </w:r>
      <w:r w:rsidRPr="002349ED">
        <w:rPr>
          <w:bCs/>
        </w:rPr>
        <w:t xml:space="preserve"> The difference between these two definitions is illustrated by the pooled prevalence estimates of an international systematic review and meta-analysis.</w:t>
      </w:r>
      <w:r>
        <w:rPr>
          <w:bCs/>
          <w:noProof/>
        </w:rPr>
        <w:t>[22]</w:t>
      </w:r>
      <w:r w:rsidRPr="002349ED">
        <w:rPr>
          <w:bCs/>
        </w:rPr>
        <w:t xml:space="preserve"> Using the GOLD definition and including GOLD (stage I)/FEV1/FVC &lt;0.70, the population prevalence was estimated at 9.8% (95% CIs 5.9–15.8). Including only GOLD (stage II)/FEV1/FVC &lt;0.70 and FEV1 &lt;80% predicted and worse, the population prevalence was 5.5% (95% CIs 3.3–9.0).</w:t>
      </w:r>
    </w:p>
    <w:p w:rsidR="000C0A41" w:rsidRDefault="000C0A41" w:rsidP="002349ED">
      <w:pPr>
        <w:rPr>
          <w:bCs/>
        </w:rPr>
      </w:pPr>
    </w:p>
    <w:p w:rsidR="000C0A41" w:rsidRDefault="000C0A41" w:rsidP="002349ED">
      <w:pPr>
        <w:rPr>
          <w:bCs/>
        </w:rPr>
      </w:pPr>
      <w:r>
        <w:rPr>
          <w:bCs/>
        </w:rPr>
        <w:t xml:space="preserve">However a 2013 study by Bhatt et al </w:t>
      </w:r>
      <w:r w:rsidRPr="002349ED">
        <w:rPr>
          <w:bCs/>
        </w:rPr>
        <w:t xml:space="preserve">compared the accuracy and discrimination of the recommended fixed ratio of </w:t>
      </w:r>
      <w:r>
        <w:rPr>
          <w:bCs/>
        </w:rPr>
        <w:t>FEV1</w:t>
      </w:r>
      <w:r w:rsidRPr="002349ED">
        <w:rPr>
          <w:bCs/>
        </w:rPr>
        <w:t>/</w:t>
      </w:r>
      <w:r>
        <w:rPr>
          <w:bCs/>
        </w:rPr>
        <w:t>FVC</w:t>
      </w:r>
      <w:r w:rsidRPr="002349ED">
        <w:rPr>
          <w:bCs/>
        </w:rPr>
        <w:t xml:space="preserve"> &lt;0.70 with </w:t>
      </w:r>
      <w:r>
        <w:rPr>
          <w:bCs/>
        </w:rPr>
        <w:t xml:space="preserve">the LLN definition </w:t>
      </w:r>
      <w:r w:rsidRPr="002349ED">
        <w:rPr>
          <w:bCs/>
        </w:rPr>
        <w:t>in diagnosing smoking-related airflow obstruction using CT-defined emphysema and gas trapping as the disease gold standard.</w:t>
      </w:r>
      <w:r>
        <w:rPr>
          <w:bCs/>
          <w:noProof/>
        </w:rPr>
        <w:t>[21]</w:t>
      </w:r>
      <w:r w:rsidRPr="002349ED">
        <w:rPr>
          <w:bCs/>
        </w:rPr>
        <w:t xml:space="preserve"> </w:t>
      </w:r>
      <w:r>
        <w:rPr>
          <w:bCs/>
        </w:rPr>
        <w:t xml:space="preserve">Using </w:t>
      </w:r>
      <w:r w:rsidRPr="002349ED">
        <w:rPr>
          <w:bCs/>
        </w:rPr>
        <w:t>COPDGene</w:t>
      </w:r>
      <w:r>
        <w:rPr>
          <w:bCs/>
        </w:rPr>
        <w:t xml:space="preserve"> data</w:t>
      </w:r>
      <w:r w:rsidRPr="002349ED">
        <w:rPr>
          <w:bCs/>
        </w:rPr>
        <w:t xml:space="preserve">, </w:t>
      </w:r>
      <w:r>
        <w:rPr>
          <w:bCs/>
        </w:rPr>
        <w:t>c</w:t>
      </w:r>
      <w:r w:rsidRPr="002349ED">
        <w:rPr>
          <w:bCs/>
        </w:rPr>
        <w:t>oncordance between spirometric thresholds was measured</w:t>
      </w:r>
      <w:r>
        <w:rPr>
          <w:bCs/>
        </w:rPr>
        <w:t xml:space="preserve">, </w:t>
      </w:r>
      <w:r w:rsidRPr="002349ED">
        <w:rPr>
          <w:bCs/>
        </w:rPr>
        <w:t xml:space="preserve">using quantitative CT as gold standard. There was very good agreement between the two spirometric cutoffs (κ=0.85; 95% CI 0.83 to 0.86, p&lt;0.001). </w:t>
      </w:r>
      <w:r>
        <w:rPr>
          <w:bCs/>
        </w:rPr>
        <w:t xml:space="preserve">Only </w:t>
      </w:r>
      <w:r w:rsidRPr="002349ED">
        <w:rPr>
          <w:bCs/>
        </w:rPr>
        <w:t xml:space="preserve">7.3% were discordant. Subjects with airflow obstruction by fixed ratio only had a greater degree of emphysema (4.1% versus 1.2%, p&lt;0.001) and gas trapping (19.8% vs 7.5%, p&lt;0.001) than those positive by LLN only, and also smoking controls without airflow obstruction (4.1% vs 1.9% and 19.8% vs 10.9%, respectively, p&lt;0.001). On follow-up, the fixed ratio only group had more exacerbations than smoking controls. </w:t>
      </w:r>
      <w:r>
        <w:rPr>
          <w:bCs/>
        </w:rPr>
        <w:t>They concluded that, c</w:t>
      </w:r>
      <w:r w:rsidRPr="002349ED">
        <w:rPr>
          <w:bCs/>
        </w:rPr>
        <w:t>ompared with the fixed ratio, the use of LLN fails to identify a number of patients with significant pulmonary pathology and respiratory morbidity.</w:t>
      </w:r>
    </w:p>
    <w:p w:rsidR="000C0A41" w:rsidRPr="002349ED" w:rsidRDefault="000C0A41" w:rsidP="002349ED">
      <w:pPr>
        <w:rPr>
          <w:bCs/>
        </w:rPr>
      </w:pPr>
    </w:p>
    <w:p w:rsidR="000C0A41" w:rsidRPr="002349ED" w:rsidRDefault="000C0A41" w:rsidP="002349ED">
      <w:pPr>
        <w:rPr>
          <w:bCs/>
        </w:rPr>
      </w:pPr>
      <w:r w:rsidRPr="002349ED">
        <w:rPr>
          <w:bCs/>
        </w:rPr>
        <w:t>The GOLD definition has also been used in a previous analysis of the 2000 HSfE data by Shahab et al, which was used for prevalence estimates by NICE and the COPD National Strategy.</w:t>
      </w:r>
      <w:r>
        <w:rPr>
          <w:bCs/>
          <w:noProof/>
        </w:rPr>
        <w:t>[23]</w:t>
      </w:r>
      <w:r w:rsidRPr="002349ED">
        <w:rPr>
          <w:bCs/>
        </w:rPr>
        <w:t xml:space="preserve"> This found a prevalence of 13.3% in over 35s (</w:t>
      </w:r>
      <w:r w:rsidRPr="002349ED">
        <w:rPr>
          <w:bCs/>
        </w:rPr>
        <w:fldChar w:fldCharType="begin"/>
      </w:r>
      <w:r w:rsidRPr="002349ED">
        <w:rPr>
          <w:bCs/>
        </w:rPr>
        <w:instrText xml:space="preserve"> REF _Ref351203030 \h </w:instrText>
      </w:r>
      <w:r w:rsidRPr="002349ED">
        <w:rPr>
          <w:bCs/>
        </w:rPr>
      </w:r>
      <w:r w:rsidRPr="002349ED">
        <w:rPr>
          <w:bCs/>
        </w:rPr>
        <w:fldChar w:fldCharType="separate"/>
      </w:r>
      <w:r w:rsidRPr="002349ED">
        <w:t xml:space="preserve">Table </w:t>
      </w:r>
      <w:r>
        <w:rPr>
          <w:noProof/>
        </w:rPr>
        <w:t>2</w:t>
      </w:r>
      <w:r w:rsidRPr="002349ED">
        <w:fldChar w:fldCharType="end"/>
      </w:r>
      <w:r w:rsidRPr="002349ED">
        <w:rPr>
          <w:bCs/>
        </w:rPr>
        <w:t xml:space="preserve">). The Department of Health </w:t>
      </w:r>
      <w:r w:rsidRPr="002349ED">
        <w:rPr>
          <w:bCs/>
          <w:i/>
        </w:rPr>
        <w:t xml:space="preserve">Outcomes </w:t>
      </w:r>
      <w:r>
        <w:rPr>
          <w:bCs/>
          <w:i/>
        </w:rPr>
        <w:t>S</w:t>
      </w:r>
      <w:r w:rsidRPr="002349ED">
        <w:rPr>
          <w:bCs/>
          <w:i/>
        </w:rPr>
        <w:t xml:space="preserve">trategy for </w:t>
      </w:r>
      <w:r>
        <w:rPr>
          <w:bCs/>
          <w:i/>
        </w:rPr>
        <w:t>P</w:t>
      </w:r>
      <w:r w:rsidRPr="002349ED">
        <w:rPr>
          <w:bCs/>
          <w:i/>
        </w:rPr>
        <w:t xml:space="preserve">eople with COPD and </w:t>
      </w:r>
      <w:r>
        <w:rPr>
          <w:bCs/>
          <w:i/>
        </w:rPr>
        <w:t>A</w:t>
      </w:r>
      <w:r w:rsidRPr="002349ED">
        <w:rPr>
          <w:bCs/>
          <w:i/>
        </w:rPr>
        <w:t>sthma in England</w:t>
      </w:r>
      <w:r w:rsidRPr="002349ED">
        <w:rPr>
          <w:bCs/>
        </w:rPr>
        <w:t xml:space="preserve"> uses this figure to estimate are around 835,000 people currently diagnosed with COPD in the UK and an estimated 2,200,000 people with COPD who remain undiagnosed.</w:t>
      </w:r>
      <w:r>
        <w:rPr>
          <w:bCs/>
          <w:noProof/>
        </w:rPr>
        <w:t>[17]</w:t>
      </w:r>
      <w:r w:rsidRPr="002349ED">
        <w:rPr>
          <w:bCs/>
        </w:rPr>
        <w:t xml:space="preserve"> As a result, prevalence estimates from these sources are larger, given only the one spirometric criterion. That study also calculated the prevalence directly from the survey data, differently from our previous paper, where the estimates shown were obtained from the modelled/expected estimates and extrapolated for the population of England for validation purposes. As might be expected, the latter are somewhat lower.  </w:t>
      </w:r>
    </w:p>
    <w:p w:rsidR="000C0A41" w:rsidRPr="002349ED" w:rsidRDefault="000C0A41" w:rsidP="002349ED">
      <w:pPr>
        <w:pStyle w:val="Caption"/>
      </w:pPr>
      <w:bookmarkStart w:id="6" w:name="_Ref351203030"/>
      <w:bookmarkStart w:id="7" w:name="_Ref351201959"/>
      <w:r w:rsidRPr="002349ED">
        <w:t xml:space="preserve">Table </w:t>
      </w:r>
      <w:fldSimple w:instr=" SEQ Table \* ARABIC ">
        <w:r>
          <w:rPr>
            <w:noProof/>
          </w:rPr>
          <w:t>2</w:t>
        </w:r>
      </w:fldSimple>
      <w:bookmarkEnd w:id="6"/>
      <w:r w:rsidRPr="002349ED">
        <w:t>: prevalence of COPD (GOLD definition) obtained directly from HSfE 2001 by Shahab et al</w:t>
      </w:r>
      <w:r>
        <w:rPr>
          <w:noProof/>
        </w:rPr>
        <w:t>[23]</w:t>
      </w:r>
      <w:bookmarkEnd w:id="7"/>
    </w:p>
    <w:tbl>
      <w:tblPr>
        <w:tblStyle w:val="GridTable4-Accent1"/>
        <w:tblW w:w="0" w:type="auto"/>
        <w:tblLook w:val="04A0" w:firstRow="1" w:lastRow="0" w:firstColumn="1" w:lastColumn="0" w:noHBand="0" w:noVBand="1"/>
      </w:tblPr>
      <w:tblGrid>
        <w:gridCol w:w="2268"/>
        <w:gridCol w:w="1559"/>
        <w:gridCol w:w="1719"/>
        <w:gridCol w:w="1400"/>
        <w:gridCol w:w="1417"/>
      </w:tblGrid>
      <w:tr w:rsidR="000C0A41" w:rsidRPr="002349ED" w:rsidTr="00F14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C0A41" w:rsidRPr="002349ED" w:rsidRDefault="000C0A41" w:rsidP="002349ED">
            <w:pPr>
              <w:rPr>
                <w:b w:val="0"/>
                <w:bCs w:val="0"/>
              </w:rPr>
            </w:pPr>
          </w:p>
        </w:tc>
        <w:tc>
          <w:tcPr>
            <w:tcW w:w="1559" w:type="dxa"/>
          </w:tcPr>
          <w:p w:rsidR="000C0A41" w:rsidRPr="002349ED" w:rsidRDefault="000C0A41" w:rsidP="002349ED">
            <w:pPr>
              <w:cnfStyle w:val="100000000000" w:firstRow="1" w:lastRow="0" w:firstColumn="0" w:lastColumn="0" w:oddVBand="0" w:evenVBand="0" w:oddHBand="0" w:evenHBand="0" w:firstRowFirstColumn="0" w:firstRowLastColumn="0" w:lastRowFirstColumn="0" w:lastRowLastColumn="0"/>
              <w:rPr>
                <w:b w:val="0"/>
                <w:bCs w:val="0"/>
              </w:rPr>
            </w:pPr>
            <w:r w:rsidRPr="002349ED">
              <w:rPr>
                <w:b w:val="0"/>
                <w:bCs w:val="0"/>
              </w:rPr>
              <w:t>Total (n=8215)</w:t>
            </w:r>
          </w:p>
        </w:tc>
        <w:tc>
          <w:tcPr>
            <w:tcW w:w="1719" w:type="dxa"/>
          </w:tcPr>
          <w:p w:rsidR="000C0A41" w:rsidRPr="002349ED" w:rsidRDefault="000C0A41" w:rsidP="002349ED">
            <w:pPr>
              <w:cnfStyle w:val="100000000000" w:firstRow="1" w:lastRow="0" w:firstColumn="0" w:lastColumn="0" w:oddVBand="0" w:evenVBand="0" w:oddHBand="0" w:evenHBand="0" w:firstRowFirstColumn="0" w:firstRowLastColumn="0" w:lastRowFirstColumn="0" w:lastRowLastColumn="0"/>
              <w:rPr>
                <w:b w:val="0"/>
                <w:bCs w:val="0"/>
              </w:rPr>
            </w:pPr>
            <w:r w:rsidRPr="002349ED">
              <w:rPr>
                <w:b w:val="0"/>
                <w:bCs w:val="0"/>
              </w:rPr>
              <w:t>Never smokers (n=3686)</w:t>
            </w:r>
          </w:p>
        </w:tc>
        <w:tc>
          <w:tcPr>
            <w:tcW w:w="1400" w:type="dxa"/>
          </w:tcPr>
          <w:p w:rsidR="000C0A41" w:rsidRPr="002349ED" w:rsidRDefault="000C0A41" w:rsidP="002349ED">
            <w:pPr>
              <w:cnfStyle w:val="100000000000" w:firstRow="1" w:lastRow="0" w:firstColumn="0" w:lastColumn="0" w:oddVBand="0" w:evenVBand="0" w:oddHBand="0" w:evenHBand="0" w:firstRowFirstColumn="0" w:firstRowLastColumn="0" w:lastRowFirstColumn="0" w:lastRowLastColumn="0"/>
              <w:rPr>
                <w:b w:val="0"/>
                <w:bCs w:val="0"/>
              </w:rPr>
            </w:pPr>
            <w:r w:rsidRPr="002349ED">
              <w:rPr>
                <w:b w:val="0"/>
                <w:bCs w:val="0"/>
              </w:rPr>
              <w:t>Ex-smokers (n=2551)</w:t>
            </w:r>
          </w:p>
        </w:tc>
        <w:tc>
          <w:tcPr>
            <w:tcW w:w="1417" w:type="dxa"/>
          </w:tcPr>
          <w:p w:rsidR="000C0A41" w:rsidRPr="002349ED" w:rsidRDefault="000C0A41" w:rsidP="002349ED">
            <w:pPr>
              <w:cnfStyle w:val="100000000000" w:firstRow="1" w:lastRow="0" w:firstColumn="0" w:lastColumn="0" w:oddVBand="0" w:evenVBand="0" w:oddHBand="0" w:evenHBand="0" w:firstRowFirstColumn="0" w:firstRowLastColumn="0" w:lastRowFirstColumn="0" w:lastRowLastColumn="0"/>
              <w:rPr>
                <w:b w:val="0"/>
                <w:bCs w:val="0"/>
              </w:rPr>
            </w:pPr>
            <w:r w:rsidRPr="002349ED">
              <w:rPr>
                <w:b w:val="0"/>
                <w:bCs w:val="0"/>
              </w:rPr>
              <w:t>Smokers (n=1978)</w:t>
            </w:r>
          </w:p>
        </w:tc>
      </w:tr>
      <w:tr w:rsidR="000C0A41" w:rsidRPr="002349ED" w:rsidTr="00F14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C0A41" w:rsidRPr="002349ED" w:rsidRDefault="000C0A41" w:rsidP="002349ED">
            <w:pPr>
              <w:rPr>
                <w:bCs w:val="0"/>
              </w:rPr>
            </w:pPr>
            <w:r w:rsidRPr="002349ED">
              <w:rPr>
                <w:bCs w:val="0"/>
              </w:rPr>
              <w:t>Mild</w:t>
            </w:r>
          </w:p>
        </w:tc>
        <w:tc>
          <w:tcPr>
            <w:tcW w:w="1559" w:type="dxa"/>
          </w:tcPr>
          <w:p w:rsidR="000C0A41" w:rsidRPr="002349ED" w:rsidRDefault="000C0A41" w:rsidP="002349ED">
            <w:pPr>
              <w:cnfStyle w:val="000000100000" w:firstRow="0" w:lastRow="0" w:firstColumn="0" w:lastColumn="0" w:oddVBand="0" w:evenVBand="0" w:oddHBand="1" w:evenHBand="0" w:firstRowFirstColumn="0" w:firstRowLastColumn="0" w:lastRowFirstColumn="0" w:lastRowLastColumn="0"/>
              <w:rPr>
                <w:bCs/>
              </w:rPr>
            </w:pPr>
            <w:r w:rsidRPr="002349ED">
              <w:rPr>
                <w:bCs/>
              </w:rPr>
              <w:t>5.5 (455)</w:t>
            </w:r>
          </w:p>
        </w:tc>
        <w:tc>
          <w:tcPr>
            <w:tcW w:w="1719" w:type="dxa"/>
          </w:tcPr>
          <w:p w:rsidR="000C0A41" w:rsidRPr="002349ED" w:rsidRDefault="000C0A41" w:rsidP="002349ED">
            <w:pPr>
              <w:cnfStyle w:val="000000100000" w:firstRow="0" w:lastRow="0" w:firstColumn="0" w:lastColumn="0" w:oddVBand="0" w:evenVBand="0" w:oddHBand="1" w:evenHBand="0" w:firstRowFirstColumn="0" w:firstRowLastColumn="0" w:lastRowFirstColumn="0" w:lastRowLastColumn="0"/>
              <w:rPr>
                <w:bCs/>
              </w:rPr>
            </w:pPr>
            <w:r w:rsidRPr="002349ED">
              <w:rPr>
                <w:bCs/>
              </w:rPr>
              <w:t>4.9 (180)</w:t>
            </w:r>
          </w:p>
        </w:tc>
        <w:tc>
          <w:tcPr>
            <w:tcW w:w="1400" w:type="dxa"/>
          </w:tcPr>
          <w:p w:rsidR="000C0A41" w:rsidRPr="002349ED" w:rsidRDefault="000C0A41" w:rsidP="002349ED">
            <w:pPr>
              <w:cnfStyle w:val="000000100000" w:firstRow="0" w:lastRow="0" w:firstColumn="0" w:lastColumn="0" w:oddVBand="0" w:evenVBand="0" w:oddHBand="1" w:evenHBand="0" w:firstRowFirstColumn="0" w:firstRowLastColumn="0" w:lastRowFirstColumn="0" w:lastRowLastColumn="0"/>
              <w:rPr>
                <w:bCs/>
              </w:rPr>
            </w:pPr>
            <w:r w:rsidRPr="002349ED">
              <w:rPr>
                <w:bCs/>
              </w:rPr>
              <w:t>5.5 (141)</w:t>
            </w:r>
          </w:p>
        </w:tc>
        <w:tc>
          <w:tcPr>
            <w:tcW w:w="1417" w:type="dxa"/>
          </w:tcPr>
          <w:p w:rsidR="000C0A41" w:rsidRPr="002349ED" w:rsidRDefault="000C0A41" w:rsidP="002349ED">
            <w:pPr>
              <w:cnfStyle w:val="000000100000" w:firstRow="0" w:lastRow="0" w:firstColumn="0" w:lastColumn="0" w:oddVBand="0" w:evenVBand="0" w:oddHBand="1" w:evenHBand="0" w:firstRowFirstColumn="0" w:firstRowLastColumn="0" w:lastRowFirstColumn="0" w:lastRowLastColumn="0"/>
              <w:rPr>
                <w:bCs/>
              </w:rPr>
            </w:pPr>
            <w:r w:rsidRPr="002349ED">
              <w:rPr>
                <w:bCs/>
              </w:rPr>
              <w:t>6.8 (134)</w:t>
            </w:r>
          </w:p>
        </w:tc>
      </w:tr>
      <w:tr w:rsidR="000C0A41" w:rsidRPr="002349ED" w:rsidTr="00F14EB5">
        <w:tc>
          <w:tcPr>
            <w:cnfStyle w:val="001000000000" w:firstRow="0" w:lastRow="0" w:firstColumn="1" w:lastColumn="0" w:oddVBand="0" w:evenVBand="0" w:oddHBand="0" w:evenHBand="0" w:firstRowFirstColumn="0" w:firstRowLastColumn="0" w:lastRowFirstColumn="0" w:lastRowLastColumn="0"/>
            <w:tcW w:w="2268" w:type="dxa"/>
          </w:tcPr>
          <w:p w:rsidR="000C0A41" w:rsidRPr="002349ED" w:rsidRDefault="000C0A41" w:rsidP="002349ED">
            <w:pPr>
              <w:rPr>
                <w:bCs w:val="0"/>
              </w:rPr>
            </w:pPr>
            <w:r w:rsidRPr="002349ED">
              <w:rPr>
                <w:bCs w:val="0"/>
              </w:rPr>
              <w:t>Moderate</w:t>
            </w:r>
          </w:p>
        </w:tc>
        <w:tc>
          <w:tcPr>
            <w:tcW w:w="1559" w:type="dxa"/>
          </w:tcPr>
          <w:p w:rsidR="000C0A41" w:rsidRPr="002349ED" w:rsidRDefault="000C0A41" w:rsidP="002349ED">
            <w:pPr>
              <w:cnfStyle w:val="000000000000" w:firstRow="0" w:lastRow="0" w:firstColumn="0" w:lastColumn="0" w:oddVBand="0" w:evenVBand="0" w:oddHBand="0" w:evenHBand="0" w:firstRowFirstColumn="0" w:firstRowLastColumn="0" w:lastRowFirstColumn="0" w:lastRowLastColumn="0"/>
              <w:rPr>
                <w:bCs/>
              </w:rPr>
            </w:pPr>
            <w:r w:rsidRPr="002349ED">
              <w:rPr>
                <w:bCs/>
              </w:rPr>
              <w:t>5.8 (480)</w:t>
            </w:r>
          </w:p>
        </w:tc>
        <w:tc>
          <w:tcPr>
            <w:tcW w:w="1719" w:type="dxa"/>
          </w:tcPr>
          <w:p w:rsidR="000C0A41" w:rsidRPr="002349ED" w:rsidRDefault="000C0A41" w:rsidP="002349ED">
            <w:pPr>
              <w:cnfStyle w:val="000000000000" w:firstRow="0" w:lastRow="0" w:firstColumn="0" w:lastColumn="0" w:oddVBand="0" w:evenVBand="0" w:oddHBand="0" w:evenHBand="0" w:firstRowFirstColumn="0" w:firstRowLastColumn="0" w:lastRowFirstColumn="0" w:lastRowLastColumn="0"/>
              <w:rPr>
                <w:bCs/>
              </w:rPr>
            </w:pPr>
            <w:r w:rsidRPr="002349ED">
              <w:rPr>
                <w:bCs/>
              </w:rPr>
              <w:t>3.1 (116)</w:t>
            </w:r>
          </w:p>
        </w:tc>
        <w:tc>
          <w:tcPr>
            <w:tcW w:w="1400" w:type="dxa"/>
          </w:tcPr>
          <w:p w:rsidR="000C0A41" w:rsidRPr="002349ED" w:rsidRDefault="000C0A41" w:rsidP="002349ED">
            <w:pPr>
              <w:cnfStyle w:val="000000000000" w:firstRow="0" w:lastRow="0" w:firstColumn="0" w:lastColumn="0" w:oddVBand="0" w:evenVBand="0" w:oddHBand="0" w:evenHBand="0" w:firstRowFirstColumn="0" w:firstRowLastColumn="0" w:lastRowFirstColumn="0" w:lastRowLastColumn="0"/>
              <w:rPr>
                <w:bCs/>
              </w:rPr>
            </w:pPr>
            <w:r w:rsidRPr="002349ED">
              <w:rPr>
                <w:bCs/>
              </w:rPr>
              <w:t>7.1 (180)</w:t>
            </w:r>
          </w:p>
        </w:tc>
        <w:tc>
          <w:tcPr>
            <w:tcW w:w="1417" w:type="dxa"/>
          </w:tcPr>
          <w:p w:rsidR="000C0A41" w:rsidRPr="002349ED" w:rsidRDefault="000C0A41" w:rsidP="002349ED">
            <w:pPr>
              <w:cnfStyle w:val="000000000000" w:firstRow="0" w:lastRow="0" w:firstColumn="0" w:lastColumn="0" w:oddVBand="0" w:evenVBand="0" w:oddHBand="0" w:evenHBand="0" w:firstRowFirstColumn="0" w:firstRowLastColumn="0" w:lastRowFirstColumn="0" w:lastRowLastColumn="0"/>
              <w:rPr>
                <w:bCs/>
              </w:rPr>
            </w:pPr>
            <w:r w:rsidRPr="002349ED">
              <w:rPr>
                <w:bCs/>
              </w:rPr>
              <w:t>9.3 (184)</w:t>
            </w:r>
          </w:p>
        </w:tc>
      </w:tr>
      <w:tr w:rsidR="000C0A41" w:rsidRPr="002349ED" w:rsidTr="00F14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C0A41" w:rsidRPr="002349ED" w:rsidRDefault="000C0A41" w:rsidP="002349ED">
            <w:pPr>
              <w:rPr>
                <w:bCs w:val="0"/>
              </w:rPr>
            </w:pPr>
            <w:r w:rsidRPr="002349ED">
              <w:rPr>
                <w:bCs w:val="0"/>
              </w:rPr>
              <w:t>Severe/very severe</w:t>
            </w:r>
          </w:p>
        </w:tc>
        <w:tc>
          <w:tcPr>
            <w:tcW w:w="1559" w:type="dxa"/>
          </w:tcPr>
          <w:p w:rsidR="000C0A41" w:rsidRPr="002349ED" w:rsidRDefault="000C0A41" w:rsidP="002349ED">
            <w:pPr>
              <w:cnfStyle w:val="000000100000" w:firstRow="0" w:lastRow="0" w:firstColumn="0" w:lastColumn="0" w:oddVBand="0" w:evenVBand="0" w:oddHBand="1" w:evenHBand="0" w:firstRowFirstColumn="0" w:firstRowLastColumn="0" w:lastRowFirstColumn="0" w:lastRowLastColumn="0"/>
              <w:rPr>
                <w:bCs/>
              </w:rPr>
            </w:pPr>
            <w:r w:rsidRPr="002349ED">
              <w:rPr>
                <w:bCs/>
              </w:rPr>
              <w:t>1.9 (158)</w:t>
            </w:r>
          </w:p>
        </w:tc>
        <w:tc>
          <w:tcPr>
            <w:tcW w:w="1719" w:type="dxa"/>
          </w:tcPr>
          <w:p w:rsidR="000C0A41" w:rsidRPr="002349ED" w:rsidRDefault="000C0A41" w:rsidP="002349ED">
            <w:pPr>
              <w:cnfStyle w:val="000000100000" w:firstRow="0" w:lastRow="0" w:firstColumn="0" w:lastColumn="0" w:oddVBand="0" w:evenVBand="0" w:oddHBand="1" w:evenHBand="0" w:firstRowFirstColumn="0" w:firstRowLastColumn="0" w:lastRowFirstColumn="0" w:lastRowLastColumn="0"/>
              <w:rPr>
                <w:bCs/>
              </w:rPr>
            </w:pPr>
            <w:r w:rsidRPr="002349ED">
              <w:rPr>
                <w:bCs/>
              </w:rPr>
              <w:t>0.7 (26)</w:t>
            </w:r>
          </w:p>
        </w:tc>
        <w:tc>
          <w:tcPr>
            <w:tcW w:w="1400" w:type="dxa"/>
          </w:tcPr>
          <w:p w:rsidR="000C0A41" w:rsidRPr="002349ED" w:rsidRDefault="000C0A41" w:rsidP="002349ED">
            <w:pPr>
              <w:cnfStyle w:val="000000100000" w:firstRow="0" w:lastRow="0" w:firstColumn="0" w:lastColumn="0" w:oddVBand="0" w:evenVBand="0" w:oddHBand="1" w:evenHBand="0" w:firstRowFirstColumn="0" w:firstRowLastColumn="0" w:lastRowFirstColumn="0" w:lastRowLastColumn="0"/>
              <w:rPr>
                <w:bCs/>
              </w:rPr>
            </w:pPr>
            <w:r w:rsidRPr="002349ED">
              <w:rPr>
                <w:bCs/>
              </w:rPr>
              <w:t>2.7 (68)</w:t>
            </w:r>
          </w:p>
        </w:tc>
        <w:tc>
          <w:tcPr>
            <w:tcW w:w="1417" w:type="dxa"/>
          </w:tcPr>
          <w:p w:rsidR="000C0A41" w:rsidRPr="002349ED" w:rsidRDefault="000C0A41" w:rsidP="002349ED">
            <w:pPr>
              <w:cnfStyle w:val="000000100000" w:firstRow="0" w:lastRow="0" w:firstColumn="0" w:lastColumn="0" w:oddVBand="0" w:evenVBand="0" w:oddHBand="1" w:evenHBand="0" w:firstRowFirstColumn="0" w:firstRowLastColumn="0" w:lastRowFirstColumn="0" w:lastRowLastColumn="0"/>
              <w:rPr>
                <w:bCs/>
              </w:rPr>
            </w:pPr>
            <w:r w:rsidRPr="002349ED">
              <w:rPr>
                <w:bCs/>
              </w:rPr>
              <w:t>3.2 (64)</w:t>
            </w:r>
          </w:p>
        </w:tc>
      </w:tr>
      <w:tr w:rsidR="000C0A41" w:rsidRPr="002349ED" w:rsidTr="00F14EB5">
        <w:tc>
          <w:tcPr>
            <w:cnfStyle w:val="001000000000" w:firstRow="0" w:lastRow="0" w:firstColumn="1" w:lastColumn="0" w:oddVBand="0" w:evenVBand="0" w:oddHBand="0" w:evenHBand="0" w:firstRowFirstColumn="0" w:firstRowLastColumn="0" w:lastRowFirstColumn="0" w:lastRowLastColumn="0"/>
            <w:tcW w:w="2268" w:type="dxa"/>
          </w:tcPr>
          <w:p w:rsidR="000C0A41" w:rsidRPr="002349ED" w:rsidRDefault="000C0A41" w:rsidP="002349ED">
            <w:pPr>
              <w:rPr>
                <w:bCs w:val="0"/>
              </w:rPr>
            </w:pPr>
            <w:r w:rsidRPr="002349ED">
              <w:rPr>
                <w:bCs w:val="0"/>
              </w:rPr>
              <w:t>Overall</w:t>
            </w:r>
          </w:p>
        </w:tc>
        <w:tc>
          <w:tcPr>
            <w:tcW w:w="1559" w:type="dxa"/>
          </w:tcPr>
          <w:p w:rsidR="000C0A41" w:rsidRPr="002349ED" w:rsidRDefault="000C0A41" w:rsidP="002349ED">
            <w:pPr>
              <w:cnfStyle w:val="000000000000" w:firstRow="0" w:lastRow="0" w:firstColumn="0" w:lastColumn="0" w:oddVBand="0" w:evenVBand="0" w:oddHBand="0" w:evenHBand="0" w:firstRowFirstColumn="0" w:firstRowLastColumn="0" w:lastRowFirstColumn="0" w:lastRowLastColumn="0"/>
              <w:rPr>
                <w:bCs/>
              </w:rPr>
            </w:pPr>
            <w:r w:rsidRPr="002349ED">
              <w:rPr>
                <w:bCs/>
              </w:rPr>
              <w:t>13.3 (1093)</w:t>
            </w:r>
          </w:p>
        </w:tc>
        <w:tc>
          <w:tcPr>
            <w:tcW w:w="1719" w:type="dxa"/>
          </w:tcPr>
          <w:p w:rsidR="000C0A41" w:rsidRPr="002349ED" w:rsidRDefault="000C0A41" w:rsidP="002349ED">
            <w:pPr>
              <w:cnfStyle w:val="000000000000" w:firstRow="0" w:lastRow="0" w:firstColumn="0" w:lastColumn="0" w:oddVBand="0" w:evenVBand="0" w:oddHBand="0" w:evenHBand="0" w:firstRowFirstColumn="0" w:firstRowLastColumn="0" w:lastRowFirstColumn="0" w:lastRowLastColumn="0"/>
              <w:rPr>
                <w:bCs/>
              </w:rPr>
            </w:pPr>
            <w:r w:rsidRPr="002349ED">
              <w:rPr>
                <w:bCs/>
              </w:rPr>
              <w:t>8.7 (322)</w:t>
            </w:r>
          </w:p>
        </w:tc>
        <w:tc>
          <w:tcPr>
            <w:tcW w:w="1400" w:type="dxa"/>
          </w:tcPr>
          <w:p w:rsidR="000C0A41" w:rsidRPr="002349ED" w:rsidRDefault="000C0A41" w:rsidP="002349ED">
            <w:pPr>
              <w:cnfStyle w:val="000000000000" w:firstRow="0" w:lastRow="0" w:firstColumn="0" w:lastColumn="0" w:oddVBand="0" w:evenVBand="0" w:oddHBand="0" w:evenHBand="0" w:firstRowFirstColumn="0" w:firstRowLastColumn="0" w:lastRowFirstColumn="0" w:lastRowLastColumn="0"/>
              <w:rPr>
                <w:bCs/>
              </w:rPr>
            </w:pPr>
            <w:r w:rsidRPr="002349ED">
              <w:rPr>
                <w:bCs/>
              </w:rPr>
              <w:t>15.2 (389)</w:t>
            </w:r>
          </w:p>
        </w:tc>
        <w:tc>
          <w:tcPr>
            <w:tcW w:w="1417" w:type="dxa"/>
          </w:tcPr>
          <w:p w:rsidR="000C0A41" w:rsidRPr="002349ED" w:rsidRDefault="000C0A41" w:rsidP="002349ED">
            <w:pPr>
              <w:cnfStyle w:val="000000000000" w:firstRow="0" w:lastRow="0" w:firstColumn="0" w:lastColumn="0" w:oddVBand="0" w:evenVBand="0" w:oddHBand="0" w:evenHBand="0" w:firstRowFirstColumn="0" w:firstRowLastColumn="0" w:lastRowFirstColumn="0" w:lastRowLastColumn="0"/>
              <w:rPr>
                <w:bCs/>
              </w:rPr>
            </w:pPr>
            <w:r w:rsidRPr="002349ED">
              <w:rPr>
                <w:bCs/>
              </w:rPr>
              <w:t>19.3 (382)</w:t>
            </w:r>
          </w:p>
        </w:tc>
      </w:tr>
    </w:tbl>
    <w:p w:rsidR="000C0A41" w:rsidRPr="002349ED" w:rsidRDefault="000C0A41" w:rsidP="002349ED">
      <w:pPr>
        <w:rPr>
          <w:bCs/>
        </w:rPr>
      </w:pPr>
    </w:p>
    <w:p w:rsidR="000C0A41" w:rsidRPr="002349ED" w:rsidRDefault="000C0A41" w:rsidP="002349ED">
      <w:pPr>
        <w:rPr>
          <w:bCs/>
        </w:rPr>
      </w:pPr>
      <w:r w:rsidRPr="002349ED">
        <w:rPr>
          <w:bCs/>
        </w:rPr>
        <w:t>Using the BTS definition the Nacul et al methodology paper</w:t>
      </w:r>
      <w:r>
        <w:rPr>
          <w:bCs/>
          <w:noProof/>
        </w:rPr>
        <w:t>[2]</w:t>
      </w:r>
      <w:r w:rsidRPr="002349ED">
        <w:rPr>
          <w:bCs/>
        </w:rPr>
        <w:t xml:space="preserve"> on the previous COPD model gave the overall expected prevalence in the English population over 15 years of age of 3.1% (3.9% in men and 2.4% in women) (</w:t>
      </w:r>
      <w:r w:rsidRPr="002349ED">
        <w:rPr>
          <w:bCs/>
        </w:rPr>
        <w:fldChar w:fldCharType="begin"/>
      </w:r>
      <w:r w:rsidRPr="002349ED">
        <w:rPr>
          <w:bCs/>
        </w:rPr>
        <w:instrText xml:space="preserve"> REF _Ref350505236 \h  \* MERGEFORMAT </w:instrText>
      </w:r>
      <w:r w:rsidRPr="002349ED">
        <w:rPr>
          <w:bCs/>
        </w:rPr>
      </w:r>
      <w:r w:rsidRPr="002349ED">
        <w:rPr>
          <w:bCs/>
        </w:rPr>
        <w:fldChar w:fldCharType="separate"/>
      </w:r>
      <w:r w:rsidRPr="002349ED">
        <w:t xml:space="preserve">Table </w:t>
      </w:r>
      <w:r>
        <w:t>3</w:t>
      </w:r>
      <w:r w:rsidRPr="002349ED">
        <w:fldChar w:fldCharType="end"/>
      </w:r>
      <w:r w:rsidRPr="002349ED">
        <w:rPr>
          <w:bCs/>
        </w:rPr>
        <w:t>). For those over 45 years old, the estimated prevalence was 5.3% (6.8% and 3.9% in men and women respectively). This corresponds to over 1.3 million people in England with COPD, of whom nearly 800 thousand or 60% are men.</w:t>
      </w:r>
    </w:p>
    <w:p w:rsidR="000C0A41" w:rsidRPr="002349ED" w:rsidRDefault="000C0A41" w:rsidP="002349ED">
      <w:pPr>
        <w:pStyle w:val="Caption"/>
      </w:pPr>
      <w:bookmarkStart w:id="8" w:name="_Ref350505236"/>
      <w:r w:rsidRPr="002349ED">
        <w:t xml:space="preserve">Table </w:t>
      </w:r>
      <w:fldSimple w:instr=" SEQ Table \* ARABIC ">
        <w:r>
          <w:rPr>
            <w:noProof/>
          </w:rPr>
          <w:t>3</w:t>
        </w:r>
      </w:fldSimple>
      <w:bookmarkEnd w:id="8"/>
      <w:r w:rsidRPr="002349ED">
        <w:t>: number and proportion of people estimated to have COPD by age group and gender in England from 2007 COPD model (estimates for 2005)</w:t>
      </w:r>
      <w:r w:rsidRPr="002349ED">
        <w:rPr>
          <w:vertAlign w:val="superscript"/>
        </w:rPr>
        <w:footnoteReference w:id="1"/>
      </w:r>
      <w:r>
        <w:rPr>
          <w:noProof/>
        </w:rPr>
        <w:t>[2]</w:t>
      </w:r>
    </w:p>
    <w:tbl>
      <w:tblPr>
        <w:tblStyle w:val="GridTable4-Accent1"/>
        <w:tblW w:w="0" w:type="auto"/>
        <w:tblLook w:val="04A0" w:firstRow="1" w:lastRow="0" w:firstColumn="1" w:lastColumn="0" w:noHBand="0" w:noVBand="1"/>
      </w:tblPr>
      <w:tblGrid>
        <w:gridCol w:w="1820"/>
        <w:gridCol w:w="1864"/>
        <w:gridCol w:w="2054"/>
        <w:gridCol w:w="2303"/>
      </w:tblGrid>
      <w:tr w:rsidR="000C0A41" w:rsidRPr="002349ED" w:rsidTr="00F14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C0A41" w:rsidRPr="002349ED" w:rsidRDefault="000C0A41" w:rsidP="002349ED">
            <w:pPr>
              <w:rPr>
                <w:bCs w:val="0"/>
              </w:rPr>
            </w:pPr>
            <w:r w:rsidRPr="002349ED">
              <w:rPr>
                <w:b w:val="0"/>
                <w:bCs w:val="0"/>
              </w:rPr>
              <w:lastRenderedPageBreak/>
              <w:t>Age-group (Years)</w:t>
            </w:r>
          </w:p>
        </w:tc>
        <w:tc>
          <w:tcPr>
            <w:tcW w:w="0" w:type="auto"/>
            <w:hideMark/>
          </w:tcPr>
          <w:p w:rsidR="000C0A41" w:rsidRPr="002349ED" w:rsidRDefault="000C0A41" w:rsidP="002349ED">
            <w:pPr>
              <w:cnfStyle w:val="100000000000" w:firstRow="1" w:lastRow="0" w:firstColumn="0" w:lastColumn="0" w:oddVBand="0" w:evenVBand="0" w:oddHBand="0" w:evenHBand="0" w:firstRowFirstColumn="0" w:firstRowLastColumn="0" w:lastRowFirstColumn="0" w:lastRowLastColumn="0"/>
              <w:rPr>
                <w:bCs w:val="0"/>
              </w:rPr>
            </w:pPr>
            <w:r w:rsidRPr="002349ED">
              <w:rPr>
                <w:b w:val="0"/>
                <w:bCs w:val="0"/>
              </w:rPr>
              <w:t>Men Number (%)*</w:t>
            </w:r>
          </w:p>
        </w:tc>
        <w:tc>
          <w:tcPr>
            <w:tcW w:w="0" w:type="auto"/>
            <w:hideMark/>
          </w:tcPr>
          <w:p w:rsidR="000C0A41" w:rsidRPr="002349ED" w:rsidRDefault="000C0A41" w:rsidP="002349ED">
            <w:pPr>
              <w:cnfStyle w:val="100000000000" w:firstRow="1" w:lastRow="0" w:firstColumn="0" w:lastColumn="0" w:oddVBand="0" w:evenVBand="0" w:oddHBand="0" w:evenHBand="0" w:firstRowFirstColumn="0" w:firstRowLastColumn="0" w:lastRowFirstColumn="0" w:lastRowLastColumn="0"/>
              <w:rPr>
                <w:bCs w:val="0"/>
              </w:rPr>
            </w:pPr>
            <w:r w:rsidRPr="002349ED">
              <w:rPr>
                <w:b w:val="0"/>
                <w:bCs w:val="0"/>
              </w:rPr>
              <w:t>Women Number (%)</w:t>
            </w:r>
          </w:p>
        </w:tc>
        <w:tc>
          <w:tcPr>
            <w:tcW w:w="0" w:type="auto"/>
            <w:hideMark/>
          </w:tcPr>
          <w:p w:rsidR="000C0A41" w:rsidRPr="002349ED" w:rsidRDefault="000C0A41" w:rsidP="002349ED">
            <w:pPr>
              <w:cnfStyle w:val="100000000000" w:firstRow="1" w:lastRow="0" w:firstColumn="0" w:lastColumn="0" w:oddVBand="0" w:evenVBand="0" w:oddHBand="0" w:evenHBand="0" w:firstRowFirstColumn="0" w:firstRowLastColumn="0" w:lastRowFirstColumn="0" w:lastRowLastColumn="0"/>
              <w:rPr>
                <w:bCs w:val="0"/>
              </w:rPr>
            </w:pPr>
            <w:r w:rsidRPr="002349ED">
              <w:rPr>
                <w:b w:val="0"/>
                <w:bCs w:val="0"/>
              </w:rPr>
              <w:t>Both sexes Number (%)</w:t>
            </w:r>
          </w:p>
        </w:tc>
      </w:tr>
      <w:tr w:rsidR="000C0A41" w:rsidRPr="002349ED" w:rsidTr="00F14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C0A41" w:rsidRPr="002349ED" w:rsidRDefault="000C0A41" w:rsidP="002349ED">
            <w:pPr>
              <w:rPr>
                <w:bCs w:val="0"/>
              </w:rPr>
            </w:pPr>
            <w:r w:rsidRPr="002349ED">
              <w:rPr>
                <w:bCs w:val="0"/>
              </w:rPr>
              <w:t>15–44</w:t>
            </w:r>
          </w:p>
        </w:tc>
        <w:tc>
          <w:tcPr>
            <w:tcW w:w="0" w:type="auto"/>
            <w:hideMark/>
          </w:tcPr>
          <w:p w:rsidR="000C0A41" w:rsidRPr="002349ED" w:rsidRDefault="000C0A41" w:rsidP="002349ED">
            <w:pPr>
              <w:cnfStyle w:val="000000100000" w:firstRow="0" w:lastRow="0" w:firstColumn="0" w:lastColumn="0" w:oddVBand="0" w:evenVBand="0" w:oddHBand="1" w:evenHBand="0" w:firstRowFirstColumn="0" w:firstRowLastColumn="0" w:lastRowFirstColumn="0" w:lastRowLastColumn="0"/>
              <w:rPr>
                <w:bCs/>
              </w:rPr>
            </w:pPr>
            <w:r w:rsidRPr="002349ED">
              <w:rPr>
                <w:bCs/>
              </w:rPr>
              <w:t>137,530 (1.30)</w:t>
            </w:r>
          </w:p>
        </w:tc>
        <w:tc>
          <w:tcPr>
            <w:tcW w:w="0" w:type="auto"/>
            <w:hideMark/>
          </w:tcPr>
          <w:p w:rsidR="000C0A41" w:rsidRPr="002349ED" w:rsidRDefault="000C0A41" w:rsidP="002349ED">
            <w:pPr>
              <w:cnfStyle w:val="000000100000" w:firstRow="0" w:lastRow="0" w:firstColumn="0" w:lastColumn="0" w:oddVBand="0" w:evenVBand="0" w:oddHBand="1" w:evenHBand="0" w:firstRowFirstColumn="0" w:firstRowLastColumn="0" w:lastRowFirstColumn="0" w:lastRowLastColumn="0"/>
              <w:rPr>
                <w:bCs/>
              </w:rPr>
            </w:pPr>
            <w:r w:rsidRPr="002349ED">
              <w:rPr>
                <w:bCs/>
              </w:rPr>
              <w:t>93,450 (0.89)</w:t>
            </w:r>
          </w:p>
        </w:tc>
        <w:tc>
          <w:tcPr>
            <w:tcW w:w="0" w:type="auto"/>
            <w:hideMark/>
          </w:tcPr>
          <w:p w:rsidR="000C0A41" w:rsidRPr="002349ED" w:rsidRDefault="000C0A41" w:rsidP="002349ED">
            <w:pPr>
              <w:cnfStyle w:val="000000100000" w:firstRow="0" w:lastRow="0" w:firstColumn="0" w:lastColumn="0" w:oddVBand="0" w:evenVBand="0" w:oddHBand="1" w:evenHBand="0" w:firstRowFirstColumn="0" w:firstRowLastColumn="0" w:lastRowFirstColumn="0" w:lastRowLastColumn="0"/>
              <w:rPr>
                <w:bCs/>
              </w:rPr>
            </w:pPr>
            <w:r w:rsidRPr="002349ED">
              <w:rPr>
                <w:bCs/>
              </w:rPr>
              <w:t>230,980 (1.10)</w:t>
            </w:r>
          </w:p>
        </w:tc>
      </w:tr>
      <w:tr w:rsidR="000C0A41" w:rsidRPr="002349ED" w:rsidTr="00F14EB5">
        <w:tc>
          <w:tcPr>
            <w:cnfStyle w:val="001000000000" w:firstRow="0" w:lastRow="0" w:firstColumn="1" w:lastColumn="0" w:oddVBand="0" w:evenVBand="0" w:oddHBand="0" w:evenHBand="0" w:firstRowFirstColumn="0" w:firstRowLastColumn="0" w:lastRowFirstColumn="0" w:lastRowLastColumn="0"/>
            <w:tcW w:w="0" w:type="auto"/>
            <w:hideMark/>
          </w:tcPr>
          <w:p w:rsidR="000C0A41" w:rsidRPr="002349ED" w:rsidRDefault="000C0A41" w:rsidP="002349ED">
            <w:pPr>
              <w:rPr>
                <w:bCs w:val="0"/>
              </w:rPr>
            </w:pPr>
            <w:r w:rsidRPr="002349ED">
              <w:rPr>
                <w:bCs w:val="0"/>
              </w:rPr>
              <w:t>45–54</w:t>
            </w:r>
          </w:p>
        </w:tc>
        <w:tc>
          <w:tcPr>
            <w:tcW w:w="0" w:type="auto"/>
            <w:hideMark/>
          </w:tcPr>
          <w:p w:rsidR="000C0A41" w:rsidRPr="002349ED" w:rsidRDefault="000C0A41" w:rsidP="002349ED">
            <w:pPr>
              <w:cnfStyle w:val="000000000000" w:firstRow="0" w:lastRow="0" w:firstColumn="0" w:lastColumn="0" w:oddVBand="0" w:evenVBand="0" w:oddHBand="0" w:evenHBand="0" w:firstRowFirstColumn="0" w:firstRowLastColumn="0" w:lastRowFirstColumn="0" w:lastRowLastColumn="0"/>
              <w:rPr>
                <w:bCs/>
              </w:rPr>
            </w:pPr>
            <w:r w:rsidRPr="002349ED">
              <w:rPr>
                <w:bCs/>
              </w:rPr>
              <w:t>75,720 (2.38)</w:t>
            </w:r>
          </w:p>
        </w:tc>
        <w:tc>
          <w:tcPr>
            <w:tcW w:w="0" w:type="auto"/>
            <w:hideMark/>
          </w:tcPr>
          <w:p w:rsidR="000C0A41" w:rsidRPr="002349ED" w:rsidRDefault="000C0A41" w:rsidP="002349ED">
            <w:pPr>
              <w:cnfStyle w:val="000000000000" w:firstRow="0" w:lastRow="0" w:firstColumn="0" w:lastColumn="0" w:oddVBand="0" w:evenVBand="0" w:oddHBand="0" w:evenHBand="0" w:firstRowFirstColumn="0" w:firstRowLastColumn="0" w:lastRowFirstColumn="0" w:lastRowLastColumn="0"/>
              <w:rPr>
                <w:bCs/>
              </w:rPr>
            </w:pPr>
            <w:r w:rsidRPr="002349ED">
              <w:rPr>
                <w:bCs/>
              </w:rPr>
              <w:t>64,840 (2.00)</w:t>
            </w:r>
          </w:p>
        </w:tc>
        <w:tc>
          <w:tcPr>
            <w:tcW w:w="0" w:type="auto"/>
            <w:hideMark/>
          </w:tcPr>
          <w:p w:rsidR="000C0A41" w:rsidRPr="002349ED" w:rsidRDefault="000C0A41" w:rsidP="002349ED">
            <w:pPr>
              <w:cnfStyle w:val="000000000000" w:firstRow="0" w:lastRow="0" w:firstColumn="0" w:lastColumn="0" w:oddVBand="0" w:evenVBand="0" w:oddHBand="0" w:evenHBand="0" w:firstRowFirstColumn="0" w:firstRowLastColumn="0" w:lastRowFirstColumn="0" w:lastRowLastColumn="0"/>
              <w:rPr>
                <w:bCs/>
              </w:rPr>
            </w:pPr>
            <w:r w:rsidRPr="002349ED">
              <w:rPr>
                <w:bCs/>
              </w:rPr>
              <w:t>140,560(2.19)</w:t>
            </w:r>
          </w:p>
        </w:tc>
      </w:tr>
      <w:tr w:rsidR="000C0A41" w:rsidRPr="002349ED" w:rsidTr="00F14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C0A41" w:rsidRPr="002349ED" w:rsidRDefault="000C0A41" w:rsidP="002349ED">
            <w:pPr>
              <w:rPr>
                <w:bCs w:val="0"/>
              </w:rPr>
            </w:pPr>
            <w:r w:rsidRPr="002349ED">
              <w:rPr>
                <w:bCs w:val="0"/>
              </w:rPr>
              <w:t>55–64</w:t>
            </w:r>
          </w:p>
        </w:tc>
        <w:tc>
          <w:tcPr>
            <w:tcW w:w="0" w:type="auto"/>
            <w:hideMark/>
          </w:tcPr>
          <w:p w:rsidR="000C0A41" w:rsidRPr="002349ED" w:rsidRDefault="000C0A41" w:rsidP="002349ED">
            <w:pPr>
              <w:cnfStyle w:val="000000100000" w:firstRow="0" w:lastRow="0" w:firstColumn="0" w:lastColumn="0" w:oddVBand="0" w:evenVBand="0" w:oddHBand="1" w:evenHBand="0" w:firstRowFirstColumn="0" w:firstRowLastColumn="0" w:lastRowFirstColumn="0" w:lastRowLastColumn="0"/>
              <w:rPr>
                <w:bCs/>
              </w:rPr>
            </w:pPr>
            <w:r w:rsidRPr="002349ED">
              <w:rPr>
                <w:bCs/>
              </w:rPr>
              <w:t>198,400(6.90)</w:t>
            </w:r>
          </w:p>
        </w:tc>
        <w:tc>
          <w:tcPr>
            <w:tcW w:w="0" w:type="auto"/>
            <w:hideMark/>
          </w:tcPr>
          <w:p w:rsidR="000C0A41" w:rsidRPr="002349ED" w:rsidRDefault="000C0A41" w:rsidP="002349ED">
            <w:pPr>
              <w:cnfStyle w:val="000000100000" w:firstRow="0" w:lastRow="0" w:firstColumn="0" w:lastColumn="0" w:oddVBand="0" w:evenVBand="0" w:oddHBand="1" w:evenHBand="0" w:firstRowFirstColumn="0" w:firstRowLastColumn="0" w:lastRowFirstColumn="0" w:lastRowLastColumn="0"/>
              <w:rPr>
                <w:bCs/>
              </w:rPr>
            </w:pPr>
            <w:r w:rsidRPr="002349ED">
              <w:rPr>
                <w:bCs/>
              </w:rPr>
              <w:t>122,440 (4.11)</w:t>
            </w:r>
          </w:p>
        </w:tc>
        <w:tc>
          <w:tcPr>
            <w:tcW w:w="0" w:type="auto"/>
            <w:hideMark/>
          </w:tcPr>
          <w:p w:rsidR="000C0A41" w:rsidRPr="002349ED" w:rsidRDefault="000C0A41" w:rsidP="002349ED">
            <w:pPr>
              <w:cnfStyle w:val="000000100000" w:firstRow="0" w:lastRow="0" w:firstColumn="0" w:lastColumn="0" w:oddVBand="0" w:evenVBand="0" w:oddHBand="1" w:evenHBand="0" w:firstRowFirstColumn="0" w:firstRowLastColumn="0" w:lastRowFirstColumn="0" w:lastRowLastColumn="0"/>
              <w:rPr>
                <w:bCs/>
              </w:rPr>
            </w:pPr>
            <w:r w:rsidRPr="002349ED">
              <w:rPr>
                <w:bCs/>
              </w:rPr>
              <w:t>320,840 (5.48)</w:t>
            </w:r>
          </w:p>
        </w:tc>
      </w:tr>
      <w:tr w:rsidR="000C0A41" w:rsidRPr="002349ED" w:rsidTr="00F14EB5">
        <w:tc>
          <w:tcPr>
            <w:cnfStyle w:val="001000000000" w:firstRow="0" w:lastRow="0" w:firstColumn="1" w:lastColumn="0" w:oddVBand="0" w:evenVBand="0" w:oddHBand="0" w:evenHBand="0" w:firstRowFirstColumn="0" w:firstRowLastColumn="0" w:lastRowFirstColumn="0" w:lastRowLastColumn="0"/>
            <w:tcW w:w="0" w:type="auto"/>
            <w:hideMark/>
          </w:tcPr>
          <w:p w:rsidR="000C0A41" w:rsidRPr="002349ED" w:rsidRDefault="000C0A41" w:rsidP="002349ED">
            <w:pPr>
              <w:rPr>
                <w:bCs w:val="0"/>
              </w:rPr>
            </w:pPr>
            <w:r w:rsidRPr="002349ED">
              <w:rPr>
                <w:bCs w:val="0"/>
              </w:rPr>
              <w:t>65–74</w:t>
            </w:r>
          </w:p>
        </w:tc>
        <w:tc>
          <w:tcPr>
            <w:tcW w:w="0" w:type="auto"/>
            <w:hideMark/>
          </w:tcPr>
          <w:p w:rsidR="000C0A41" w:rsidRPr="002349ED" w:rsidRDefault="000C0A41" w:rsidP="002349ED">
            <w:pPr>
              <w:cnfStyle w:val="000000000000" w:firstRow="0" w:lastRow="0" w:firstColumn="0" w:lastColumn="0" w:oddVBand="0" w:evenVBand="0" w:oddHBand="0" w:evenHBand="0" w:firstRowFirstColumn="0" w:firstRowLastColumn="0" w:lastRowFirstColumn="0" w:lastRowLastColumn="0"/>
              <w:rPr>
                <w:bCs/>
              </w:rPr>
            </w:pPr>
            <w:r w:rsidRPr="002349ED">
              <w:rPr>
                <w:bCs/>
              </w:rPr>
              <w:t>199,840(10.03)</w:t>
            </w:r>
          </w:p>
        </w:tc>
        <w:tc>
          <w:tcPr>
            <w:tcW w:w="0" w:type="auto"/>
            <w:hideMark/>
          </w:tcPr>
          <w:p w:rsidR="000C0A41" w:rsidRPr="002349ED" w:rsidRDefault="000C0A41" w:rsidP="002349ED">
            <w:pPr>
              <w:cnfStyle w:val="000000000000" w:firstRow="0" w:lastRow="0" w:firstColumn="0" w:lastColumn="0" w:oddVBand="0" w:evenVBand="0" w:oddHBand="0" w:evenHBand="0" w:firstRowFirstColumn="0" w:firstRowLastColumn="0" w:lastRowFirstColumn="0" w:lastRowLastColumn="0"/>
              <w:rPr>
                <w:bCs/>
              </w:rPr>
            </w:pPr>
            <w:r w:rsidRPr="002349ED">
              <w:rPr>
                <w:bCs/>
              </w:rPr>
              <w:t>105,740 (4.81)</w:t>
            </w:r>
          </w:p>
        </w:tc>
        <w:tc>
          <w:tcPr>
            <w:tcW w:w="0" w:type="auto"/>
            <w:hideMark/>
          </w:tcPr>
          <w:p w:rsidR="000C0A41" w:rsidRPr="002349ED" w:rsidRDefault="000C0A41" w:rsidP="002349ED">
            <w:pPr>
              <w:cnfStyle w:val="000000000000" w:firstRow="0" w:lastRow="0" w:firstColumn="0" w:lastColumn="0" w:oddVBand="0" w:evenVBand="0" w:oddHBand="0" w:evenHBand="0" w:firstRowFirstColumn="0" w:firstRowLastColumn="0" w:lastRowFirstColumn="0" w:lastRowLastColumn="0"/>
              <w:rPr>
                <w:bCs/>
              </w:rPr>
            </w:pPr>
            <w:r w:rsidRPr="002349ED">
              <w:rPr>
                <w:bCs/>
              </w:rPr>
              <w:t>305,580 (7.29)</w:t>
            </w:r>
          </w:p>
        </w:tc>
      </w:tr>
      <w:tr w:rsidR="000C0A41" w:rsidRPr="002349ED" w:rsidTr="00F14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C0A41" w:rsidRPr="002349ED" w:rsidRDefault="000C0A41" w:rsidP="002349ED">
            <w:pPr>
              <w:rPr>
                <w:bCs w:val="0"/>
              </w:rPr>
            </w:pPr>
            <w:r w:rsidRPr="002349ED">
              <w:rPr>
                <w:bCs w:val="0"/>
              </w:rPr>
              <w:t>75+</w:t>
            </w:r>
          </w:p>
        </w:tc>
        <w:tc>
          <w:tcPr>
            <w:tcW w:w="0" w:type="auto"/>
            <w:hideMark/>
          </w:tcPr>
          <w:p w:rsidR="000C0A41" w:rsidRPr="002349ED" w:rsidRDefault="000C0A41" w:rsidP="002349ED">
            <w:pPr>
              <w:cnfStyle w:val="000000100000" w:firstRow="0" w:lastRow="0" w:firstColumn="0" w:lastColumn="0" w:oddVBand="0" w:evenVBand="0" w:oddHBand="1" w:evenHBand="0" w:firstRowFirstColumn="0" w:firstRowLastColumn="0" w:lastRowFirstColumn="0" w:lastRowLastColumn="0"/>
              <w:rPr>
                <w:bCs/>
              </w:rPr>
            </w:pPr>
            <w:r w:rsidRPr="002349ED">
              <w:rPr>
                <w:bCs/>
              </w:rPr>
              <w:t>172,700(11.65)</w:t>
            </w:r>
          </w:p>
        </w:tc>
        <w:tc>
          <w:tcPr>
            <w:tcW w:w="0" w:type="auto"/>
            <w:hideMark/>
          </w:tcPr>
          <w:p w:rsidR="000C0A41" w:rsidRPr="002349ED" w:rsidRDefault="000C0A41" w:rsidP="002349ED">
            <w:pPr>
              <w:cnfStyle w:val="000000100000" w:firstRow="0" w:lastRow="0" w:firstColumn="0" w:lastColumn="0" w:oddVBand="0" w:evenVBand="0" w:oddHBand="1" w:evenHBand="0" w:firstRowFirstColumn="0" w:firstRowLastColumn="0" w:lastRowFirstColumn="0" w:lastRowLastColumn="0"/>
              <w:rPr>
                <w:bCs/>
              </w:rPr>
            </w:pPr>
            <w:r w:rsidRPr="002349ED">
              <w:rPr>
                <w:bCs/>
              </w:rPr>
              <w:t>132,400 (5.55)</w:t>
            </w:r>
          </w:p>
        </w:tc>
        <w:tc>
          <w:tcPr>
            <w:tcW w:w="0" w:type="auto"/>
            <w:hideMark/>
          </w:tcPr>
          <w:p w:rsidR="000C0A41" w:rsidRPr="002349ED" w:rsidRDefault="000C0A41" w:rsidP="002349ED">
            <w:pPr>
              <w:cnfStyle w:val="000000100000" w:firstRow="0" w:lastRow="0" w:firstColumn="0" w:lastColumn="0" w:oddVBand="0" w:evenVBand="0" w:oddHBand="1" w:evenHBand="0" w:firstRowFirstColumn="0" w:firstRowLastColumn="0" w:lastRowFirstColumn="0" w:lastRowLastColumn="0"/>
              <w:rPr>
                <w:bCs/>
              </w:rPr>
            </w:pPr>
            <w:r w:rsidRPr="002349ED">
              <w:rPr>
                <w:bCs/>
              </w:rPr>
              <w:t>305,100 (7.89)</w:t>
            </w:r>
          </w:p>
        </w:tc>
      </w:tr>
      <w:tr w:rsidR="000C0A41" w:rsidRPr="002349ED" w:rsidTr="00F14EB5">
        <w:tc>
          <w:tcPr>
            <w:cnfStyle w:val="001000000000" w:firstRow="0" w:lastRow="0" w:firstColumn="1" w:lastColumn="0" w:oddVBand="0" w:evenVBand="0" w:oddHBand="0" w:evenHBand="0" w:firstRowFirstColumn="0" w:firstRowLastColumn="0" w:lastRowFirstColumn="0" w:lastRowLastColumn="0"/>
            <w:tcW w:w="0" w:type="auto"/>
            <w:hideMark/>
          </w:tcPr>
          <w:p w:rsidR="000C0A41" w:rsidRPr="002349ED" w:rsidRDefault="000C0A41" w:rsidP="002349ED">
            <w:pPr>
              <w:rPr>
                <w:bCs w:val="0"/>
              </w:rPr>
            </w:pPr>
            <w:r w:rsidRPr="002349ED">
              <w:rPr>
                <w:bCs w:val="0"/>
              </w:rPr>
              <w:t>Total 15+</w:t>
            </w:r>
          </w:p>
        </w:tc>
        <w:tc>
          <w:tcPr>
            <w:tcW w:w="0" w:type="auto"/>
            <w:hideMark/>
          </w:tcPr>
          <w:p w:rsidR="000C0A41" w:rsidRPr="002349ED" w:rsidRDefault="000C0A41" w:rsidP="002349ED">
            <w:pPr>
              <w:cnfStyle w:val="000000000000" w:firstRow="0" w:lastRow="0" w:firstColumn="0" w:lastColumn="0" w:oddVBand="0" w:evenVBand="0" w:oddHBand="0" w:evenHBand="0" w:firstRowFirstColumn="0" w:firstRowLastColumn="0" w:lastRowFirstColumn="0" w:lastRowLastColumn="0"/>
              <w:rPr>
                <w:bCs/>
              </w:rPr>
            </w:pPr>
            <w:r w:rsidRPr="002349ED">
              <w:rPr>
                <w:bCs/>
              </w:rPr>
              <w:t>784,190 (3.89)</w:t>
            </w:r>
          </w:p>
        </w:tc>
        <w:tc>
          <w:tcPr>
            <w:tcW w:w="0" w:type="auto"/>
            <w:hideMark/>
          </w:tcPr>
          <w:p w:rsidR="000C0A41" w:rsidRPr="002349ED" w:rsidRDefault="000C0A41" w:rsidP="002349ED">
            <w:pPr>
              <w:cnfStyle w:val="000000000000" w:firstRow="0" w:lastRow="0" w:firstColumn="0" w:lastColumn="0" w:oddVBand="0" w:evenVBand="0" w:oddHBand="0" w:evenHBand="0" w:firstRowFirstColumn="0" w:firstRowLastColumn="0" w:lastRowFirstColumn="0" w:lastRowLastColumn="0"/>
              <w:rPr>
                <w:bCs/>
              </w:rPr>
            </w:pPr>
            <w:r w:rsidRPr="002349ED">
              <w:rPr>
                <w:bCs/>
              </w:rPr>
              <w:t>518,870 (2.41)</w:t>
            </w:r>
          </w:p>
        </w:tc>
        <w:tc>
          <w:tcPr>
            <w:tcW w:w="0" w:type="auto"/>
            <w:hideMark/>
          </w:tcPr>
          <w:p w:rsidR="000C0A41" w:rsidRPr="002349ED" w:rsidRDefault="000C0A41" w:rsidP="002349ED">
            <w:pPr>
              <w:cnfStyle w:val="000000000000" w:firstRow="0" w:lastRow="0" w:firstColumn="0" w:lastColumn="0" w:oddVBand="0" w:evenVBand="0" w:oddHBand="0" w:evenHBand="0" w:firstRowFirstColumn="0" w:firstRowLastColumn="0" w:lastRowFirstColumn="0" w:lastRowLastColumn="0"/>
              <w:rPr>
                <w:bCs/>
              </w:rPr>
            </w:pPr>
            <w:r w:rsidRPr="002349ED">
              <w:rPr>
                <w:bCs/>
              </w:rPr>
              <w:t>1,303,060(3.15)</w:t>
            </w:r>
          </w:p>
        </w:tc>
      </w:tr>
      <w:tr w:rsidR="000C0A41" w:rsidRPr="002349ED" w:rsidTr="00F14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C0A41" w:rsidRPr="002349ED" w:rsidRDefault="000C0A41" w:rsidP="002349ED">
            <w:pPr>
              <w:rPr>
                <w:bCs w:val="0"/>
              </w:rPr>
            </w:pPr>
            <w:r w:rsidRPr="002349ED">
              <w:rPr>
                <w:bCs w:val="0"/>
              </w:rPr>
              <w:t>Total 45+</w:t>
            </w:r>
          </w:p>
        </w:tc>
        <w:tc>
          <w:tcPr>
            <w:tcW w:w="0" w:type="auto"/>
            <w:hideMark/>
          </w:tcPr>
          <w:p w:rsidR="000C0A41" w:rsidRPr="002349ED" w:rsidRDefault="000C0A41" w:rsidP="002349ED">
            <w:pPr>
              <w:cnfStyle w:val="000000100000" w:firstRow="0" w:lastRow="0" w:firstColumn="0" w:lastColumn="0" w:oddVBand="0" w:evenVBand="0" w:oddHBand="1" w:evenHBand="0" w:firstRowFirstColumn="0" w:firstRowLastColumn="0" w:lastRowFirstColumn="0" w:lastRowLastColumn="0"/>
              <w:rPr>
                <w:bCs/>
              </w:rPr>
            </w:pPr>
            <w:r w:rsidRPr="002349ED">
              <w:rPr>
                <w:bCs/>
              </w:rPr>
              <w:t>646,660 (6.76)</w:t>
            </w:r>
          </w:p>
        </w:tc>
        <w:tc>
          <w:tcPr>
            <w:tcW w:w="0" w:type="auto"/>
            <w:hideMark/>
          </w:tcPr>
          <w:p w:rsidR="000C0A41" w:rsidRPr="002349ED" w:rsidRDefault="000C0A41" w:rsidP="002349ED">
            <w:pPr>
              <w:cnfStyle w:val="000000100000" w:firstRow="0" w:lastRow="0" w:firstColumn="0" w:lastColumn="0" w:oddVBand="0" w:evenVBand="0" w:oddHBand="1" w:evenHBand="0" w:firstRowFirstColumn="0" w:firstRowLastColumn="0" w:lastRowFirstColumn="0" w:lastRowLastColumn="0"/>
              <w:rPr>
                <w:bCs/>
              </w:rPr>
            </w:pPr>
            <w:r w:rsidRPr="002349ED">
              <w:rPr>
                <w:bCs/>
              </w:rPr>
              <w:t>425,420 (3.92)</w:t>
            </w:r>
          </w:p>
        </w:tc>
        <w:tc>
          <w:tcPr>
            <w:tcW w:w="0" w:type="auto"/>
            <w:hideMark/>
          </w:tcPr>
          <w:p w:rsidR="000C0A41" w:rsidRPr="002349ED" w:rsidRDefault="000C0A41" w:rsidP="002349ED">
            <w:pPr>
              <w:cnfStyle w:val="000000100000" w:firstRow="0" w:lastRow="0" w:firstColumn="0" w:lastColumn="0" w:oddVBand="0" w:evenVBand="0" w:oddHBand="1" w:evenHBand="0" w:firstRowFirstColumn="0" w:firstRowLastColumn="0" w:lastRowFirstColumn="0" w:lastRowLastColumn="0"/>
              <w:rPr>
                <w:bCs/>
              </w:rPr>
            </w:pPr>
            <w:r w:rsidRPr="002349ED">
              <w:rPr>
                <w:bCs/>
              </w:rPr>
              <w:t>1,072,080(5.27)</w:t>
            </w:r>
          </w:p>
        </w:tc>
      </w:tr>
    </w:tbl>
    <w:p w:rsidR="000C0A41" w:rsidRPr="002349ED" w:rsidRDefault="000C0A41" w:rsidP="002349ED">
      <w:pPr>
        <w:rPr>
          <w:bCs/>
        </w:rPr>
      </w:pPr>
    </w:p>
    <w:p w:rsidR="000C0A41" w:rsidRDefault="000C0A41" w:rsidP="002349ED">
      <w:pPr>
        <w:rPr>
          <w:bCs/>
        </w:rPr>
      </w:pPr>
      <w:r w:rsidRPr="002349ED">
        <w:rPr>
          <w:bCs/>
        </w:rPr>
        <w:t>A systematic review of good quality COPD prevalence studies quoted by Nacul et al yielded estimates for England of between 4% and 10%.</w:t>
      </w:r>
      <w:r>
        <w:rPr>
          <w:bCs/>
          <w:noProof/>
        </w:rPr>
        <w:t>[24]</w:t>
      </w:r>
      <w:r w:rsidRPr="002349ED">
        <w:rPr>
          <w:bCs/>
        </w:rPr>
        <w:t xml:space="preserve"> The 2004 UK Health Needs Assessment report suggested a prevalence of 5% for men and 3% for women of middle age and upwards.</w:t>
      </w:r>
      <w:r>
        <w:rPr>
          <w:bCs/>
          <w:noProof/>
        </w:rPr>
        <w:t>[25]</w:t>
      </w:r>
      <w:r w:rsidRPr="002349ED">
        <w:rPr>
          <w:bCs/>
        </w:rPr>
        <w:t xml:space="preserve"> The figures estimated by our first model are in general slightly lower than, but comparable with other studies on COPD using the same BTS definition, i.e. 4.5% in Norway,</w:t>
      </w:r>
      <w:r>
        <w:rPr>
          <w:bCs/>
          <w:noProof/>
        </w:rPr>
        <w:t>[26]</w:t>
      </w:r>
      <w:r w:rsidRPr="002349ED">
        <w:rPr>
          <w:bCs/>
        </w:rPr>
        <w:t xml:space="preserve"> 6.8% in the US</w:t>
      </w:r>
      <w:r>
        <w:rPr>
          <w:bCs/>
          <w:noProof/>
        </w:rPr>
        <w:t>[27]</w:t>
      </w:r>
      <w:r w:rsidRPr="002349ED">
        <w:rPr>
          <w:bCs/>
        </w:rPr>
        <w:t xml:space="preserve"> and 6.8% in white males 40–60 years old in Spain.</w:t>
      </w:r>
      <w:r>
        <w:rPr>
          <w:bCs/>
          <w:noProof/>
        </w:rPr>
        <w:t>[28]</w:t>
      </w:r>
      <w:r w:rsidRPr="002349ED">
        <w:rPr>
          <w:bCs/>
        </w:rPr>
        <w:t xml:space="preserve"> They are also similar to the overall prevalence of 6.1% found in the NICECOPD study for Belfast white population aged 40 to 69 years.</w:t>
      </w:r>
      <w:r>
        <w:rPr>
          <w:bCs/>
          <w:noProof/>
        </w:rPr>
        <w:t>[29]</w:t>
      </w:r>
      <w:r w:rsidRPr="002349ED">
        <w:rPr>
          <w:bCs/>
        </w:rPr>
        <w:t xml:space="preserve"> The slightly lower estimated prevalence in our 2007 study may be largely explained by the lower smoking prevalence in England, but also by differences in the study populations, and the larger study size of the HSfE.</w:t>
      </w:r>
    </w:p>
    <w:p w:rsidR="000C0A41" w:rsidRPr="002349ED" w:rsidRDefault="000C0A41" w:rsidP="002349ED">
      <w:pPr>
        <w:rPr>
          <w:bCs/>
        </w:rPr>
      </w:pPr>
    </w:p>
    <w:p w:rsidR="000C0A41" w:rsidRPr="002349ED" w:rsidRDefault="000C0A41" w:rsidP="002349ED">
      <w:r w:rsidRPr="002349ED">
        <w:rPr>
          <w:bCs/>
        </w:rPr>
        <w:t>There have been many prevalence surveys published since the first prevalence model and associated documentation was published in 2007.</w:t>
      </w:r>
      <w:r>
        <w:rPr>
          <w:bCs/>
          <w:noProof/>
        </w:rPr>
        <w:t>[30-39]</w:t>
      </w:r>
      <w:r w:rsidRPr="002349ED">
        <w:rPr>
          <w:bCs/>
        </w:rPr>
        <w:t xml:space="preserve"> Most of these have used the international Burden of Obstructive Lung Disease (BOLD) protocol and study design, and hence the GOLD definition, so are not useful here unless they provide a breakdown by GOLD stages.</w:t>
      </w:r>
      <w:r>
        <w:rPr>
          <w:bCs/>
          <w:noProof/>
        </w:rPr>
        <w:t>[40]</w:t>
      </w:r>
      <w:r w:rsidRPr="002349ED">
        <w:rPr>
          <w:bCs/>
        </w:rPr>
        <w:t xml:space="preserve"> Unfortunately, moreover, relatively few contain data on risk factors other than age, gender and smoking, but nevertheless some are relevant to the UK.</w:t>
      </w:r>
      <w:r>
        <w:rPr>
          <w:bCs/>
        </w:rPr>
        <w:t xml:space="preserve"> </w:t>
      </w:r>
      <w:r w:rsidRPr="002349ED">
        <w:rPr>
          <w:bCs/>
        </w:rPr>
        <w:t xml:space="preserve">For example a population-based sample of adults, aged </w:t>
      </w:r>
      <w:r w:rsidRPr="002349ED">
        <w:rPr>
          <w:bCs/>
          <w:u w:val="single"/>
        </w:rPr>
        <w:t>&gt;</w:t>
      </w:r>
      <w:r w:rsidRPr="002349ED">
        <w:rPr>
          <w:bCs/>
        </w:rPr>
        <w:t>40 years, in Maastricht, the Netherlands, found an overall prevalence of COPD of 24%, which was higher for men (28.5%) than for women (19.5%).</w:t>
      </w:r>
      <w:r>
        <w:rPr>
          <w:bCs/>
          <w:noProof/>
        </w:rPr>
        <w:t>[41]</w:t>
      </w:r>
      <w:r w:rsidRPr="002349ED">
        <w:rPr>
          <w:bCs/>
        </w:rPr>
        <w:t xml:space="preserve"> Overall prevalence of current smoking was 23%, and the prevalence of doctor-diagnosed COPD was only 8.8%. </w:t>
      </w:r>
      <w:r w:rsidRPr="002349ED">
        <w:rPr>
          <w:bCs/>
        </w:rPr>
        <w:fldChar w:fldCharType="begin"/>
      </w:r>
      <w:r w:rsidRPr="002349ED">
        <w:rPr>
          <w:bCs/>
        </w:rPr>
        <w:instrText xml:space="preserve"> REF _Ref350594321 \h  \* MERGEFORMAT </w:instrText>
      </w:r>
      <w:r w:rsidRPr="002349ED">
        <w:rPr>
          <w:bCs/>
        </w:rPr>
      </w:r>
      <w:r w:rsidRPr="002349ED">
        <w:rPr>
          <w:bCs/>
        </w:rPr>
        <w:fldChar w:fldCharType="separate"/>
      </w:r>
      <w:r w:rsidRPr="002349ED">
        <w:t xml:space="preserve">Table </w:t>
      </w:r>
      <w:r>
        <w:t>4</w:t>
      </w:r>
      <w:r w:rsidRPr="002349ED">
        <w:fldChar w:fldCharType="end"/>
      </w:r>
      <w:r w:rsidRPr="002349ED">
        <w:rPr>
          <w:bCs/>
        </w:rPr>
        <w:t xml:space="preserve"> shows e</w:t>
      </w:r>
      <w:r w:rsidRPr="002349ED">
        <w:t xml:space="preserve">stimated </w:t>
      </w:r>
      <w:r w:rsidRPr="002349ED">
        <w:rPr>
          <w:bCs/>
        </w:rPr>
        <w:t>p</w:t>
      </w:r>
      <w:r w:rsidRPr="002349ED">
        <w:t xml:space="preserve">opulation </w:t>
      </w:r>
      <w:r w:rsidRPr="002349ED">
        <w:rPr>
          <w:bCs/>
        </w:rPr>
        <w:t>p</w:t>
      </w:r>
      <w:r w:rsidRPr="002349ED">
        <w:t>revalence of GOLD stage 2 or higher from this study.</w:t>
      </w:r>
    </w:p>
    <w:p w:rsidR="000C0A41" w:rsidRPr="002349ED" w:rsidRDefault="000C0A41" w:rsidP="002349ED">
      <w:pPr>
        <w:pStyle w:val="Caption"/>
      </w:pPr>
      <w:bookmarkStart w:id="9" w:name="_Ref350594321"/>
      <w:r w:rsidRPr="002349ED">
        <w:t xml:space="preserve">Table </w:t>
      </w:r>
      <w:fldSimple w:instr=" SEQ Table \* ARABIC ">
        <w:r>
          <w:rPr>
            <w:noProof/>
          </w:rPr>
          <w:t>4</w:t>
        </w:r>
      </w:fldSimple>
      <w:bookmarkEnd w:id="9"/>
      <w:r w:rsidRPr="002349ED">
        <w:t>: estimated population prevalence of GOLD stage 2 or higher in Maastricht, Netherlands</w:t>
      </w:r>
    </w:p>
    <w:tbl>
      <w:tblPr>
        <w:tblStyle w:val="GridTable4-Accent1"/>
        <w:tblW w:w="0" w:type="auto"/>
        <w:jc w:val="center"/>
        <w:tblLook w:val="04A0" w:firstRow="1" w:lastRow="0" w:firstColumn="1" w:lastColumn="0" w:noHBand="0" w:noVBand="1"/>
      </w:tblPr>
      <w:tblGrid>
        <w:gridCol w:w="1481"/>
        <w:gridCol w:w="1560"/>
        <w:gridCol w:w="1417"/>
        <w:gridCol w:w="1671"/>
      </w:tblGrid>
      <w:tr w:rsidR="000C0A41" w:rsidRPr="002349ED" w:rsidTr="00F7511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1" w:type="dxa"/>
          </w:tcPr>
          <w:p w:rsidR="000C0A41" w:rsidRPr="002349ED" w:rsidRDefault="000C0A41" w:rsidP="002349ED">
            <w:pPr>
              <w:rPr>
                <w:b w:val="0"/>
                <w:bCs w:val="0"/>
              </w:rPr>
            </w:pPr>
            <w:r w:rsidRPr="002349ED">
              <w:rPr>
                <w:b w:val="0"/>
                <w:bCs w:val="0"/>
              </w:rPr>
              <w:t>Age</w:t>
            </w:r>
          </w:p>
        </w:tc>
        <w:tc>
          <w:tcPr>
            <w:tcW w:w="1560" w:type="dxa"/>
          </w:tcPr>
          <w:p w:rsidR="000C0A41" w:rsidRPr="002349ED" w:rsidRDefault="000C0A41" w:rsidP="002349ED">
            <w:pPr>
              <w:cnfStyle w:val="100000000000" w:firstRow="1" w:lastRow="0" w:firstColumn="0" w:lastColumn="0" w:oddVBand="0" w:evenVBand="0" w:oddHBand="0" w:evenHBand="0" w:firstRowFirstColumn="0" w:firstRowLastColumn="0" w:lastRowFirstColumn="0" w:lastRowLastColumn="0"/>
              <w:rPr>
                <w:b w:val="0"/>
                <w:bCs w:val="0"/>
              </w:rPr>
            </w:pPr>
            <w:r w:rsidRPr="002349ED">
              <w:rPr>
                <w:b w:val="0"/>
                <w:bCs w:val="0"/>
              </w:rPr>
              <w:t>Male</w:t>
            </w:r>
          </w:p>
        </w:tc>
        <w:tc>
          <w:tcPr>
            <w:tcW w:w="1417" w:type="dxa"/>
          </w:tcPr>
          <w:p w:rsidR="000C0A41" w:rsidRPr="002349ED" w:rsidRDefault="000C0A41" w:rsidP="002349ED">
            <w:pPr>
              <w:cnfStyle w:val="100000000000" w:firstRow="1" w:lastRow="0" w:firstColumn="0" w:lastColumn="0" w:oddVBand="0" w:evenVBand="0" w:oddHBand="0" w:evenHBand="0" w:firstRowFirstColumn="0" w:firstRowLastColumn="0" w:lastRowFirstColumn="0" w:lastRowLastColumn="0"/>
              <w:rPr>
                <w:b w:val="0"/>
                <w:bCs w:val="0"/>
              </w:rPr>
            </w:pPr>
            <w:r w:rsidRPr="002349ED">
              <w:rPr>
                <w:b w:val="0"/>
                <w:bCs w:val="0"/>
              </w:rPr>
              <w:t>Female</w:t>
            </w:r>
          </w:p>
        </w:tc>
        <w:tc>
          <w:tcPr>
            <w:tcW w:w="1671" w:type="dxa"/>
          </w:tcPr>
          <w:p w:rsidR="000C0A41" w:rsidRPr="002349ED" w:rsidRDefault="000C0A41" w:rsidP="002349ED">
            <w:pPr>
              <w:cnfStyle w:val="100000000000" w:firstRow="1" w:lastRow="0" w:firstColumn="0" w:lastColumn="0" w:oddVBand="0" w:evenVBand="0" w:oddHBand="0" w:evenHBand="0" w:firstRowFirstColumn="0" w:firstRowLastColumn="0" w:lastRowFirstColumn="0" w:lastRowLastColumn="0"/>
              <w:rPr>
                <w:b w:val="0"/>
                <w:bCs w:val="0"/>
              </w:rPr>
            </w:pPr>
            <w:r w:rsidRPr="002349ED">
              <w:rPr>
                <w:b w:val="0"/>
                <w:bCs w:val="0"/>
              </w:rPr>
              <w:t>Persons</w:t>
            </w:r>
          </w:p>
        </w:tc>
      </w:tr>
      <w:tr w:rsidR="000C0A41" w:rsidRPr="002349ED" w:rsidTr="00F751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1" w:type="dxa"/>
            <w:hideMark/>
          </w:tcPr>
          <w:p w:rsidR="000C0A41" w:rsidRPr="002349ED" w:rsidRDefault="000C0A41" w:rsidP="002349ED">
            <w:pPr>
              <w:rPr>
                <w:bCs w:val="0"/>
              </w:rPr>
            </w:pPr>
            <w:r w:rsidRPr="002349ED">
              <w:rPr>
                <w:rFonts w:hint="eastAsia"/>
                <w:bCs w:val="0"/>
              </w:rPr>
              <w:t>40</w:t>
            </w:r>
            <w:r w:rsidRPr="002349ED">
              <w:rPr>
                <w:rFonts w:hint="eastAsia"/>
                <w:bCs w:val="0"/>
              </w:rPr>
              <w:t>–</w:t>
            </w:r>
            <w:r w:rsidRPr="002349ED">
              <w:rPr>
                <w:rFonts w:hint="eastAsia"/>
                <w:bCs w:val="0"/>
              </w:rPr>
              <w:t>49</w:t>
            </w:r>
          </w:p>
        </w:tc>
        <w:tc>
          <w:tcPr>
            <w:tcW w:w="1560" w:type="dxa"/>
            <w:hideMark/>
          </w:tcPr>
          <w:p w:rsidR="000C0A41" w:rsidRPr="002349ED" w:rsidRDefault="000C0A41" w:rsidP="002349ED">
            <w:pPr>
              <w:cnfStyle w:val="000000100000" w:firstRow="0" w:lastRow="0" w:firstColumn="0" w:lastColumn="0" w:oddVBand="0" w:evenVBand="0" w:oddHBand="1" w:evenHBand="0" w:firstRowFirstColumn="0" w:firstRowLastColumn="0" w:lastRowFirstColumn="0" w:lastRowLastColumn="0"/>
              <w:rPr>
                <w:bCs/>
              </w:rPr>
            </w:pPr>
            <w:r w:rsidRPr="002349ED">
              <w:rPr>
                <w:rFonts w:hint="eastAsia"/>
                <w:bCs/>
              </w:rPr>
              <w:t>4.4% (2.6)</w:t>
            </w:r>
          </w:p>
        </w:tc>
        <w:tc>
          <w:tcPr>
            <w:tcW w:w="1417" w:type="dxa"/>
            <w:hideMark/>
          </w:tcPr>
          <w:p w:rsidR="000C0A41" w:rsidRPr="002349ED" w:rsidRDefault="000C0A41" w:rsidP="002349ED">
            <w:pPr>
              <w:cnfStyle w:val="000000100000" w:firstRow="0" w:lastRow="0" w:firstColumn="0" w:lastColumn="0" w:oddVBand="0" w:evenVBand="0" w:oddHBand="1" w:evenHBand="0" w:firstRowFirstColumn="0" w:firstRowLastColumn="0" w:lastRowFirstColumn="0" w:lastRowLastColumn="0"/>
              <w:rPr>
                <w:bCs/>
              </w:rPr>
            </w:pPr>
            <w:r w:rsidRPr="002349ED">
              <w:rPr>
                <w:rFonts w:hint="eastAsia"/>
                <w:bCs/>
              </w:rPr>
              <w:t>1.2% (1.2)</w:t>
            </w:r>
          </w:p>
        </w:tc>
        <w:tc>
          <w:tcPr>
            <w:tcW w:w="1671" w:type="dxa"/>
            <w:hideMark/>
          </w:tcPr>
          <w:p w:rsidR="000C0A41" w:rsidRPr="002349ED" w:rsidRDefault="000C0A41" w:rsidP="002349ED">
            <w:pPr>
              <w:cnfStyle w:val="000000100000" w:firstRow="0" w:lastRow="0" w:firstColumn="0" w:lastColumn="0" w:oddVBand="0" w:evenVBand="0" w:oddHBand="1" w:evenHBand="0" w:firstRowFirstColumn="0" w:firstRowLastColumn="0" w:lastRowFirstColumn="0" w:lastRowLastColumn="0"/>
              <w:rPr>
                <w:bCs/>
              </w:rPr>
            </w:pPr>
            <w:r w:rsidRPr="002349ED">
              <w:rPr>
                <w:rFonts w:hint="eastAsia"/>
                <w:bCs/>
              </w:rPr>
              <w:t>2.8% (1.4)</w:t>
            </w:r>
          </w:p>
        </w:tc>
      </w:tr>
      <w:tr w:rsidR="000C0A41" w:rsidRPr="002349ED" w:rsidTr="00F75112">
        <w:trPr>
          <w:jc w:val="center"/>
        </w:trPr>
        <w:tc>
          <w:tcPr>
            <w:cnfStyle w:val="001000000000" w:firstRow="0" w:lastRow="0" w:firstColumn="1" w:lastColumn="0" w:oddVBand="0" w:evenVBand="0" w:oddHBand="0" w:evenHBand="0" w:firstRowFirstColumn="0" w:firstRowLastColumn="0" w:lastRowFirstColumn="0" w:lastRowLastColumn="0"/>
            <w:tcW w:w="1481" w:type="dxa"/>
            <w:hideMark/>
          </w:tcPr>
          <w:p w:rsidR="000C0A41" w:rsidRPr="002349ED" w:rsidRDefault="000C0A41" w:rsidP="002349ED">
            <w:pPr>
              <w:rPr>
                <w:bCs w:val="0"/>
              </w:rPr>
            </w:pPr>
            <w:r w:rsidRPr="002349ED">
              <w:rPr>
                <w:rFonts w:hint="eastAsia"/>
                <w:bCs w:val="0"/>
              </w:rPr>
              <w:t>50</w:t>
            </w:r>
            <w:r w:rsidRPr="002349ED">
              <w:rPr>
                <w:rFonts w:hint="eastAsia"/>
                <w:bCs w:val="0"/>
              </w:rPr>
              <w:t>–</w:t>
            </w:r>
            <w:r w:rsidRPr="002349ED">
              <w:rPr>
                <w:rFonts w:hint="eastAsia"/>
                <w:bCs w:val="0"/>
              </w:rPr>
              <w:t>59</w:t>
            </w:r>
          </w:p>
        </w:tc>
        <w:tc>
          <w:tcPr>
            <w:tcW w:w="1560" w:type="dxa"/>
            <w:hideMark/>
          </w:tcPr>
          <w:p w:rsidR="000C0A41" w:rsidRPr="002349ED" w:rsidRDefault="000C0A41" w:rsidP="002349ED">
            <w:pPr>
              <w:cnfStyle w:val="000000000000" w:firstRow="0" w:lastRow="0" w:firstColumn="0" w:lastColumn="0" w:oddVBand="0" w:evenVBand="0" w:oddHBand="0" w:evenHBand="0" w:firstRowFirstColumn="0" w:firstRowLastColumn="0" w:lastRowFirstColumn="0" w:lastRowLastColumn="0"/>
              <w:rPr>
                <w:bCs/>
              </w:rPr>
            </w:pPr>
            <w:r w:rsidRPr="002349ED">
              <w:rPr>
                <w:rFonts w:hint="eastAsia"/>
                <w:bCs/>
              </w:rPr>
              <w:t>13.7% (3.8)</w:t>
            </w:r>
          </w:p>
        </w:tc>
        <w:tc>
          <w:tcPr>
            <w:tcW w:w="1417" w:type="dxa"/>
            <w:hideMark/>
          </w:tcPr>
          <w:p w:rsidR="000C0A41" w:rsidRPr="002349ED" w:rsidRDefault="000C0A41" w:rsidP="002349ED">
            <w:pPr>
              <w:cnfStyle w:val="000000000000" w:firstRow="0" w:lastRow="0" w:firstColumn="0" w:lastColumn="0" w:oddVBand="0" w:evenVBand="0" w:oddHBand="0" w:evenHBand="0" w:firstRowFirstColumn="0" w:firstRowLastColumn="0" w:lastRowFirstColumn="0" w:lastRowLastColumn="0"/>
              <w:rPr>
                <w:bCs/>
              </w:rPr>
            </w:pPr>
            <w:r w:rsidRPr="002349ED">
              <w:rPr>
                <w:rFonts w:hint="eastAsia"/>
                <w:bCs/>
              </w:rPr>
              <w:t>8.2% (3.1)</w:t>
            </w:r>
          </w:p>
        </w:tc>
        <w:tc>
          <w:tcPr>
            <w:tcW w:w="1671" w:type="dxa"/>
            <w:hideMark/>
          </w:tcPr>
          <w:p w:rsidR="000C0A41" w:rsidRPr="002349ED" w:rsidRDefault="000C0A41" w:rsidP="002349ED">
            <w:pPr>
              <w:cnfStyle w:val="000000000000" w:firstRow="0" w:lastRow="0" w:firstColumn="0" w:lastColumn="0" w:oddVBand="0" w:evenVBand="0" w:oddHBand="0" w:evenHBand="0" w:firstRowFirstColumn="0" w:firstRowLastColumn="0" w:lastRowFirstColumn="0" w:lastRowLastColumn="0"/>
              <w:rPr>
                <w:bCs/>
              </w:rPr>
            </w:pPr>
            <w:r w:rsidRPr="002349ED">
              <w:rPr>
                <w:rFonts w:hint="eastAsia"/>
                <w:bCs/>
              </w:rPr>
              <w:t>10.9% (2.4)</w:t>
            </w:r>
          </w:p>
        </w:tc>
      </w:tr>
      <w:tr w:rsidR="000C0A41" w:rsidRPr="002349ED" w:rsidTr="00F751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1" w:type="dxa"/>
            <w:hideMark/>
          </w:tcPr>
          <w:p w:rsidR="000C0A41" w:rsidRPr="002349ED" w:rsidRDefault="000C0A41" w:rsidP="002349ED">
            <w:pPr>
              <w:rPr>
                <w:bCs w:val="0"/>
              </w:rPr>
            </w:pPr>
            <w:r w:rsidRPr="002349ED">
              <w:rPr>
                <w:rFonts w:hint="eastAsia"/>
                <w:bCs w:val="0"/>
              </w:rPr>
              <w:t>60</w:t>
            </w:r>
            <w:r w:rsidRPr="002349ED">
              <w:rPr>
                <w:rFonts w:hint="eastAsia"/>
                <w:bCs w:val="0"/>
              </w:rPr>
              <w:t>–</w:t>
            </w:r>
            <w:r w:rsidRPr="002349ED">
              <w:rPr>
                <w:rFonts w:hint="eastAsia"/>
                <w:bCs w:val="0"/>
              </w:rPr>
              <w:t>69</w:t>
            </w:r>
          </w:p>
        </w:tc>
        <w:tc>
          <w:tcPr>
            <w:tcW w:w="1560" w:type="dxa"/>
            <w:hideMark/>
          </w:tcPr>
          <w:p w:rsidR="000C0A41" w:rsidRPr="002349ED" w:rsidRDefault="000C0A41" w:rsidP="002349ED">
            <w:pPr>
              <w:cnfStyle w:val="000000100000" w:firstRow="0" w:lastRow="0" w:firstColumn="0" w:lastColumn="0" w:oddVBand="0" w:evenVBand="0" w:oddHBand="1" w:evenHBand="0" w:firstRowFirstColumn="0" w:firstRowLastColumn="0" w:lastRowFirstColumn="0" w:lastRowLastColumn="0"/>
              <w:rPr>
                <w:bCs/>
              </w:rPr>
            </w:pPr>
            <w:r w:rsidRPr="002349ED">
              <w:rPr>
                <w:rFonts w:hint="eastAsia"/>
                <w:bCs/>
              </w:rPr>
              <w:t>18.9% (4.4)</w:t>
            </w:r>
          </w:p>
        </w:tc>
        <w:tc>
          <w:tcPr>
            <w:tcW w:w="1417" w:type="dxa"/>
            <w:hideMark/>
          </w:tcPr>
          <w:p w:rsidR="000C0A41" w:rsidRPr="002349ED" w:rsidRDefault="000C0A41" w:rsidP="002349ED">
            <w:pPr>
              <w:cnfStyle w:val="000000100000" w:firstRow="0" w:lastRow="0" w:firstColumn="0" w:lastColumn="0" w:oddVBand="0" w:evenVBand="0" w:oddHBand="1" w:evenHBand="0" w:firstRowFirstColumn="0" w:firstRowLastColumn="0" w:lastRowFirstColumn="0" w:lastRowLastColumn="0"/>
              <w:rPr>
                <w:bCs/>
              </w:rPr>
            </w:pPr>
            <w:r w:rsidRPr="002349ED">
              <w:rPr>
                <w:rFonts w:hint="eastAsia"/>
                <w:bCs/>
              </w:rPr>
              <w:t>6.9% (2.7)</w:t>
            </w:r>
            <w:hyperlink r:id="rId11" w:anchor="tbl2fna" w:history="1">
              <w:r w:rsidRPr="002349ED">
                <w:rPr>
                  <w:rStyle w:val="Hyperlink"/>
                  <w:rFonts w:hint="eastAsia"/>
                  <w:vertAlign w:val="superscript"/>
                </w:rPr>
                <w:t>a</w:t>
              </w:r>
            </w:hyperlink>
          </w:p>
        </w:tc>
        <w:tc>
          <w:tcPr>
            <w:tcW w:w="1671" w:type="dxa"/>
            <w:hideMark/>
          </w:tcPr>
          <w:p w:rsidR="000C0A41" w:rsidRPr="002349ED" w:rsidRDefault="000C0A41" w:rsidP="002349ED">
            <w:pPr>
              <w:cnfStyle w:val="000000100000" w:firstRow="0" w:lastRow="0" w:firstColumn="0" w:lastColumn="0" w:oddVBand="0" w:evenVBand="0" w:oddHBand="1" w:evenHBand="0" w:firstRowFirstColumn="0" w:firstRowLastColumn="0" w:lastRowFirstColumn="0" w:lastRowLastColumn="0"/>
              <w:rPr>
                <w:bCs/>
              </w:rPr>
            </w:pPr>
            <w:r w:rsidRPr="002349ED">
              <w:rPr>
                <w:rFonts w:hint="eastAsia"/>
                <w:bCs/>
              </w:rPr>
              <w:t>12.8% (2.6)</w:t>
            </w:r>
          </w:p>
        </w:tc>
      </w:tr>
      <w:tr w:rsidR="000C0A41" w:rsidRPr="002349ED" w:rsidTr="00F75112">
        <w:trPr>
          <w:jc w:val="center"/>
        </w:trPr>
        <w:tc>
          <w:tcPr>
            <w:cnfStyle w:val="001000000000" w:firstRow="0" w:lastRow="0" w:firstColumn="1" w:lastColumn="0" w:oddVBand="0" w:evenVBand="0" w:oddHBand="0" w:evenHBand="0" w:firstRowFirstColumn="0" w:firstRowLastColumn="0" w:lastRowFirstColumn="0" w:lastRowLastColumn="0"/>
            <w:tcW w:w="1481" w:type="dxa"/>
            <w:hideMark/>
          </w:tcPr>
          <w:p w:rsidR="000C0A41" w:rsidRPr="002349ED" w:rsidRDefault="000C0A41" w:rsidP="002349ED">
            <w:pPr>
              <w:rPr>
                <w:bCs w:val="0"/>
              </w:rPr>
            </w:pPr>
            <w:r w:rsidRPr="002349ED">
              <w:rPr>
                <w:rFonts w:hint="eastAsia"/>
                <w:bCs w:val="0"/>
              </w:rPr>
              <w:t>70+</w:t>
            </w:r>
          </w:p>
        </w:tc>
        <w:tc>
          <w:tcPr>
            <w:tcW w:w="1560" w:type="dxa"/>
            <w:hideMark/>
          </w:tcPr>
          <w:p w:rsidR="000C0A41" w:rsidRPr="002349ED" w:rsidRDefault="000C0A41" w:rsidP="002349ED">
            <w:pPr>
              <w:cnfStyle w:val="000000000000" w:firstRow="0" w:lastRow="0" w:firstColumn="0" w:lastColumn="0" w:oddVBand="0" w:evenVBand="0" w:oddHBand="0" w:evenHBand="0" w:firstRowFirstColumn="0" w:firstRowLastColumn="0" w:lastRowFirstColumn="0" w:lastRowLastColumn="0"/>
              <w:rPr>
                <w:bCs/>
              </w:rPr>
            </w:pPr>
            <w:r w:rsidRPr="002349ED">
              <w:rPr>
                <w:rFonts w:hint="eastAsia"/>
                <w:bCs/>
              </w:rPr>
              <w:t>19.9% (6.3)</w:t>
            </w:r>
          </w:p>
        </w:tc>
        <w:tc>
          <w:tcPr>
            <w:tcW w:w="1417" w:type="dxa"/>
            <w:hideMark/>
          </w:tcPr>
          <w:p w:rsidR="000C0A41" w:rsidRPr="002349ED" w:rsidRDefault="000C0A41" w:rsidP="002349ED">
            <w:pPr>
              <w:cnfStyle w:val="000000000000" w:firstRow="0" w:lastRow="0" w:firstColumn="0" w:lastColumn="0" w:oddVBand="0" w:evenVBand="0" w:oddHBand="0" w:evenHBand="0" w:firstRowFirstColumn="0" w:firstRowLastColumn="0" w:lastRowFirstColumn="0" w:lastRowLastColumn="0"/>
              <w:rPr>
                <w:bCs/>
              </w:rPr>
            </w:pPr>
            <w:r w:rsidRPr="002349ED">
              <w:rPr>
                <w:rFonts w:hint="eastAsia"/>
                <w:bCs/>
              </w:rPr>
              <w:t>15.6% (7.2)</w:t>
            </w:r>
          </w:p>
        </w:tc>
        <w:tc>
          <w:tcPr>
            <w:tcW w:w="1671" w:type="dxa"/>
            <w:hideMark/>
          </w:tcPr>
          <w:p w:rsidR="000C0A41" w:rsidRPr="002349ED" w:rsidRDefault="000C0A41" w:rsidP="002349ED">
            <w:pPr>
              <w:cnfStyle w:val="000000000000" w:firstRow="0" w:lastRow="0" w:firstColumn="0" w:lastColumn="0" w:oddVBand="0" w:evenVBand="0" w:oddHBand="0" w:evenHBand="0" w:firstRowFirstColumn="0" w:firstRowLastColumn="0" w:lastRowFirstColumn="0" w:lastRowLastColumn="0"/>
              <w:rPr>
                <w:bCs/>
              </w:rPr>
            </w:pPr>
            <w:r w:rsidRPr="002349ED">
              <w:rPr>
                <w:rFonts w:hint="eastAsia"/>
                <w:bCs/>
              </w:rPr>
              <w:t>17.3% (5.0)</w:t>
            </w:r>
          </w:p>
        </w:tc>
      </w:tr>
      <w:tr w:rsidR="000C0A41" w:rsidRPr="002349ED" w:rsidTr="00F751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1" w:type="dxa"/>
            <w:hideMark/>
          </w:tcPr>
          <w:p w:rsidR="000C0A41" w:rsidRPr="002349ED" w:rsidRDefault="000C0A41" w:rsidP="002349ED">
            <w:pPr>
              <w:rPr>
                <w:bCs w:val="0"/>
              </w:rPr>
            </w:pPr>
            <w:r w:rsidRPr="002349ED">
              <w:rPr>
                <w:rFonts w:hint="eastAsia"/>
                <w:bCs w:val="0"/>
              </w:rPr>
              <w:t>Total</w:t>
            </w:r>
          </w:p>
        </w:tc>
        <w:tc>
          <w:tcPr>
            <w:tcW w:w="1560" w:type="dxa"/>
            <w:hideMark/>
          </w:tcPr>
          <w:p w:rsidR="000C0A41" w:rsidRPr="002349ED" w:rsidRDefault="000C0A41" w:rsidP="002349ED">
            <w:pPr>
              <w:cnfStyle w:val="000000100000" w:firstRow="0" w:lastRow="0" w:firstColumn="0" w:lastColumn="0" w:oddVBand="0" w:evenVBand="0" w:oddHBand="1" w:evenHBand="0" w:firstRowFirstColumn="0" w:firstRowLastColumn="0" w:lastRowFirstColumn="0" w:lastRowLastColumn="0"/>
              <w:rPr>
                <w:bCs/>
              </w:rPr>
            </w:pPr>
            <w:r w:rsidRPr="002349ED">
              <w:rPr>
                <w:rFonts w:hint="eastAsia"/>
                <w:bCs/>
              </w:rPr>
              <w:t>13.2% (2.1)</w:t>
            </w:r>
          </w:p>
        </w:tc>
        <w:tc>
          <w:tcPr>
            <w:tcW w:w="1417" w:type="dxa"/>
            <w:hideMark/>
          </w:tcPr>
          <w:p w:rsidR="000C0A41" w:rsidRPr="002349ED" w:rsidRDefault="000C0A41" w:rsidP="002349ED">
            <w:pPr>
              <w:cnfStyle w:val="000000100000" w:firstRow="0" w:lastRow="0" w:firstColumn="0" w:lastColumn="0" w:oddVBand="0" w:evenVBand="0" w:oddHBand="1" w:evenHBand="0" w:firstRowFirstColumn="0" w:firstRowLastColumn="0" w:lastRowFirstColumn="0" w:lastRowLastColumn="0"/>
              <w:rPr>
                <w:bCs/>
              </w:rPr>
            </w:pPr>
            <w:r w:rsidRPr="002349ED">
              <w:rPr>
                <w:rFonts w:hint="eastAsia"/>
                <w:bCs/>
              </w:rPr>
              <w:t>8.0% (2.3)</w:t>
            </w:r>
            <w:hyperlink r:id="rId12" w:anchor="tbl2fna" w:history="1">
              <w:r w:rsidRPr="002349ED">
                <w:rPr>
                  <w:rStyle w:val="Hyperlink"/>
                  <w:rFonts w:hint="eastAsia"/>
                  <w:vertAlign w:val="superscript"/>
                </w:rPr>
                <w:t>a</w:t>
              </w:r>
            </w:hyperlink>
          </w:p>
        </w:tc>
        <w:tc>
          <w:tcPr>
            <w:tcW w:w="1671" w:type="dxa"/>
            <w:hideMark/>
          </w:tcPr>
          <w:p w:rsidR="000C0A41" w:rsidRPr="002349ED" w:rsidRDefault="000C0A41" w:rsidP="002349ED">
            <w:pPr>
              <w:cnfStyle w:val="000000100000" w:firstRow="0" w:lastRow="0" w:firstColumn="0" w:lastColumn="0" w:oddVBand="0" w:evenVBand="0" w:oddHBand="1" w:evenHBand="0" w:firstRowFirstColumn="0" w:firstRowLastColumn="0" w:lastRowFirstColumn="0" w:lastRowLastColumn="0"/>
              <w:rPr>
                <w:bCs/>
              </w:rPr>
            </w:pPr>
            <w:r w:rsidRPr="002349ED">
              <w:rPr>
                <w:rFonts w:hint="eastAsia"/>
                <w:bCs/>
              </w:rPr>
              <w:t>10.4% (1.5)</w:t>
            </w:r>
          </w:p>
        </w:tc>
      </w:tr>
    </w:tbl>
    <w:p w:rsidR="000C0A41" w:rsidRPr="002349ED" w:rsidRDefault="000C0A41" w:rsidP="002349ED">
      <w:pPr>
        <w:rPr>
          <w:bCs/>
        </w:rPr>
      </w:pPr>
    </w:p>
    <w:p w:rsidR="000C0A41" w:rsidRDefault="000C0A41" w:rsidP="002349ED">
      <w:pPr>
        <w:rPr>
          <w:bCs/>
        </w:rPr>
      </w:pPr>
      <w:r w:rsidRPr="002349ED">
        <w:rPr>
          <w:bCs/>
        </w:rPr>
        <w:t>Another relevant BOLD study was carried out in Uppsala, Sweden.</w:t>
      </w:r>
      <w:r>
        <w:rPr>
          <w:bCs/>
          <w:noProof/>
        </w:rPr>
        <w:t>[42]</w:t>
      </w:r>
      <w:r w:rsidRPr="002349ED">
        <w:rPr>
          <w:bCs/>
        </w:rPr>
        <w:t xml:space="preserve"> COPD GOLD prevalence was 16.2%, which was the fourth lowest prevalence of COPD compared with 12 other BOLD centres. Main risk factors for COPD were increasing age [odds ratio (OR) = 2.08 per 10 years] and smoking. COPD was defined according to GOLD or according to the lower limit of normal (LLN), which is beneath the 95th percentile of population distribution for the FEV1/FVC ratio. COPD stage 2 or higher was defined as FEV1 &lt;80% of predicted, so this is comparable with the definition we used. </w:t>
      </w:r>
      <w:r w:rsidRPr="002349ED">
        <w:rPr>
          <w:bCs/>
        </w:rPr>
        <w:fldChar w:fldCharType="begin"/>
      </w:r>
      <w:r w:rsidRPr="002349ED">
        <w:rPr>
          <w:bCs/>
        </w:rPr>
        <w:instrText xml:space="preserve"> REF _Ref350533650 \h  \* MERGEFORMAT </w:instrText>
      </w:r>
      <w:r w:rsidRPr="002349ED">
        <w:rPr>
          <w:bCs/>
        </w:rPr>
      </w:r>
      <w:r w:rsidRPr="002349ED">
        <w:rPr>
          <w:bCs/>
        </w:rPr>
        <w:fldChar w:fldCharType="separate"/>
      </w:r>
      <w:r w:rsidRPr="002349ED">
        <w:t xml:space="preserve">Figure </w:t>
      </w:r>
      <w:r>
        <w:t>1</w:t>
      </w:r>
      <w:r w:rsidRPr="002349ED">
        <w:fldChar w:fldCharType="end"/>
      </w:r>
      <w:r w:rsidRPr="002349ED">
        <w:rPr>
          <w:bCs/>
        </w:rPr>
        <w:t xml:space="preserve"> shows prevalence from this study with GOLD 2+ as the purple bar. Prevalence in other similar European countries is 6-10%.</w:t>
      </w:r>
    </w:p>
    <w:p w:rsidR="000C0A41" w:rsidRPr="002349ED" w:rsidRDefault="000C0A41" w:rsidP="002349ED">
      <w:pPr>
        <w:pStyle w:val="Caption"/>
      </w:pPr>
      <w:bookmarkStart w:id="10" w:name="_Ref350533650"/>
      <w:r w:rsidRPr="002349ED">
        <w:t xml:space="preserve">Figure </w:t>
      </w:r>
      <w:fldSimple w:instr=" SEQ Figure \* ARABIC ">
        <w:r>
          <w:rPr>
            <w:noProof/>
          </w:rPr>
          <w:t>1</w:t>
        </w:r>
      </w:fldSimple>
      <w:bookmarkEnd w:id="10"/>
      <w:r w:rsidRPr="002349ED">
        <w:t>: prevalence of COPD in Uppsala, Swedish BOLD study and other countries</w:t>
      </w:r>
      <w:r>
        <w:rPr>
          <w:noProof/>
        </w:rPr>
        <w:t>[42]</w:t>
      </w:r>
    </w:p>
    <w:p w:rsidR="000C0A41" w:rsidRPr="002349ED" w:rsidRDefault="000C0A41" w:rsidP="002349ED">
      <w:pPr>
        <w:rPr>
          <w:bCs/>
        </w:rPr>
      </w:pPr>
      <w:r w:rsidRPr="002349ED">
        <w:rPr>
          <w:noProof/>
          <w:lang w:eastAsia="en-GB"/>
        </w:rPr>
        <w:lastRenderedPageBreak/>
        <w:drawing>
          <wp:inline distT="0" distB="0" distL="0" distR="0" wp14:anchorId="761D2C50" wp14:editId="5839F55E">
            <wp:extent cx="5470525" cy="42849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0525" cy="4284980"/>
                    </a:xfrm>
                    <a:prstGeom prst="rect">
                      <a:avLst/>
                    </a:prstGeom>
                    <a:noFill/>
                    <a:ln>
                      <a:noFill/>
                    </a:ln>
                  </pic:spPr>
                </pic:pic>
              </a:graphicData>
            </a:graphic>
          </wp:inline>
        </w:drawing>
      </w:r>
    </w:p>
    <w:p w:rsidR="000C0A41" w:rsidRDefault="000C0A41" w:rsidP="002349ED">
      <w:pPr>
        <w:rPr>
          <w:bCs/>
        </w:rPr>
      </w:pPr>
    </w:p>
    <w:p w:rsidR="000C0A41" w:rsidRPr="002349ED" w:rsidRDefault="000C0A41" w:rsidP="002349ED">
      <w:pPr>
        <w:rPr>
          <w:bCs/>
        </w:rPr>
      </w:pPr>
      <w:r w:rsidRPr="002349ED">
        <w:rPr>
          <w:bCs/>
        </w:rPr>
        <w:t>Alternatively, the same data was published separately in 2007. Participants were aged over 40, with mean ages of male participants ranging from 52–58 years across sites and 53–60 years for female participants from the 12 sites. A total of 9,425 completed post-bronchodilator spirometry testing plus questionnaires about respiratory symptoms, health status, and exposure to COPD risk factors.</w:t>
      </w:r>
      <w:r>
        <w:rPr>
          <w:bCs/>
          <w:noProof/>
        </w:rPr>
        <w:t>[40]</w:t>
      </w:r>
      <w:r w:rsidRPr="002349ED">
        <w:rPr>
          <w:bCs/>
        </w:rPr>
        <w:t xml:space="preserve"> The prevalence of stage II or higher COPD was 10·1% (SE 4·8) overall, 11·8% (7·9) for men, and 8·5% (5·8) for women.</w:t>
      </w:r>
      <w:r w:rsidRPr="002349ED">
        <w:t xml:space="preserve"> </w:t>
      </w:r>
      <w:r w:rsidRPr="002349ED">
        <w:rPr>
          <w:bCs/>
        </w:rPr>
        <w:t xml:space="preserve">The overall pooled OR estimate was 1·94 (1·80–2·10) per 10-year increment in age. Unfortunately data on risk factors other than smoking was not presented. Country results for GOLD stages 2-4 i.e. equivalent to the BTS definition are shown in </w:t>
      </w:r>
      <w:r w:rsidRPr="002349ED">
        <w:rPr>
          <w:bCs/>
        </w:rPr>
        <w:fldChar w:fldCharType="begin"/>
      </w:r>
      <w:r w:rsidRPr="002349ED">
        <w:rPr>
          <w:bCs/>
        </w:rPr>
        <w:instrText xml:space="preserve"> REF _Ref350533282 \h  \* MERGEFORMAT </w:instrText>
      </w:r>
      <w:r w:rsidRPr="002349ED">
        <w:rPr>
          <w:bCs/>
        </w:rPr>
      </w:r>
      <w:r w:rsidRPr="002349ED">
        <w:rPr>
          <w:bCs/>
        </w:rPr>
        <w:fldChar w:fldCharType="separate"/>
      </w:r>
      <w:r w:rsidRPr="002349ED">
        <w:t xml:space="preserve">Table </w:t>
      </w:r>
      <w:r>
        <w:t>5</w:t>
      </w:r>
      <w:r w:rsidRPr="002349ED">
        <w:fldChar w:fldCharType="end"/>
      </w:r>
      <w:r w:rsidRPr="002349ED">
        <w:rPr>
          <w:bCs/>
        </w:rPr>
        <w:t>.</w:t>
      </w:r>
      <w:r>
        <w:rPr>
          <w:bCs/>
        </w:rPr>
        <w:t xml:space="preserve"> </w:t>
      </w:r>
    </w:p>
    <w:p w:rsidR="000C0A41" w:rsidRPr="002349ED" w:rsidRDefault="000C0A41" w:rsidP="002349ED">
      <w:pPr>
        <w:pStyle w:val="Caption"/>
      </w:pPr>
      <w:bookmarkStart w:id="11" w:name="_Ref350533282"/>
      <w:r w:rsidRPr="002349ED">
        <w:t xml:space="preserve">Table </w:t>
      </w:r>
      <w:fldSimple w:instr=" SEQ Table \* ARABIC ">
        <w:r>
          <w:rPr>
            <w:noProof/>
          </w:rPr>
          <w:t>5</w:t>
        </w:r>
      </w:fldSimple>
      <w:bookmarkEnd w:id="11"/>
      <w:r w:rsidRPr="002349ED">
        <w:t>: estimated population prevalence of COPD for GOLD stage 2-4 from BOLD multi-site study</w:t>
      </w:r>
      <w:r>
        <w:rPr>
          <w:noProof/>
        </w:rPr>
        <w:t>[40]</w:t>
      </w:r>
    </w:p>
    <w:tbl>
      <w:tblPr>
        <w:tblStyle w:val="GridTable4-Accent1"/>
        <w:tblW w:w="7752" w:type="dxa"/>
        <w:jc w:val="center"/>
        <w:tblLook w:val="04A0" w:firstRow="1" w:lastRow="0" w:firstColumn="1" w:lastColumn="0" w:noHBand="0" w:noVBand="1"/>
      </w:tblPr>
      <w:tblGrid>
        <w:gridCol w:w="1824"/>
        <w:gridCol w:w="980"/>
        <w:gridCol w:w="980"/>
        <w:gridCol w:w="1008"/>
        <w:gridCol w:w="980"/>
        <w:gridCol w:w="1000"/>
        <w:gridCol w:w="980"/>
      </w:tblGrid>
      <w:tr w:rsidR="000C0A41" w:rsidRPr="002349ED" w:rsidTr="00507CFD">
        <w:trPr>
          <w:cnfStyle w:val="100000000000" w:firstRow="1" w:lastRow="0" w:firstColumn="0" w:lastColumn="0" w:oddVBand="0" w:evenVBand="0" w:oddHBand="0" w:evenHBand="0" w:firstRowFirstColumn="0" w:firstRowLastColumn="0" w:lastRowFirstColumn="0" w:lastRowLastColumn="0"/>
          <w:trHeight w:val="300"/>
          <w:tblHeader/>
          <w:jc w:val="center"/>
        </w:trPr>
        <w:tc>
          <w:tcPr>
            <w:cnfStyle w:val="001000000000" w:firstRow="0" w:lastRow="0" w:firstColumn="1" w:lastColumn="0" w:oddVBand="0" w:evenVBand="0" w:oddHBand="0" w:evenHBand="0" w:firstRowFirstColumn="0" w:firstRowLastColumn="0" w:lastRowFirstColumn="0" w:lastRowLastColumn="0"/>
            <w:tcW w:w="1824" w:type="dxa"/>
            <w:noWrap/>
            <w:hideMark/>
          </w:tcPr>
          <w:p w:rsidR="000C0A41" w:rsidRPr="002349ED" w:rsidRDefault="000C0A41" w:rsidP="002349ED">
            <w:pPr>
              <w:rPr>
                <w:b w:val="0"/>
                <w:bCs w:val="0"/>
              </w:rPr>
            </w:pPr>
          </w:p>
        </w:tc>
        <w:tc>
          <w:tcPr>
            <w:tcW w:w="1960" w:type="dxa"/>
            <w:gridSpan w:val="2"/>
            <w:noWrap/>
            <w:hideMark/>
          </w:tcPr>
          <w:p w:rsidR="000C0A41" w:rsidRPr="002349ED" w:rsidRDefault="000C0A41" w:rsidP="00B06BEB">
            <w:pPr>
              <w:jc w:val="center"/>
              <w:cnfStyle w:val="100000000000" w:firstRow="1" w:lastRow="0" w:firstColumn="0" w:lastColumn="0" w:oddVBand="0" w:evenVBand="0" w:oddHBand="0" w:evenHBand="0" w:firstRowFirstColumn="0" w:firstRowLastColumn="0" w:lastRowFirstColumn="0" w:lastRowLastColumn="0"/>
              <w:rPr>
                <w:b w:val="0"/>
                <w:bCs w:val="0"/>
              </w:rPr>
            </w:pPr>
            <w:r w:rsidRPr="002349ED">
              <w:rPr>
                <w:b w:val="0"/>
                <w:bCs w:val="0"/>
              </w:rPr>
              <w:t>Men (n,%)</w:t>
            </w:r>
          </w:p>
        </w:tc>
        <w:tc>
          <w:tcPr>
            <w:tcW w:w="1988" w:type="dxa"/>
            <w:gridSpan w:val="2"/>
            <w:noWrap/>
            <w:hideMark/>
          </w:tcPr>
          <w:p w:rsidR="000C0A41" w:rsidRPr="002349ED" w:rsidRDefault="000C0A41" w:rsidP="00B06BEB">
            <w:pPr>
              <w:jc w:val="center"/>
              <w:cnfStyle w:val="100000000000" w:firstRow="1" w:lastRow="0" w:firstColumn="0" w:lastColumn="0" w:oddVBand="0" w:evenVBand="0" w:oddHBand="0" w:evenHBand="0" w:firstRowFirstColumn="0" w:firstRowLastColumn="0" w:lastRowFirstColumn="0" w:lastRowLastColumn="0"/>
              <w:rPr>
                <w:b w:val="0"/>
                <w:bCs w:val="0"/>
              </w:rPr>
            </w:pPr>
            <w:r w:rsidRPr="002349ED">
              <w:rPr>
                <w:b w:val="0"/>
                <w:bCs w:val="0"/>
              </w:rPr>
              <w:t>Women (n,%)</w:t>
            </w:r>
          </w:p>
        </w:tc>
        <w:tc>
          <w:tcPr>
            <w:tcW w:w="1980" w:type="dxa"/>
            <w:gridSpan w:val="2"/>
            <w:noWrap/>
            <w:hideMark/>
          </w:tcPr>
          <w:p w:rsidR="000C0A41" w:rsidRPr="002349ED" w:rsidRDefault="000C0A41" w:rsidP="00B06BEB">
            <w:pPr>
              <w:jc w:val="center"/>
              <w:cnfStyle w:val="100000000000" w:firstRow="1" w:lastRow="0" w:firstColumn="0" w:lastColumn="0" w:oddVBand="0" w:evenVBand="0" w:oddHBand="0" w:evenHBand="0" w:firstRowFirstColumn="0" w:firstRowLastColumn="0" w:lastRowFirstColumn="0" w:lastRowLastColumn="0"/>
              <w:rPr>
                <w:b w:val="0"/>
                <w:bCs w:val="0"/>
              </w:rPr>
            </w:pPr>
            <w:r w:rsidRPr="002349ED">
              <w:rPr>
                <w:b w:val="0"/>
                <w:bCs w:val="0"/>
              </w:rPr>
              <w:t>Persons (n,%)</w:t>
            </w:r>
          </w:p>
        </w:tc>
      </w:tr>
      <w:tr w:rsidR="000C0A41" w:rsidRPr="002349ED" w:rsidTr="00507CF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4" w:type="dxa"/>
            <w:noWrap/>
            <w:hideMark/>
          </w:tcPr>
          <w:p w:rsidR="000C0A41" w:rsidRPr="002349ED" w:rsidRDefault="000C0A41" w:rsidP="002349ED">
            <w:pPr>
              <w:rPr>
                <w:b w:val="0"/>
                <w:bCs w:val="0"/>
              </w:rPr>
            </w:pPr>
            <w:r w:rsidRPr="002349ED">
              <w:rPr>
                <w:b w:val="0"/>
                <w:bCs w:val="0"/>
              </w:rPr>
              <w:t>China</w:t>
            </w:r>
          </w:p>
        </w:tc>
        <w:tc>
          <w:tcPr>
            <w:tcW w:w="980" w:type="dxa"/>
            <w:noWrap/>
            <w:hideMark/>
          </w:tcPr>
          <w:p w:rsidR="000C0A41" w:rsidRPr="002349ED" w:rsidRDefault="000C0A41" w:rsidP="00B06BEB">
            <w:pPr>
              <w:jc w:val="center"/>
              <w:cnfStyle w:val="000000100000" w:firstRow="0" w:lastRow="0" w:firstColumn="0" w:lastColumn="0" w:oddVBand="0" w:evenVBand="0" w:oddHBand="1" w:evenHBand="0" w:firstRowFirstColumn="0" w:firstRowLastColumn="0" w:lastRowFirstColumn="0" w:lastRowLastColumn="0"/>
            </w:pPr>
            <w:r w:rsidRPr="002349ED">
              <w:rPr>
                <w:bCs/>
              </w:rPr>
              <w:t>236</w:t>
            </w:r>
          </w:p>
        </w:tc>
        <w:tc>
          <w:tcPr>
            <w:tcW w:w="980" w:type="dxa"/>
            <w:noWrap/>
            <w:hideMark/>
          </w:tcPr>
          <w:p w:rsidR="000C0A41" w:rsidRPr="002349ED" w:rsidRDefault="000C0A41" w:rsidP="00B06BEB">
            <w:pPr>
              <w:jc w:val="center"/>
              <w:cnfStyle w:val="000000100000" w:firstRow="0" w:lastRow="0" w:firstColumn="0" w:lastColumn="0" w:oddVBand="0" w:evenVBand="0" w:oddHBand="1" w:evenHBand="0" w:firstRowFirstColumn="0" w:firstRowLastColumn="0" w:lastRowFirstColumn="0" w:lastRowLastColumn="0"/>
            </w:pPr>
            <w:r w:rsidRPr="002349ED">
              <w:rPr>
                <w:bCs/>
              </w:rPr>
              <w:t>9.3%</w:t>
            </w:r>
          </w:p>
        </w:tc>
        <w:tc>
          <w:tcPr>
            <w:tcW w:w="1008" w:type="dxa"/>
            <w:noWrap/>
            <w:hideMark/>
          </w:tcPr>
          <w:p w:rsidR="000C0A41" w:rsidRPr="002349ED" w:rsidRDefault="000C0A41" w:rsidP="00B06BEB">
            <w:pPr>
              <w:jc w:val="center"/>
              <w:cnfStyle w:val="000000100000" w:firstRow="0" w:lastRow="0" w:firstColumn="0" w:lastColumn="0" w:oddVBand="0" w:evenVBand="0" w:oddHBand="1" w:evenHBand="0" w:firstRowFirstColumn="0" w:firstRowLastColumn="0" w:lastRowFirstColumn="0" w:lastRowLastColumn="0"/>
            </w:pPr>
            <w:r w:rsidRPr="002349ED">
              <w:rPr>
                <w:bCs/>
              </w:rPr>
              <w:t>237</w:t>
            </w:r>
          </w:p>
        </w:tc>
        <w:tc>
          <w:tcPr>
            <w:tcW w:w="980" w:type="dxa"/>
            <w:noWrap/>
            <w:hideMark/>
          </w:tcPr>
          <w:p w:rsidR="000C0A41" w:rsidRPr="002349ED" w:rsidRDefault="000C0A41" w:rsidP="00B06BEB">
            <w:pPr>
              <w:jc w:val="center"/>
              <w:cnfStyle w:val="000000100000" w:firstRow="0" w:lastRow="0" w:firstColumn="0" w:lastColumn="0" w:oddVBand="0" w:evenVBand="0" w:oddHBand="1" w:evenHBand="0" w:firstRowFirstColumn="0" w:firstRowLastColumn="0" w:lastRowFirstColumn="0" w:lastRowLastColumn="0"/>
            </w:pPr>
            <w:r w:rsidRPr="002349ED">
              <w:rPr>
                <w:bCs/>
              </w:rPr>
              <w:t>5.1%</w:t>
            </w:r>
          </w:p>
        </w:tc>
        <w:tc>
          <w:tcPr>
            <w:tcW w:w="1000" w:type="dxa"/>
            <w:noWrap/>
            <w:hideMark/>
          </w:tcPr>
          <w:p w:rsidR="000C0A41" w:rsidRPr="002349ED" w:rsidRDefault="000C0A41" w:rsidP="00B06BEB">
            <w:pPr>
              <w:jc w:val="center"/>
              <w:cnfStyle w:val="000000100000" w:firstRow="0" w:lastRow="0" w:firstColumn="0" w:lastColumn="0" w:oddVBand="0" w:evenVBand="0" w:oddHBand="1" w:evenHBand="0" w:firstRowFirstColumn="0" w:firstRowLastColumn="0" w:lastRowFirstColumn="0" w:lastRowLastColumn="0"/>
            </w:pPr>
            <w:r w:rsidRPr="002349ED">
              <w:rPr>
                <w:bCs/>
              </w:rPr>
              <w:t>473</w:t>
            </w:r>
          </w:p>
        </w:tc>
        <w:tc>
          <w:tcPr>
            <w:tcW w:w="980" w:type="dxa"/>
            <w:noWrap/>
            <w:hideMark/>
          </w:tcPr>
          <w:p w:rsidR="000C0A41" w:rsidRPr="002349ED" w:rsidRDefault="000C0A41" w:rsidP="00B06BEB">
            <w:pPr>
              <w:jc w:val="center"/>
              <w:cnfStyle w:val="000000100000" w:firstRow="0" w:lastRow="0" w:firstColumn="0" w:lastColumn="0" w:oddVBand="0" w:evenVBand="0" w:oddHBand="1" w:evenHBand="0" w:firstRowFirstColumn="0" w:firstRowLastColumn="0" w:lastRowFirstColumn="0" w:lastRowLastColumn="0"/>
            </w:pPr>
            <w:r w:rsidRPr="002349ED">
              <w:rPr>
                <w:bCs/>
              </w:rPr>
              <w:t>7.2%</w:t>
            </w:r>
          </w:p>
        </w:tc>
      </w:tr>
      <w:tr w:rsidR="000C0A41" w:rsidRPr="002349ED" w:rsidTr="00507CFD">
        <w:trPr>
          <w:trHeight w:val="300"/>
          <w:jc w:val="center"/>
        </w:trPr>
        <w:tc>
          <w:tcPr>
            <w:cnfStyle w:val="001000000000" w:firstRow="0" w:lastRow="0" w:firstColumn="1" w:lastColumn="0" w:oddVBand="0" w:evenVBand="0" w:oddHBand="0" w:evenHBand="0" w:firstRowFirstColumn="0" w:firstRowLastColumn="0" w:lastRowFirstColumn="0" w:lastRowLastColumn="0"/>
            <w:tcW w:w="1824" w:type="dxa"/>
            <w:noWrap/>
            <w:hideMark/>
          </w:tcPr>
          <w:p w:rsidR="000C0A41" w:rsidRPr="002349ED" w:rsidRDefault="000C0A41" w:rsidP="002349ED">
            <w:pPr>
              <w:rPr>
                <w:b w:val="0"/>
                <w:bCs w:val="0"/>
              </w:rPr>
            </w:pPr>
            <w:r w:rsidRPr="002349ED">
              <w:rPr>
                <w:b w:val="0"/>
                <w:bCs w:val="0"/>
              </w:rPr>
              <w:t>Turkey</w:t>
            </w:r>
          </w:p>
        </w:tc>
        <w:tc>
          <w:tcPr>
            <w:tcW w:w="980" w:type="dxa"/>
            <w:noWrap/>
            <w:hideMark/>
          </w:tcPr>
          <w:p w:rsidR="000C0A41" w:rsidRPr="002349ED" w:rsidRDefault="000C0A41" w:rsidP="00B06BEB">
            <w:pPr>
              <w:jc w:val="center"/>
              <w:cnfStyle w:val="000000000000" w:firstRow="0" w:lastRow="0" w:firstColumn="0" w:lastColumn="0" w:oddVBand="0" w:evenVBand="0" w:oddHBand="0" w:evenHBand="0" w:firstRowFirstColumn="0" w:firstRowLastColumn="0" w:lastRowFirstColumn="0" w:lastRowLastColumn="0"/>
            </w:pPr>
            <w:r w:rsidRPr="002349ED">
              <w:rPr>
                <w:bCs/>
              </w:rPr>
              <w:t>389</w:t>
            </w:r>
          </w:p>
        </w:tc>
        <w:tc>
          <w:tcPr>
            <w:tcW w:w="980" w:type="dxa"/>
            <w:noWrap/>
            <w:hideMark/>
          </w:tcPr>
          <w:p w:rsidR="000C0A41" w:rsidRPr="002349ED" w:rsidRDefault="000C0A41" w:rsidP="00B06BEB">
            <w:pPr>
              <w:jc w:val="center"/>
              <w:cnfStyle w:val="000000000000" w:firstRow="0" w:lastRow="0" w:firstColumn="0" w:lastColumn="0" w:oddVBand="0" w:evenVBand="0" w:oddHBand="0" w:evenHBand="0" w:firstRowFirstColumn="0" w:firstRowLastColumn="0" w:lastRowFirstColumn="0" w:lastRowLastColumn="0"/>
            </w:pPr>
            <w:r w:rsidRPr="002349ED">
              <w:rPr>
                <w:bCs/>
              </w:rPr>
              <w:t>15.4%</w:t>
            </w:r>
          </w:p>
        </w:tc>
        <w:tc>
          <w:tcPr>
            <w:tcW w:w="1008" w:type="dxa"/>
            <w:noWrap/>
            <w:hideMark/>
          </w:tcPr>
          <w:p w:rsidR="000C0A41" w:rsidRPr="002349ED" w:rsidRDefault="000C0A41" w:rsidP="00B06BEB">
            <w:pPr>
              <w:jc w:val="center"/>
              <w:cnfStyle w:val="000000000000" w:firstRow="0" w:lastRow="0" w:firstColumn="0" w:lastColumn="0" w:oddVBand="0" w:evenVBand="0" w:oddHBand="0" w:evenHBand="0" w:firstRowFirstColumn="0" w:firstRowLastColumn="0" w:lastRowFirstColumn="0" w:lastRowLastColumn="0"/>
            </w:pPr>
            <w:r w:rsidRPr="002349ED">
              <w:rPr>
                <w:bCs/>
              </w:rPr>
              <w:t>417</w:t>
            </w:r>
          </w:p>
        </w:tc>
        <w:tc>
          <w:tcPr>
            <w:tcW w:w="980" w:type="dxa"/>
            <w:noWrap/>
            <w:hideMark/>
          </w:tcPr>
          <w:p w:rsidR="000C0A41" w:rsidRPr="002349ED" w:rsidRDefault="000C0A41" w:rsidP="00B06BEB">
            <w:pPr>
              <w:jc w:val="center"/>
              <w:cnfStyle w:val="000000000000" w:firstRow="0" w:lastRow="0" w:firstColumn="0" w:lastColumn="0" w:oddVBand="0" w:evenVBand="0" w:oddHBand="0" w:evenHBand="0" w:firstRowFirstColumn="0" w:firstRowLastColumn="0" w:lastRowFirstColumn="0" w:lastRowLastColumn="0"/>
            </w:pPr>
            <w:r w:rsidRPr="002349ED">
              <w:rPr>
                <w:bCs/>
              </w:rPr>
              <w:t>6.0%</w:t>
            </w:r>
          </w:p>
        </w:tc>
        <w:tc>
          <w:tcPr>
            <w:tcW w:w="1000" w:type="dxa"/>
            <w:noWrap/>
            <w:hideMark/>
          </w:tcPr>
          <w:p w:rsidR="000C0A41" w:rsidRPr="002349ED" w:rsidRDefault="000C0A41" w:rsidP="00B06BEB">
            <w:pPr>
              <w:jc w:val="center"/>
              <w:cnfStyle w:val="000000000000" w:firstRow="0" w:lastRow="0" w:firstColumn="0" w:lastColumn="0" w:oddVBand="0" w:evenVBand="0" w:oddHBand="0" w:evenHBand="0" w:firstRowFirstColumn="0" w:firstRowLastColumn="0" w:lastRowFirstColumn="0" w:lastRowLastColumn="0"/>
            </w:pPr>
            <w:r w:rsidRPr="002349ED">
              <w:rPr>
                <w:bCs/>
              </w:rPr>
              <w:t>806</w:t>
            </w:r>
          </w:p>
        </w:tc>
        <w:tc>
          <w:tcPr>
            <w:tcW w:w="980" w:type="dxa"/>
            <w:noWrap/>
            <w:hideMark/>
          </w:tcPr>
          <w:p w:rsidR="000C0A41" w:rsidRPr="002349ED" w:rsidRDefault="000C0A41" w:rsidP="00B06BEB">
            <w:pPr>
              <w:jc w:val="center"/>
              <w:cnfStyle w:val="000000000000" w:firstRow="0" w:lastRow="0" w:firstColumn="0" w:lastColumn="0" w:oddVBand="0" w:evenVBand="0" w:oddHBand="0" w:evenHBand="0" w:firstRowFirstColumn="0" w:firstRowLastColumn="0" w:lastRowFirstColumn="0" w:lastRowLastColumn="0"/>
            </w:pPr>
            <w:r w:rsidRPr="002349ED">
              <w:rPr>
                <w:bCs/>
              </w:rPr>
              <w:t>10.6%</w:t>
            </w:r>
          </w:p>
        </w:tc>
      </w:tr>
      <w:tr w:rsidR="000C0A41" w:rsidRPr="002349ED" w:rsidTr="00507CF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4" w:type="dxa"/>
            <w:noWrap/>
            <w:hideMark/>
          </w:tcPr>
          <w:p w:rsidR="000C0A41" w:rsidRPr="002349ED" w:rsidRDefault="000C0A41" w:rsidP="002349ED">
            <w:pPr>
              <w:rPr>
                <w:b w:val="0"/>
                <w:bCs w:val="0"/>
              </w:rPr>
            </w:pPr>
            <w:r w:rsidRPr="002349ED">
              <w:rPr>
                <w:b w:val="0"/>
                <w:bCs w:val="0"/>
              </w:rPr>
              <w:t>Austria</w:t>
            </w:r>
          </w:p>
        </w:tc>
        <w:tc>
          <w:tcPr>
            <w:tcW w:w="980" w:type="dxa"/>
            <w:noWrap/>
            <w:hideMark/>
          </w:tcPr>
          <w:p w:rsidR="000C0A41" w:rsidRPr="002349ED" w:rsidRDefault="000C0A41" w:rsidP="00B06BEB">
            <w:pPr>
              <w:jc w:val="center"/>
              <w:cnfStyle w:val="000000100000" w:firstRow="0" w:lastRow="0" w:firstColumn="0" w:lastColumn="0" w:oddVBand="0" w:evenVBand="0" w:oddHBand="1" w:evenHBand="0" w:firstRowFirstColumn="0" w:firstRowLastColumn="0" w:lastRowFirstColumn="0" w:lastRowLastColumn="0"/>
            </w:pPr>
            <w:r w:rsidRPr="002349ED">
              <w:rPr>
                <w:bCs/>
              </w:rPr>
              <w:t>685</w:t>
            </w:r>
          </w:p>
        </w:tc>
        <w:tc>
          <w:tcPr>
            <w:tcW w:w="980" w:type="dxa"/>
            <w:noWrap/>
            <w:hideMark/>
          </w:tcPr>
          <w:p w:rsidR="000C0A41" w:rsidRPr="002349ED" w:rsidRDefault="000C0A41" w:rsidP="00B06BEB">
            <w:pPr>
              <w:jc w:val="center"/>
              <w:cnfStyle w:val="000000100000" w:firstRow="0" w:lastRow="0" w:firstColumn="0" w:lastColumn="0" w:oddVBand="0" w:evenVBand="0" w:oddHBand="1" w:evenHBand="0" w:firstRowFirstColumn="0" w:firstRowLastColumn="0" w:lastRowFirstColumn="0" w:lastRowLastColumn="0"/>
            </w:pPr>
            <w:r w:rsidRPr="002349ED">
              <w:rPr>
                <w:bCs/>
              </w:rPr>
              <w:t>10.3%</w:t>
            </w:r>
          </w:p>
        </w:tc>
        <w:tc>
          <w:tcPr>
            <w:tcW w:w="1008" w:type="dxa"/>
            <w:noWrap/>
            <w:hideMark/>
          </w:tcPr>
          <w:p w:rsidR="000C0A41" w:rsidRPr="002349ED" w:rsidRDefault="000C0A41" w:rsidP="00B06BEB">
            <w:pPr>
              <w:jc w:val="center"/>
              <w:cnfStyle w:val="000000100000" w:firstRow="0" w:lastRow="0" w:firstColumn="0" w:lastColumn="0" w:oddVBand="0" w:evenVBand="0" w:oddHBand="1" w:evenHBand="0" w:firstRowFirstColumn="0" w:firstRowLastColumn="0" w:lastRowFirstColumn="0" w:lastRowLastColumn="0"/>
            </w:pPr>
            <w:r w:rsidRPr="002349ED">
              <w:rPr>
                <w:bCs/>
              </w:rPr>
              <w:t>573</w:t>
            </w:r>
          </w:p>
        </w:tc>
        <w:tc>
          <w:tcPr>
            <w:tcW w:w="980" w:type="dxa"/>
            <w:noWrap/>
            <w:hideMark/>
          </w:tcPr>
          <w:p w:rsidR="000C0A41" w:rsidRPr="002349ED" w:rsidRDefault="000C0A41" w:rsidP="00B06BEB">
            <w:pPr>
              <w:jc w:val="center"/>
              <w:cnfStyle w:val="000000100000" w:firstRow="0" w:lastRow="0" w:firstColumn="0" w:lastColumn="0" w:oddVBand="0" w:evenVBand="0" w:oddHBand="1" w:evenHBand="0" w:firstRowFirstColumn="0" w:firstRowLastColumn="0" w:lastRowFirstColumn="0" w:lastRowLastColumn="0"/>
            </w:pPr>
            <w:r w:rsidRPr="002349ED">
              <w:rPr>
                <w:bCs/>
              </w:rPr>
              <w:t>11.0%</w:t>
            </w:r>
          </w:p>
        </w:tc>
        <w:tc>
          <w:tcPr>
            <w:tcW w:w="1000" w:type="dxa"/>
            <w:noWrap/>
            <w:hideMark/>
          </w:tcPr>
          <w:p w:rsidR="000C0A41" w:rsidRPr="002349ED" w:rsidRDefault="000C0A41" w:rsidP="00B06BEB">
            <w:pPr>
              <w:jc w:val="center"/>
              <w:cnfStyle w:val="000000100000" w:firstRow="0" w:lastRow="0" w:firstColumn="0" w:lastColumn="0" w:oddVBand="0" w:evenVBand="0" w:oddHBand="1" w:evenHBand="0" w:firstRowFirstColumn="0" w:firstRowLastColumn="0" w:lastRowFirstColumn="0" w:lastRowLastColumn="0"/>
            </w:pPr>
            <w:r w:rsidRPr="002349ED">
              <w:rPr>
                <w:bCs/>
              </w:rPr>
              <w:t>1258</w:t>
            </w:r>
          </w:p>
        </w:tc>
        <w:tc>
          <w:tcPr>
            <w:tcW w:w="980" w:type="dxa"/>
            <w:noWrap/>
            <w:hideMark/>
          </w:tcPr>
          <w:p w:rsidR="000C0A41" w:rsidRPr="002349ED" w:rsidRDefault="000C0A41" w:rsidP="00B06BEB">
            <w:pPr>
              <w:jc w:val="center"/>
              <w:cnfStyle w:val="000000100000" w:firstRow="0" w:lastRow="0" w:firstColumn="0" w:lastColumn="0" w:oddVBand="0" w:evenVBand="0" w:oddHBand="1" w:evenHBand="0" w:firstRowFirstColumn="0" w:firstRowLastColumn="0" w:lastRowFirstColumn="0" w:lastRowLastColumn="0"/>
            </w:pPr>
            <w:r w:rsidRPr="002349ED">
              <w:rPr>
                <w:bCs/>
              </w:rPr>
              <w:t>10.6%</w:t>
            </w:r>
          </w:p>
        </w:tc>
      </w:tr>
      <w:tr w:rsidR="000C0A41" w:rsidRPr="002349ED" w:rsidTr="00507CFD">
        <w:trPr>
          <w:trHeight w:val="300"/>
          <w:jc w:val="center"/>
        </w:trPr>
        <w:tc>
          <w:tcPr>
            <w:cnfStyle w:val="001000000000" w:firstRow="0" w:lastRow="0" w:firstColumn="1" w:lastColumn="0" w:oddVBand="0" w:evenVBand="0" w:oddHBand="0" w:evenHBand="0" w:firstRowFirstColumn="0" w:firstRowLastColumn="0" w:lastRowFirstColumn="0" w:lastRowLastColumn="0"/>
            <w:tcW w:w="1824" w:type="dxa"/>
            <w:noWrap/>
            <w:hideMark/>
          </w:tcPr>
          <w:p w:rsidR="000C0A41" w:rsidRPr="002349ED" w:rsidRDefault="000C0A41" w:rsidP="002349ED">
            <w:pPr>
              <w:rPr>
                <w:b w:val="0"/>
                <w:bCs w:val="0"/>
              </w:rPr>
            </w:pPr>
            <w:r w:rsidRPr="002349ED">
              <w:rPr>
                <w:b w:val="0"/>
                <w:bCs w:val="0"/>
              </w:rPr>
              <w:t>South Africa</w:t>
            </w:r>
          </w:p>
        </w:tc>
        <w:tc>
          <w:tcPr>
            <w:tcW w:w="980" w:type="dxa"/>
            <w:noWrap/>
            <w:hideMark/>
          </w:tcPr>
          <w:p w:rsidR="000C0A41" w:rsidRPr="002349ED" w:rsidRDefault="000C0A41" w:rsidP="00B06BEB">
            <w:pPr>
              <w:jc w:val="center"/>
              <w:cnfStyle w:val="000000000000" w:firstRow="0" w:lastRow="0" w:firstColumn="0" w:lastColumn="0" w:oddVBand="0" w:evenVBand="0" w:oddHBand="0" w:evenHBand="0" w:firstRowFirstColumn="0" w:firstRowLastColumn="0" w:lastRowFirstColumn="0" w:lastRowLastColumn="0"/>
            </w:pPr>
            <w:r w:rsidRPr="002349ED">
              <w:rPr>
                <w:bCs/>
              </w:rPr>
              <w:t>315</w:t>
            </w:r>
          </w:p>
        </w:tc>
        <w:tc>
          <w:tcPr>
            <w:tcW w:w="980" w:type="dxa"/>
            <w:noWrap/>
            <w:hideMark/>
          </w:tcPr>
          <w:p w:rsidR="000C0A41" w:rsidRPr="002349ED" w:rsidRDefault="000C0A41" w:rsidP="00B06BEB">
            <w:pPr>
              <w:jc w:val="center"/>
              <w:cnfStyle w:val="000000000000" w:firstRow="0" w:lastRow="0" w:firstColumn="0" w:lastColumn="0" w:oddVBand="0" w:evenVBand="0" w:oddHBand="0" w:evenHBand="0" w:firstRowFirstColumn="0" w:firstRowLastColumn="0" w:lastRowFirstColumn="0" w:lastRowLastColumn="0"/>
            </w:pPr>
            <w:r w:rsidRPr="002349ED">
              <w:rPr>
                <w:bCs/>
              </w:rPr>
              <w:t>22.2%</w:t>
            </w:r>
          </w:p>
        </w:tc>
        <w:tc>
          <w:tcPr>
            <w:tcW w:w="1008" w:type="dxa"/>
            <w:noWrap/>
            <w:hideMark/>
          </w:tcPr>
          <w:p w:rsidR="000C0A41" w:rsidRPr="002349ED" w:rsidRDefault="000C0A41" w:rsidP="00B06BEB">
            <w:pPr>
              <w:jc w:val="center"/>
              <w:cnfStyle w:val="000000000000" w:firstRow="0" w:lastRow="0" w:firstColumn="0" w:lastColumn="0" w:oddVBand="0" w:evenVBand="0" w:oddHBand="0" w:evenHBand="0" w:firstRowFirstColumn="0" w:firstRowLastColumn="0" w:lastRowFirstColumn="0" w:lastRowLastColumn="0"/>
            </w:pPr>
            <w:r w:rsidRPr="002349ED">
              <w:rPr>
                <w:bCs/>
              </w:rPr>
              <w:t>532</w:t>
            </w:r>
          </w:p>
        </w:tc>
        <w:tc>
          <w:tcPr>
            <w:tcW w:w="980" w:type="dxa"/>
            <w:noWrap/>
            <w:hideMark/>
          </w:tcPr>
          <w:p w:rsidR="000C0A41" w:rsidRPr="002349ED" w:rsidRDefault="000C0A41" w:rsidP="00B06BEB">
            <w:pPr>
              <w:jc w:val="center"/>
              <w:cnfStyle w:val="000000000000" w:firstRow="0" w:lastRow="0" w:firstColumn="0" w:lastColumn="0" w:oddVBand="0" w:evenVBand="0" w:oddHBand="0" w:evenHBand="0" w:firstRowFirstColumn="0" w:firstRowLastColumn="0" w:lastRowFirstColumn="0" w:lastRowLastColumn="0"/>
            </w:pPr>
            <w:r w:rsidRPr="002349ED">
              <w:rPr>
                <w:bCs/>
              </w:rPr>
              <w:t>16.7%</w:t>
            </w:r>
          </w:p>
        </w:tc>
        <w:tc>
          <w:tcPr>
            <w:tcW w:w="1000" w:type="dxa"/>
            <w:noWrap/>
            <w:hideMark/>
          </w:tcPr>
          <w:p w:rsidR="000C0A41" w:rsidRPr="002349ED" w:rsidRDefault="000C0A41" w:rsidP="00B06BEB">
            <w:pPr>
              <w:jc w:val="center"/>
              <w:cnfStyle w:val="000000000000" w:firstRow="0" w:lastRow="0" w:firstColumn="0" w:lastColumn="0" w:oddVBand="0" w:evenVBand="0" w:oddHBand="0" w:evenHBand="0" w:firstRowFirstColumn="0" w:firstRowLastColumn="0" w:lastRowFirstColumn="0" w:lastRowLastColumn="0"/>
            </w:pPr>
            <w:r w:rsidRPr="002349ED">
              <w:rPr>
                <w:bCs/>
              </w:rPr>
              <w:t>847</w:t>
            </w:r>
          </w:p>
        </w:tc>
        <w:tc>
          <w:tcPr>
            <w:tcW w:w="980" w:type="dxa"/>
            <w:noWrap/>
            <w:hideMark/>
          </w:tcPr>
          <w:p w:rsidR="000C0A41" w:rsidRPr="002349ED" w:rsidRDefault="000C0A41" w:rsidP="00B06BEB">
            <w:pPr>
              <w:jc w:val="center"/>
              <w:cnfStyle w:val="000000000000" w:firstRow="0" w:lastRow="0" w:firstColumn="0" w:lastColumn="0" w:oddVBand="0" w:evenVBand="0" w:oddHBand="0" w:evenHBand="0" w:firstRowFirstColumn="0" w:firstRowLastColumn="0" w:lastRowFirstColumn="0" w:lastRowLastColumn="0"/>
            </w:pPr>
            <w:r w:rsidRPr="002349ED">
              <w:rPr>
                <w:bCs/>
              </w:rPr>
              <w:t>19.1%</w:t>
            </w:r>
          </w:p>
        </w:tc>
      </w:tr>
      <w:tr w:rsidR="000C0A41" w:rsidRPr="002349ED" w:rsidTr="00507CF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4" w:type="dxa"/>
            <w:noWrap/>
            <w:hideMark/>
          </w:tcPr>
          <w:p w:rsidR="000C0A41" w:rsidRPr="002349ED" w:rsidRDefault="000C0A41" w:rsidP="002349ED">
            <w:pPr>
              <w:rPr>
                <w:b w:val="0"/>
                <w:bCs w:val="0"/>
              </w:rPr>
            </w:pPr>
            <w:r w:rsidRPr="002349ED">
              <w:rPr>
                <w:b w:val="0"/>
                <w:bCs w:val="0"/>
              </w:rPr>
              <w:t>Iceland</w:t>
            </w:r>
          </w:p>
        </w:tc>
        <w:tc>
          <w:tcPr>
            <w:tcW w:w="980" w:type="dxa"/>
            <w:noWrap/>
            <w:hideMark/>
          </w:tcPr>
          <w:p w:rsidR="000C0A41" w:rsidRPr="002349ED" w:rsidRDefault="000C0A41" w:rsidP="00B06BEB">
            <w:pPr>
              <w:jc w:val="center"/>
              <w:cnfStyle w:val="000000100000" w:firstRow="0" w:lastRow="0" w:firstColumn="0" w:lastColumn="0" w:oddVBand="0" w:evenVBand="0" w:oddHBand="1" w:evenHBand="0" w:firstRowFirstColumn="0" w:firstRowLastColumn="0" w:lastRowFirstColumn="0" w:lastRowLastColumn="0"/>
            </w:pPr>
            <w:r w:rsidRPr="002349ED">
              <w:rPr>
                <w:bCs/>
              </w:rPr>
              <w:t>402</w:t>
            </w:r>
          </w:p>
        </w:tc>
        <w:tc>
          <w:tcPr>
            <w:tcW w:w="980" w:type="dxa"/>
            <w:noWrap/>
            <w:hideMark/>
          </w:tcPr>
          <w:p w:rsidR="000C0A41" w:rsidRPr="002349ED" w:rsidRDefault="000C0A41" w:rsidP="00B06BEB">
            <w:pPr>
              <w:jc w:val="center"/>
              <w:cnfStyle w:val="000000100000" w:firstRow="0" w:lastRow="0" w:firstColumn="0" w:lastColumn="0" w:oddVBand="0" w:evenVBand="0" w:oddHBand="1" w:evenHBand="0" w:firstRowFirstColumn="0" w:firstRowLastColumn="0" w:lastRowFirstColumn="0" w:lastRowLastColumn="0"/>
            </w:pPr>
            <w:r w:rsidRPr="002349ED">
              <w:rPr>
                <w:bCs/>
              </w:rPr>
              <w:t>8.6%</w:t>
            </w:r>
          </w:p>
        </w:tc>
        <w:tc>
          <w:tcPr>
            <w:tcW w:w="1008" w:type="dxa"/>
            <w:noWrap/>
            <w:hideMark/>
          </w:tcPr>
          <w:p w:rsidR="000C0A41" w:rsidRPr="002349ED" w:rsidRDefault="000C0A41" w:rsidP="00B06BEB">
            <w:pPr>
              <w:jc w:val="center"/>
              <w:cnfStyle w:val="000000100000" w:firstRow="0" w:lastRow="0" w:firstColumn="0" w:lastColumn="0" w:oddVBand="0" w:evenVBand="0" w:oddHBand="1" w:evenHBand="0" w:firstRowFirstColumn="0" w:firstRowLastColumn="0" w:lastRowFirstColumn="0" w:lastRowLastColumn="0"/>
            </w:pPr>
            <w:r w:rsidRPr="002349ED">
              <w:rPr>
                <w:bCs/>
              </w:rPr>
              <w:t>353</w:t>
            </w:r>
          </w:p>
        </w:tc>
        <w:tc>
          <w:tcPr>
            <w:tcW w:w="980" w:type="dxa"/>
            <w:noWrap/>
            <w:hideMark/>
          </w:tcPr>
          <w:p w:rsidR="000C0A41" w:rsidRPr="002349ED" w:rsidRDefault="000C0A41" w:rsidP="00B06BEB">
            <w:pPr>
              <w:jc w:val="center"/>
              <w:cnfStyle w:val="000000100000" w:firstRow="0" w:lastRow="0" w:firstColumn="0" w:lastColumn="0" w:oddVBand="0" w:evenVBand="0" w:oddHBand="1" w:evenHBand="0" w:firstRowFirstColumn="0" w:firstRowLastColumn="0" w:lastRowFirstColumn="0" w:lastRowLastColumn="0"/>
            </w:pPr>
            <w:r w:rsidRPr="002349ED">
              <w:rPr>
                <w:bCs/>
              </w:rPr>
              <w:t>9.4%</w:t>
            </w:r>
          </w:p>
        </w:tc>
        <w:tc>
          <w:tcPr>
            <w:tcW w:w="1000" w:type="dxa"/>
            <w:noWrap/>
            <w:hideMark/>
          </w:tcPr>
          <w:p w:rsidR="000C0A41" w:rsidRPr="002349ED" w:rsidRDefault="000C0A41" w:rsidP="00B06BEB">
            <w:pPr>
              <w:jc w:val="center"/>
              <w:cnfStyle w:val="000000100000" w:firstRow="0" w:lastRow="0" w:firstColumn="0" w:lastColumn="0" w:oddVBand="0" w:evenVBand="0" w:oddHBand="1" w:evenHBand="0" w:firstRowFirstColumn="0" w:firstRowLastColumn="0" w:lastRowFirstColumn="0" w:lastRowLastColumn="0"/>
            </w:pPr>
            <w:r w:rsidRPr="002349ED">
              <w:rPr>
                <w:bCs/>
              </w:rPr>
              <w:t>755</w:t>
            </w:r>
          </w:p>
        </w:tc>
        <w:tc>
          <w:tcPr>
            <w:tcW w:w="980" w:type="dxa"/>
            <w:noWrap/>
            <w:hideMark/>
          </w:tcPr>
          <w:p w:rsidR="000C0A41" w:rsidRPr="002349ED" w:rsidRDefault="000C0A41" w:rsidP="00B06BEB">
            <w:pPr>
              <w:jc w:val="center"/>
              <w:cnfStyle w:val="000000100000" w:firstRow="0" w:lastRow="0" w:firstColumn="0" w:lastColumn="0" w:oddVBand="0" w:evenVBand="0" w:oddHBand="1" w:evenHBand="0" w:firstRowFirstColumn="0" w:firstRowLastColumn="0" w:lastRowFirstColumn="0" w:lastRowLastColumn="0"/>
            </w:pPr>
            <w:r w:rsidRPr="002349ED">
              <w:rPr>
                <w:bCs/>
              </w:rPr>
              <w:t>8.9%</w:t>
            </w:r>
          </w:p>
        </w:tc>
      </w:tr>
      <w:tr w:rsidR="000C0A41" w:rsidRPr="002349ED" w:rsidTr="00507CFD">
        <w:trPr>
          <w:trHeight w:val="300"/>
          <w:jc w:val="center"/>
        </w:trPr>
        <w:tc>
          <w:tcPr>
            <w:cnfStyle w:val="001000000000" w:firstRow="0" w:lastRow="0" w:firstColumn="1" w:lastColumn="0" w:oddVBand="0" w:evenVBand="0" w:oddHBand="0" w:evenHBand="0" w:firstRowFirstColumn="0" w:firstRowLastColumn="0" w:lastRowFirstColumn="0" w:lastRowLastColumn="0"/>
            <w:tcW w:w="1824" w:type="dxa"/>
            <w:noWrap/>
            <w:hideMark/>
          </w:tcPr>
          <w:p w:rsidR="000C0A41" w:rsidRPr="002349ED" w:rsidRDefault="000C0A41" w:rsidP="002349ED">
            <w:pPr>
              <w:rPr>
                <w:b w:val="0"/>
                <w:bCs w:val="0"/>
              </w:rPr>
            </w:pPr>
            <w:r w:rsidRPr="002349ED">
              <w:rPr>
                <w:b w:val="0"/>
                <w:bCs w:val="0"/>
              </w:rPr>
              <w:t>Germany</w:t>
            </w:r>
          </w:p>
        </w:tc>
        <w:tc>
          <w:tcPr>
            <w:tcW w:w="980" w:type="dxa"/>
            <w:noWrap/>
            <w:hideMark/>
          </w:tcPr>
          <w:p w:rsidR="000C0A41" w:rsidRPr="002349ED" w:rsidRDefault="000C0A41" w:rsidP="00B06BEB">
            <w:pPr>
              <w:jc w:val="center"/>
              <w:cnfStyle w:val="000000000000" w:firstRow="0" w:lastRow="0" w:firstColumn="0" w:lastColumn="0" w:oddVBand="0" w:evenVBand="0" w:oddHBand="0" w:evenHBand="0" w:firstRowFirstColumn="0" w:firstRowLastColumn="0" w:lastRowFirstColumn="0" w:lastRowLastColumn="0"/>
            </w:pPr>
            <w:r w:rsidRPr="002349ED">
              <w:rPr>
                <w:bCs/>
              </w:rPr>
              <w:t>349</w:t>
            </w:r>
          </w:p>
        </w:tc>
        <w:tc>
          <w:tcPr>
            <w:tcW w:w="980" w:type="dxa"/>
            <w:noWrap/>
            <w:hideMark/>
          </w:tcPr>
          <w:p w:rsidR="000C0A41" w:rsidRPr="002349ED" w:rsidRDefault="000C0A41" w:rsidP="00B06BEB">
            <w:pPr>
              <w:jc w:val="center"/>
              <w:cnfStyle w:val="000000000000" w:firstRow="0" w:lastRow="0" w:firstColumn="0" w:lastColumn="0" w:oddVBand="0" w:evenVBand="0" w:oddHBand="0" w:evenHBand="0" w:firstRowFirstColumn="0" w:firstRowLastColumn="0" w:lastRowFirstColumn="0" w:lastRowLastColumn="0"/>
            </w:pPr>
            <w:r w:rsidRPr="002349ED">
              <w:rPr>
                <w:bCs/>
              </w:rPr>
              <w:t>8.6%</w:t>
            </w:r>
          </w:p>
        </w:tc>
        <w:tc>
          <w:tcPr>
            <w:tcW w:w="1008" w:type="dxa"/>
            <w:noWrap/>
            <w:hideMark/>
          </w:tcPr>
          <w:p w:rsidR="000C0A41" w:rsidRPr="002349ED" w:rsidRDefault="000C0A41" w:rsidP="00B06BEB">
            <w:pPr>
              <w:jc w:val="center"/>
              <w:cnfStyle w:val="000000000000" w:firstRow="0" w:lastRow="0" w:firstColumn="0" w:lastColumn="0" w:oddVBand="0" w:evenVBand="0" w:oddHBand="0" w:evenHBand="0" w:firstRowFirstColumn="0" w:firstRowLastColumn="0" w:lastRowFirstColumn="0" w:lastRowLastColumn="0"/>
            </w:pPr>
            <w:r w:rsidRPr="002349ED">
              <w:rPr>
                <w:bCs/>
              </w:rPr>
              <w:t>334</w:t>
            </w:r>
          </w:p>
        </w:tc>
        <w:tc>
          <w:tcPr>
            <w:tcW w:w="980" w:type="dxa"/>
            <w:noWrap/>
            <w:hideMark/>
          </w:tcPr>
          <w:p w:rsidR="000C0A41" w:rsidRPr="002349ED" w:rsidRDefault="000C0A41" w:rsidP="00B06BEB">
            <w:pPr>
              <w:jc w:val="center"/>
              <w:cnfStyle w:val="000000000000" w:firstRow="0" w:lastRow="0" w:firstColumn="0" w:lastColumn="0" w:oddVBand="0" w:evenVBand="0" w:oddHBand="0" w:evenHBand="0" w:firstRowFirstColumn="0" w:firstRowLastColumn="0" w:lastRowFirstColumn="0" w:lastRowLastColumn="0"/>
            </w:pPr>
            <w:r w:rsidRPr="002349ED">
              <w:rPr>
                <w:bCs/>
              </w:rPr>
              <w:t>3.7%</w:t>
            </w:r>
          </w:p>
        </w:tc>
        <w:tc>
          <w:tcPr>
            <w:tcW w:w="1000" w:type="dxa"/>
            <w:noWrap/>
            <w:hideMark/>
          </w:tcPr>
          <w:p w:rsidR="000C0A41" w:rsidRPr="002349ED" w:rsidRDefault="000C0A41" w:rsidP="00B06BEB">
            <w:pPr>
              <w:jc w:val="center"/>
              <w:cnfStyle w:val="000000000000" w:firstRow="0" w:lastRow="0" w:firstColumn="0" w:lastColumn="0" w:oddVBand="0" w:evenVBand="0" w:oddHBand="0" w:evenHBand="0" w:firstRowFirstColumn="0" w:firstRowLastColumn="0" w:lastRowFirstColumn="0" w:lastRowLastColumn="0"/>
            </w:pPr>
            <w:r w:rsidRPr="002349ED">
              <w:rPr>
                <w:bCs/>
              </w:rPr>
              <w:t>683</w:t>
            </w:r>
          </w:p>
        </w:tc>
        <w:tc>
          <w:tcPr>
            <w:tcW w:w="980" w:type="dxa"/>
            <w:noWrap/>
            <w:hideMark/>
          </w:tcPr>
          <w:p w:rsidR="000C0A41" w:rsidRPr="002349ED" w:rsidRDefault="000C0A41" w:rsidP="00B06BEB">
            <w:pPr>
              <w:jc w:val="center"/>
              <w:cnfStyle w:val="000000000000" w:firstRow="0" w:lastRow="0" w:firstColumn="0" w:lastColumn="0" w:oddVBand="0" w:evenVBand="0" w:oddHBand="0" w:evenHBand="0" w:firstRowFirstColumn="0" w:firstRowLastColumn="0" w:lastRowFirstColumn="0" w:lastRowLastColumn="0"/>
            </w:pPr>
            <w:r w:rsidRPr="002349ED">
              <w:rPr>
                <w:bCs/>
              </w:rPr>
              <w:t>5.9%</w:t>
            </w:r>
          </w:p>
        </w:tc>
      </w:tr>
      <w:tr w:rsidR="000C0A41" w:rsidRPr="002349ED" w:rsidTr="00507CF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4" w:type="dxa"/>
            <w:noWrap/>
            <w:hideMark/>
          </w:tcPr>
          <w:p w:rsidR="000C0A41" w:rsidRPr="002349ED" w:rsidRDefault="000C0A41" w:rsidP="002349ED">
            <w:pPr>
              <w:rPr>
                <w:b w:val="0"/>
                <w:bCs w:val="0"/>
              </w:rPr>
            </w:pPr>
            <w:r w:rsidRPr="002349ED">
              <w:rPr>
                <w:b w:val="0"/>
                <w:bCs w:val="0"/>
              </w:rPr>
              <w:t>Poland</w:t>
            </w:r>
          </w:p>
        </w:tc>
        <w:tc>
          <w:tcPr>
            <w:tcW w:w="980" w:type="dxa"/>
            <w:noWrap/>
            <w:hideMark/>
          </w:tcPr>
          <w:p w:rsidR="000C0A41" w:rsidRPr="002349ED" w:rsidRDefault="000C0A41" w:rsidP="00B06BEB">
            <w:pPr>
              <w:jc w:val="center"/>
              <w:cnfStyle w:val="000000100000" w:firstRow="0" w:lastRow="0" w:firstColumn="0" w:lastColumn="0" w:oddVBand="0" w:evenVBand="0" w:oddHBand="1" w:evenHBand="0" w:firstRowFirstColumn="0" w:firstRowLastColumn="0" w:lastRowFirstColumn="0" w:lastRowLastColumn="0"/>
            </w:pPr>
            <w:r w:rsidRPr="002349ED">
              <w:rPr>
                <w:bCs/>
              </w:rPr>
              <w:t>266</w:t>
            </w:r>
          </w:p>
        </w:tc>
        <w:tc>
          <w:tcPr>
            <w:tcW w:w="980" w:type="dxa"/>
            <w:noWrap/>
            <w:hideMark/>
          </w:tcPr>
          <w:p w:rsidR="000C0A41" w:rsidRPr="002349ED" w:rsidRDefault="000C0A41" w:rsidP="00B06BEB">
            <w:pPr>
              <w:jc w:val="center"/>
              <w:cnfStyle w:val="000000100000" w:firstRow="0" w:lastRow="0" w:firstColumn="0" w:lastColumn="0" w:oddVBand="0" w:evenVBand="0" w:oddHBand="1" w:evenHBand="0" w:firstRowFirstColumn="0" w:firstRowLastColumn="0" w:lastRowFirstColumn="0" w:lastRowLastColumn="0"/>
            </w:pPr>
            <w:r w:rsidRPr="002349ED">
              <w:rPr>
                <w:bCs/>
              </w:rPr>
              <w:t>13.3%</w:t>
            </w:r>
          </w:p>
        </w:tc>
        <w:tc>
          <w:tcPr>
            <w:tcW w:w="1008" w:type="dxa"/>
            <w:noWrap/>
            <w:hideMark/>
          </w:tcPr>
          <w:p w:rsidR="000C0A41" w:rsidRPr="002349ED" w:rsidRDefault="000C0A41" w:rsidP="00B06BEB">
            <w:pPr>
              <w:jc w:val="center"/>
              <w:cnfStyle w:val="000000100000" w:firstRow="0" w:lastRow="0" w:firstColumn="0" w:lastColumn="0" w:oddVBand="0" w:evenVBand="0" w:oddHBand="1" w:evenHBand="0" w:firstRowFirstColumn="0" w:firstRowLastColumn="0" w:lastRowFirstColumn="0" w:lastRowLastColumn="0"/>
            </w:pPr>
            <w:r w:rsidRPr="002349ED">
              <w:rPr>
                <w:bCs/>
              </w:rPr>
              <w:t>260</w:t>
            </w:r>
          </w:p>
        </w:tc>
        <w:tc>
          <w:tcPr>
            <w:tcW w:w="980" w:type="dxa"/>
            <w:noWrap/>
            <w:hideMark/>
          </w:tcPr>
          <w:p w:rsidR="000C0A41" w:rsidRPr="002349ED" w:rsidRDefault="000C0A41" w:rsidP="00B06BEB">
            <w:pPr>
              <w:jc w:val="center"/>
              <w:cnfStyle w:val="000000100000" w:firstRow="0" w:lastRow="0" w:firstColumn="0" w:lastColumn="0" w:oddVBand="0" w:evenVBand="0" w:oddHBand="1" w:evenHBand="0" w:firstRowFirstColumn="0" w:firstRowLastColumn="0" w:lastRowFirstColumn="0" w:lastRowLastColumn="0"/>
            </w:pPr>
            <w:r w:rsidRPr="002349ED">
              <w:rPr>
                <w:bCs/>
              </w:rPr>
              <w:t>8.6%</w:t>
            </w:r>
          </w:p>
        </w:tc>
        <w:tc>
          <w:tcPr>
            <w:tcW w:w="1000" w:type="dxa"/>
            <w:noWrap/>
            <w:hideMark/>
          </w:tcPr>
          <w:p w:rsidR="000C0A41" w:rsidRPr="002349ED" w:rsidRDefault="000C0A41" w:rsidP="00B06BEB">
            <w:pPr>
              <w:jc w:val="center"/>
              <w:cnfStyle w:val="000000100000" w:firstRow="0" w:lastRow="0" w:firstColumn="0" w:lastColumn="0" w:oddVBand="0" w:evenVBand="0" w:oddHBand="1" w:evenHBand="0" w:firstRowFirstColumn="0" w:firstRowLastColumn="0" w:lastRowFirstColumn="0" w:lastRowLastColumn="0"/>
            </w:pPr>
            <w:r w:rsidRPr="002349ED">
              <w:rPr>
                <w:bCs/>
              </w:rPr>
              <w:t>526</w:t>
            </w:r>
          </w:p>
        </w:tc>
        <w:tc>
          <w:tcPr>
            <w:tcW w:w="980" w:type="dxa"/>
            <w:noWrap/>
            <w:hideMark/>
          </w:tcPr>
          <w:p w:rsidR="000C0A41" w:rsidRPr="002349ED" w:rsidRDefault="000C0A41" w:rsidP="00B06BEB">
            <w:pPr>
              <w:jc w:val="center"/>
              <w:cnfStyle w:val="000000100000" w:firstRow="0" w:lastRow="0" w:firstColumn="0" w:lastColumn="0" w:oddVBand="0" w:evenVBand="0" w:oddHBand="1" w:evenHBand="0" w:firstRowFirstColumn="0" w:firstRowLastColumn="0" w:lastRowFirstColumn="0" w:lastRowLastColumn="0"/>
            </w:pPr>
            <w:r w:rsidRPr="002349ED">
              <w:rPr>
                <w:bCs/>
              </w:rPr>
              <w:t>10.9%</w:t>
            </w:r>
          </w:p>
        </w:tc>
      </w:tr>
      <w:tr w:rsidR="000C0A41" w:rsidRPr="002349ED" w:rsidTr="00507CFD">
        <w:trPr>
          <w:trHeight w:val="300"/>
          <w:jc w:val="center"/>
        </w:trPr>
        <w:tc>
          <w:tcPr>
            <w:cnfStyle w:val="001000000000" w:firstRow="0" w:lastRow="0" w:firstColumn="1" w:lastColumn="0" w:oddVBand="0" w:evenVBand="0" w:oddHBand="0" w:evenHBand="0" w:firstRowFirstColumn="0" w:firstRowLastColumn="0" w:lastRowFirstColumn="0" w:lastRowLastColumn="0"/>
            <w:tcW w:w="1824" w:type="dxa"/>
            <w:noWrap/>
            <w:hideMark/>
          </w:tcPr>
          <w:p w:rsidR="000C0A41" w:rsidRPr="002349ED" w:rsidRDefault="000C0A41" w:rsidP="002349ED">
            <w:pPr>
              <w:rPr>
                <w:b w:val="0"/>
                <w:bCs w:val="0"/>
              </w:rPr>
            </w:pPr>
            <w:r w:rsidRPr="002349ED">
              <w:rPr>
                <w:b w:val="0"/>
                <w:bCs w:val="0"/>
              </w:rPr>
              <w:t>Norway</w:t>
            </w:r>
          </w:p>
        </w:tc>
        <w:tc>
          <w:tcPr>
            <w:tcW w:w="980" w:type="dxa"/>
            <w:noWrap/>
            <w:hideMark/>
          </w:tcPr>
          <w:p w:rsidR="000C0A41" w:rsidRPr="002349ED" w:rsidRDefault="000C0A41" w:rsidP="00B06BEB">
            <w:pPr>
              <w:jc w:val="center"/>
              <w:cnfStyle w:val="000000000000" w:firstRow="0" w:lastRow="0" w:firstColumn="0" w:lastColumn="0" w:oddVBand="0" w:evenVBand="0" w:oddHBand="0" w:evenHBand="0" w:firstRowFirstColumn="0" w:firstRowLastColumn="0" w:lastRowFirstColumn="0" w:lastRowLastColumn="0"/>
            </w:pPr>
            <w:r w:rsidRPr="002349ED">
              <w:rPr>
                <w:bCs/>
              </w:rPr>
              <w:t>324</w:t>
            </w:r>
          </w:p>
        </w:tc>
        <w:tc>
          <w:tcPr>
            <w:tcW w:w="980" w:type="dxa"/>
            <w:noWrap/>
            <w:hideMark/>
          </w:tcPr>
          <w:p w:rsidR="000C0A41" w:rsidRPr="002349ED" w:rsidRDefault="000C0A41" w:rsidP="00B06BEB">
            <w:pPr>
              <w:jc w:val="center"/>
              <w:cnfStyle w:val="000000000000" w:firstRow="0" w:lastRow="0" w:firstColumn="0" w:lastColumn="0" w:oddVBand="0" w:evenVBand="0" w:oddHBand="0" w:evenHBand="0" w:firstRowFirstColumn="0" w:firstRowLastColumn="0" w:lastRowFirstColumn="0" w:lastRowLastColumn="0"/>
            </w:pPr>
            <w:r w:rsidRPr="002349ED">
              <w:rPr>
                <w:bCs/>
              </w:rPr>
              <w:t>11.0%</w:t>
            </w:r>
          </w:p>
        </w:tc>
        <w:tc>
          <w:tcPr>
            <w:tcW w:w="1008" w:type="dxa"/>
            <w:noWrap/>
            <w:hideMark/>
          </w:tcPr>
          <w:p w:rsidR="000C0A41" w:rsidRPr="002349ED" w:rsidRDefault="000C0A41" w:rsidP="00B06BEB">
            <w:pPr>
              <w:jc w:val="center"/>
              <w:cnfStyle w:val="000000000000" w:firstRow="0" w:lastRow="0" w:firstColumn="0" w:lastColumn="0" w:oddVBand="0" w:evenVBand="0" w:oddHBand="0" w:evenHBand="0" w:firstRowFirstColumn="0" w:firstRowLastColumn="0" w:lastRowFirstColumn="0" w:lastRowLastColumn="0"/>
            </w:pPr>
            <w:r w:rsidRPr="002349ED">
              <w:rPr>
                <w:bCs/>
              </w:rPr>
              <w:t>334</w:t>
            </w:r>
          </w:p>
        </w:tc>
        <w:tc>
          <w:tcPr>
            <w:tcW w:w="980" w:type="dxa"/>
            <w:noWrap/>
            <w:hideMark/>
          </w:tcPr>
          <w:p w:rsidR="000C0A41" w:rsidRPr="002349ED" w:rsidRDefault="000C0A41" w:rsidP="00B06BEB">
            <w:pPr>
              <w:jc w:val="center"/>
              <w:cnfStyle w:val="000000000000" w:firstRow="0" w:lastRow="0" w:firstColumn="0" w:lastColumn="0" w:oddVBand="0" w:evenVBand="0" w:oddHBand="0" w:evenHBand="0" w:firstRowFirstColumn="0" w:firstRowLastColumn="0" w:lastRowFirstColumn="0" w:lastRowLastColumn="0"/>
            </w:pPr>
            <w:r w:rsidRPr="002349ED">
              <w:rPr>
                <w:bCs/>
              </w:rPr>
              <w:t>5.9%</w:t>
            </w:r>
          </w:p>
        </w:tc>
        <w:tc>
          <w:tcPr>
            <w:tcW w:w="1000" w:type="dxa"/>
            <w:noWrap/>
            <w:hideMark/>
          </w:tcPr>
          <w:p w:rsidR="000C0A41" w:rsidRPr="002349ED" w:rsidRDefault="000C0A41" w:rsidP="00B06BEB">
            <w:pPr>
              <w:jc w:val="center"/>
              <w:cnfStyle w:val="000000000000" w:firstRow="0" w:lastRow="0" w:firstColumn="0" w:lastColumn="0" w:oddVBand="0" w:evenVBand="0" w:oddHBand="0" w:evenHBand="0" w:firstRowFirstColumn="0" w:firstRowLastColumn="0" w:lastRowFirstColumn="0" w:lastRowLastColumn="0"/>
            </w:pPr>
            <w:r w:rsidRPr="002349ED">
              <w:rPr>
                <w:bCs/>
              </w:rPr>
              <w:t>658</w:t>
            </w:r>
          </w:p>
        </w:tc>
        <w:tc>
          <w:tcPr>
            <w:tcW w:w="980" w:type="dxa"/>
            <w:noWrap/>
            <w:hideMark/>
          </w:tcPr>
          <w:p w:rsidR="000C0A41" w:rsidRPr="002349ED" w:rsidRDefault="000C0A41" w:rsidP="00B06BEB">
            <w:pPr>
              <w:jc w:val="center"/>
              <w:cnfStyle w:val="000000000000" w:firstRow="0" w:lastRow="0" w:firstColumn="0" w:lastColumn="0" w:oddVBand="0" w:evenVBand="0" w:oddHBand="0" w:evenHBand="0" w:firstRowFirstColumn="0" w:firstRowLastColumn="0" w:lastRowFirstColumn="0" w:lastRowLastColumn="0"/>
            </w:pPr>
            <w:r w:rsidRPr="002349ED">
              <w:rPr>
                <w:bCs/>
              </w:rPr>
              <w:t>8.3%</w:t>
            </w:r>
          </w:p>
        </w:tc>
      </w:tr>
      <w:tr w:rsidR="000C0A41" w:rsidRPr="002349ED" w:rsidTr="00507CF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4" w:type="dxa"/>
            <w:noWrap/>
            <w:hideMark/>
          </w:tcPr>
          <w:p w:rsidR="000C0A41" w:rsidRPr="002349ED" w:rsidRDefault="000C0A41" w:rsidP="002349ED">
            <w:pPr>
              <w:rPr>
                <w:b w:val="0"/>
                <w:bCs w:val="0"/>
              </w:rPr>
            </w:pPr>
            <w:r w:rsidRPr="002349ED">
              <w:rPr>
                <w:b w:val="0"/>
                <w:bCs w:val="0"/>
              </w:rPr>
              <w:t>Canada</w:t>
            </w:r>
          </w:p>
        </w:tc>
        <w:tc>
          <w:tcPr>
            <w:tcW w:w="980" w:type="dxa"/>
            <w:noWrap/>
            <w:hideMark/>
          </w:tcPr>
          <w:p w:rsidR="000C0A41" w:rsidRPr="002349ED" w:rsidRDefault="000C0A41" w:rsidP="00B06BEB">
            <w:pPr>
              <w:jc w:val="center"/>
              <w:cnfStyle w:val="000000100000" w:firstRow="0" w:lastRow="0" w:firstColumn="0" w:lastColumn="0" w:oddVBand="0" w:evenVBand="0" w:oddHBand="1" w:evenHBand="0" w:firstRowFirstColumn="0" w:firstRowLastColumn="0" w:lastRowFirstColumn="0" w:lastRowLastColumn="0"/>
            </w:pPr>
            <w:r w:rsidRPr="002349ED">
              <w:rPr>
                <w:bCs/>
              </w:rPr>
              <w:t>344</w:t>
            </w:r>
          </w:p>
        </w:tc>
        <w:tc>
          <w:tcPr>
            <w:tcW w:w="980" w:type="dxa"/>
            <w:noWrap/>
            <w:hideMark/>
          </w:tcPr>
          <w:p w:rsidR="000C0A41" w:rsidRPr="002349ED" w:rsidRDefault="000C0A41" w:rsidP="00B06BEB">
            <w:pPr>
              <w:jc w:val="center"/>
              <w:cnfStyle w:val="000000100000" w:firstRow="0" w:lastRow="0" w:firstColumn="0" w:lastColumn="0" w:oddVBand="0" w:evenVBand="0" w:oddHBand="1" w:evenHBand="0" w:firstRowFirstColumn="0" w:firstRowLastColumn="0" w:lastRowFirstColumn="0" w:lastRowLastColumn="0"/>
            </w:pPr>
            <w:r w:rsidRPr="002349ED">
              <w:rPr>
                <w:bCs/>
              </w:rPr>
              <w:t>9.3%</w:t>
            </w:r>
          </w:p>
        </w:tc>
        <w:tc>
          <w:tcPr>
            <w:tcW w:w="1008" w:type="dxa"/>
            <w:noWrap/>
            <w:hideMark/>
          </w:tcPr>
          <w:p w:rsidR="000C0A41" w:rsidRPr="002349ED" w:rsidRDefault="000C0A41" w:rsidP="00B06BEB">
            <w:pPr>
              <w:jc w:val="center"/>
              <w:cnfStyle w:val="000000100000" w:firstRow="0" w:lastRow="0" w:firstColumn="0" w:lastColumn="0" w:oddVBand="0" w:evenVBand="0" w:oddHBand="1" w:evenHBand="0" w:firstRowFirstColumn="0" w:firstRowLastColumn="0" w:lastRowFirstColumn="0" w:lastRowLastColumn="0"/>
            </w:pPr>
            <w:r w:rsidRPr="002349ED">
              <w:rPr>
                <w:bCs/>
              </w:rPr>
              <w:t>483</w:t>
            </w:r>
          </w:p>
        </w:tc>
        <w:tc>
          <w:tcPr>
            <w:tcW w:w="980" w:type="dxa"/>
            <w:noWrap/>
            <w:hideMark/>
          </w:tcPr>
          <w:p w:rsidR="000C0A41" w:rsidRPr="002349ED" w:rsidRDefault="000C0A41" w:rsidP="00B06BEB">
            <w:pPr>
              <w:jc w:val="center"/>
              <w:cnfStyle w:val="000000100000" w:firstRow="0" w:lastRow="0" w:firstColumn="0" w:lastColumn="0" w:oddVBand="0" w:evenVBand="0" w:oddHBand="1" w:evenHBand="0" w:firstRowFirstColumn="0" w:firstRowLastColumn="0" w:lastRowFirstColumn="0" w:lastRowLastColumn="0"/>
            </w:pPr>
            <w:r w:rsidRPr="002349ED">
              <w:rPr>
                <w:bCs/>
              </w:rPr>
              <w:t>7.3%</w:t>
            </w:r>
          </w:p>
        </w:tc>
        <w:tc>
          <w:tcPr>
            <w:tcW w:w="1000" w:type="dxa"/>
            <w:noWrap/>
            <w:hideMark/>
          </w:tcPr>
          <w:p w:rsidR="000C0A41" w:rsidRPr="002349ED" w:rsidRDefault="000C0A41" w:rsidP="00B06BEB">
            <w:pPr>
              <w:jc w:val="center"/>
              <w:cnfStyle w:val="000000100000" w:firstRow="0" w:lastRow="0" w:firstColumn="0" w:lastColumn="0" w:oddVBand="0" w:evenVBand="0" w:oddHBand="1" w:evenHBand="0" w:firstRowFirstColumn="0" w:firstRowLastColumn="0" w:lastRowFirstColumn="0" w:lastRowLastColumn="0"/>
            </w:pPr>
            <w:r w:rsidRPr="002349ED">
              <w:rPr>
                <w:bCs/>
              </w:rPr>
              <w:t>827</w:t>
            </w:r>
          </w:p>
        </w:tc>
        <w:tc>
          <w:tcPr>
            <w:tcW w:w="980" w:type="dxa"/>
            <w:noWrap/>
            <w:hideMark/>
          </w:tcPr>
          <w:p w:rsidR="000C0A41" w:rsidRPr="002349ED" w:rsidRDefault="000C0A41" w:rsidP="00B06BEB">
            <w:pPr>
              <w:jc w:val="center"/>
              <w:cnfStyle w:val="000000100000" w:firstRow="0" w:lastRow="0" w:firstColumn="0" w:lastColumn="0" w:oddVBand="0" w:evenVBand="0" w:oddHBand="1" w:evenHBand="0" w:firstRowFirstColumn="0" w:firstRowLastColumn="0" w:lastRowFirstColumn="0" w:lastRowLastColumn="0"/>
            </w:pPr>
            <w:r w:rsidRPr="002349ED">
              <w:rPr>
                <w:bCs/>
              </w:rPr>
              <w:t>25.7%</w:t>
            </w:r>
          </w:p>
        </w:tc>
      </w:tr>
      <w:tr w:rsidR="000C0A41" w:rsidRPr="002349ED" w:rsidTr="00507CFD">
        <w:trPr>
          <w:trHeight w:val="300"/>
          <w:jc w:val="center"/>
        </w:trPr>
        <w:tc>
          <w:tcPr>
            <w:cnfStyle w:val="001000000000" w:firstRow="0" w:lastRow="0" w:firstColumn="1" w:lastColumn="0" w:oddVBand="0" w:evenVBand="0" w:oddHBand="0" w:evenHBand="0" w:firstRowFirstColumn="0" w:firstRowLastColumn="0" w:lastRowFirstColumn="0" w:lastRowLastColumn="0"/>
            <w:tcW w:w="1824" w:type="dxa"/>
            <w:noWrap/>
            <w:hideMark/>
          </w:tcPr>
          <w:p w:rsidR="000C0A41" w:rsidRPr="002349ED" w:rsidRDefault="000C0A41" w:rsidP="002349ED">
            <w:pPr>
              <w:rPr>
                <w:b w:val="0"/>
                <w:bCs w:val="0"/>
              </w:rPr>
            </w:pPr>
            <w:r w:rsidRPr="002349ED">
              <w:rPr>
                <w:b w:val="0"/>
                <w:bCs w:val="0"/>
              </w:rPr>
              <w:t>USA</w:t>
            </w:r>
          </w:p>
        </w:tc>
        <w:tc>
          <w:tcPr>
            <w:tcW w:w="980" w:type="dxa"/>
            <w:noWrap/>
            <w:hideMark/>
          </w:tcPr>
          <w:p w:rsidR="000C0A41" w:rsidRPr="002349ED" w:rsidRDefault="000C0A41" w:rsidP="00B06BEB">
            <w:pPr>
              <w:jc w:val="center"/>
              <w:cnfStyle w:val="000000000000" w:firstRow="0" w:lastRow="0" w:firstColumn="0" w:lastColumn="0" w:oddVBand="0" w:evenVBand="0" w:oddHBand="0" w:evenHBand="0" w:firstRowFirstColumn="0" w:firstRowLastColumn="0" w:lastRowFirstColumn="0" w:lastRowLastColumn="0"/>
            </w:pPr>
            <w:r w:rsidRPr="002349ED">
              <w:rPr>
                <w:bCs/>
              </w:rPr>
              <w:t>206</w:t>
            </w:r>
          </w:p>
        </w:tc>
        <w:tc>
          <w:tcPr>
            <w:tcW w:w="980" w:type="dxa"/>
            <w:noWrap/>
            <w:hideMark/>
          </w:tcPr>
          <w:p w:rsidR="000C0A41" w:rsidRPr="002349ED" w:rsidRDefault="000C0A41" w:rsidP="00B06BEB">
            <w:pPr>
              <w:jc w:val="center"/>
              <w:cnfStyle w:val="000000000000" w:firstRow="0" w:lastRow="0" w:firstColumn="0" w:lastColumn="0" w:oddVBand="0" w:evenVBand="0" w:oddHBand="0" w:evenHBand="0" w:firstRowFirstColumn="0" w:firstRowLastColumn="0" w:lastRowFirstColumn="0" w:lastRowLastColumn="0"/>
            </w:pPr>
            <w:r w:rsidRPr="002349ED">
              <w:rPr>
                <w:bCs/>
              </w:rPr>
              <w:t>12.7%</w:t>
            </w:r>
          </w:p>
        </w:tc>
        <w:tc>
          <w:tcPr>
            <w:tcW w:w="1008" w:type="dxa"/>
            <w:noWrap/>
            <w:hideMark/>
          </w:tcPr>
          <w:p w:rsidR="000C0A41" w:rsidRPr="002349ED" w:rsidRDefault="000C0A41" w:rsidP="00B06BEB">
            <w:pPr>
              <w:jc w:val="center"/>
              <w:cnfStyle w:val="000000000000" w:firstRow="0" w:lastRow="0" w:firstColumn="0" w:lastColumn="0" w:oddVBand="0" w:evenVBand="0" w:oddHBand="0" w:evenHBand="0" w:firstRowFirstColumn="0" w:firstRowLastColumn="0" w:lastRowFirstColumn="0" w:lastRowLastColumn="0"/>
            </w:pPr>
            <w:r w:rsidRPr="002349ED">
              <w:rPr>
                <w:bCs/>
              </w:rPr>
              <w:t>302</w:t>
            </w:r>
          </w:p>
        </w:tc>
        <w:tc>
          <w:tcPr>
            <w:tcW w:w="980" w:type="dxa"/>
            <w:noWrap/>
            <w:hideMark/>
          </w:tcPr>
          <w:p w:rsidR="000C0A41" w:rsidRPr="002349ED" w:rsidRDefault="000C0A41" w:rsidP="00B06BEB">
            <w:pPr>
              <w:jc w:val="center"/>
              <w:cnfStyle w:val="000000000000" w:firstRow="0" w:lastRow="0" w:firstColumn="0" w:lastColumn="0" w:oddVBand="0" w:evenVBand="0" w:oddHBand="0" w:evenHBand="0" w:firstRowFirstColumn="0" w:firstRowLastColumn="0" w:lastRowFirstColumn="0" w:lastRowLastColumn="0"/>
            </w:pPr>
            <w:r w:rsidRPr="002349ED">
              <w:rPr>
                <w:bCs/>
              </w:rPr>
              <w:t>15.6%</w:t>
            </w:r>
          </w:p>
        </w:tc>
        <w:tc>
          <w:tcPr>
            <w:tcW w:w="1000" w:type="dxa"/>
            <w:noWrap/>
            <w:hideMark/>
          </w:tcPr>
          <w:p w:rsidR="000C0A41" w:rsidRPr="002349ED" w:rsidRDefault="000C0A41" w:rsidP="00B06BEB">
            <w:pPr>
              <w:jc w:val="center"/>
              <w:cnfStyle w:val="000000000000" w:firstRow="0" w:lastRow="0" w:firstColumn="0" w:lastColumn="0" w:oddVBand="0" w:evenVBand="0" w:oddHBand="0" w:evenHBand="0" w:firstRowFirstColumn="0" w:firstRowLastColumn="0" w:lastRowFirstColumn="0" w:lastRowLastColumn="0"/>
            </w:pPr>
            <w:r w:rsidRPr="002349ED">
              <w:rPr>
                <w:bCs/>
              </w:rPr>
              <w:t>508</w:t>
            </w:r>
          </w:p>
        </w:tc>
        <w:tc>
          <w:tcPr>
            <w:tcW w:w="980" w:type="dxa"/>
            <w:noWrap/>
            <w:hideMark/>
          </w:tcPr>
          <w:p w:rsidR="000C0A41" w:rsidRPr="002349ED" w:rsidRDefault="000C0A41" w:rsidP="00B06BEB">
            <w:pPr>
              <w:jc w:val="center"/>
              <w:cnfStyle w:val="000000000000" w:firstRow="0" w:lastRow="0" w:firstColumn="0" w:lastColumn="0" w:oddVBand="0" w:evenVBand="0" w:oddHBand="0" w:evenHBand="0" w:firstRowFirstColumn="0" w:firstRowLastColumn="0" w:lastRowFirstColumn="0" w:lastRowLastColumn="0"/>
            </w:pPr>
            <w:r w:rsidRPr="002349ED">
              <w:rPr>
                <w:bCs/>
              </w:rPr>
              <w:t>14.3%</w:t>
            </w:r>
          </w:p>
        </w:tc>
      </w:tr>
      <w:tr w:rsidR="000C0A41" w:rsidRPr="002349ED" w:rsidTr="00507CF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4" w:type="dxa"/>
            <w:noWrap/>
            <w:hideMark/>
          </w:tcPr>
          <w:p w:rsidR="000C0A41" w:rsidRPr="002349ED" w:rsidRDefault="000C0A41" w:rsidP="002349ED">
            <w:pPr>
              <w:rPr>
                <w:b w:val="0"/>
                <w:bCs w:val="0"/>
              </w:rPr>
            </w:pPr>
            <w:r w:rsidRPr="002349ED">
              <w:rPr>
                <w:b w:val="0"/>
                <w:bCs w:val="0"/>
              </w:rPr>
              <w:t>Philippines</w:t>
            </w:r>
          </w:p>
        </w:tc>
        <w:tc>
          <w:tcPr>
            <w:tcW w:w="980" w:type="dxa"/>
            <w:noWrap/>
            <w:hideMark/>
          </w:tcPr>
          <w:p w:rsidR="000C0A41" w:rsidRPr="002349ED" w:rsidRDefault="000C0A41" w:rsidP="00B06BEB">
            <w:pPr>
              <w:jc w:val="center"/>
              <w:cnfStyle w:val="000000100000" w:firstRow="0" w:lastRow="0" w:firstColumn="0" w:lastColumn="0" w:oddVBand="0" w:evenVBand="0" w:oddHBand="1" w:evenHBand="0" w:firstRowFirstColumn="0" w:firstRowLastColumn="0" w:lastRowFirstColumn="0" w:lastRowLastColumn="0"/>
            </w:pPr>
            <w:r w:rsidRPr="002349ED">
              <w:rPr>
                <w:bCs/>
              </w:rPr>
              <w:t>378</w:t>
            </w:r>
          </w:p>
        </w:tc>
        <w:tc>
          <w:tcPr>
            <w:tcW w:w="980" w:type="dxa"/>
            <w:noWrap/>
            <w:hideMark/>
          </w:tcPr>
          <w:p w:rsidR="000C0A41" w:rsidRPr="002349ED" w:rsidRDefault="000C0A41" w:rsidP="00B06BEB">
            <w:pPr>
              <w:jc w:val="center"/>
              <w:cnfStyle w:val="000000100000" w:firstRow="0" w:lastRow="0" w:firstColumn="0" w:lastColumn="0" w:oddVBand="0" w:evenVBand="0" w:oddHBand="1" w:evenHBand="0" w:firstRowFirstColumn="0" w:firstRowLastColumn="0" w:lastRowFirstColumn="0" w:lastRowLastColumn="0"/>
            </w:pPr>
            <w:r w:rsidRPr="002349ED">
              <w:rPr>
                <w:bCs/>
              </w:rPr>
              <w:t>18.7%</w:t>
            </w:r>
          </w:p>
        </w:tc>
        <w:tc>
          <w:tcPr>
            <w:tcW w:w="1008" w:type="dxa"/>
            <w:noWrap/>
            <w:hideMark/>
          </w:tcPr>
          <w:p w:rsidR="000C0A41" w:rsidRPr="002349ED" w:rsidRDefault="000C0A41" w:rsidP="00B06BEB">
            <w:pPr>
              <w:jc w:val="center"/>
              <w:cnfStyle w:val="000000100000" w:firstRow="0" w:lastRow="0" w:firstColumn="0" w:lastColumn="0" w:oddVBand="0" w:evenVBand="0" w:oddHBand="1" w:evenHBand="0" w:firstRowFirstColumn="0" w:firstRowLastColumn="0" w:lastRowFirstColumn="0" w:lastRowLastColumn="0"/>
            </w:pPr>
            <w:r w:rsidRPr="002349ED">
              <w:rPr>
                <w:bCs/>
              </w:rPr>
              <w:t>515</w:t>
            </w:r>
          </w:p>
        </w:tc>
        <w:tc>
          <w:tcPr>
            <w:tcW w:w="980" w:type="dxa"/>
            <w:noWrap/>
            <w:hideMark/>
          </w:tcPr>
          <w:p w:rsidR="000C0A41" w:rsidRPr="002349ED" w:rsidRDefault="000C0A41" w:rsidP="00B06BEB">
            <w:pPr>
              <w:jc w:val="center"/>
              <w:cnfStyle w:val="000000100000" w:firstRow="0" w:lastRow="0" w:firstColumn="0" w:lastColumn="0" w:oddVBand="0" w:evenVBand="0" w:oddHBand="1" w:evenHBand="0" w:firstRowFirstColumn="0" w:firstRowLastColumn="0" w:lastRowFirstColumn="0" w:lastRowLastColumn="0"/>
            </w:pPr>
            <w:r w:rsidRPr="002349ED">
              <w:rPr>
                <w:bCs/>
              </w:rPr>
              <w:t>6.8%</w:t>
            </w:r>
          </w:p>
        </w:tc>
        <w:tc>
          <w:tcPr>
            <w:tcW w:w="1000" w:type="dxa"/>
            <w:noWrap/>
            <w:hideMark/>
          </w:tcPr>
          <w:p w:rsidR="000C0A41" w:rsidRPr="002349ED" w:rsidRDefault="000C0A41" w:rsidP="00B06BEB">
            <w:pPr>
              <w:jc w:val="center"/>
              <w:cnfStyle w:val="000000100000" w:firstRow="0" w:lastRow="0" w:firstColumn="0" w:lastColumn="0" w:oddVBand="0" w:evenVBand="0" w:oddHBand="1" w:evenHBand="0" w:firstRowFirstColumn="0" w:firstRowLastColumn="0" w:lastRowFirstColumn="0" w:lastRowLastColumn="0"/>
            </w:pPr>
            <w:r w:rsidRPr="002349ED">
              <w:rPr>
                <w:bCs/>
              </w:rPr>
              <w:t>893</w:t>
            </w:r>
          </w:p>
        </w:tc>
        <w:tc>
          <w:tcPr>
            <w:tcW w:w="980" w:type="dxa"/>
            <w:noWrap/>
            <w:hideMark/>
          </w:tcPr>
          <w:p w:rsidR="000C0A41" w:rsidRPr="002349ED" w:rsidRDefault="000C0A41" w:rsidP="00B06BEB">
            <w:pPr>
              <w:jc w:val="center"/>
              <w:cnfStyle w:val="000000100000" w:firstRow="0" w:lastRow="0" w:firstColumn="0" w:lastColumn="0" w:oddVBand="0" w:evenVBand="0" w:oddHBand="1" w:evenHBand="0" w:firstRowFirstColumn="0" w:firstRowLastColumn="0" w:lastRowFirstColumn="0" w:lastRowLastColumn="0"/>
            </w:pPr>
            <w:r w:rsidRPr="002349ED">
              <w:rPr>
                <w:bCs/>
              </w:rPr>
              <w:t>12.5%</w:t>
            </w:r>
          </w:p>
        </w:tc>
      </w:tr>
      <w:tr w:rsidR="000C0A41" w:rsidRPr="002349ED" w:rsidTr="00507CFD">
        <w:trPr>
          <w:trHeight w:val="300"/>
          <w:jc w:val="center"/>
        </w:trPr>
        <w:tc>
          <w:tcPr>
            <w:cnfStyle w:val="001000000000" w:firstRow="0" w:lastRow="0" w:firstColumn="1" w:lastColumn="0" w:oddVBand="0" w:evenVBand="0" w:oddHBand="0" w:evenHBand="0" w:firstRowFirstColumn="0" w:firstRowLastColumn="0" w:lastRowFirstColumn="0" w:lastRowLastColumn="0"/>
            <w:tcW w:w="1824" w:type="dxa"/>
            <w:noWrap/>
            <w:hideMark/>
          </w:tcPr>
          <w:p w:rsidR="000C0A41" w:rsidRPr="002349ED" w:rsidRDefault="000C0A41" w:rsidP="002349ED">
            <w:pPr>
              <w:rPr>
                <w:b w:val="0"/>
                <w:bCs w:val="0"/>
              </w:rPr>
            </w:pPr>
            <w:r w:rsidRPr="002349ED">
              <w:rPr>
                <w:b w:val="0"/>
                <w:bCs w:val="0"/>
              </w:rPr>
              <w:lastRenderedPageBreak/>
              <w:t>Australia</w:t>
            </w:r>
          </w:p>
        </w:tc>
        <w:tc>
          <w:tcPr>
            <w:tcW w:w="980" w:type="dxa"/>
            <w:noWrap/>
            <w:hideMark/>
          </w:tcPr>
          <w:p w:rsidR="000C0A41" w:rsidRPr="002349ED" w:rsidRDefault="000C0A41" w:rsidP="00B06BEB">
            <w:pPr>
              <w:jc w:val="center"/>
              <w:cnfStyle w:val="000000000000" w:firstRow="0" w:lastRow="0" w:firstColumn="0" w:lastColumn="0" w:oddVBand="0" w:evenVBand="0" w:oddHBand="0" w:evenHBand="0" w:firstRowFirstColumn="0" w:firstRowLastColumn="0" w:lastRowFirstColumn="0" w:lastRowLastColumn="0"/>
            </w:pPr>
            <w:r w:rsidRPr="002349ED">
              <w:rPr>
                <w:bCs/>
              </w:rPr>
              <w:t>265</w:t>
            </w:r>
          </w:p>
        </w:tc>
        <w:tc>
          <w:tcPr>
            <w:tcW w:w="980" w:type="dxa"/>
            <w:noWrap/>
            <w:hideMark/>
          </w:tcPr>
          <w:p w:rsidR="000C0A41" w:rsidRPr="002349ED" w:rsidRDefault="000C0A41" w:rsidP="00B06BEB">
            <w:pPr>
              <w:jc w:val="center"/>
              <w:cnfStyle w:val="000000000000" w:firstRow="0" w:lastRow="0" w:firstColumn="0" w:lastColumn="0" w:oddVBand="0" w:evenVBand="0" w:oddHBand="0" w:evenHBand="0" w:firstRowFirstColumn="0" w:firstRowLastColumn="0" w:lastRowFirstColumn="0" w:lastRowLastColumn="0"/>
            </w:pPr>
            <w:r w:rsidRPr="002349ED">
              <w:rPr>
                <w:bCs/>
              </w:rPr>
              <w:t>9.3%</w:t>
            </w:r>
          </w:p>
        </w:tc>
        <w:tc>
          <w:tcPr>
            <w:tcW w:w="1008" w:type="dxa"/>
            <w:noWrap/>
            <w:hideMark/>
          </w:tcPr>
          <w:p w:rsidR="000C0A41" w:rsidRPr="002349ED" w:rsidRDefault="000C0A41" w:rsidP="00B06BEB">
            <w:pPr>
              <w:jc w:val="center"/>
              <w:cnfStyle w:val="000000000000" w:firstRow="0" w:lastRow="0" w:firstColumn="0" w:lastColumn="0" w:oddVBand="0" w:evenVBand="0" w:oddHBand="0" w:evenHBand="0" w:firstRowFirstColumn="0" w:firstRowLastColumn="0" w:lastRowFirstColumn="0" w:lastRowLastColumn="0"/>
            </w:pPr>
            <w:r w:rsidRPr="002349ED">
              <w:rPr>
                <w:bCs/>
              </w:rPr>
              <w:t>276</w:t>
            </w:r>
          </w:p>
        </w:tc>
        <w:tc>
          <w:tcPr>
            <w:tcW w:w="980" w:type="dxa"/>
            <w:noWrap/>
            <w:hideMark/>
          </w:tcPr>
          <w:p w:rsidR="000C0A41" w:rsidRPr="002349ED" w:rsidRDefault="000C0A41" w:rsidP="00B06BEB">
            <w:pPr>
              <w:jc w:val="center"/>
              <w:cnfStyle w:val="000000000000" w:firstRow="0" w:lastRow="0" w:firstColumn="0" w:lastColumn="0" w:oddVBand="0" w:evenVBand="0" w:oddHBand="0" w:evenHBand="0" w:firstRowFirstColumn="0" w:firstRowLastColumn="0" w:lastRowFirstColumn="0" w:lastRowLastColumn="0"/>
            </w:pPr>
            <w:r w:rsidRPr="002349ED">
              <w:rPr>
                <w:bCs/>
              </w:rPr>
              <w:t>12.2%</w:t>
            </w:r>
          </w:p>
        </w:tc>
        <w:tc>
          <w:tcPr>
            <w:tcW w:w="1000" w:type="dxa"/>
            <w:noWrap/>
            <w:hideMark/>
          </w:tcPr>
          <w:p w:rsidR="000C0A41" w:rsidRPr="002349ED" w:rsidRDefault="000C0A41" w:rsidP="00B06BEB">
            <w:pPr>
              <w:jc w:val="center"/>
              <w:cnfStyle w:val="000000000000" w:firstRow="0" w:lastRow="0" w:firstColumn="0" w:lastColumn="0" w:oddVBand="0" w:evenVBand="0" w:oddHBand="0" w:evenHBand="0" w:firstRowFirstColumn="0" w:firstRowLastColumn="0" w:lastRowFirstColumn="0" w:lastRowLastColumn="0"/>
            </w:pPr>
            <w:r w:rsidRPr="002349ED">
              <w:rPr>
                <w:bCs/>
              </w:rPr>
              <w:t>541</w:t>
            </w:r>
          </w:p>
        </w:tc>
        <w:tc>
          <w:tcPr>
            <w:tcW w:w="980" w:type="dxa"/>
            <w:noWrap/>
            <w:hideMark/>
          </w:tcPr>
          <w:p w:rsidR="000C0A41" w:rsidRPr="002349ED" w:rsidRDefault="000C0A41" w:rsidP="00B06BEB">
            <w:pPr>
              <w:jc w:val="center"/>
              <w:cnfStyle w:val="000000000000" w:firstRow="0" w:lastRow="0" w:firstColumn="0" w:lastColumn="0" w:oddVBand="0" w:evenVBand="0" w:oddHBand="0" w:evenHBand="0" w:firstRowFirstColumn="0" w:firstRowLastColumn="0" w:lastRowFirstColumn="0" w:lastRowLastColumn="0"/>
            </w:pPr>
            <w:r w:rsidRPr="002349ED">
              <w:rPr>
                <w:bCs/>
              </w:rPr>
              <w:t>10.8%</w:t>
            </w:r>
          </w:p>
        </w:tc>
      </w:tr>
    </w:tbl>
    <w:p w:rsidR="000C0A41" w:rsidRPr="002349ED" w:rsidRDefault="000C0A41" w:rsidP="002349ED">
      <w:pPr>
        <w:rPr>
          <w:bCs/>
        </w:rPr>
      </w:pPr>
    </w:p>
    <w:p w:rsidR="000C0A41" w:rsidRDefault="000C0A41" w:rsidP="002349ED">
      <w:pPr>
        <w:rPr>
          <w:bCs/>
        </w:rPr>
      </w:pPr>
      <w:r w:rsidRPr="002349ED">
        <w:rPr>
          <w:bCs/>
        </w:rPr>
        <w:t>Another Swedish study of patients 40-75 years attending an urgent primary care centre with acute respiratory tract infection, positive smoking history had a prevalence of previously undiagnosed COPD of 27%.</w:t>
      </w:r>
      <w:r>
        <w:rPr>
          <w:bCs/>
          <w:noProof/>
        </w:rPr>
        <w:t>[43]</w:t>
      </w:r>
      <w:r w:rsidRPr="002349ED">
        <w:rPr>
          <w:bCs/>
        </w:rPr>
        <w:t xml:space="preserve"> In a population database in the Netherlands, three per 1000 subjects were diagnosed with COPD per year. The incidence increased rapidly with age and was higher in men than in women. One in eight men and one in 12 women COPD free at the age of 40, will develop COPD during their life.</w:t>
      </w:r>
      <w:r>
        <w:rPr>
          <w:bCs/>
          <w:noProof/>
        </w:rPr>
        <w:t>[44]</w:t>
      </w:r>
      <w:r w:rsidRPr="002349ED">
        <w:rPr>
          <w:bCs/>
        </w:rPr>
        <w:t xml:space="preserve"> In a representative sample of the French population older than 40 years 40% had a Medical Research Council dyspnea grade of 1 or more but only 9% spontaneously reported shortness of breath. Only 220 (8%) individuals knew the term COPD and only 66% associated the term COPD with respiratory disease.</w:t>
      </w:r>
      <w:r>
        <w:rPr>
          <w:bCs/>
          <w:noProof/>
        </w:rPr>
        <w:t>[45]</w:t>
      </w:r>
      <w:r>
        <w:t xml:space="preserve"> </w:t>
      </w:r>
      <w:r w:rsidRPr="002349ED">
        <w:rPr>
          <w:bCs/>
        </w:rPr>
        <w:t xml:space="preserve">In summary, in the light of more recent prevalence surveys, </w:t>
      </w:r>
      <w:r>
        <w:rPr>
          <w:bCs/>
        </w:rPr>
        <w:t xml:space="preserve">the </w:t>
      </w:r>
      <w:r w:rsidRPr="002349ED">
        <w:rPr>
          <w:bCs/>
        </w:rPr>
        <w:t xml:space="preserve">prevalence </w:t>
      </w:r>
      <w:r>
        <w:rPr>
          <w:bCs/>
        </w:rPr>
        <w:t xml:space="preserve">in our previous model </w:t>
      </w:r>
      <w:r w:rsidRPr="002349ED">
        <w:rPr>
          <w:bCs/>
        </w:rPr>
        <w:t>appears to be somewhat lower than expected.</w:t>
      </w:r>
    </w:p>
    <w:p w:rsidR="000C0A41" w:rsidRDefault="000C0A41" w:rsidP="000705C4"/>
    <w:p w:rsidR="000C0A41" w:rsidRPr="00142BF3" w:rsidRDefault="000C0A41" w:rsidP="006041E6">
      <w:pPr>
        <w:widowControl w:val="0"/>
        <w:overflowPunct w:val="0"/>
        <w:autoSpaceDE w:val="0"/>
        <w:autoSpaceDN w:val="0"/>
        <w:adjustRightInd w:val="0"/>
        <w:textAlignment w:val="baseline"/>
        <w:rPr>
          <w:rFonts w:cs="Arial"/>
          <w:bCs/>
          <w:sz w:val="24"/>
        </w:rPr>
      </w:pPr>
      <w:r>
        <w:rPr>
          <w:rFonts w:cs="Arial"/>
          <w:bCs/>
          <w:sz w:val="24"/>
        </w:rPr>
        <w:fldChar w:fldCharType="begin"/>
      </w:r>
      <w:r>
        <w:rPr>
          <w:rFonts w:cs="Arial"/>
          <w:bCs/>
          <w:sz w:val="24"/>
        </w:rPr>
        <w:instrText xml:space="preserve"> REF _Ref457912753 \h </w:instrText>
      </w:r>
      <w:r>
        <w:rPr>
          <w:rFonts w:cs="Arial"/>
          <w:bCs/>
          <w:sz w:val="24"/>
        </w:rPr>
      </w:r>
      <w:r>
        <w:rPr>
          <w:rFonts w:cs="Arial"/>
          <w:bCs/>
          <w:sz w:val="24"/>
        </w:rPr>
        <w:fldChar w:fldCharType="separate"/>
      </w:r>
      <w:r>
        <w:t xml:space="preserve">Table </w:t>
      </w:r>
      <w:r>
        <w:rPr>
          <w:noProof/>
        </w:rPr>
        <w:t>6</w:t>
      </w:r>
      <w:r>
        <w:rPr>
          <w:rFonts w:cs="Arial"/>
          <w:bCs/>
          <w:sz w:val="24"/>
        </w:rPr>
        <w:fldChar w:fldCharType="end"/>
      </w:r>
      <w:r>
        <w:rPr>
          <w:rFonts w:cs="Arial"/>
          <w:bCs/>
          <w:sz w:val="24"/>
        </w:rPr>
        <w:t xml:space="preserve"> </w:t>
      </w:r>
      <w:r w:rsidRPr="00142BF3">
        <w:rPr>
          <w:rFonts w:cs="Arial"/>
          <w:bCs/>
          <w:sz w:val="24"/>
        </w:rPr>
        <w:t xml:space="preserve">shows </w:t>
      </w:r>
      <w:r>
        <w:rPr>
          <w:rFonts w:cs="Arial"/>
          <w:bCs/>
          <w:sz w:val="24"/>
        </w:rPr>
        <w:t xml:space="preserve">a comparison between </w:t>
      </w:r>
      <w:r w:rsidRPr="00142BF3">
        <w:rPr>
          <w:rFonts w:cs="Arial"/>
          <w:bCs/>
          <w:sz w:val="24"/>
        </w:rPr>
        <w:t xml:space="preserve">the age/sex specific COPD prevalence rates derived directly from the 2001 and 2010 </w:t>
      </w:r>
      <w:r>
        <w:rPr>
          <w:rFonts w:cs="Arial"/>
          <w:bCs/>
          <w:sz w:val="24"/>
        </w:rPr>
        <w:t xml:space="preserve">HSfE </w:t>
      </w:r>
      <w:r w:rsidRPr="00142BF3">
        <w:rPr>
          <w:rFonts w:cs="Arial"/>
          <w:bCs/>
          <w:sz w:val="24"/>
        </w:rPr>
        <w:t>datasets, bearing in mind that spirometry was performed differently in the two surveys, and the 2001 data shown here does not use the additional criterion of FEV1&lt;80% predicted, although the 2010 data does. Prevalence rates are about three per cent lower in males in 2010, moreso in the quality assured data, with a smaller reduction in women</w:t>
      </w:r>
      <w:r w:rsidRPr="00142BF3">
        <w:rPr>
          <w:sz w:val="24"/>
          <w:lang w:eastAsia="x-none"/>
        </w:rPr>
        <w:t>, although male prevalence is still 50% higher</w:t>
      </w:r>
      <w:r w:rsidRPr="00142BF3">
        <w:rPr>
          <w:rFonts w:cs="Arial"/>
          <w:bCs/>
          <w:sz w:val="24"/>
        </w:rPr>
        <w:t>. This may reflect falls in smoking prevalence (from 28% in 1993 to 21% in 2011), and possibly as a result of higher mortality in older people with COPD.</w:t>
      </w:r>
    </w:p>
    <w:p w:rsidR="000C0A41" w:rsidRDefault="000C0A41" w:rsidP="006041E6">
      <w:pPr>
        <w:pStyle w:val="Caption"/>
        <w:rPr>
          <w:rFonts w:cs="Arial"/>
          <w:bCs w:val="0"/>
        </w:rPr>
      </w:pPr>
      <w:bookmarkStart w:id="12" w:name="_Ref457912753"/>
      <w:r>
        <w:t xml:space="preserve">Table </w:t>
      </w:r>
      <w:fldSimple w:instr=" SEQ Table \* ARABIC ">
        <w:r>
          <w:rPr>
            <w:noProof/>
          </w:rPr>
          <w:t>6</w:t>
        </w:r>
      </w:fldSimple>
      <w:bookmarkEnd w:id="12"/>
      <w:r>
        <w:t>: c</w:t>
      </w:r>
      <w:r>
        <w:rPr>
          <w:rFonts w:cs="Arial"/>
          <w:bCs w:val="0"/>
        </w:rPr>
        <w:t>omparison of observed COPD prevalence rates by age and sex, HSfE 2001 and 2010</w:t>
      </w:r>
    </w:p>
    <w:tbl>
      <w:tblPr>
        <w:tblStyle w:val="GridTable4-Accent11"/>
        <w:tblW w:w="0" w:type="auto"/>
        <w:tblInd w:w="-431" w:type="dxa"/>
        <w:tblLook w:val="04A0" w:firstRow="1" w:lastRow="0" w:firstColumn="1" w:lastColumn="0" w:noHBand="0" w:noVBand="1"/>
      </w:tblPr>
      <w:tblGrid>
        <w:gridCol w:w="1727"/>
        <w:gridCol w:w="1047"/>
        <w:gridCol w:w="761"/>
        <w:gridCol w:w="728"/>
        <w:gridCol w:w="855"/>
        <w:gridCol w:w="866"/>
        <w:gridCol w:w="877"/>
        <w:gridCol w:w="855"/>
        <w:gridCol w:w="882"/>
        <w:gridCol w:w="849"/>
      </w:tblGrid>
      <w:tr w:rsidR="000C0A41" w:rsidRPr="00E50EBA" w:rsidTr="0060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7" w:type="dxa"/>
          </w:tcPr>
          <w:p w:rsidR="000C0A41" w:rsidRPr="00DF357B" w:rsidRDefault="000C0A41" w:rsidP="00E92026">
            <w:pPr>
              <w:widowControl w:val="0"/>
              <w:overflowPunct w:val="0"/>
              <w:autoSpaceDE w:val="0"/>
              <w:autoSpaceDN w:val="0"/>
              <w:adjustRightInd w:val="0"/>
              <w:textAlignment w:val="baseline"/>
              <w:rPr>
                <w:rFonts w:cs="Arial"/>
                <w:b w:val="0"/>
                <w:bCs w:val="0"/>
                <w:sz w:val="24"/>
              </w:rPr>
            </w:pPr>
          </w:p>
        </w:tc>
        <w:tc>
          <w:tcPr>
            <w:tcW w:w="1047" w:type="dxa"/>
          </w:tcPr>
          <w:p w:rsidR="000C0A41" w:rsidRPr="00DF357B" w:rsidRDefault="000C0A41" w:rsidP="00E92026">
            <w:pPr>
              <w:widowControl w:val="0"/>
              <w:overflowPunct w:val="0"/>
              <w:autoSpaceDE w:val="0"/>
              <w:autoSpaceDN w:val="0"/>
              <w:adjustRightInd w:val="0"/>
              <w:textAlignment w:val="baseline"/>
              <w:cnfStyle w:val="100000000000" w:firstRow="1" w:lastRow="0" w:firstColumn="0" w:lastColumn="0" w:oddVBand="0" w:evenVBand="0" w:oddHBand="0" w:evenHBand="0" w:firstRowFirstColumn="0" w:firstRowLastColumn="0" w:lastRowFirstColumn="0" w:lastRowLastColumn="0"/>
              <w:rPr>
                <w:rFonts w:cs="Arial"/>
                <w:b w:val="0"/>
                <w:bCs w:val="0"/>
                <w:sz w:val="24"/>
              </w:rPr>
            </w:pPr>
          </w:p>
        </w:tc>
        <w:tc>
          <w:tcPr>
            <w:tcW w:w="761" w:type="dxa"/>
          </w:tcPr>
          <w:p w:rsidR="000C0A41" w:rsidRPr="00DF357B" w:rsidRDefault="000C0A41" w:rsidP="00E92026">
            <w:pPr>
              <w:widowControl w:val="0"/>
              <w:overflowPunct w:val="0"/>
              <w:autoSpaceDE w:val="0"/>
              <w:autoSpaceDN w:val="0"/>
              <w:adjustRightInd w:val="0"/>
              <w:jc w:val="center"/>
              <w:textAlignment w:val="baseline"/>
              <w:cnfStyle w:val="100000000000" w:firstRow="1" w:lastRow="0" w:firstColumn="0" w:lastColumn="0" w:oddVBand="0" w:evenVBand="0" w:oddHBand="0" w:evenHBand="0" w:firstRowFirstColumn="0" w:firstRowLastColumn="0" w:lastRowFirstColumn="0" w:lastRowLastColumn="0"/>
              <w:rPr>
                <w:rFonts w:cs="Arial"/>
                <w:b w:val="0"/>
                <w:bCs w:val="0"/>
                <w:sz w:val="24"/>
                <w:lang w:val="fr-FR"/>
              </w:rPr>
            </w:pPr>
            <w:r w:rsidRPr="00DF357B">
              <w:rPr>
                <w:rFonts w:cs="Arial"/>
                <w:sz w:val="24"/>
                <w:lang w:val="fr-FR"/>
              </w:rPr>
              <w:t>&lt;35</w:t>
            </w:r>
          </w:p>
        </w:tc>
        <w:tc>
          <w:tcPr>
            <w:tcW w:w="728" w:type="dxa"/>
          </w:tcPr>
          <w:p w:rsidR="000C0A41" w:rsidRPr="00DF357B" w:rsidRDefault="000C0A41" w:rsidP="00E92026">
            <w:pPr>
              <w:widowControl w:val="0"/>
              <w:overflowPunct w:val="0"/>
              <w:autoSpaceDE w:val="0"/>
              <w:autoSpaceDN w:val="0"/>
              <w:adjustRightInd w:val="0"/>
              <w:jc w:val="center"/>
              <w:textAlignment w:val="baseline"/>
              <w:cnfStyle w:val="100000000000" w:firstRow="1" w:lastRow="0" w:firstColumn="0" w:lastColumn="0" w:oddVBand="0" w:evenVBand="0" w:oddHBand="0" w:evenHBand="0" w:firstRowFirstColumn="0" w:firstRowLastColumn="0" w:lastRowFirstColumn="0" w:lastRowLastColumn="0"/>
              <w:rPr>
                <w:rFonts w:cs="Arial"/>
                <w:b w:val="0"/>
                <w:bCs w:val="0"/>
                <w:sz w:val="24"/>
                <w:lang w:val="fr-FR"/>
              </w:rPr>
            </w:pPr>
            <w:r w:rsidRPr="00DF357B">
              <w:rPr>
                <w:rFonts w:cs="Arial"/>
                <w:sz w:val="24"/>
                <w:lang w:val="fr-FR"/>
              </w:rPr>
              <w:t>35-44</w:t>
            </w:r>
          </w:p>
        </w:tc>
        <w:tc>
          <w:tcPr>
            <w:tcW w:w="855" w:type="dxa"/>
          </w:tcPr>
          <w:p w:rsidR="000C0A41" w:rsidRPr="00DF357B" w:rsidRDefault="000C0A41" w:rsidP="00E92026">
            <w:pPr>
              <w:widowControl w:val="0"/>
              <w:overflowPunct w:val="0"/>
              <w:autoSpaceDE w:val="0"/>
              <w:autoSpaceDN w:val="0"/>
              <w:adjustRightInd w:val="0"/>
              <w:jc w:val="center"/>
              <w:textAlignment w:val="baseline"/>
              <w:cnfStyle w:val="100000000000" w:firstRow="1" w:lastRow="0" w:firstColumn="0" w:lastColumn="0" w:oddVBand="0" w:evenVBand="0" w:oddHBand="0" w:evenHBand="0" w:firstRowFirstColumn="0" w:firstRowLastColumn="0" w:lastRowFirstColumn="0" w:lastRowLastColumn="0"/>
              <w:rPr>
                <w:rFonts w:cs="Arial"/>
                <w:b w:val="0"/>
                <w:bCs w:val="0"/>
                <w:sz w:val="24"/>
                <w:lang w:val="fr-FR"/>
              </w:rPr>
            </w:pPr>
            <w:r w:rsidRPr="00DF357B">
              <w:rPr>
                <w:rFonts w:cs="Arial"/>
                <w:sz w:val="24"/>
                <w:lang w:val="fr-FR"/>
              </w:rPr>
              <w:t>45-54</w:t>
            </w:r>
          </w:p>
        </w:tc>
        <w:tc>
          <w:tcPr>
            <w:tcW w:w="866" w:type="dxa"/>
          </w:tcPr>
          <w:p w:rsidR="000C0A41" w:rsidRPr="00DF357B" w:rsidRDefault="000C0A41" w:rsidP="00E92026">
            <w:pPr>
              <w:widowControl w:val="0"/>
              <w:overflowPunct w:val="0"/>
              <w:autoSpaceDE w:val="0"/>
              <w:autoSpaceDN w:val="0"/>
              <w:adjustRightInd w:val="0"/>
              <w:jc w:val="center"/>
              <w:textAlignment w:val="baseline"/>
              <w:cnfStyle w:val="100000000000" w:firstRow="1" w:lastRow="0" w:firstColumn="0" w:lastColumn="0" w:oddVBand="0" w:evenVBand="0" w:oddHBand="0" w:evenHBand="0" w:firstRowFirstColumn="0" w:firstRowLastColumn="0" w:lastRowFirstColumn="0" w:lastRowLastColumn="0"/>
              <w:rPr>
                <w:rFonts w:cs="Arial"/>
                <w:b w:val="0"/>
                <w:bCs w:val="0"/>
                <w:sz w:val="24"/>
                <w:lang w:val="fr-FR"/>
              </w:rPr>
            </w:pPr>
            <w:r w:rsidRPr="00DF357B">
              <w:rPr>
                <w:rFonts w:cs="Arial"/>
                <w:sz w:val="24"/>
                <w:lang w:val="fr-FR"/>
              </w:rPr>
              <w:t>55-64</w:t>
            </w:r>
          </w:p>
        </w:tc>
        <w:tc>
          <w:tcPr>
            <w:tcW w:w="877" w:type="dxa"/>
          </w:tcPr>
          <w:p w:rsidR="000C0A41" w:rsidRPr="00DF357B" w:rsidRDefault="000C0A41" w:rsidP="00E92026">
            <w:pPr>
              <w:widowControl w:val="0"/>
              <w:overflowPunct w:val="0"/>
              <w:autoSpaceDE w:val="0"/>
              <w:autoSpaceDN w:val="0"/>
              <w:adjustRightInd w:val="0"/>
              <w:jc w:val="center"/>
              <w:textAlignment w:val="baseline"/>
              <w:cnfStyle w:val="100000000000" w:firstRow="1" w:lastRow="0" w:firstColumn="0" w:lastColumn="0" w:oddVBand="0" w:evenVBand="0" w:oddHBand="0" w:evenHBand="0" w:firstRowFirstColumn="0" w:firstRowLastColumn="0" w:lastRowFirstColumn="0" w:lastRowLastColumn="0"/>
              <w:rPr>
                <w:rFonts w:cs="Arial"/>
                <w:b w:val="0"/>
                <w:bCs w:val="0"/>
                <w:sz w:val="24"/>
                <w:lang w:val="fr-FR"/>
              </w:rPr>
            </w:pPr>
            <w:r w:rsidRPr="00DF357B">
              <w:rPr>
                <w:rFonts w:cs="Arial"/>
                <w:sz w:val="24"/>
                <w:lang w:val="fr-FR"/>
              </w:rPr>
              <w:t>65-74</w:t>
            </w:r>
          </w:p>
        </w:tc>
        <w:tc>
          <w:tcPr>
            <w:tcW w:w="855" w:type="dxa"/>
          </w:tcPr>
          <w:p w:rsidR="000C0A41" w:rsidRPr="00DF357B" w:rsidRDefault="000C0A41" w:rsidP="00E92026">
            <w:pPr>
              <w:widowControl w:val="0"/>
              <w:overflowPunct w:val="0"/>
              <w:autoSpaceDE w:val="0"/>
              <w:autoSpaceDN w:val="0"/>
              <w:adjustRightInd w:val="0"/>
              <w:jc w:val="center"/>
              <w:textAlignment w:val="baseline"/>
              <w:cnfStyle w:val="100000000000" w:firstRow="1" w:lastRow="0" w:firstColumn="0" w:lastColumn="0" w:oddVBand="0" w:evenVBand="0" w:oddHBand="0" w:evenHBand="0" w:firstRowFirstColumn="0" w:firstRowLastColumn="0" w:lastRowFirstColumn="0" w:lastRowLastColumn="0"/>
              <w:rPr>
                <w:rFonts w:cs="Arial"/>
                <w:b w:val="0"/>
                <w:bCs w:val="0"/>
                <w:sz w:val="24"/>
                <w:lang w:val="fr-FR"/>
              </w:rPr>
            </w:pPr>
            <w:r w:rsidRPr="00DF357B">
              <w:rPr>
                <w:rFonts w:cs="Arial"/>
                <w:sz w:val="24"/>
                <w:lang w:val="fr-FR"/>
              </w:rPr>
              <w:t>75+</w:t>
            </w:r>
          </w:p>
        </w:tc>
        <w:tc>
          <w:tcPr>
            <w:tcW w:w="882" w:type="dxa"/>
          </w:tcPr>
          <w:p w:rsidR="000C0A41" w:rsidRPr="00DF357B" w:rsidRDefault="000C0A41" w:rsidP="00E92026">
            <w:pPr>
              <w:widowControl w:val="0"/>
              <w:overflowPunct w:val="0"/>
              <w:autoSpaceDE w:val="0"/>
              <w:autoSpaceDN w:val="0"/>
              <w:adjustRightInd w:val="0"/>
              <w:jc w:val="center"/>
              <w:textAlignment w:val="baseline"/>
              <w:cnfStyle w:val="100000000000" w:firstRow="1" w:lastRow="0" w:firstColumn="0" w:lastColumn="0" w:oddVBand="0" w:evenVBand="0" w:oddHBand="0" w:evenHBand="0" w:firstRowFirstColumn="0" w:firstRowLastColumn="0" w:lastRowFirstColumn="0" w:lastRowLastColumn="0"/>
              <w:rPr>
                <w:rFonts w:cs="Arial"/>
                <w:b w:val="0"/>
                <w:bCs w:val="0"/>
                <w:sz w:val="24"/>
                <w:lang w:val="fr-FR"/>
              </w:rPr>
            </w:pPr>
            <w:r w:rsidRPr="00DF357B">
              <w:rPr>
                <w:rFonts w:cs="Arial"/>
                <w:sz w:val="24"/>
                <w:lang w:val="fr-FR"/>
              </w:rPr>
              <w:t>Total</w:t>
            </w:r>
          </w:p>
        </w:tc>
        <w:tc>
          <w:tcPr>
            <w:tcW w:w="849" w:type="dxa"/>
          </w:tcPr>
          <w:p w:rsidR="000C0A41" w:rsidRPr="00DF357B" w:rsidRDefault="000C0A41" w:rsidP="00E92026">
            <w:pPr>
              <w:widowControl w:val="0"/>
              <w:overflowPunct w:val="0"/>
              <w:autoSpaceDE w:val="0"/>
              <w:autoSpaceDN w:val="0"/>
              <w:adjustRightInd w:val="0"/>
              <w:jc w:val="center"/>
              <w:textAlignment w:val="baseline"/>
              <w:cnfStyle w:val="100000000000" w:firstRow="1" w:lastRow="0" w:firstColumn="0" w:lastColumn="0" w:oddVBand="0" w:evenVBand="0" w:oddHBand="0" w:evenHBand="0" w:firstRowFirstColumn="0" w:firstRowLastColumn="0" w:lastRowFirstColumn="0" w:lastRowLastColumn="0"/>
              <w:rPr>
                <w:rFonts w:cs="Arial"/>
                <w:b w:val="0"/>
                <w:bCs w:val="0"/>
                <w:sz w:val="24"/>
                <w:lang w:val="fr-FR"/>
              </w:rPr>
            </w:pPr>
            <w:r w:rsidRPr="00DF357B">
              <w:rPr>
                <w:rFonts w:cs="Arial"/>
                <w:sz w:val="24"/>
                <w:lang w:val="fr-FR"/>
              </w:rPr>
              <w:t>Over 35</w:t>
            </w:r>
          </w:p>
        </w:tc>
      </w:tr>
      <w:tr w:rsidR="000C0A41" w:rsidRPr="00E50EBA" w:rsidTr="0060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7" w:type="dxa"/>
            <w:vMerge w:val="restart"/>
          </w:tcPr>
          <w:p w:rsidR="000C0A41" w:rsidRPr="00DF357B" w:rsidRDefault="000C0A41" w:rsidP="00E92026">
            <w:pPr>
              <w:widowControl w:val="0"/>
              <w:overflowPunct w:val="0"/>
              <w:autoSpaceDE w:val="0"/>
              <w:autoSpaceDN w:val="0"/>
              <w:adjustRightInd w:val="0"/>
              <w:textAlignment w:val="baseline"/>
              <w:rPr>
                <w:rFonts w:cs="Arial"/>
                <w:b w:val="0"/>
                <w:bCs w:val="0"/>
                <w:sz w:val="24"/>
                <w:lang w:val="fr-FR"/>
              </w:rPr>
            </w:pPr>
            <w:r w:rsidRPr="00DF357B">
              <w:rPr>
                <w:rFonts w:cs="Arial"/>
                <w:sz w:val="24"/>
                <w:lang w:val="fr-FR"/>
              </w:rPr>
              <w:t>COPD 2001</w:t>
            </w:r>
          </w:p>
        </w:tc>
        <w:tc>
          <w:tcPr>
            <w:tcW w:w="1047" w:type="dxa"/>
          </w:tcPr>
          <w:p w:rsidR="000C0A41" w:rsidRPr="00DF357B" w:rsidRDefault="000C0A41" w:rsidP="00E92026">
            <w:pPr>
              <w:widowControl w:val="0"/>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rPr>
                <w:rFonts w:cs="Arial"/>
                <w:bCs/>
                <w:sz w:val="24"/>
                <w:lang w:val="fr-FR"/>
              </w:rPr>
            </w:pPr>
            <w:r w:rsidRPr="00DF357B">
              <w:rPr>
                <w:rFonts w:cs="Arial"/>
                <w:bCs/>
                <w:sz w:val="24"/>
                <w:lang w:val="fr-FR"/>
              </w:rPr>
              <w:t>Males</w:t>
            </w:r>
          </w:p>
        </w:tc>
        <w:tc>
          <w:tcPr>
            <w:tcW w:w="761" w:type="dxa"/>
          </w:tcPr>
          <w:p w:rsidR="000C0A41" w:rsidRPr="00DF357B" w:rsidRDefault="000C0A41" w:rsidP="00E92026">
            <w:pPr>
              <w:widowControl w:val="0"/>
              <w:overflowPunct w:val="0"/>
              <w:autoSpaceDE w:val="0"/>
              <w:autoSpaceDN w:val="0"/>
              <w:adjustRightInd w:val="0"/>
              <w:jc w:val="center"/>
              <w:textAlignment w:val="baseline"/>
              <w:cnfStyle w:val="000000100000" w:firstRow="0" w:lastRow="0" w:firstColumn="0" w:lastColumn="0" w:oddVBand="0" w:evenVBand="0" w:oddHBand="1" w:evenHBand="0" w:firstRowFirstColumn="0" w:firstRowLastColumn="0" w:lastRowFirstColumn="0" w:lastRowLastColumn="0"/>
              <w:rPr>
                <w:rFonts w:cs="Arial"/>
                <w:bCs/>
                <w:sz w:val="24"/>
                <w:lang w:val="fr-FR"/>
              </w:rPr>
            </w:pPr>
            <w:r w:rsidRPr="00DF357B">
              <w:rPr>
                <w:rFonts w:cs="Arial"/>
                <w:bCs/>
                <w:sz w:val="24"/>
                <w:lang w:val="fr-FR"/>
              </w:rPr>
              <w:t>4.6%</w:t>
            </w:r>
          </w:p>
        </w:tc>
        <w:tc>
          <w:tcPr>
            <w:tcW w:w="728" w:type="dxa"/>
          </w:tcPr>
          <w:p w:rsidR="000C0A41" w:rsidRPr="00DF357B" w:rsidRDefault="000C0A41" w:rsidP="00E92026">
            <w:pPr>
              <w:widowControl w:val="0"/>
              <w:overflowPunct w:val="0"/>
              <w:autoSpaceDE w:val="0"/>
              <w:autoSpaceDN w:val="0"/>
              <w:adjustRightInd w:val="0"/>
              <w:jc w:val="center"/>
              <w:textAlignment w:val="baseline"/>
              <w:cnfStyle w:val="000000100000" w:firstRow="0" w:lastRow="0" w:firstColumn="0" w:lastColumn="0" w:oddVBand="0" w:evenVBand="0" w:oddHBand="1" w:evenHBand="0" w:firstRowFirstColumn="0" w:firstRowLastColumn="0" w:lastRowFirstColumn="0" w:lastRowLastColumn="0"/>
              <w:rPr>
                <w:rFonts w:cs="Arial"/>
                <w:bCs/>
                <w:sz w:val="24"/>
                <w:lang w:val="fr-FR"/>
              </w:rPr>
            </w:pPr>
            <w:r w:rsidRPr="00DF357B">
              <w:rPr>
                <w:rFonts w:cs="Arial"/>
                <w:bCs/>
                <w:sz w:val="24"/>
                <w:lang w:val="fr-FR"/>
              </w:rPr>
              <w:t>6.8%</w:t>
            </w:r>
          </w:p>
        </w:tc>
        <w:tc>
          <w:tcPr>
            <w:tcW w:w="855" w:type="dxa"/>
          </w:tcPr>
          <w:p w:rsidR="000C0A41" w:rsidRPr="00DF357B" w:rsidRDefault="000C0A41" w:rsidP="00E92026">
            <w:pPr>
              <w:widowControl w:val="0"/>
              <w:overflowPunct w:val="0"/>
              <w:autoSpaceDE w:val="0"/>
              <w:autoSpaceDN w:val="0"/>
              <w:adjustRightInd w:val="0"/>
              <w:jc w:val="center"/>
              <w:textAlignment w:val="baseline"/>
              <w:cnfStyle w:val="000000100000" w:firstRow="0" w:lastRow="0" w:firstColumn="0" w:lastColumn="0" w:oddVBand="0" w:evenVBand="0" w:oddHBand="1" w:evenHBand="0" w:firstRowFirstColumn="0" w:firstRowLastColumn="0" w:lastRowFirstColumn="0" w:lastRowLastColumn="0"/>
              <w:rPr>
                <w:rFonts w:cs="Arial"/>
                <w:bCs/>
                <w:sz w:val="24"/>
                <w:lang w:val="fr-FR"/>
              </w:rPr>
            </w:pPr>
            <w:r w:rsidRPr="00DF357B">
              <w:rPr>
                <w:rFonts w:cs="Arial"/>
                <w:bCs/>
                <w:sz w:val="24"/>
                <w:lang w:val="fr-FR"/>
              </w:rPr>
              <w:t>11.9%</w:t>
            </w:r>
          </w:p>
        </w:tc>
        <w:tc>
          <w:tcPr>
            <w:tcW w:w="866" w:type="dxa"/>
          </w:tcPr>
          <w:p w:rsidR="000C0A41" w:rsidRPr="00DF357B" w:rsidRDefault="000C0A41" w:rsidP="00E92026">
            <w:pPr>
              <w:widowControl w:val="0"/>
              <w:overflowPunct w:val="0"/>
              <w:autoSpaceDE w:val="0"/>
              <w:autoSpaceDN w:val="0"/>
              <w:adjustRightInd w:val="0"/>
              <w:jc w:val="center"/>
              <w:textAlignment w:val="baseline"/>
              <w:cnfStyle w:val="000000100000" w:firstRow="0" w:lastRow="0" w:firstColumn="0" w:lastColumn="0" w:oddVBand="0" w:evenVBand="0" w:oddHBand="1" w:evenHBand="0" w:firstRowFirstColumn="0" w:firstRowLastColumn="0" w:lastRowFirstColumn="0" w:lastRowLastColumn="0"/>
              <w:rPr>
                <w:rFonts w:cs="Arial"/>
                <w:bCs/>
                <w:sz w:val="24"/>
                <w:lang w:val="fr-FR"/>
              </w:rPr>
            </w:pPr>
            <w:r w:rsidRPr="00DF357B">
              <w:rPr>
                <w:rFonts w:cs="Arial"/>
                <w:bCs/>
                <w:sz w:val="24"/>
                <w:lang w:val="fr-FR"/>
              </w:rPr>
              <w:t>18.4%</w:t>
            </w:r>
          </w:p>
        </w:tc>
        <w:tc>
          <w:tcPr>
            <w:tcW w:w="877" w:type="dxa"/>
          </w:tcPr>
          <w:p w:rsidR="000C0A41" w:rsidRPr="00DF357B" w:rsidRDefault="000C0A41" w:rsidP="00E92026">
            <w:pPr>
              <w:widowControl w:val="0"/>
              <w:overflowPunct w:val="0"/>
              <w:autoSpaceDE w:val="0"/>
              <w:autoSpaceDN w:val="0"/>
              <w:adjustRightInd w:val="0"/>
              <w:jc w:val="center"/>
              <w:textAlignment w:val="baseline"/>
              <w:cnfStyle w:val="000000100000" w:firstRow="0" w:lastRow="0" w:firstColumn="0" w:lastColumn="0" w:oddVBand="0" w:evenVBand="0" w:oddHBand="1" w:evenHBand="0" w:firstRowFirstColumn="0" w:firstRowLastColumn="0" w:lastRowFirstColumn="0" w:lastRowLastColumn="0"/>
              <w:rPr>
                <w:rFonts w:cs="Arial"/>
                <w:bCs/>
                <w:sz w:val="24"/>
                <w:lang w:val="fr-FR"/>
              </w:rPr>
            </w:pPr>
            <w:r w:rsidRPr="00DF357B">
              <w:rPr>
                <w:rFonts w:cs="Arial"/>
                <w:bCs/>
                <w:sz w:val="24"/>
                <w:lang w:val="fr-FR"/>
              </w:rPr>
              <w:t>27.6%</w:t>
            </w:r>
          </w:p>
        </w:tc>
        <w:tc>
          <w:tcPr>
            <w:tcW w:w="855" w:type="dxa"/>
          </w:tcPr>
          <w:p w:rsidR="000C0A41" w:rsidRPr="00DF357B" w:rsidRDefault="000C0A41" w:rsidP="00E92026">
            <w:pPr>
              <w:widowControl w:val="0"/>
              <w:overflowPunct w:val="0"/>
              <w:autoSpaceDE w:val="0"/>
              <w:autoSpaceDN w:val="0"/>
              <w:adjustRightInd w:val="0"/>
              <w:jc w:val="center"/>
              <w:textAlignment w:val="baseline"/>
              <w:cnfStyle w:val="000000100000" w:firstRow="0" w:lastRow="0" w:firstColumn="0" w:lastColumn="0" w:oddVBand="0" w:evenVBand="0" w:oddHBand="1" w:evenHBand="0" w:firstRowFirstColumn="0" w:firstRowLastColumn="0" w:lastRowFirstColumn="0" w:lastRowLastColumn="0"/>
              <w:rPr>
                <w:rFonts w:cs="Arial"/>
                <w:bCs/>
                <w:sz w:val="24"/>
                <w:lang w:val="fr-FR"/>
              </w:rPr>
            </w:pPr>
            <w:r w:rsidRPr="00DF357B">
              <w:rPr>
                <w:rFonts w:cs="Arial"/>
                <w:bCs/>
                <w:sz w:val="24"/>
                <w:lang w:val="fr-FR"/>
              </w:rPr>
              <w:t>34.8%</w:t>
            </w:r>
          </w:p>
        </w:tc>
        <w:tc>
          <w:tcPr>
            <w:tcW w:w="882" w:type="dxa"/>
          </w:tcPr>
          <w:p w:rsidR="000C0A41" w:rsidRPr="00DF357B" w:rsidRDefault="000C0A41" w:rsidP="00E92026">
            <w:pPr>
              <w:widowControl w:val="0"/>
              <w:overflowPunct w:val="0"/>
              <w:autoSpaceDE w:val="0"/>
              <w:autoSpaceDN w:val="0"/>
              <w:adjustRightInd w:val="0"/>
              <w:jc w:val="center"/>
              <w:textAlignment w:val="baseline"/>
              <w:cnfStyle w:val="000000100000" w:firstRow="0" w:lastRow="0" w:firstColumn="0" w:lastColumn="0" w:oddVBand="0" w:evenVBand="0" w:oddHBand="1" w:evenHBand="0" w:firstRowFirstColumn="0" w:firstRowLastColumn="0" w:lastRowFirstColumn="0" w:lastRowLastColumn="0"/>
              <w:rPr>
                <w:rFonts w:cs="Arial"/>
                <w:bCs/>
                <w:sz w:val="24"/>
                <w:lang w:val="fr-FR"/>
              </w:rPr>
            </w:pPr>
            <w:r w:rsidRPr="00DF357B">
              <w:rPr>
                <w:rFonts w:cs="Arial"/>
                <w:bCs/>
                <w:sz w:val="24"/>
                <w:lang w:val="fr-FR"/>
              </w:rPr>
              <w:t>13.6%</w:t>
            </w:r>
          </w:p>
        </w:tc>
        <w:tc>
          <w:tcPr>
            <w:tcW w:w="849" w:type="dxa"/>
          </w:tcPr>
          <w:p w:rsidR="000C0A41" w:rsidRPr="00DF357B" w:rsidRDefault="000C0A41" w:rsidP="00E92026">
            <w:pPr>
              <w:jc w:val="center"/>
              <w:cnfStyle w:val="000000100000" w:firstRow="0" w:lastRow="0" w:firstColumn="0" w:lastColumn="0" w:oddVBand="0" w:evenVBand="0" w:oddHBand="1" w:evenHBand="0" w:firstRowFirstColumn="0" w:firstRowLastColumn="0" w:lastRowFirstColumn="0" w:lastRowLastColumn="0"/>
            </w:pPr>
            <w:r w:rsidRPr="00DF357B">
              <w:t>16.9%</w:t>
            </w:r>
          </w:p>
        </w:tc>
      </w:tr>
      <w:tr w:rsidR="000C0A41" w:rsidRPr="00E50EBA" w:rsidTr="006041E6">
        <w:tc>
          <w:tcPr>
            <w:cnfStyle w:val="001000000000" w:firstRow="0" w:lastRow="0" w:firstColumn="1" w:lastColumn="0" w:oddVBand="0" w:evenVBand="0" w:oddHBand="0" w:evenHBand="0" w:firstRowFirstColumn="0" w:firstRowLastColumn="0" w:lastRowFirstColumn="0" w:lastRowLastColumn="0"/>
            <w:tcW w:w="1727" w:type="dxa"/>
            <w:vMerge/>
          </w:tcPr>
          <w:p w:rsidR="000C0A41" w:rsidRPr="00DF357B" w:rsidRDefault="000C0A41" w:rsidP="00E92026">
            <w:pPr>
              <w:widowControl w:val="0"/>
              <w:overflowPunct w:val="0"/>
              <w:autoSpaceDE w:val="0"/>
              <w:autoSpaceDN w:val="0"/>
              <w:adjustRightInd w:val="0"/>
              <w:textAlignment w:val="baseline"/>
              <w:rPr>
                <w:rFonts w:cs="Arial"/>
                <w:b w:val="0"/>
                <w:bCs w:val="0"/>
                <w:sz w:val="24"/>
                <w:lang w:val="fr-FR"/>
              </w:rPr>
            </w:pPr>
          </w:p>
        </w:tc>
        <w:tc>
          <w:tcPr>
            <w:tcW w:w="1047" w:type="dxa"/>
          </w:tcPr>
          <w:p w:rsidR="000C0A41" w:rsidRPr="00DF357B" w:rsidRDefault="000C0A41" w:rsidP="00E92026">
            <w:pPr>
              <w:widowControl w:val="0"/>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cs="Arial"/>
                <w:bCs/>
                <w:sz w:val="24"/>
                <w:lang w:val="fr-FR"/>
              </w:rPr>
            </w:pPr>
            <w:r w:rsidRPr="00DF357B">
              <w:rPr>
                <w:rFonts w:cs="Arial"/>
                <w:bCs/>
                <w:sz w:val="24"/>
                <w:lang w:val="fr-FR"/>
              </w:rPr>
              <w:t>Females</w:t>
            </w:r>
          </w:p>
        </w:tc>
        <w:tc>
          <w:tcPr>
            <w:tcW w:w="761" w:type="dxa"/>
          </w:tcPr>
          <w:p w:rsidR="000C0A41" w:rsidRPr="00DF357B" w:rsidRDefault="000C0A41" w:rsidP="00E92026">
            <w:pPr>
              <w:widowControl w:val="0"/>
              <w:overflowPunct w:val="0"/>
              <w:autoSpaceDE w:val="0"/>
              <w:autoSpaceDN w:val="0"/>
              <w:adjustRightInd w:val="0"/>
              <w:jc w:val="center"/>
              <w:textAlignment w:val="baseline"/>
              <w:cnfStyle w:val="000000000000" w:firstRow="0" w:lastRow="0" w:firstColumn="0" w:lastColumn="0" w:oddVBand="0" w:evenVBand="0" w:oddHBand="0" w:evenHBand="0" w:firstRowFirstColumn="0" w:firstRowLastColumn="0" w:lastRowFirstColumn="0" w:lastRowLastColumn="0"/>
              <w:rPr>
                <w:rFonts w:cs="Arial"/>
                <w:bCs/>
                <w:sz w:val="24"/>
                <w:lang w:val="fr-FR"/>
              </w:rPr>
            </w:pPr>
            <w:r w:rsidRPr="00DF357B">
              <w:rPr>
                <w:rFonts w:cs="Arial"/>
                <w:bCs/>
                <w:sz w:val="24"/>
                <w:lang w:val="fr-FR"/>
              </w:rPr>
              <w:t>2.8%</w:t>
            </w:r>
          </w:p>
        </w:tc>
        <w:tc>
          <w:tcPr>
            <w:tcW w:w="728" w:type="dxa"/>
          </w:tcPr>
          <w:p w:rsidR="000C0A41" w:rsidRPr="00DF357B" w:rsidRDefault="000C0A41" w:rsidP="00E92026">
            <w:pPr>
              <w:widowControl w:val="0"/>
              <w:overflowPunct w:val="0"/>
              <w:autoSpaceDE w:val="0"/>
              <w:autoSpaceDN w:val="0"/>
              <w:adjustRightInd w:val="0"/>
              <w:jc w:val="center"/>
              <w:textAlignment w:val="baseline"/>
              <w:cnfStyle w:val="000000000000" w:firstRow="0" w:lastRow="0" w:firstColumn="0" w:lastColumn="0" w:oddVBand="0" w:evenVBand="0" w:oddHBand="0" w:evenHBand="0" w:firstRowFirstColumn="0" w:firstRowLastColumn="0" w:lastRowFirstColumn="0" w:lastRowLastColumn="0"/>
              <w:rPr>
                <w:rFonts w:cs="Arial"/>
                <w:bCs/>
                <w:sz w:val="24"/>
                <w:lang w:val="fr-FR"/>
              </w:rPr>
            </w:pPr>
            <w:r w:rsidRPr="00DF357B">
              <w:rPr>
                <w:rFonts w:cs="Arial"/>
                <w:bCs/>
                <w:sz w:val="24"/>
                <w:lang w:val="fr-FR"/>
              </w:rPr>
              <w:t>5.2%</w:t>
            </w:r>
          </w:p>
        </w:tc>
        <w:tc>
          <w:tcPr>
            <w:tcW w:w="855" w:type="dxa"/>
          </w:tcPr>
          <w:p w:rsidR="000C0A41" w:rsidRPr="00DF357B" w:rsidRDefault="000C0A41" w:rsidP="00E92026">
            <w:pPr>
              <w:widowControl w:val="0"/>
              <w:overflowPunct w:val="0"/>
              <w:autoSpaceDE w:val="0"/>
              <w:autoSpaceDN w:val="0"/>
              <w:adjustRightInd w:val="0"/>
              <w:jc w:val="center"/>
              <w:textAlignment w:val="baseline"/>
              <w:cnfStyle w:val="000000000000" w:firstRow="0" w:lastRow="0" w:firstColumn="0" w:lastColumn="0" w:oddVBand="0" w:evenVBand="0" w:oddHBand="0" w:evenHBand="0" w:firstRowFirstColumn="0" w:firstRowLastColumn="0" w:lastRowFirstColumn="0" w:lastRowLastColumn="0"/>
              <w:rPr>
                <w:rFonts w:cs="Arial"/>
                <w:bCs/>
                <w:sz w:val="24"/>
                <w:lang w:val="fr-FR"/>
              </w:rPr>
            </w:pPr>
            <w:r w:rsidRPr="00DF357B">
              <w:rPr>
                <w:rFonts w:cs="Arial"/>
                <w:bCs/>
                <w:sz w:val="24"/>
                <w:lang w:val="fr-FR"/>
              </w:rPr>
              <w:t>8.5%</w:t>
            </w:r>
          </w:p>
        </w:tc>
        <w:tc>
          <w:tcPr>
            <w:tcW w:w="866" w:type="dxa"/>
          </w:tcPr>
          <w:p w:rsidR="000C0A41" w:rsidRPr="00DF357B" w:rsidRDefault="000C0A41" w:rsidP="00E92026">
            <w:pPr>
              <w:widowControl w:val="0"/>
              <w:overflowPunct w:val="0"/>
              <w:autoSpaceDE w:val="0"/>
              <w:autoSpaceDN w:val="0"/>
              <w:adjustRightInd w:val="0"/>
              <w:jc w:val="center"/>
              <w:textAlignment w:val="baseline"/>
              <w:cnfStyle w:val="000000000000" w:firstRow="0" w:lastRow="0" w:firstColumn="0" w:lastColumn="0" w:oddVBand="0" w:evenVBand="0" w:oddHBand="0" w:evenHBand="0" w:firstRowFirstColumn="0" w:firstRowLastColumn="0" w:lastRowFirstColumn="0" w:lastRowLastColumn="0"/>
              <w:rPr>
                <w:rFonts w:cs="Arial"/>
                <w:bCs/>
                <w:sz w:val="24"/>
                <w:lang w:val="fr-FR"/>
              </w:rPr>
            </w:pPr>
            <w:r w:rsidRPr="00DF357B">
              <w:rPr>
                <w:rFonts w:cs="Arial"/>
                <w:bCs/>
                <w:sz w:val="24"/>
                <w:lang w:val="fr-FR"/>
              </w:rPr>
              <w:t>11.9%</w:t>
            </w:r>
          </w:p>
        </w:tc>
        <w:tc>
          <w:tcPr>
            <w:tcW w:w="877" w:type="dxa"/>
          </w:tcPr>
          <w:p w:rsidR="000C0A41" w:rsidRPr="00DF357B" w:rsidRDefault="000C0A41" w:rsidP="00E92026">
            <w:pPr>
              <w:widowControl w:val="0"/>
              <w:overflowPunct w:val="0"/>
              <w:autoSpaceDE w:val="0"/>
              <w:autoSpaceDN w:val="0"/>
              <w:adjustRightInd w:val="0"/>
              <w:jc w:val="center"/>
              <w:textAlignment w:val="baseline"/>
              <w:cnfStyle w:val="000000000000" w:firstRow="0" w:lastRow="0" w:firstColumn="0" w:lastColumn="0" w:oddVBand="0" w:evenVBand="0" w:oddHBand="0" w:evenHBand="0" w:firstRowFirstColumn="0" w:firstRowLastColumn="0" w:lastRowFirstColumn="0" w:lastRowLastColumn="0"/>
              <w:rPr>
                <w:rFonts w:cs="Arial"/>
                <w:bCs/>
                <w:sz w:val="24"/>
                <w:lang w:val="fr-FR"/>
              </w:rPr>
            </w:pPr>
            <w:r w:rsidRPr="00DF357B">
              <w:rPr>
                <w:rFonts w:cs="Arial"/>
                <w:bCs/>
                <w:sz w:val="24"/>
                <w:lang w:val="fr-FR"/>
              </w:rPr>
              <w:t>16.2%</w:t>
            </w:r>
          </w:p>
        </w:tc>
        <w:tc>
          <w:tcPr>
            <w:tcW w:w="855" w:type="dxa"/>
          </w:tcPr>
          <w:p w:rsidR="000C0A41" w:rsidRPr="00DF357B" w:rsidRDefault="000C0A41" w:rsidP="00E92026">
            <w:pPr>
              <w:widowControl w:val="0"/>
              <w:overflowPunct w:val="0"/>
              <w:autoSpaceDE w:val="0"/>
              <w:autoSpaceDN w:val="0"/>
              <w:adjustRightInd w:val="0"/>
              <w:jc w:val="center"/>
              <w:textAlignment w:val="baseline"/>
              <w:cnfStyle w:val="000000000000" w:firstRow="0" w:lastRow="0" w:firstColumn="0" w:lastColumn="0" w:oddVBand="0" w:evenVBand="0" w:oddHBand="0" w:evenHBand="0" w:firstRowFirstColumn="0" w:firstRowLastColumn="0" w:lastRowFirstColumn="0" w:lastRowLastColumn="0"/>
              <w:rPr>
                <w:rFonts w:cs="Arial"/>
                <w:bCs/>
                <w:sz w:val="24"/>
                <w:lang w:val="fr-FR"/>
              </w:rPr>
            </w:pPr>
            <w:r w:rsidRPr="00DF357B">
              <w:rPr>
                <w:rFonts w:cs="Arial"/>
                <w:bCs/>
                <w:sz w:val="24"/>
                <w:lang w:val="fr-FR"/>
              </w:rPr>
              <w:t>24.3%</w:t>
            </w:r>
          </w:p>
        </w:tc>
        <w:tc>
          <w:tcPr>
            <w:tcW w:w="882" w:type="dxa"/>
          </w:tcPr>
          <w:p w:rsidR="000C0A41" w:rsidRPr="00DF357B" w:rsidRDefault="000C0A41" w:rsidP="00E92026">
            <w:pPr>
              <w:widowControl w:val="0"/>
              <w:overflowPunct w:val="0"/>
              <w:autoSpaceDE w:val="0"/>
              <w:autoSpaceDN w:val="0"/>
              <w:adjustRightInd w:val="0"/>
              <w:jc w:val="center"/>
              <w:textAlignment w:val="baseline"/>
              <w:cnfStyle w:val="000000000000" w:firstRow="0" w:lastRow="0" w:firstColumn="0" w:lastColumn="0" w:oddVBand="0" w:evenVBand="0" w:oddHBand="0" w:evenHBand="0" w:firstRowFirstColumn="0" w:firstRowLastColumn="0" w:lastRowFirstColumn="0" w:lastRowLastColumn="0"/>
              <w:rPr>
                <w:rFonts w:cs="Arial"/>
                <w:bCs/>
                <w:sz w:val="24"/>
                <w:lang w:val="fr-FR"/>
              </w:rPr>
            </w:pPr>
            <w:r w:rsidRPr="00DF357B">
              <w:rPr>
                <w:rFonts w:cs="Arial"/>
                <w:bCs/>
                <w:sz w:val="24"/>
                <w:lang w:val="fr-FR"/>
              </w:rPr>
              <w:t>8.9%</w:t>
            </w:r>
          </w:p>
        </w:tc>
        <w:tc>
          <w:tcPr>
            <w:tcW w:w="849" w:type="dxa"/>
          </w:tcPr>
          <w:p w:rsidR="000C0A41" w:rsidRPr="00DF357B" w:rsidRDefault="000C0A41" w:rsidP="00E92026">
            <w:pPr>
              <w:jc w:val="center"/>
              <w:cnfStyle w:val="000000000000" w:firstRow="0" w:lastRow="0" w:firstColumn="0" w:lastColumn="0" w:oddVBand="0" w:evenVBand="0" w:oddHBand="0" w:evenHBand="0" w:firstRowFirstColumn="0" w:firstRowLastColumn="0" w:lastRowFirstColumn="0" w:lastRowLastColumn="0"/>
            </w:pPr>
            <w:r w:rsidRPr="00DF357B">
              <w:t>11.2%</w:t>
            </w:r>
          </w:p>
        </w:tc>
      </w:tr>
      <w:tr w:rsidR="000C0A41" w:rsidRPr="00E50EBA" w:rsidTr="0060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7" w:type="dxa"/>
            <w:vMerge w:val="restart"/>
          </w:tcPr>
          <w:p w:rsidR="000C0A41" w:rsidRPr="00DF357B" w:rsidRDefault="000C0A41" w:rsidP="00E92026">
            <w:pPr>
              <w:widowControl w:val="0"/>
              <w:overflowPunct w:val="0"/>
              <w:autoSpaceDE w:val="0"/>
              <w:autoSpaceDN w:val="0"/>
              <w:adjustRightInd w:val="0"/>
              <w:textAlignment w:val="baseline"/>
              <w:rPr>
                <w:rFonts w:cs="Arial"/>
                <w:b w:val="0"/>
                <w:bCs w:val="0"/>
                <w:sz w:val="24"/>
                <w:lang w:val="fr-FR"/>
              </w:rPr>
            </w:pPr>
            <w:r w:rsidRPr="00DF357B">
              <w:rPr>
                <w:rFonts w:cs="Arial"/>
                <w:sz w:val="24"/>
                <w:lang w:val="fr-FR"/>
              </w:rPr>
              <w:t>COPD 2010</w:t>
            </w:r>
          </w:p>
        </w:tc>
        <w:tc>
          <w:tcPr>
            <w:tcW w:w="1047" w:type="dxa"/>
          </w:tcPr>
          <w:p w:rsidR="000C0A41" w:rsidRPr="00DF357B" w:rsidRDefault="000C0A41" w:rsidP="00E92026">
            <w:pPr>
              <w:widowControl w:val="0"/>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rPr>
                <w:rFonts w:cs="Arial"/>
                <w:bCs/>
                <w:sz w:val="24"/>
                <w:lang w:val="fr-FR"/>
              </w:rPr>
            </w:pPr>
            <w:r w:rsidRPr="00DF357B">
              <w:rPr>
                <w:rFonts w:cs="Arial"/>
                <w:bCs/>
                <w:sz w:val="24"/>
                <w:lang w:val="fr-FR"/>
              </w:rPr>
              <w:t>Males</w:t>
            </w:r>
          </w:p>
        </w:tc>
        <w:tc>
          <w:tcPr>
            <w:tcW w:w="761" w:type="dxa"/>
          </w:tcPr>
          <w:p w:rsidR="000C0A41" w:rsidRPr="00DF357B" w:rsidRDefault="000C0A41" w:rsidP="00E92026">
            <w:pPr>
              <w:widowControl w:val="0"/>
              <w:overflowPunct w:val="0"/>
              <w:autoSpaceDE w:val="0"/>
              <w:autoSpaceDN w:val="0"/>
              <w:adjustRightInd w:val="0"/>
              <w:jc w:val="center"/>
              <w:textAlignment w:val="baseline"/>
              <w:cnfStyle w:val="000000100000" w:firstRow="0" w:lastRow="0" w:firstColumn="0" w:lastColumn="0" w:oddVBand="0" w:evenVBand="0" w:oddHBand="1" w:evenHBand="0" w:firstRowFirstColumn="0" w:firstRowLastColumn="0" w:lastRowFirstColumn="0" w:lastRowLastColumn="0"/>
              <w:rPr>
                <w:rFonts w:cs="Arial"/>
                <w:bCs/>
                <w:sz w:val="24"/>
                <w:lang w:val="fr-FR"/>
              </w:rPr>
            </w:pPr>
            <w:r w:rsidRPr="00DF357B">
              <w:rPr>
                <w:rFonts w:cs="Arial"/>
                <w:bCs/>
                <w:sz w:val="24"/>
                <w:lang w:val="fr-FR"/>
              </w:rPr>
              <w:t>3.6%</w:t>
            </w:r>
          </w:p>
        </w:tc>
        <w:tc>
          <w:tcPr>
            <w:tcW w:w="728" w:type="dxa"/>
          </w:tcPr>
          <w:p w:rsidR="000C0A41" w:rsidRPr="00DF357B" w:rsidRDefault="000C0A41" w:rsidP="00E92026">
            <w:pPr>
              <w:widowControl w:val="0"/>
              <w:overflowPunct w:val="0"/>
              <w:autoSpaceDE w:val="0"/>
              <w:autoSpaceDN w:val="0"/>
              <w:adjustRightInd w:val="0"/>
              <w:jc w:val="center"/>
              <w:textAlignment w:val="baseline"/>
              <w:cnfStyle w:val="000000100000" w:firstRow="0" w:lastRow="0" w:firstColumn="0" w:lastColumn="0" w:oddVBand="0" w:evenVBand="0" w:oddHBand="1" w:evenHBand="0" w:firstRowFirstColumn="0" w:firstRowLastColumn="0" w:lastRowFirstColumn="0" w:lastRowLastColumn="0"/>
              <w:rPr>
                <w:rFonts w:cs="Arial"/>
                <w:bCs/>
                <w:sz w:val="24"/>
                <w:lang w:val="fr-FR"/>
              </w:rPr>
            </w:pPr>
            <w:r w:rsidRPr="00DF357B">
              <w:rPr>
                <w:rFonts w:cs="Arial"/>
                <w:bCs/>
                <w:sz w:val="24"/>
                <w:lang w:val="fr-FR"/>
              </w:rPr>
              <w:t>4.6%</w:t>
            </w:r>
          </w:p>
        </w:tc>
        <w:tc>
          <w:tcPr>
            <w:tcW w:w="855" w:type="dxa"/>
          </w:tcPr>
          <w:p w:rsidR="000C0A41" w:rsidRPr="00DF357B" w:rsidRDefault="000C0A41" w:rsidP="00E92026">
            <w:pPr>
              <w:widowControl w:val="0"/>
              <w:overflowPunct w:val="0"/>
              <w:autoSpaceDE w:val="0"/>
              <w:autoSpaceDN w:val="0"/>
              <w:adjustRightInd w:val="0"/>
              <w:jc w:val="center"/>
              <w:textAlignment w:val="baseline"/>
              <w:cnfStyle w:val="000000100000" w:firstRow="0" w:lastRow="0" w:firstColumn="0" w:lastColumn="0" w:oddVBand="0" w:evenVBand="0" w:oddHBand="1" w:evenHBand="0" w:firstRowFirstColumn="0" w:firstRowLastColumn="0" w:lastRowFirstColumn="0" w:lastRowLastColumn="0"/>
              <w:rPr>
                <w:rFonts w:cs="Arial"/>
                <w:bCs/>
                <w:sz w:val="24"/>
                <w:lang w:val="fr-FR"/>
              </w:rPr>
            </w:pPr>
            <w:r w:rsidRPr="00DF357B">
              <w:rPr>
                <w:rFonts w:cs="Arial"/>
                <w:bCs/>
                <w:sz w:val="24"/>
                <w:lang w:val="fr-FR"/>
              </w:rPr>
              <w:t>7.8%</w:t>
            </w:r>
          </w:p>
        </w:tc>
        <w:tc>
          <w:tcPr>
            <w:tcW w:w="866" w:type="dxa"/>
          </w:tcPr>
          <w:p w:rsidR="000C0A41" w:rsidRPr="00DF357B" w:rsidRDefault="000C0A41" w:rsidP="00E92026">
            <w:pPr>
              <w:widowControl w:val="0"/>
              <w:overflowPunct w:val="0"/>
              <w:autoSpaceDE w:val="0"/>
              <w:autoSpaceDN w:val="0"/>
              <w:adjustRightInd w:val="0"/>
              <w:jc w:val="center"/>
              <w:textAlignment w:val="baseline"/>
              <w:cnfStyle w:val="000000100000" w:firstRow="0" w:lastRow="0" w:firstColumn="0" w:lastColumn="0" w:oddVBand="0" w:evenVBand="0" w:oddHBand="1" w:evenHBand="0" w:firstRowFirstColumn="0" w:firstRowLastColumn="0" w:lastRowFirstColumn="0" w:lastRowLastColumn="0"/>
              <w:rPr>
                <w:rFonts w:cs="Arial"/>
                <w:bCs/>
                <w:sz w:val="24"/>
                <w:lang w:val="fr-FR"/>
              </w:rPr>
            </w:pPr>
            <w:r w:rsidRPr="00DF357B">
              <w:rPr>
                <w:rFonts w:cs="Arial"/>
                <w:bCs/>
                <w:sz w:val="24"/>
                <w:lang w:val="fr-FR"/>
              </w:rPr>
              <w:t>15.9%</w:t>
            </w:r>
          </w:p>
        </w:tc>
        <w:tc>
          <w:tcPr>
            <w:tcW w:w="877" w:type="dxa"/>
          </w:tcPr>
          <w:p w:rsidR="000C0A41" w:rsidRPr="00DF357B" w:rsidRDefault="000C0A41" w:rsidP="00E92026">
            <w:pPr>
              <w:widowControl w:val="0"/>
              <w:overflowPunct w:val="0"/>
              <w:autoSpaceDE w:val="0"/>
              <w:autoSpaceDN w:val="0"/>
              <w:adjustRightInd w:val="0"/>
              <w:jc w:val="center"/>
              <w:textAlignment w:val="baseline"/>
              <w:cnfStyle w:val="000000100000" w:firstRow="0" w:lastRow="0" w:firstColumn="0" w:lastColumn="0" w:oddVBand="0" w:evenVBand="0" w:oddHBand="1" w:evenHBand="0" w:firstRowFirstColumn="0" w:firstRowLastColumn="0" w:lastRowFirstColumn="0" w:lastRowLastColumn="0"/>
              <w:rPr>
                <w:rFonts w:cs="Arial"/>
                <w:bCs/>
                <w:sz w:val="24"/>
                <w:lang w:val="fr-FR"/>
              </w:rPr>
            </w:pPr>
            <w:r w:rsidRPr="00DF357B">
              <w:rPr>
                <w:rFonts w:cs="Arial"/>
                <w:bCs/>
                <w:sz w:val="24"/>
                <w:lang w:val="fr-FR"/>
              </w:rPr>
              <w:t>25.4%</w:t>
            </w:r>
          </w:p>
        </w:tc>
        <w:tc>
          <w:tcPr>
            <w:tcW w:w="855" w:type="dxa"/>
          </w:tcPr>
          <w:p w:rsidR="000C0A41" w:rsidRPr="00DF357B" w:rsidRDefault="000C0A41" w:rsidP="00E92026">
            <w:pPr>
              <w:widowControl w:val="0"/>
              <w:overflowPunct w:val="0"/>
              <w:autoSpaceDE w:val="0"/>
              <w:autoSpaceDN w:val="0"/>
              <w:adjustRightInd w:val="0"/>
              <w:jc w:val="center"/>
              <w:textAlignment w:val="baseline"/>
              <w:cnfStyle w:val="000000100000" w:firstRow="0" w:lastRow="0" w:firstColumn="0" w:lastColumn="0" w:oddVBand="0" w:evenVBand="0" w:oddHBand="1" w:evenHBand="0" w:firstRowFirstColumn="0" w:firstRowLastColumn="0" w:lastRowFirstColumn="0" w:lastRowLastColumn="0"/>
              <w:rPr>
                <w:rFonts w:cs="Arial"/>
                <w:bCs/>
                <w:sz w:val="24"/>
                <w:lang w:val="fr-FR"/>
              </w:rPr>
            </w:pPr>
            <w:r w:rsidRPr="00DF357B">
              <w:rPr>
                <w:rFonts w:cs="Arial"/>
                <w:bCs/>
                <w:sz w:val="24"/>
                <w:lang w:val="fr-FR"/>
              </w:rPr>
              <w:t>33.1%</w:t>
            </w:r>
          </w:p>
        </w:tc>
        <w:tc>
          <w:tcPr>
            <w:tcW w:w="882" w:type="dxa"/>
          </w:tcPr>
          <w:p w:rsidR="000C0A41" w:rsidRPr="00DF357B" w:rsidRDefault="000C0A41" w:rsidP="00E92026">
            <w:pPr>
              <w:widowControl w:val="0"/>
              <w:overflowPunct w:val="0"/>
              <w:autoSpaceDE w:val="0"/>
              <w:autoSpaceDN w:val="0"/>
              <w:adjustRightInd w:val="0"/>
              <w:jc w:val="center"/>
              <w:textAlignment w:val="baseline"/>
              <w:cnfStyle w:val="000000100000" w:firstRow="0" w:lastRow="0" w:firstColumn="0" w:lastColumn="0" w:oddVBand="0" w:evenVBand="0" w:oddHBand="1" w:evenHBand="0" w:firstRowFirstColumn="0" w:firstRowLastColumn="0" w:lastRowFirstColumn="0" w:lastRowLastColumn="0"/>
              <w:rPr>
                <w:rFonts w:cs="Arial"/>
                <w:bCs/>
                <w:sz w:val="24"/>
                <w:lang w:val="fr-FR"/>
              </w:rPr>
            </w:pPr>
            <w:r w:rsidRPr="00DF357B">
              <w:rPr>
                <w:rFonts w:cs="Arial"/>
                <w:bCs/>
                <w:sz w:val="24"/>
                <w:lang w:val="fr-FR"/>
              </w:rPr>
              <w:t>12.7%</w:t>
            </w:r>
          </w:p>
        </w:tc>
        <w:tc>
          <w:tcPr>
            <w:tcW w:w="849" w:type="dxa"/>
          </w:tcPr>
          <w:p w:rsidR="000C0A41" w:rsidRPr="00DF357B" w:rsidRDefault="000C0A41" w:rsidP="00E92026">
            <w:pPr>
              <w:jc w:val="center"/>
              <w:cnfStyle w:val="000000100000" w:firstRow="0" w:lastRow="0" w:firstColumn="0" w:lastColumn="0" w:oddVBand="0" w:evenVBand="0" w:oddHBand="1" w:evenHBand="0" w:firstRowFirstColumn="0" w:firstRowLastColumn="0" w:lastRowFirstColumn="0" w:lastRowLastColumn="0"/>
            </w:pPr>
            <w:r w:rsidRPr="00DF357B">
              <w:t>15.1%</w:t>
            </w:r>
          </w:p>
        </w:tc>
      </w:tr>
      <w:tr w:rsidR="000C0A41" w:rsidRPr="00E50EBA" w:rsidTr="006041E6">
        <w:tc>
          <w:tcPr>
            <w:cnfStyle w:val="001000000000" w:firstRow="0" w:lastRow="0" w:firstColumn="1" w:lastColumn="0" w:oddVBand="0" w:evenVBand="0" w:oddHBand="0" w:evenHBand="0" w:firstRowFirstColumn="0" w:firstRowLastColumn="0" w:lastRowFirstColumn="0" w:lastRowLastColumn="0"/>
            <w:tcW w:w="1727" w:type="dxa"/>
            <w:vMerge/>
          </w:tcPr>
          <w:p w:rsidR="000C0A41" w:rsidRPr="00DF357B" w:rsidRDefault="000C0A41" w:rsidP="00E92026">
            <w:pPr>
              <w:widowControl w:val="0"/>
              <w:overflowPunct w:val="0"/>
              <w:autoSpaceDE w:val="0"/>
              <w:autoSpaceDN w:val="0"/>
              <w:adjustRightInd w:val="0"/>
              <w:textAlignment w:val="baseline"/>
              <w:rPr>
                <w:rFonts w:cs="Arial"/>
                <w:b w:val="0"/>
                <w:bCs w:val="0"/>
                <w:sz w:val="24"/>
                <w:lang w:val="fr-FR"/>
              </w:rPr>
            </w:pPr>
          </w:p>
        </w:tc>
        <w:tc>
          <w:tcPr>
            <w:tcW w:w="1047" w:type="dxa"/>
          </w:tcPr>
          <w:p w:rsidR="000C0A41" w:rsidRPr="00DF357B" w:rsidRDefault="000C0A41" w:rsidP="00E92026">
            <w:pPr>
              <w:widowControl w:val="0"/>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cs="Arial"/>
                <w:bCs/>
                <w:sz w:val="24"/>
                <w:lang w:val="fr-FR"/>
              </w:rPr>
            </w:pPr>
            <w:r w:rsidRPr="00DF357B">
              <w:rPr>
                <w:rFonts w:cs="Arial"/>
                <w:bCs/>
                <w:sz w:val="24"/>
                <w:lang w:val="fr-FR"/>
              </w:rPr>
              <w:t>Females</w:t>
            </w:r>
          </w:p>
        </w:tc>
        <w:tc>
          <w:tcPr>
            <w:tcW w:w="761" w:type="dxa"/>
          </w:tcPr>
          <w:p w:rsidR="000C0A41" w:rsidRPr="00DF357B" w:rsidRDefault="000C0A41" w:rsidP="00E92026">
            <w:pPr>
              <w:widowControl w:val="0"/>
              <w:overflowPunct w:val="0"/>
              <w:autoSpaceDE w:val="0"/>
              <w:autoSpaceDN w:val="0"/>
              <w:adjustRightInd w:val="0"/>
              <w:jc w:val="center"/>
              <w:textAlignment w:val="baseline"/>
              <w:cnfStyle w:val="000000000000" w:firstRow="0" w:lastRow="0" w:firstColumn="0" w:lastColumn="0" w:oddVBand="0" w:evenVBand="0" w:oddHBand="0" w:evenHBand="0" w:firstRowFirstColumn="0" w:firstRowLastColumn="0" w:lastRowFirstColumn="0" w:lastRowLastColumn="0"/>
              <w:rPr>
                <w:rFonts w:cs="Arial"/>
                <w:bCs/>
                <w:sz w:val="24"/>
                <w:lang w:val="fr-FR"/>
              </w:rPr>
            </w:pPr>
            <w:r w:rsidRPr="00DF357B">
              <w:rPr>
                <w:rFonts w:cs="Arial"/>
                <w:bCs/>
                <w:sz w:val="24"/>
                <w:lang w:val="fr-FR"/>
              </w:rPr>
              <w:t>3.0%</w:t>
            </w:r>
          </w:p>
        </w:tc>
        <w:tc>
          <w:tcPr>
            <w:tcW w:w="728" w:type="dxa"/>
          </w:tcPr>
          <w:p w:rsidR="000C0A41" w:rsidRPr="00DF357B" w:rsidRDefault="000C0A41" w:rsidP="00E92026">
            <w:pPr>
              <w:widowControl w:val="0"/>
              <w:overflowPunct w:val="0"/>
              <w:autoSpaceDE w:val="0"/>
              <w:autoSpaceDN w:val="0"/>
              <w:adjustRightInd w:val="0"/>
              <w:jc w:val="center"/>
              <w:textAlignment w:val="baseline"/>
              <w:cnfStyle w:val="000000000000" w:firstRow="0" w:lastRow="0" w:firstColumn="0" w:lastColumn="0" w:oddVBand="0" w:evenVBand="0" w:oddHBand="0" w:evenHBand="0" w:firstRowFirstColumn="0" w:firstRowLastColumn="0" w:lastRowFirstColumn="0" w:lastRowLastColumn="0"/>
              <w:rPr>
                <w:rFonts w:cs="Arial"/>
                <w:bCs/>
                <w:sz w:val="24"/>
                <w:lang w:val="fr-FR"/>
              </w:rPr>
            </w:pPr>
            <w:r w:rsidRPr="00DF357B">
              <w:rPr>
                <w:rFonts w:cs="Arial"/>
                <w:bCs/>
                <w:sz w:val="24"/>
                <w:lang w:val="fr-FR"/>
              </w:rPr>
              <w:t>3.5%</w:t>
            </w:r>
          </w:p>
        </w:tc>
        <w:tc>
          <w:tcPr>
            <w:tcW w:w="855" w:type="dxa"/>
          </w:tcPr>
          <w:p w:rsidR="000C0A41" w:rsidRPr="00DF357B" w:rsidRDefault="000C0A41" w:rsidP="00E92026">
            <w:pPr>
              <w:widowControl w:val="0"/>
              <w:overflowPunct w:val="0"/>
              <w:autoSpaceDE w:val="0"/>
              <w:autoSpaceDN w:val="0"/>
              <w:adjustRightInd w:val="0"/>
              <w:jc w:val="center"/>
              <w:textAlignment w:val="baseline"/>
              <w:cnfStyle w:val="000000000000" w:firstRow="0" w:lastRow="0" w:firstColumn="0" w:lastColumn="0" w:oddVBand="0" w:evenVBand="0" w:oddHBand="0" w:evenHBand="0" w:firstRowFirstColumn="0" w:firstRowLastColumn="0" w:lastRowFirstColumn="0" w:lastRowLastColumn="0"/>
              <w:rPr>
                <w:rFonts w:cs="Arial"/>
                <w:bCs/>
                <w:sz w:val="24"/>
                <w:lang w:val="fr-FR"/>
              </w:rPr>
            </w:pPr>
            <w:r w:rsidRPr="00DF357B">
              <w:rPr>
                <w:rFonts w:cs="Arial"/>
                <w:bCs/>
                <w:sz w:val="24"/>
                <w:lang w:val="fr-FR"/>
              </w:rPr>
              <w:t>6.4%</w:t>
            </w:r>
          </w:p>
        </w:tc>
        <w:tc>
          <w:tcPr>
            <w:tcW w:w="866" w:type="dxa"/>
          </w:tcPr>
          <w:p w:rsidR="000C0A41" w:rsidRPr="00DF357B" w:rsidRDefault="000C0A41" w:rsidP="00E92026">
            <w:pPr>
              <w:widowControl w:val="0"/>
              <w:overflowPunct w:val="0"/>
              <w:autoSpaceDE w:val="0"/>
              <w:autoSpaceDN w:val="0"/>
              <w:adjustRightInd w:val="0"/>
              <w:jc w:val="center"/>
              <w:textAlignment w:val="baseline"/>
              <w:cnfStyle w:val="000000000000" w:firstRow="0" w:lastRow="0" w:firstColumn="0" w:lastColumn="0" w:oddVBand="0" w:evenVBand="0" w:oddHBand="0" w:evenHBand="0" w:firstRowFirstColumn="0" w:firstRowLastColumn="0" w:lastRowFirstColumn="0" w:lastRowLastColumn="0"/>
              <w:rPr>
                <w:rFonts w:cs="Arial"/>
                <w:bCs/>
                <w:sz w:val="24"/>
                <w:lang w:val="fr-FR"/>
              </w:rPr>
            </w:pPr>
            <w:r w:rsidRPr="00DF357B">
              <w:rPr>
                <w:rFonts w:cs="Arial"/>
                <w:bCs/>
                <w:sz w:val="24"/>
                <w:lang w:val="fr-FR"/>
              </w:rPr>
              <w:t>10.9%</w:t>
            </w:r>
          </w:p>
        </w:tc>
        <w:tc>
          <w:tcPr>
            <w:tcW w:w="877" w:type="dxa"/>
          </w:tcPr>
          <w:p w:rsidR="000C0A41" w:rsidRPr="00DF357B" w:rsidRDefault="000C0A41" w:rsidP="00E92026">
            <w:pPr>
              <w:widowControl w:val="0"/>
              <w:overflowPunct w:val="0"/>
              <w:autoSpaceDE w:val="0"/>
              <w:autoSpaceDN w:val="0"/>
              <w:adjustRightInd w:val="0"/>
              <w:jc w:val="center"/>
              <w:textAlignment w:val="baseline"/>
              <w:cnfStyle w:val="000000000000" w:firstRow="0" w:lastRow="0" w:firstColumn="0" w:lastColumn="0" w:oddVBand="0" w:evenVBand="0" w:oddHBand="0" w:evenHBand="0" w:firstRowFirstColumn="0" w:firstRowLastColumn="0" w:lastRowFirstColumn="0" w:lastRowLastColumn="0"/>
              <w:rPr>
                <w:rFonts w:cs="Arial"/>
                <w:bCs/>
                <w:sz w:val="24"/>
                <w:lang w:val="fr-FR"/>
              </w:rPr>
            </w:pPr>
            <w:r w:rsidRPr="00DF357B">
              <w:rPr>
                <w:rFonts w:cs="Arial"/>
                <w:bCs/>
                <w:sz w:val="24"/>
                <w:lang w:val="fr-FR"/>
              </w:rPr>
              <w:t>15.7%</w:t>
            </w:r>
          </w:p>
        </w:tc>
        <w:tc>
          <w:tcPr>
            <w:tcW w:w="855" w:type="dxa"/>
          </w:tcPr>
          <w:p w:rsidR="000C0A41" w:rsidRPr="00DF357B" w:rsidRDefault="000C0A41" w:rsidP="00E92026">
            <w:pPr>
              <w:widowControl w:val="0"/>
              <w:overflowPunct w:val="0"/>
              <w:autoSpaceDE w:val="0"/>
              <w:autoSpaceDN w:val="0"/>
              <w:adjustRightInd w:val="0"/>
              <w:jc w:val="center"/>
              <w:textAlignment w:val="baseline"/>
              <w:cnfStyle w:val="000000000000" w:firstRow="0" w:lastRow="0" w:firstColumn="0" w:lastColumn="0" w:oddVBand="0" w:evenVBand="0" w:oddHBand="0" w:evenHBand="0" w:firstRowFirstColumn="0" w:firstRowLastColumn="0" w:lastRowFirstColumn="0" w:lastRowLastColumn="0"/>
              <w:rPr>
                <w:rFonts w:cs="Arial"/>
                <w:bCs/>
                <w:sz w:val="24"/>
                <w:lang w:val="fr-FR"/>
              </w:rPr>
            </w:pPr>
            <w:r w:rsidRPr="00DF357B">
              <w:rPr>
                <w:rFonts w:cs="Arial"/>
                <w:bCs/>
                <w:sz w:val="24"/>
                <w:lang w:val="fr-FR"/>
              </w:rPr>
              <w:t>26.2%</w:t>
            </w:r>
          </w:p>
        </w:tc>
        <w:tc>
          <w:tcPr>
            <w:tcW w:w="882" w:type="dxa"/>
          </w:tcPr>
          <w:p w:rsidR="000C0A41" w:rsidRPr="00DF357B" w:rsidRDefault="000C0A41" w:rsidP="00E92026">
            <w:pPr>
              <w:widowControl w:val="0"/>
              <w:overflowPunct w:val="0"/>
              <w:autoSpaceDE w:val="0"/>
              <w:autoSpaceDN w:val="0"/>
              <w:adjustRightInd w:val="0"/>
              <w:jc w:val="center"/>
              <w:textAlignment w:val="baseline"/>
              <w:cnfStyle w:val="000000000000" w:firstRow="0" w:lastRow="0" w:firstColumn="0" w:lastColumn="0" w:oddVBand="0" w:evenVBand="0" w:oddHBand="0" w:evenHBand="0" w:firstRowFirstColumn="0" w:firstRowLastColumn="0" w:lastRowFirstColumn="0" w:lastRowLastColumn="0"/>
              <w:rPr>
                <w:rFonts w:cs="Arial"/>
                <w:bCs/>
                <w:sz w:val="24"/>
                <w:lang w:val="fr-FR"/>
              </w:rPr>
            </w:pPr>
            <w:r w:rsidRPr="00DF357B">
              <w:rPr>
                <w:rFonts w:cs="Arial"/>
                <w:bCs/>
                <w:sz w:val="24"/>
                <w:lang w:val="fr-FR"/>
              </w:rPr>
              <w:t>8.7%</w:t>
            </w:r>
          </w:p>
        </w:tc>
        <w:tc>
          <w:tcPr>
            <w:tcW w:w="849" w:type="dxa"/>
          </w:tcPr>
          <w:p w:rsidR="000C0A41" w:rsidRPr="00DF357B" w:rsidRDefault="000C0A41" w:rsidP="00E92026">
            <w:pPr>
              <w:jc w:val="center"/>
              <w:cnfStyle w:val="000000000000" w:firstRow="0" w:lastRow="0" w:firstColumn="0" w:lastColumn="0" w:oddVBand="0" w:evenVBand="0" w:oddHBand="0" w:evenHBand="0" w:firstRowFirstColumn="0" w:firstRowLastColumn="0" w:lastRowFirstColumn="0" w:lastRowLastColumn="0"/>
            </w:pPr>
            <w:r w:rsidRPr="00DF357B">
              <w:t>10.2%</w:t>
            </w:r>
          </w:p>
        </w:tc>
      </w:tr>
      <w:tr w:rsidR="000C0A41" w:rsidRPr="00E50EBA" w:rsidTr="0060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7" w:type="dxa"/>
            <w:vMerge w:val="restart"/>
          </w:tcPr>
          <w:p w:rsidR="000C0A41" w:rsidRPr="00DF357B" w:rsidRDefault="000C0A41" w:rsidP="00E92026">
            <w:pPr>
              <w:widowControl w:val="0"/>
              <w:overflowPunct w:val="0"/>
              <w:autoSpaceDE w:val="0"/>
              <w:autoSpaceDN w:val="0"/>
              <w:adjustRightInd w:val="0"/>
              <w:textAlignment w:val="baseline"/>
              <w:rPr>
                <w:rFonts w:cs="Arial"/>
                <w:b w:val="0"/>
                <w:bCs w:val="0"/>
                <w:sz w:val="24"/>
                <w:lang w:val="fr-FR"/>
              </w:rPr>
            </w:pPr>
            <w:r w:rsidRPr="00DF357B">
              <w:rPr>
                <w:rFonts w:cs="Arial"/>
                <w:sz w:val="24"/>
                <w:lang w:val="fr-FR"/>
              </w:rPr>
              <w:t>COPD 2010 QA</w:t>
            </w:r>
          </w:p>
        </w:tc>
        <w:tc>
          <w:tcPr>
            <w:tcW w:w="1047" w:type="dxa"/>
          </w:tcPr>
          <w:p w:rsidR="000C0A41" w:rsidRPr="00DF357B" w:rsidRDefault="000C0A41" w:rsidP="00E92026">
            <w:pPr>
              <w:widowControl w:val="0"/>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rPr>
                <w:rFonts w:cs="Arial"/>
                <w:bCs/>
                <w:sz w:val="24"/>
                <w:lang w:val="fr-FR"/>
              </w:rPr>
            </w:pPr>
            <w:r w:rsidRPr="00DF357B">
              <w:rPr>
                <w:rFonts w:cs="Arial"/>
                <w:bCs/>
                <w:sz w:val="24"/>
                <w:lang w:val="fr-FR"/>
              </w:rPr>
              <w:t>Males</w:t>
            </w:r>
          </w:p>
        </w:tc>
        <w:tc>
          <w:tcPr>
            <w:tcW w:w="761" w:type="dxa"/>
          </w:tcPr>
          <w:p w:rsidR="000C0A41" w:rsidRPr="00DF357B" w:rsidRDefault="000C0A41" w:rsidP="00E92026">
            <w:pPr>
              <w:widowControl w:val="0"/>
              <w:overflowPunct w:val="0"/>
              <w:autoSpaceDE w:val="0"/>
              <w:autoSpaceDN w:val="0"/>
              <w:adjustRightInd w:val="0"/>
              <w:jc w:val="center"/>
              <w:textAlignment w:val="baseline"/>
              <w:cnfStyle w:val="000000100000" w:firstRow="0" w:lastRow="0" w:firstColumn="0" w:lastColumn="0" w:oddVBand="0" w:evenVBand="0" w:oddHBand="1" w:evenHBand="0" w:firstRowFirstColumn="0" w:firstRowLastColumn="0" w:lastRowFirstColumn="0" w:lastRowLastColumn="0"/>
              <w:rPr>
                <w:rFonts w:cs="Arial"/>
                <w:bCs/>
                <w:sz w:val="24"/>
                <w:lang w:val="fr-FR"/>
              </w:rPr>
            </w:pPr>
            <w:r w:rsidRPr="00DF357B">
              <w:rPr>
                <w:rFonts w:cs="Arial"/>
                <w:bCs/>
                <w:sz w:val="24"/>
                <w:lang w:val="fr-FR"/>
              </w:rPr>
              <w:t>3.5%</w:t>
            </w:r>
          </w:p>
        </w:tc>
        <w:tc>
          <w:tcPr>
            <w:tcW w:w="728" w:type="dxa"/>
          </w:tcPr>
          <w:p w:rsidR="000C0A41" w:rsidRPr="00DF357B" w:rsidRDefault="000C0A41" w:rsidP="00E92026">
            <w:pPr>
              <w:widowControl w:val="0"/>
              <w:overflowPunct w:val="0"/>
              <w:autoSpaceDE w:val="0"/>
              <w:autoSpaceDN w:val="0"/>
              <w:adjustRightInd w:val="0"/>
              <w:jc w:val="center"/>
              <w:textAlignment w:val="baseline"/>
              <w:cnfStyle w:val="000000100000" w:firstRow="0" w:lastRow="0" w:firstColumn="0" w:lastColumn="0" w:oddVBand="0" w:evenVBand="0" w:oddHBand="1" w:evenHBand="0" w:firstRowFirstColumn="0" w:firstRowLastColumn="0" w:lastRowFirstColumn="0" w:lastRowLastColumn="0"/>
              <w:rPr>
                <w:rFonts w:cs="Arial"/>
                <w:bCs/>
                <w:sz w:val="24"/>
                <w:lang w:val="fr-FR"/>
              </w:rPr>
            </w:pPr>
            <w:r w:rsidRPr="00DF357B">
              <w:rPr>
                <w:rFonts w:cs="Arial"/>
                <w:bCs/>
                <w:sz w:val="24"/>
                <w:lang w:val="fr-FR"/>
              </w:rPr>
              <w:t>3.8%</w:t>
            </w:r>
          </w:p>
        </w:tc>
        <w:tc>
          <w:tcPr>
            <w:tcW w:w="855" w:type="dxa"/>
          </w:tcPr>
          <w:p w:rsidR="000C0A41" w:rsidRPr="00DF357B" w:rsidRDefault="000C0A41" w:rsidP="00E92026">
            <w:pPr>
              <w:widowControl w:val="0"/>
              <w:overflowPunct w:val="0"/>
              <w:autoSpaceDE w:val="0"/>
              <w:autoSpaceDN w:val="0"/>
              <w:adjustRightInd w:val="0"/>
              <w:jc w:val="center"/>
              <w:textAlignment w:val="baseline"/>
              <w:cnfStyle w:val="000000100000" w:firstRow="0" w:lastRow="0" w:firstColumn="0" w:lastColumn="0" w:oddVBand="0" w:evenVBand="0" w:oddHBand="1" w:evenHBand="0" w:firstRowFirstColumn="0" w:firstRowLastColumn="0" w:lastRowFirstColumn="0" w:lastRowLastColumn="0"/>
              <w:rPr>
                <w:rFonts w:cs="Arial"/>
                <w:bCs/>
                <w:sz w:val="24"/>
                <w:lang w:val="fr-FR"/>
              </w:rPr>
            </w:pPr>
            <w:r w:rsidRPr="00DF357B">
              <w:rPr>
                <w:rFonts w:cs="Arial"/>
                <w:bCs/>
                <w:sz w:val="24"/>
                <w:lang w:val="fr-FR"/>
              </w:rPr>
              <w:t>8.4%</w:t>
            </w:r>
          </w:p>
        </w:tc>
        <w:tc>
          <w:tcPr>
            <w:tcW w:w="866" w:type="dxa"/>
          </w:tcPr>
          <w:p w:rsidR="000C0A41" w:rsidRPr="00DF357B" w:rsidRDefault="000C0A41" w:rsidP="00E92026">
            <w:pPr>
              <w:widowControl w:val="0"/>
              <w:overflowPunct w:val="0"/>
              <w:autoSpaceDE w:val="0"/>
              <w:autoSpaceDN w:val="0"/>
              <w:adjustRightInd w:val="0"/>
              <w:jc w:val="center"/>
              <w:textAlignment w:val="baseline"/>
              <w:cnfStyle w:val="000000100000" w:firstRow="0" w:lastRow="0" w:firstColumn="0" w:lastColumn="0" w:oddVBand="0" w:evenVBand="0" w:oddHBand="1" w:evenHBand="0" w:firstRowFirstColumn="0" w:firstRowLastColumn="0" w:lastRowFirstColumn="0" w:lastRowLastColumn="0"/>
              <w:rPr>
                <w:rFonts w:cs="Arial"/>
                <w:bCs/>
                <w:sz w:val="24"/>
                <w:lang w:val="fr-FR"/>
              </w:rPr>
            </w:pPr>
            <w:r w:rsidRPr="00DF357B">
              <w:rPr>
                <w:rFonts w:cs="Arial"/>
                <w:bCs/>
                <w:sz w:val="24"/>
                <w:lang w:val="fr-FR"/>
              </w:rPr>
              <w:t>15.8%</w:t>
            </w:r>
          </w:p>
        </w:tc>
        <w:tc>
          <w:tcPr>
            <w:tcW w:w="877" w:type="dxa"/>
          </w:tcPr>
          <w:p w:rsidR="000C0A41" w:rsidRPr="00DF357B" w:rsidRDefault="000C0A41" w:rsidP="00E92026">
            <w:pPr>
              <w:widowControl w:val="0"/>
              <w:overflowPunct w:val="0"/>
              <w:autoSpaceDE w:val="0"/>
              <w:autoSpaceDN w:val="0"/>
              <w:adjustRightInd w:val="0"/>
              <w:jc w:val="center"/>
              <w:textAlignment w:val="baseline"/>
              <w:cnfStyle w:val="000000100000" w:firstRow="0" w:lastRow="0" w:firstColumn="0" w:lastColumn="0" w:oddVBand="0" w:evenVBand="0" w:oddHBand="1" w:evenHBand="0" w:firstRowFirstColumn="0" w:firstRowLastColumn="0" w:lastRowFirstColumn="0" w:lastRowLastColumn="0"/>
              <w:rPr>
                <w:rFonts w:cs="Arial"/>
                <w:bCs/>
                <w:sz w:val="24"/>
                <w:lang w:val="fr-FR"/>
              </w:rPr>
            </w:pPr>
            <w:r w:rsidRPr="00DF357B">
              <w:rPr>
                <w:rFonts w:cs="Arial"/>
                <w:bCs/>
                <w:sz w:val="24"/>
                <w:lang w:val="fr-FR"/>
              </w:rPr>
              <w:t>25.4%</w:t>
            </w:r>
          </w:p>
        </w:tc>
        <w:tc>
          <w:tcPr>
            <w:tcW w:w="855" w:type="dxa"/>
          </w:tcPr>
          <w:p w:rsidR="000C0A41" w:rsidRPr="00DF357B" w:rsidRDefault="000C0A41" w:rsidP="00E92026">
            <w:pPr>
              <w:widowControl w:val="0"/>
              <w:overflowPunct w:val="0"/>
              <w:autoSpaceDE w:val="0"/>
              <w:autoSpaceDN w:val="0"/>
              <w:adjustRightInd w:val="0"/>
              <w:jc w:val="center"/>
              <w:textAlignment w:val="baseline"/>
              <w:cnfStyle w:val="000000100000" w:firstRow="0" w:lastRow="0" w:firstColumn="0" w:lastColumn="0" w:oddVBand="0" w:evenVBand="0" w:oddHBand="1" w:evenHBand="0" w:firstRowFirstColumn="0" w:firstRowLastColumn="0" w:lastRowFirstColumn="0" w:lastRowLastColumn="0"/>
              <w:rPr>
                <w:rFonts w:cs="Arial"/>
                <w:bCs/>
                <w:sz w:val="24"/>
                <w:lang w:val="fr-FR"/>
              </w:rPr>
            </w:pPr>
            <w:r w:rsidRPr="00DF357B">
              <w:rPr>
                <w:rFonts w:cs="Arial"/>
                <w:bCs/>
                <w:sz w:val="24"/>
                <w:lang w:val="fr-FR"/>
              </w:rPr>
              <w:t>29.8%</w:t>
            </w:r>
          </w:p>
        </w:tc>
        <w:tc>
          <w:tcPr>
            <w:tcW w:w="882" w:type="dxa"/>
          </w:tcPr>
          <w:p w:rsidR="000C0A41" w:rsidRPr="00DF357B" w:rsidRDefault="000C0A41" w:rsidP="00E92026">
            <w:pPr>
              <w:widowControl w:val="0"/>
              <w:overflowPunct w:val="0"/>
              <w:autoSpaceDE w:val="0"/>
              <w:autoSpaceDN w:val="0"/>
              <w:adjustRightInd w:val="0"/>
              <w:jc w:val="center"/>
              <w:textAlignment w:val="baseline"/>
              <w:cnfStyle w:val="000000100000" w:firstRow="0" w:lastRow="0" w:firstColumn="0" w:lastColumn="0" w:oddVBand="0" w:evenVBand="0" w:oddHBand="1" w:evenHBand="0" w:firstRowFirstColumn="0" w:firstRowLastColumn="0" w:lastRowFirstColumn="0" w:lastRowLastColumn="0"/>
              <w:rPr>
                <w:rFonts w:cs="Arial"/>
                <w:bCs/>
                <w:sz w:val="24"/>
                <w:lang w:val="fr-FR"/>
              </w:rPr>
            </w:pPr>
            <w:r w:rsidRPr="00DF357B">
              <w:rPr>
                <w:rFonts w:cs="Arial"/>
                <w:bCs/>
                <w:sz w:val="24"/>
                <w:lang w:val="fr-FR"/>
              </w:rPr>
              <w:t>12.0%</w:t>
            </w:r>
          </w:p>
        </w:tc>
        <w:tc>
          <w:tcPr>
            <w:tcW w:w="849" w:type="dxa"/>
          </w:tcPr>
          <w:p w:rsidR="000C0A41" w:rsidRPr="00DF357B" w:rsidRDefault="000C0A41" w:rsidP="00E92026">
            <w:pPr>
              <w:jc w:val="center"/>
              <w:cnfStyle w:val="000000100000" w:firstRow="0" w:lastRow="0" w:firstColumn="0" w:lastColumn="0" w:oddVBand="0" w:evenVBand="0" w:oddHBand="1" w:evenHBand="0" w:firstRowFirstColumn="0" w:firstRowLastColumn="0" w:lastRowFirstColumn="0" w:lastRowLastColumn="0"/>
            </w:pPr>
            <w:r w:rsidRPr="00DF357B">
              <w:t>14.3%</w:t>
            </w:r>
          </w:p>
        </w:tc>
      </w:tr>
      <w:tr w:rsidR="000C0A41" w:rsidRPr="00E50EBA" w:rsidTr="006041E6">
        <w:tc>
          <w:tcPr>
            <w:cnfStyle w:val="001000000000" w:firstRow="0" w:lastRow="0" w:firstColumn="1" w:lastColumn="0" w:oddVBand="0" w:evenVBand="0" w:oddHBand="0" w:evenHBand="0" w:firstRowFirstColumn="0" w:firstRowLastColumn="0" w:lastRowFirstColumn="0" w:lastRowLastColumn="0"/>
            <w:tcW w:w="1727" w:type="dxa"/>
            <w:vMerge/>
          </w:tcPr>
          <w:p w:rsidR="000C0A41" w:rsidRPr="00DF357B" w:rsidRDefault="000C0A41" w:rsidP="00E92026">
            <w:pPr>
              <w:widowControl w:val="0"/>
              <w:overflowPunct w:val="0"/>
              <w:autoSpaceDE w:val="0"/>
              <w:autoSpaceDN w:val="0"/>
              <w:adjustRightInd w:val="0"/>
              <w:textAlignment w:val="baseline"/>
              <w:rPr>
                <w:rFonts w:cs="Arial"/>
                <w:bCs w:val="0"/>
                <w:sz w:val="24"/>
                <w:lang w:val="fr-FR"/>
              </w:rPr>
            </w:pPr>
          </w:p>
        </w:tc>
        <w:tc>
          <w:tcPr>
            <w:tcW w:w="1047" w:type="dxa"/>
          </w:tcPr>
          <w:p w:rsidR="000C0A41" w:rsidRPr="00DF357B" w:rsidRDefault="000C0A41" w:rsidP="00E92026">
            <w:pPr>
              <w:widowControl w:val="0"/>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cs="Arial"/>
                <w:bCs/>
                <w:sz w:val="24"/>
              </w:rPr>
            </w:pPr>
            <w:r w:rsidRPr="00DF357B">
              <w:rPr>
                <w:rFonts w:cs="Arial"/>
                <w:bCs/>
                <w:sz w:val="24"/>
              </w:rPr>
              <w:t>Females</w:t>
            </w:r>
          </w:p>
        </w:tc>
        <w:tc>
          <w:tcPr>
            <w:tcW w:w="761" w:type="dxa"/>
          </w:tcPr>
          <w:p w:rsidR="000C0A41" w:rsidRPr="00DF357B" w:rsidRDefault="000C0A41" w:rsidP="00E92026">
            <w:pPr>
              <w:widowControl w:val="0"/>
              <w:overflowPunct w:val="0"/>
              <w:autoSpaceDE w:val="0"/>
              <w:autoSpaceDN w:val="0"/>
              <w:adjustRightInd w:val="0"/>
              <w:jc w:val="center"/>
              <w:textAlignment w:val="baseline"/>
              <w:cnfStyle w:val="000000000000" w:firstRow="0" w:lastRow="0" w:firstColumn="0" w:lastColumn="0" w:oddVBand="0" w:evenVBand="0" w:oddHBand="0" w:evenHBand="0" w:firstRowFirstColumn="0" w:firstRowLastColumn="0" w:lastRowFirstColumn="0" w:lastRowLastColumn="0"/>
              <w:rPr>
                <w:rFonts w:cs="Arial"/>
                <w:bCs/>
                <w:sz w:val="24"/>
              </w:rPr>
            </w:pPr>
            <w:r w:rsidRPr="00DF357B">
              <w:rPr>
                <w:rFonts w:cs="Arial"/>
                <w:bCs/>
                <w:sz w:val="24"/>
              </w:rPr>
              <w:t>2.2%</w:t>
            </w:r>
          </w:p>
        </w:tc>
        <w:tc>
          <w:tcPr>
            <w:tcW w:w="728" w:type="dxa"/>
          </w:tcPr>
          <w:p w:rsidR="000C0A41" w:rsidRPr="00DF357B" w:rsidRDefault="000C0A41" w:rsidP="00E92026">
            <w:pPr>
              <w:widowControl w:val="0"/>
              <w:overflowPunct w:val="0"/>
              <w:autoSpaceDE w:val="0"/>
              <w:autoSpaceDN w:val="0"/>
              <w:adjustRightInd w:val="0"/>
              <w:jc w:val="center"/>
              <w:textAlignment w:val="baseline"/>
              <w:cnfStyle w:val="000000000000" w:firstRow="0" w:lastRow="0" w:firstColumn="0" w:lastColumn="0" w:oddVBand="0" w:evenVBand="0" w:oddHBand="0" w:evenHBand="0" w:firstRowFirstColumn="0" w:firstRowLastColumn="0" w:lastRowFirstColumn="0" w:lastRowLastColumn="0"/>
              <w:rPr>
                <w:rFonts w:cs="Arial"/>
                <w:bCs/>
                <w:sz w:val="24"/>
              </w:rPr>
            </w:pPr>
            <w:r w:rsidRPr="00DF357B">
              <w:rPr>
                <w:rFonts w:cs="Arial"/>
                <w:bCs/>
                <w:sz w:val="24"/>
              </w:rPr>
              <w:t>3.5%</w:t>
            </w:r>
          </w:p>
        </w:tc>
        <w:tc>
          <w:tcPr>
            <w:tcW w:w="855" w:type="dxa"/>
          </w:tcPr>
          <w:p w:rsidR="000C0A41" w:rsidRPr="00DF357B" w:rsidRDefault="000C0A41" w:rsidP="00E92026">
            <w:pPr>
              <w:widowControl w:val="0"/>
              <w:overflowPunct w:val="0"/>
              <w:autoSpaceDE w:val="0"/>
              <w:autoSpaceDN w:val="0"/>
              <w:adjustRightInd w:val="0"/>
              <w:jc w:val="center"/>
              <w:textAlignment w:val="baseline"/>
              <w:cnfStyle w:val="000000000000" w:firstRow="0" w:lastRow="0" w:firstColumn="0" w:lastColumn="0" w:oddVBand="0" w:evenVBand="0" w:oddHBand="0" w:evenHBand="0" w:firstRowFirstColumn="0" w:firstRowLastColumn="0" w:lastRowFirstColumn="0" w:lastRowLastColumn="0"/>
              <w:rPr>
                <w:rFonts w:cs="Arial"/>
                <w:bCs/>
                <w:sz w:val="24"/>
              </w:rPr>
            </w:pPr>
            <w:r w:rsidRPr="00DF357B">
              <w:rPr>
                <w:rFonts w:cs="Arial"/>
                <w:bCs/>
                <w:sz w:val="24"/>
              </w:rPr>
              <w:t>6.0%</w:t>
            </w:r>
          </w:p>
        </w:tc>
        <w:tc>
          <w:tcPr>
            <w:tcW w:w="866" w:type="dxa"/>
          </w:tcPr>
          <w:p w:rsidR="000C0A41" w:rsidRPr="00DF357B" w:rsidRDefault="000C0A41" w:rsidP="00E92026">
            <w:pPr>
              <w:widowControl w:val="0"/>
              <w:overflowPunct w:val="0"/>
              <w:autoSpaceDE w:val="0"/>
              <w:autoSpaceDN w:val="0"/>
              <w:adjustRightInd w:val="0"/>
              <w:jc w:val="center"/>
              <w:textAlignment w:val="baseline"/>
              <w:cnfStyle w:val="000000000000" w:firstRow="0" w:lastRow="0" w:firstColumn="0" w:lastColumn="0" w:oddVBand="0" w:evenVBand="0" w:oddHBand="0" w:evenHBand="0" w:firstRowFirstColumn="0" w:firstRowLastColumn="0" w:lastRowFirstColumn="0" w:lastRowLastColumn="0"/>
              <w:rPr>
                <w:rFonts w:cs="Arial"/>
                <w:bCs/>
                <w:sz w:val="24"/>
              </w:rPr>
            </w:pPr>
            <w:r w:rsidRPr="00DF357B">
              <w:rPr>
                <w:rFonts w:cs="Arial"/>
                <w:bCs/>
                <w:sz w:val="24"/>
              </w:rPr>
              <w:t>11.0%</w:t>
            </w:r>
          </w:p>
        </w:tc>
        <w:tc>
          <w:tcPr>
            <w:tcW w:w="877" w:type="dxa"/>
          </w:tcPr>
          <w:p w:rsidR="000C0A41" w:rsidRPr="00DF357B" w:rsidRDefault="000C0A41" w:rsidP="00E92026">
            <w:pPr>
              <w:widowControl w:val="0"/>
              <w:overflowPunct w:val="0"/>
              <w:autoSpaceDE w:val="0"/>
              <w:autoSpaceDN w:val="0"/>
              <w:adjustRightInd w:val="0"/>
              <w:jc w:val="center"/>
              <w:textAlignment w:val="baseline"/>
              <w:cnfStyle w:val="000000000000" w:firstRow="0" w:lastRow="0" w:firstColumn="0" w:lastColumn="0" w:oddVBand="0" w:evenVBand="0" w:oddHBand="0" w:evenHBand="0" w:firstRowFirstColumn="0" w:firstRowLastColumn="0" w:lastRowFirstColumn="0" w:lastRowLastColumn="0"/>
              <w:rPr>
                <w:rFonts w:cs="Arial"/>
                <w:bCs/>
                <w:sz w:val="24"/>
              </w:rPr>
            </w:pPr>
            <w:r w:rsidRPr="00DF357B">
              <w:rPr>
                <w:rFonts w:cs="Arial"/>
                <w:bCs/>
                <w:sz w:val="24"/>
              </w:rPr>
              <w:t>16.2%</w:t>
            </w:r>
          </w:p>
        </w:tc>
        <w:tc>
          <w:tcPr>
            <w:tcW w:w="855" w:type="dxa"/>
          </w:tcPr>
          <w:p w:rsidR="000C0A41" w:rsidRPr="00DF357B" w:rsidRDefault="000C0A41" w:rsidP="00E92026">
            <w:pPr>
              <w:widowControl w:val="0"/>
              <w:overflowPunct w:val="0"/>
              <w:autoSpaceDE w:val="0"/>
              <w:autoSpaceDN w:val="0"/>
              <w:adjustRightInd w:val="0"/>
              <w:jc w:val="center"/>
              <w:textAlignment w:val="baseline"/>
              <w:cnfStyle w:val="000000000000" w:firstRow="0" w:lastRow="0" w:firstColumn="0" w:lastColumn="0" w:oddVBand="0" w:evenVBand="0" w:oddHBand="0" w:evenHBand="0" w:firstRowFirstColumn="0" w:firstRowLastColumn="0" w:lastRowFirstColumn="0" w:lastRowLastColumn="0"/>
              <w:rPr>
                <w:rFonts w:cs="Arial"/>
                <w:bCs/>
                <w:sz w:val="24"/>
              </w:rPr>
            </w:pPr>
            <w:r w:rsidRPr="00DF357B">
              <w:rPr>
                <w:rFonts w:cs="Arial"/>
                <w:bCs/>
                <w:sz w:val="24"/>
              </w:rPr>
              <w:t>26.2%</w:t>
            </w:r>
          </w:p>
        </w:tc>
        <w:tc>
          <w:tcPr>
            <w:tcW w:w="882" w:type="dxa"/>
          </w:tcPr>
          <w:p w:rsidR="000C0A41" w:rsidRPr="00DF357B" w:rsidRDefault="000C0A41" w:rsidP="00E92026">
            <w:pPr>
              <w:widowControl w:val="0"/>
              <w:overflowPunct w:val="0"/>
              <w:autoSpaceDE w:val="0"/>
              <w:autoSpaceDN w:val="0"/>
              <w:adjustRightInd w:val="0"/>
              <w:jc w:val="center"/>
              <w:textAlignment w:val="baseline"/>
              <w:cnfStyle w:val="000000000000" w:firstRow="0" w:lastRow="0" w:firstColumn="0" w:lastColumn="0" w:oddVBand="0" w:evenVBand="0" w:oddHBand="0" w:evenHBand="0" w:firstRowFirstColumn="0" w:firstRowLastColumn="0" w:lastRowFirstColumn="0" w:lastRowLastColumn="0"/>
              <w:rPr>
                <w:rFonts w:cs="Arial"/>
                <w:bCs/>
                <w:sz w:val="24"/>
              </w:rPr>
            </w:pPr>
            <w:r w:rsidRPr="00DF357B">
              <w:rPr>
                <w:rFonts w:cs="Arial"/>
                <w:bCs/>
                <w:sz w:val="24"/>
              </w:rPr>
              <w:t>8.3%</w:t>
            </w:r>
          </w:p>
        </w:tc>
        <w:tc>
          <w:tcPr>
            <w:tcW w:w="849" w:type="dxa"/>
          </w:tcPr>
          <w:p w:rsidR="000C0A41" w:rsidRPr="00DF357B" w:rsidRDefault="000C0A41" w:rsidP="00E92026">
            <w:pPr>
              <w:jc w:val="center"/>
              <w:cnfStyle w:val="000000000000" w:firstRow="0" w:lastRow="0" w:firstColumn="0" w:lastColumn="0" w:oddVBand="0" w:evenVBand="0" w:oddHBand="0" w:evenHBand="0" w:firstRowFirstColumn="0" w:firstRowLastColumn="0" w:lastRowFirstColumn="0" w:lastRowLastColumn="0"/>
            </w:pPr>
            <w:r w:rsidRPr="00DF357B">
              <w:t>9.9%</w:t>
            </w:r>
          </w:p>
        </w:tc>
      </w:tr>
    </w:tbl>
    <w:p w:rsidR="000C0A41" w:rsidRDefault="000C0A41" w:rsidP="000705C4"/>
    <w:p w:rsidR="000C0A41" w:rsidRDefault="000C0A41" w:rsidP="00BF2714">
      <w:r>
        <w:t xml:space="preserve">In a 2014 paper Quint et al assessed the </w:t>
      </w:r>
      <w:r w:rsidRPr="00BF2714">
        <w:t xml:space="preserve">positive predictive value (PPV) and proportion of patients diagnosed with COPD within </w:t>
      </w:r>
      <w:r>
        <w:t xml:space="preserve">eight </w:t>
      </w:r>
      <w:r w:rsidRPr="00BF2714">
        <w:t>algorithm</w:t>
      </w:r>
      <w:r>
        <w:t>s which combined diagnostic, clinical, test (spirometry) and prescribing data from the Clinical Practice Research Datalink (CPRD) in various ways.</w:t>
      </w:r>
      <w:r>
        <w:rPr>
          <w:noProof/>
        </w:rPr>
        <w:t>[46]</w:t>
      </w:r>
      <w:r>
        <w:t xml:space="preserve"> The results are shown in </w:t>
      </w:r>
      <w:r>
        <w:fldChar w:fldCharType="begin"/>
      </w:r>
      <w:r>
        <w:instrText xml:space="preserve"> REF _Ref448154364 \h </w:instrText>
      </w:r>
      <w:r>
        <w:fldChar w:fldCharType="separate"/>
      </w:r>
      <w:r>
        <w:t xml:space="preserve">Table </w:t>
      </w:r>
      <w:r>
        <w:rPr>
          <w:noProof/>
        </w:rPr>
        <w:t>7</w:t>
      </w:r>
      <w:r>
        <w:fldChar w:fldCharType="end"/>
      </w:r>
      <w:r>
        <w:t xml:space="preserve">.  In this study, algorithms were not exclusive, and those with a bronchitis code + COPD medication, for example, could also have had a COPD code. If the less valid algorithms are used exclusively, that is to say, for example, if a patient had a bronchitis code + COPD medication and no COPD code, the PPVs may well be significantly lower. The algorithm which included </w:t>
      </w:r>
      <w:r w:rsidRPr="00BF2714">
        <w:t>COPD Code</w:t>
      </w:r>
      <w:r>
        <w:t xml:space="preserve">s, </w:t>
      </w:r>
      <w:r w:rsidRPr="00BF2714">
        <w:t>spirometry</w:t>
      </w:r>
      <w:r>
        <w:t xml:space="preserve"> and </w:t>
      </w:r>
      <w:r w:rsidRPr="00BF2714">
        <w:t>COPD medication</w:t>
      </w:r>
      <w:r>
        <w:t xml:space="preserve"> had the highest PPV, but COPD code only gave a PPV which was almost as high. However the objective of the prevalence model is somewhat different, as it is attempting to estimate the population it would be worth reviewing because they have a high probability of having COPD. This could be determined operationally by a cost-effectiveness analysis (CEA), but a CEA is outside the scope of this project. In its absence we sought advice from an expert group of GPs to get their views as to what would be a reasonable yield for practices (views TBA).</w:t>
      </w:r>
    </w:p>
    <w:p w:rsidR="000C0A41" w:rsidRPr="00BF2714" w:rsidRDefault="000C0A41" w:rsidP="00BF2714">
      <w:pPr>
        <w:pStyle w:val="Caption"/>
      </w:pPr>
      <w:bookmarkStart w:id="13" w:name="_Ref448154364"/>
      <w:bookmarkStart w:id="14" w:name="_Ref457484692"/>
      <w:r>
        <w:t xml:space="preserve">Table </w:t>
      </w:r>
      <w:fldSimple w:instr=" SEQ Table \* ARABIC ">
        <w:r>
          <w:rPr>
            <w:noProof/>
          </w:rPr>
          <w:t>7</w:t>
        </w:r>
      </w:fldSimple>
      <w:bookmarkEnd w:id="13"/>
      <w:r>
        <w:t>: t</w:t>
      </w:r>
      <w:r w:rsidRPr="00BF2714">
        <w:t>he positive predictive value (PPV) and proportion of patients diagnosed with chronic obstructive pulmonary disease (COPD) within each algorithm</w:t>
      </w:r>
      <w:bookmarkEnd w:id="14"/>
    </w:p>
    <w:tbl>
      <w:tblPr>
        <w:tblStyle w:val="GridTable4-Accent1"/>
        <w:tblW w:w="9498" w:type="dxa"/>
        <w:jc w:val="center"/>
        <w:tblLook w:val="04A0" w:firstRow="1" w:lastRow="0" w:firstColumn="1" w:lastColumn="0" w:noHBand="0" w:noVBand="1"/>
      </w:tblPr>
      <w:tblGrid>
        <w:gridCol w:w="294"/>
        <w:gridCol w:w="3053"/>
        <w:gridCol w:w="1575"/>
        <w:gridCol w:w="1592"/>
        <w:gridCol w:w="1155"/>
        <w:gridCol w:w="1829"/>
      </w:tblGrid>
      <w:tr w:rsidR="000C0A41" w:rsidRPr="00BF2714" w:rsidTr="008C516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 w:type="dxa"/>
          </w:tcPr>
          <w:p w:rsidR="000C0A41" w:rsidRPr="00BF2714" w:rsidRDefault="000C0A41" w:rsidP="004C7C18">
            <w:pPr>
              <w:jc w:val="center"/>
            </w:pPr>
          </w:p>
        </w:tc>
        <w:tc>
          <w:tcPr>
            <w:tcW w:w="3053" w:type="dxa"/>
            <w:hideMark/>
          </w:tcPr>
          <w:p w:rsidR="000C0A41" w:rsidRPr="00BF2714" w:rsidRDefault="000C0A41" w:rsidP="004C7C18">
            <w:pPr>
              <w:jc w:val="center"/>
              <w:cnfStyle w:val="100000000000" w:firstRow="1" w:lastRow="0" w:firstColumn="0" w:lastColumn="0" w:oddVBand="0" w:evenVBand="0" w:oddHBand="0" w:evenHBand="0" w:firstRowFirstColumn="0" w:firstRowLastColumn="0" w:lastRowFirstColumn="0" w:lastRowLastColumn="0"/>
            </w:pPr>
            <w:r w:rsidRPr="00BF2714">
              <w:t>Algorithm</w:t>
            </w:r>
          </w:p>
        </w:tc>
        <w:tc>
          <w:tcPr>
            <w:tcW w:w="1575" w:type="dxa"/>
            <w:hideMark/>
          </w:tcPr>
          <w:p w:rsidR="000C0A41" w:rsidRPr="00BF2714" w:rsidRDefault="000C0A41" w:rsidP="004C7C18">
            <w:pPr>
              <w:jc w:val="center"/>
              <w:cnfStyle w:val="100000000000" w:firstRow="1" w:lastRow="0" w:firstColumn="0" w:lastColumn="0" w:oddVBand="0" w:evenVBand="0" w:oddHBand="0" w:evenHBand="0" w:firstRowFirstColumn="0" w:firstRowLastColumn="0" w:lastRowFirstColumn="0" w:lastRowLastColumn="0"/>
            </w:pPr>
            <w:r w:rsidRPr="00BF2714">
              <w:t>Number of questionnaires sent out (n=951)</w:t>
            </w:r>
          </w:p>
        </w:tc>
        <w:tc>
          <w:tcPr>
            <w:tcW w:w="1592" w:type="dxa"/>
            <w:hideMark/>
          </w:tcPr>
          <w:p w:rsidR="000C0A41" w:rsidRPr="00BF2714" w:rsidRDefault="000C0A41" w:rsidP="004C7C18">
            <w:pPr>
              <w:jc w:val="center"/>
              <w:cnfStyle w:val="100000000000" w:firstRow="1" w:lastRow="0" w:firstColumn="0" w:lastColumn="0" w:oddVBand="0" w:evenVBand="0" w:oddHBand="0" w:evenHBand="0" w:firstRowFirstColumn="0" w:firstRowLastColumn="0" w:lastRowFirstColumn="0" w:lastRowLastColumn="0"/>
            </w:pPr>
            <w:r w:rsidRPr="00BF2714">
              <w:t>Number evaluable returned (n=696) (%)</w:t>
            </w:r>
          </w:p>
        </w:tc>
        <w:tc>
          <w:tcPr>
            <w:tcW w:w="1155" w:type="dxa"/>
            <w:hideMark/>
          </w:tcPr>
          <w:p w:rsidR="000C0A41" w:rsidRPr="00BF2714" w:rsidRDefault="000C0A41" w:rsidP="004C7C18">
            <w:pPr>
              <w:jc w:val="center"/>
              <w:cnfStyle w:val="100000000000" w:firstRow="1" w:lastRow="0" w:firstColumn="0" w:lastColumn="0" w:oddVBand="0" w:evenVBand="0" w:oddHBand="0" w:evenHBand="0" w:firstRowFirstColumn="0" w:firstRowLastColumn="0" w:lastRowFirstColumn="0" w:lastRowLastColumn="0"/>
            </w:pPr>
            <w:r w:rsidRPr="00BF2714">
              <w:t>Number with confirmed COPD</w:t>
            </w:r>
          </w:p>
        </w:tc>
        <w:tc>
          <w:tcPr>
            <w:tcW w:w="1829" w:type="dxa"/>
            <w:hideMark/>
          </w:tcPr>
          <w:p w:rsidR="000C0A41" w:rsidRPr="00BF2714" w:rsidRDefault="000C0A41" w:rsidP="004C7C18">
            <w:pPr>
              <w:jc w:val="center"/>
              <w:cnfStyle w:val="100000000000" w:firstRow="1" w:lastRow="0" w:firstColumn="0" w:lastColumn="0" w:oddVBand="0" w:evenVBand="0" w:oddHBand="0" w:evenHBand="0" w:firstRowFirstColumn="0" w:firstRowLastColumn="0" w:lastRowFirstColumn="0" w:lastRowLastColumn="0"/>
            </w:pPr>
            <w:r w:rsidRPr="00BF2714">
              <w:t>PPV and 95% CI</w:t>
            </w:r>
          </w:p>
        </w:tc>
      </w:tr>
      <w:tr w:rsidR="000C0A41" w:rsidRPr="00BF2714" w:rsidTr="008C51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 w:type="dxa"/>
          </w:tcPr>
          <w:p w:rsidR="000C0A41" w:rsidRPr="004C7C18" w:rsidRDefault="000C0A41" w:rsidP="004C7C18">
            <w:pPr>
              <w:pStyle w:val="ListParagraph"/>
              <w:numPr>
                <w:ilvl w:val="0"/>
                <w:numId w:val="33"/>
              </w:numPr>
              <w:ind w:left="0" w:firstLine="0"/>
              <w:jc w:val="left"/>
            </w:pPr>
          </w:p>
        </w:tc>
        <w:tc>
          <w:tcPr>
            <w:tcW w:w="3053" w:type="dxa"/>
            <w:hideMark/>
          </w:tcPr>
          <w:p w:rsidR="000C0A41" w:rsidRPr="00BF2714" w:rsidRDefault="000C0A41" w:rsidP="00BF2714">
            <w:pPr>
              <w:jc w:val="left"/>
              <w:cnfStyle w:val="000000100000" w:firstRow="0" w:lastRow="0" w:firstColumn="0" w:lastColumn="0" w:oddVBand="0" w:evenVBand="0" w:oddHBand="1" w:evenHBand="0" w:firstRowFirstColumn="0" w:firstRowLastColumn="0" w:lastRowFirstColumn="0" w:lastRowLastColumn="0"/>
            </w:pPr>
            <w:r w:rsidRPr="00BF2714">
              <w:t>COPD Code+spirometry+COPD medication</w:t>
            </w:r>
          </w:p>
        </w:tc>
        <w:tc>
          <w:tcPr>
            <w:tcW w:w="1575" w:type="dxa"/>
            <w:hideMark/>
          </w:tcPr>
          <w:p w:rsidR="000C0A41" w:rsidRPr="00BF2714" w:rsidRDefault="000C0A41" w:rsidP="00BF2714">
            <w:pPr>
              <w:jc w:val="center"/>
              <w:cnfStyle w:val="000000100000" w:firstRow="0" w:lastRow="0" w:firstColumn="0" w:lastColumn="0" w:oddVBand="0" w:evenVBand="0" w:oddHBand="1" w:evenHBand="0" w:firstRowFirstColumn="0" w:firstRowLastColumn="0" w:lastRowFirstColumn="0" w:lastRowLastColumn="0"/>
            </w:pPr>
            <w:r w:rsidRPr="00BF2714">
              <w:t>119</w:t>
            </w:r>
          </w:p>
        </w:tc>
        <w:tc>
          <w:tcPr>
            <w:tcW w:w="1592" w:type="dxa"/>
            <w:hideMark/>
          </w:tcPr>
          <w:p w:rsidR="000C0A41" w:rsidRPr="00BF2714" w:rsidRDefault="000C0A41" w:rsidP="00BF2714">
            <w:pPr>
              <w:jc w:val="center"/>
              <w:cnfStyle w:val="000000100000" w:firstRow="0" w:lastRow="0" w:firstColumn="0" w:lastColumn="0" w:oddVBand="0" w:evenVBand="0" w:oddHBand="1" w:evenHBand="0" w:firstRowFirstColumn="0" w:firstRowLastColumn="0" w:lastRowFirstColumn="0" w:lastRowLastColumn="0"/>
            </w:pPr>
            <w:r w:rsidRPr="00BF2714">
              <w:t>85 (71.4)</w:t>
            </w:r>
          </w:p>
        </w:tc>
        <w:tc>
          <w:tcPr>
            <w:tcW w:w="1155" w:type="dxa"/>
            <w:hideMark/>
          </w:tcPr>
          <w:p w:rsidR="000C0A41" w:rsidRPr="00BF2714" w:rsidRDefault="000C0A41" w:rsidP="00BF2714">
            <w:pPr>
              <w:jc w:val="center"/>
              <w:cnfStyle w:val="000000100000" w:firstRow="0" w:lastRow="0" w:firstColumn="0" w:lastColumn="0" w:oddVBand="0" w:evenVBand="0" w:oddHBand="1" w:evenHBand="0" w:firstRowFirstColumn="0" w:firstRowLastColumn="0" w:lastRowFirstColumn="0" w:lastRowLastColumn="0"/>
            </w:pPr>
            <w:r w:rsidRPr="00BF2714">
              <w:t>76</w:t>
            </w:r>
          </w:p>
        </w:tc>
        <w:tc>
          <w:tcPr>
            <w:tcW w:w="1829" w:type="dxa"/>
            <w:hideMark/>
          </w:tcPr>
          <w:p w:rsidR="000C0A41" w:rsidRPr="00BF2714" w:rsidRDefault="000C0A41" w:rsidP="00BF2714">
            <w:pPr>
              <w:jc w:val="center"/>
              <w:cnfStyle w:val="000000100000" w:firstRow="0" w:lastRow="0" w:firstColumn="0" w:lastColumn="0" w:oddVBand="0" w:evenVBand="0" w:oddHBand="1" w:evenHBand="0" w:firstRowFirstColumn="0" w:firstRowLastColumn="0" w:lastRowFirstColumn="0" w:lastRowLastColumn="0"/>
            </w:pPr>
            <w:r w:rsidRPr="00BF2714">
              <w:t>89.4, 80.7 to 94.5</w:t>
            </w:r>
          </w:p>
        </w:tc>
      </w:tr>
      <w:tr w:rsidR="000C0A41" w:rsidRPr="00BF2714" w:rsidTr="008C516D">
        <w:trPr>
          <w:jc w:val="center"/>
        </w:trPr>
        <w:tc>
          <w:tcPr>
            <w:cnfStyle w:val="001000000000" w:firstRow="0" w:lastRow="0" w:firstColumn="1" w:lastColumn="0" w:oddVBand="0" w:evenVBand="0" w:oddHBand="0" w:evenHBand="0" w:firstRowFirstColumn="0" w:firstRowLastColumn="0" w:lastRowFirstColumn="0" w:lastRowLastColumn="0"/>
            <w:tcW w:w="294" w:type="dxa"/>
          </w:tcPr>
          <w:p w:rsidR="000C0A41" w:rsidRPr="004C7C18" w:rsidRDefault="000C0A41" w:rsidP="004C7C18">
            <w:pPr>
              <w:pStyle w:val="ListParagraph"/>
              <w:numPr>
                <w:ilvl w:val="0"/>
                <w:numId w:val="33"/>
              </w:numPr>
              <w:ind w:left="0" w:firstLine="0"/>
              <w:jc w:val="left"/>
            </w:pPr>
          </w:p>
        </w:tc>
        <w:tc>
          <w:tcPr>
            <w:tcW w:w="3053" w:type="dxa"/>
            <w:hideMark/>
          </w:tcPr>
          <w:p w:rsidR="000C0A41" w:rsidRPr="00BF2714" w:rsidRDefault="000C0A41" w:rsidP="00BF2714">
            <w:pPr>
              <w:jc w:val="left"/>
              <w:cnfStyle w:val="000000000000" w:firstRow="0" w:lastRow="0" w:firstColumn="0" w:lastColumn="0" w:oddVBand="0" w:evenVBand="0" w:oddHBand="0" w:evenHBand="0" w:firstRowFirstColumn="0" w:firstRowLastColumn="0" w:lastRowFirstColumn="0" w:lastRowLastColumn="0"/>
            </w:pPr>
            <w:r w:rsidRPr="00BF2714">
              <w:t>COPD Code+spirometry</w:t>
            </w:r>
          </w:p>
        </w:tc>
        <w:tc>
          <w:tcPr>
            <w:tcW w:w="1575" w:type="dxa"/>
            <w:hideMark/>
          </w:tcPr>
          <w:p w:rsidR="000C0A41" w:rsidRPr="00BF2714" w:rsidRDefault="000C0A41" w:rsidP="00BF2714">
            <w:pPr>
              <w:jc w:val="center"/>
              <w:cnfStyle w:val="000000000000" w:firstRow="0" w:lastRow="0" w:firstColumn="0" w:lastColumn="0" w:oddVBand="0" w:evenVBand="0" w:oddHBand="0" w:evenHBand="0" w:firstRowFirstColumn="0" w:firstRowLastColumn="0" w:lastRowFirstColumn="0" w:lastRowLastColumn="0"/>
            </w:pPr>
            <w:r w:rsidRPr="00BF2714">
              <w:t>119</w:t>
            </w:r>
          </w:p>
        </w:tc>
        <w:tc>
          <w:tcPr>
            <w:tcW w:w="1592" w:type="dxa"/>
            <w:hideMark/>
          </w:tcPr>
          <w:p w:rsidR="000C0A41" w:rsidRPr="00BF2714" w:rsidRDefault="000C0A41" w:rsidP="00BF2714">
            <w:pPr>
              <w:jc w:val="center"/>
              <w:cnfStyle w:val="000000000000" w:firstRow="0" w:lastRow="0" w:firstColumn="0" w:lastColumn="0" w:oddVBand="0" w:evenVBand="0" w:oddHBand="0" w:evenHBand="0" w:firstRowFirstColumn="0" w:firstRowLastColumn="0" w:lastRowFirstColumn="0" w:lastRowLastColumn="0"/>
            </w:pPr>
            <w:r w:rsidRPr="00BF2714">
              <w:t>79 (66.4)</w:t>
            </w:r>
          </w:p>
        </w:tc>
        <w:tc>
          <w:tcPr>
            <w:tcW w:w="1155" w:type="dxa"/>
            <w:hideMark/>
          </w:tcPr>
          <w:p w:rsidR="000C0A41" w:rsidRPr="00BF2714" w:rsidRDefault="000C0A41" w:rsidP="00BF2714">
            <w:pPr>
              <w:jc w:val="center"/>
              <w:cnfStyle w:val="000000000000" w:firstRow="0" w:lastRow="0" w:firstColumn="0" w:lastColumn="0" w:oddVBand="0" w:evenVBand="0" w:oddHBand="0" w:evenHBand="0" w:firstRowFirstColumn="0" w:firstRowLastColumn="0" w:lastRowFirstColumn="0" w:lastRowLastColumn="0"/>
            </w:pPr>
            <w:r w:rsidRPr="00BF2714">
              <w:t>67</w:t>
            </w:r>
          </w:p>
        </w:tc>
        <w:tc>
          <w:tcPr>
            <w:tcW w:w="1829" w:type="dxa"/>
            <w:hideMark/>
          </w:tcPr>
          <w:p w:rsidR="000C0A41" w:rsidRPr="00BF2714" w:rsidRDefault="000C0A41" w:rsidP="00BF2714">
            <w:pPr>
              <w:jc w:val="center"/>
              <w:cnfStyle w:val="000000000000" w:firstRow="0" w:lastRow="0" w:firstColumn="0" w:lastColumn="0" w:oddVBand="0" w:evenVBand="0" w:oddHBand="0" w:evenHBand="0" w:firstRowFirstColumn="0" w:firstRowLastColumn="0" w:lastRowFirstColumn="0" w:lastRowLastColumn="0"/>
            </w:pPr>
            <w:r w:rsidRPr="00BF2714">
              <w:t>83.8, 73.7 to 90.4</w:t>
            </w:r>
          </w:p>
        </w:tc>
      </w:tr>
      <w:tr w:rsidR="000C0A41" w:rsidRPr="00BF2714" w:rsidTr="008C51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 w:type="dxa"/>
          </w:tcPr>
          <w:p w:rsidR="000C0A41" w:rsidRPr="004C7C18" w:rsidRDefault="000C0A41" w:rsidP="004C7C18">
            <w:pPr>
              <w:pStyle w:val="ListParagraph"/>
              <w:numPr>
                <w:ilvl w:val="0"/>
                <w:numId w:val="33"/>
              </w:numPr>
              <w:ind w:left="0" w:firstLine="0"/>
              <w:jc w:val="left"/>
            </w:pPr>
          </w:p>
        </w:tc>
        <w:tc>
          <w:tcPr>
            <w:tcW w:w="3053" w:type="dxa"/>
            <w:hideMark/>
          </w:tcPr>
          <w:p w:rsidR="000C0A41" w:rsidRPr="00BF2714" w:rsidRDefault="000C0A41" w:rsidP="00BF2714">
            <w:pPr>
              <w:jc w:val="left"/>
              <w:cnfStyle w:val="000000100000" w:firstRow="0" w:lastRow="0" w:firstColumn="0" w:lastColumn="0" w:oddVBand="0" w:evenVBand="0" w:oddHBand="1" w:evenHBand="0" w:firstRowFirstColumn="0" w:firstRowLastColumn="0" w:lastRowFirstColumn="0" w:lastRowLastColumn="0"/>
            </w:pPr>
            <w:r w:rsidRPr="00BF2714">
              <w:t>COPD Code+COPD medication</w:t>
            </w:r>
          </w:p>
        </w:tc>
        <w:tc>
          <w:tcPr>
            <w:tcW w:w="1575" w:type="dxa"/>
            <w:hideMark/>
          </w:tcPr>
          <w:p w:rsidR="000C0A41" w:rsidRPr="00BF2714" w:rsidRDefault="000C0A41" w:rsidP="00BF2714">
            <w:pPr>
              <w:jc w:val="center"/>
              <w:cnfStyle w:val="000000100000" w:firstRow="0" w:lastRow="0" w:firstColumn="0" w:lastColumn="0" w:oddVBand="0" w:evenVBand="0" w:oddHBand="1" w:evenHBand="0" w:firstRowFirstColumn="0" w:firstRowLastColumn="0" w:lastRowFirstColumn="0" w:lastRowLastColumn="0"/>
            </w:pPr>
            <w:r w:rsidRPr="00BF2714">
              <w:t>119</w:t>
            </w:r>
          </w:p>
        </w:tc>
        <w:tc>
          <w:tcPr>
            <w:tcW w:w="1592" w:type="dxa"/>
            <w:hideMark/>
          </w:tcPr>
          <w:p w:rsidR="000C0A41" w:rsidRPr="00BF2714" w:rsidRDefault="000C0A41" w:rsidP="00BF2714">
            <w:pPr>
              <w:jc w:val="center"/>
              <w:cnfStyle w:val="000000100000" w:firstRow="0" w:lastRow="0" w:firstColumn="0" w:lastColumn="0" w:oddVBand="0" w:evenVBand="0" w:oddHBand="1" w:evenHBand="0" w:firstRowFirstColumn="0" w:firstRowLastColumn="0" w:lastRowFirstColumn="0" w:lastRowLastColumn="0"/>
            </w:pPr>
            <w:r w:rsidRPr="00BF2714">
              <w:t>88 (73.9)</w:t>
            </w:r>
          </w:p>
        </w:tc>
        <w:tc>
          <w:tcPr>
            <w:tcW w:w="1155" w:type="dxa"/>
            <w:hideMark/>
          </w:tcPr>
          <w:p w:rsidR="000C0A41" w:rsidRPr="00BF2714" w:rsidRDefault="000C0A41" w:rsidP="00BF2714">
            <w:pPr>
              <w:jc w:val="center"/>
              <w:cnfStyle w:val="000000100000" w:firstRow="0" w:lastRow="0" w:firstColumn="0" w:lastColumn="0" w:oddVBand="0" w:evenVBand="0" w:oddHBand="1" w:evenHBand="0" w:firstRowFirstColumn="0" w:firstRowLastColumn="0" w:lastRowFirstColumn="0" w:lastRowLastColumn="0"/>
            </w:pPr>
            <w:r w:rsidRPr="00BF2714">
              <w:t>77</w:t>
            </w:r>
          </w:p>
        </w:tc>
        <w:tc>
          <w:tcPr>
            <w:tcW w:w="1829" w:type="dxa"/>
            <w:hideMark/>
          </w:tcPr>
          <w:p w:rsidR="000C0A41" w:rsidRPr="00BF2714" w:rsidRDefault="000C0A41" w:rsidP="00BF2714">
            <w:pPr>
              <w:jc w:val="center"/>
              <w:cnfStyle w:val="000000100000" w:firstRow="0" w:lastRow="0" w:firstColumn="0" w:lastColumn="0" w:oddVBand="0" w:evenVBand="0" w:oddHBand="1" w:evenHBand="0" w:firstRowFirstColumn="0" w:firstRowLastColumn="0" w:lastRowFirstColumn="0" w:lastRowLastColumn="0"/>
            </w:pPr>
            <w:r w:rsidRPr="00BF2714">
              <w:t>87.5, 78.6 to 93.0</w:t>
            </w:r>
          </w:p>
        </w:tc>
      </w:tr>
      <w:tr w:rsidR="000C0A41" w:rsidRPr="00BF2714" w:rsidTr="008C516D">
        <w:trPr>
          <w:jc w:val="center"/>
        </w:trPr>
        <w:tc>
          <w:tcPr>
            <w:cnfStyle w:val="001000000000" w:firstRow="0" w:lastRow="0" w:firstColumn="1" w:lastColumn="0" w:oddVBand="0" w:evenVBand="0" w:oddHBand="0" w:evenHBand="0" w:firstRowFirstColumn="0" w:firstRowLastColumn="0" w:lastRowFirstColumn="0" w:lastRowLastColumn="0"/>
            <w:tcW w:w="294" w:type="dxa"/>
          </w:tcPr>
          <w:p w:rsidR="000C0A41" w:rsidRPr="004C7C18" w:rsidRDefault="000C0A41" w:rsidP="004C7C18">
            <w:pPr>
              <w:pStyle w:val="ListParagraph"/>
              <w:numPr>
                <w:ilvl w:val="0"/>
                <w:numId w:val="33"/>
              </w:numPr>
              <w:ind w:left="0" w:firstLine="0"/>
              <w:jc w:val="left"/>
            </w:pPr>
          </w:p>
        </w:tc>
        <w:tc>
          <w:tcPr>
            <w:tcW w:w="3053" w:type="dxa"/>
            <w:hideMark/>
          </w:tcPr>
          <w:p w:rsidR="000C0A41" w:rsidRPr="00BF2714" w:rsidRDefault="000C0A41" w:rsidP="00BF2714">
            <w:pPr>
              <w:jc w:val="left"/>
              <w:cnfStyle w:val="000000000000" w:firstRow="0" w:lastRow="0" w:firstColumn="0" w:lastColumn="0" w:oddVBand="0" w:evenVBand="0" w:oddHBand="0" w:evenHBand="0" w:firstRowFirstColumn="0" w:firstRowLastColumn="0" w:lastRowFirstColumn="0" w:lastRowLastColumn="0"/>
            </w:pPr>
            <w:r w:rsidRPr="00BF2714">
              <w:t>COPD Code only</w:t>
            </w:r>
          </w:p>
        </w:tc>
        <w:tc>
          <w:tcPr>
            <w:tcW w:w="1575" w:type="dxa"/>
            <w:hideMark/>
          </w:tcPr>
          <w:p w:rsidR="000C0A41" w:rsidRPr="00BF2714" w:rsidRDefault="000C0A41" w:rsidP="00BF2714">
            <w:pPr>
              <w:jc w:val="center"/>
              <w:cnfStyle w:val="000000000000" w:firstRow="0" w:lastRow="0" w:firstColumn="0" w:lastColumn="0" w:oddVBand="0" w:evenVBand="0" w:oddHBand="0" w:evenHBand="0" w:firstRowFirstColumn="0" w:firstRowLastColumn="0" w:lastRowFirstColumn="0" w:lastRowLastColumn="0"/>
            </w:pPr>
            <w:r w:rsidRPr="00BF2714">
              <w:t>119</w:t>
            </w:r>
          </w:p>
        </w:tc>
        <w:tc>
          <w:tcPr>
            <w:tcW w:w="1592" w:type="dxa"/>
            <w:hideMark/>
          </w:tcPr>
          <w:p w:rsidR="000C0A41" w:rsidRPr="00BF2714" w:rsidRDefault="000C0A41" w:rsidP="00BF2714">
            <w:pPr>
              <w:jc w:val="center"/>
              <w:cnfStyle w:val="000000000000" w:firstRow="0" w:lastRow="0" w:firstColumn="0" w:lastColumn="0" w:oddVBand="0" w:evenVBand="0" w:oddHBand="0" w:evenHBand="0" w:firstRowFirstColumn="0" w:firstRowLastColumn="0" w:lastRowFirstColumn="0" w:lastRowLastColumn="0"/>
            </w:pPr>
            <w:r w:rsidRPr="00BF2714">
              <w:t>89 (74.8)</w:t>
            </w:r>
          </w:p>
        </w:tc>
        <w:tc>
          <w:tcPr>
            <w:tcW w:w="1155" w:type="dxa"/>
            <w:hideMark/>
          </w:tcPr>
          <w:p w:rsidR="000C0A41" w:rsidRPr="00BF2714" w:rsidRDefault="000C0A41" w:rsidP="00BF2714">
            <w:pPr>
              <w:jc w:val="center"/>
              <w:cnfStyle w:val="000000000000" w:firstRow="0" w:lastRow="0" w:firstColumn="0" w:lastColumn="0" w:oddVBand="0" w:evenVBand="0" w:oddHBand="0" w:evenHBand="0" w:firstRowFirstColumn="0" w:firstRowLastColumn="0" w:lastRowFirstColumn="0" w:lastRowLastColumn="0"/>
            </w:pPr>
            <w:r w:rsidRPr="00BF2714">
              <w:t>77</w:t>
            </w:r>
          </w:p>
        </w:tc>
        <w:tc>
          <w:tcPr>
            <w:tcW w:w="1829" w:type="dxa"/>
            <w:hideMark/>
          </w:tcPr>
          <w:p w:rsidR="000C0A41" w:rsidRPr="00BF2714" w:rsidRDefault="000C0A41" w:rsidP="00BF2714">
            <w:pPr>
              <w:jc w:val="center"/>
              <w:cnfStyle w:val="000000000000" w:firstRow="0" w:lastRow="0" w:firstColumn="0" w:lastColumn="0" w:oddVBand="0" w:evenVBand="0" w:oddHBand="0" w:evenHBand="0" w:firstRowFirstColumn="0" w:firstRowLastColumn="0" w:lastRowFirstColumn="0" w:lastRowLastColumn="0"/>
            </w:pPr>
            <w:r w:rsidRPr="00BF2714">
              <w:t>86.5, 77.5 to 92.3</w:t>
            </w:r>
          </w:p>
        </w:tc>
      </w:tr>
      <w:tr w:rsidR="000C0A41" w:rsidRPr="00BF2714" w:rsidTr="008C51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 w:type="dxa"/>
          </w:tcPr>
          <w:p w:rsidR="000C0A41" w:rsidRPr="004C7C18" w:rsidRDefault="000C0A41" w:rsidP="004C7C18">
            <w:pPr>
              <w:pStyle w:val="ListParagraph"/>
              <w:numPr>
                <w:ilvl w:val="0"/>
                <w:numId w:val="33"/>
              </w:numPr>
              <w:ind w:left="0" w:firstLine="0"/>
              <w:jc w:val="left"/>
            </w:pPr>
          </w:p>
        </w:tc>
        <w:tc>
          <w:tcPr>
            <w:tcW w:w="3053" w:type="dxa"/>
            <w:hideMark/>
          </w:tcPr>
          <w:p w:rsidR="000C0A41" w:rsidRPr="00BF2714" w:rsidRDefault="000C0A41" w:rsidP="00BF2714">
            <w:pPr>
              <w:jc w:val="left"/>
              <w:cnfStyle w:val="000000100000" w:firstRow="0" w:lastRow="0" w:firstColumn="0" w:lastColumn="0" w:oddVBand="0" w:evenVBand="0" w:oddHBand="1" w:evenHBand="0" w:firstRowFirstColumn="0" w:firstRowLastColumn="0" w:lastRowFirstColumn="0" w:lastRowLastColumn="0"/>
            </w:pPr>
            <w:r w:rsidRPr="00BF2714">
              <w:t>Bronchitis+COPD medication</w:t>
            </w:r>
          </w:p>
        </w:tc>
        <w:tc>
          <w:tcPr>
            <w:tcW w:w="1575" w:type="dxa"/>
            <w:hideMark/>
          </w:tcPr>
          <w:p w:rsidR="000C0A41" w:rsidRPr="00BF2714" w:rsidRDefault="000C0A41" w:rsidP="00BF2714">
            <w:pPr>
              <w:jc w:val="center"/>
              <w:cnfStyle w:val="000000100000" w:firstRow="0" w:lastRow="0" w:firstColumn="0" w:lastColumn="0" w:oddVBand="0" w:evenVBand="0" w:oddHBand="1" w:evenHBand="0" w:firstRowFirstColumn="0" w:firstRowLastColumn="0" w:lastRowFirstColumn="0" w:lastRowLastColumn="0"/>
            </w:pPr>
            <w:r w:rsidRPr="00BF2714">
              <w:t>119</w:t>
            </w:r>
          </w:p>
        </w:tc>
        <w:tc>
          <w:tcPr>
            <w:tcW w:w="1592" w:type="dxa"/>
            <w:hideMark/>
          </w:tcPr>
          <w:p w:rsidR="000C0A41" w:rsidRPr="00BF2714" w:rsidRDefault="000C0A41" w:rsidP="00BF2714">
            <w:pPr>
              <w:jc w:val="center"/>
              <w:cnfStyle w:val="000000100000" w:firstRow="0" w:lastRow="0" w:firstColumn="0" w:lastColumn="0" w:oddVBand="0" w:evenVBand="0" w:oddHBand="1" w:evenHBand="0" w:firstRowFirstColumn="0" w:firstRowLastColumn="0" w:lastRowFirstColumn="0" w:lastRowLastColumn="0"/>
            </w:pPr>
            <w:r w:rsidRPr="00BF2714">
              <w:t>98 (82.4)</w:t>
            </w:r>
          </w:p>
        </w:tc>
        <w:tc>
          <w:tcPr>
            <w:tcW w:w="1155" w:type="dxa"/>
            <w:hideMark/>
          </w:tcPr>
          <w:p w:rsidR="000C0A41" w:rsidRPr="00BF2714" w:rsidRDefault="000C0A41" w:rsidP="00BF2714">
            <w:pPr>
              <w:jc w:val="center"/>
              <w:cnfStyle w:val="000000100000" w:firstRow="0" w:lastRow="0" w:firstColumn="0" w:lastColumn="0" w:oddVBand="0" w:evenVBand="0" w:oddHBand="1" w:evenHBand="0" w:firstRowFirstColumn="0" w:firstRowLastColumn="0" w:lastRowFirstColumn="0" w:lastRowLastColumn="0"/>
            </w:pPr>
            <w:r w:rsidRPr="00BF2714">
              <w:t>44</w:t>
            </w:r>
          </w:p>
        </w:tc>
        <w:tc>
          <w:tcPr>
            <w:tcW w:w="1829" w:type="dxa"/>
            <w:hideMark/>
          </w:tcPr>
          <w:p w:rsidR="000C0A41" w:rsidRPr="00BF2714" w:rsidRDefault="000C0A41" w:rsidP="00BF2714">
            <w:pPr>
              <w:jc w:val="center"/>
              <w:cnfStyle w:val="000000100000" w:firstRow="0" w:lastRow="0" w:firstColumn="0" w:lastColumn="0" w:oddVBand="0" w:evenVBand="0" w:oddHBand="1" w:evenHBand="0" w:firstRowFirstColumn="0" w:firstRowLastColumn="0" w:lastRowFirstColumn="0" w:lastRowLastColumn="0"/>
            </w:pPr>
            <w:r w:rsidRPr="00BF2714">
              <w:t>44.4, 34.8 to 54.5</w:t>
            </w:r>
          </w:p>
        </w:tc>
      </w:tr>
      <w:tr w:rsidR="000C0A41" w:rsidRPr="00BF2714" w:rsidTr="008C516D">
        <w:trPr>
          <w:jc w:val="center"/>
        </w:trPr>
        <w:tc>
          <w:tcPr>
            <w:cnfStyle w:val="001000000000" w:firstRow="0" w:lastRow="0" w:firstColumn="1" w:lastColumn="0" w:oddVBand="0" w:evenVBand="0" w:oddHBand="0" w:evenHBand="0" w:firstRowFirstColumn="0" w:firstRowLastColumn="0" w:lastRowFirstColumn="0" w:lastRowLastColumn="0"/>
            <w:tcW w:w="294" w:type="dxa"/>
          </w:tcPr>
          <w:p w:rsidR="000C0A41" w:rsidRPr="004C7C18" w:rsidRDefault="000C0A41" w:rsidP="004C7C18">
            <w:pPr>
              <w:pStyle w:val="ListParagraph"/>
              <w:numPr>
                <w:ilvl w:val="0"/>
                <w:numId w:val="33"/>
              </w:numPr>
              <w:ind w:left="0" w:firstLine="0"/>
              <w:jc w:val="left"/>
            </w:pPr>
          </w:p>
        </w:tc>
        <w:tc>
          <w:tcPr>
            <w:tcW w:w="3053" w:type="dxa"/>
            <w:hideMark/>
          </w:tcPr>
          <w:p w:rsidR="000C0A41" w:rsidRPr="00BF2714" w:rsidRDefault="000C0A41" w:rsidP="00BF2714">
            <w:pPr>
              <w:jc w:val="left"/>
              <w:cnfStyle w:val="000000000000" w:firstRow="0" w:lastRow="0" w:firstColumn="0" w:lastColumn="0" w:oddVBand="0" w:evenVBand="0" w:oddHBand="0" w:evenHBand="0" w:firstRowFirstColumn="0" w:firstRowLastColumn="0" w:lastRowFirstColumn="0" w:lastRowLastColumn="0"/>
            </w:pPr>
            <w:r w:rsidRPr="00BF2714">
              <w:t>Bronchitis only</w:t>
            </w:r>
          </w:p>
        </w:tc>
        <w:tc>
          <w:tcPr>
            <w:tcW w:w="1575" w:type="dxa"/>
            <w:hideMark/>
          </w:tcPr>
          <w:p w:rsidR="000C0A41" w:rsidRPr="00BF2714" w:rsidRDefault="000C0A41" w:rsidP="00BF2714">
            <w:pPr>
              <w:jc w:val="center"/>
              <w:cnfStyle w:val="000000000000" w:firstRow="0" w:lastRow="0" w:firstColumn="0" w:lastColumn="0" w:oddVBand="0" w:evenVBand="0" w:oddHBand="0" w:evenHBand="0" w:firstRowFirstColumn="0" w:firstRowLastColumn="0" w:lastRowFirstColumn="0" w:lastRowLastColumn="0"/>
            </w:pPr>
            <w:r w:rsidRPr="00BF2714">
              <w:t>119</w:t>
            </w:r>
          </w:p>
        </w:tc>
        <w:tc>
          <w:tcPr>
            <w:tcW w:w="1592" w:type="dxa"/>
            <w:hideMark/>
          </w:tcPr>
          <w:p w:rsidR="000C0A41" w:rsidRPr="00BF2714" w:rsidRDefault="000C0A41" w:rsidP="00BF2714">
            <w:pPr>
              <w:jc w:val="center"/>
              <w:cnfStyle w:val="000000000000" w:firstRow="0" w:lastRow="0" w:firstColumn="0" w:lastColumn="0" w:oddVBand="0" w:evenVBand="0" w:oddHBand="0" w:evenHBand="0" w:firstRowFirstColumn="0" w:firstRowLastColumn="0" w:lastRowFirstColumn="0" w:lastRowLastColumn="0"/>
            </w:pPr>
            <w:r w:rsidRPr="00BF2714">
              <w:t>84 (70.6)</w:t>
            </w:r>
          </w:p>
        </w:tc>
        <w:tc>
          <w:tcPr>
            <w:tcW w:w="1155" w:type="dxa"/>
            <w:hideMark/>
          </w:tcPr>
          <w:p w:rsidR="000C0A41" w:rsidRPr="00BF2714" w:rsidRDefault="000C0A41" w:rsidP="00BF2714">
            <w:pPr>
              <w:jc w:val="center"/>
              <w:cnfStyle w:val="000000000000" w:firstRow="0" w:lastRow="0" w:firstColumn="0" w:lastColumn="0" w:oddVBand="0" w:evenVBand="0" w:oddHBand="0" w:evenHBand="0" w:firstRowFirstColumn="0" w:firstRowLastColumn="0" w:lastRowFirstColumn="0" w:lastRowLastColumn="0"/>
            </w:pPr>
            <w:r w:rsidRPr="00BF2714">
              <w:t>26</w:t>
            </w:r>
          </w:p>
        </w:tc>
        <w:tc>
          <w:tcPr>
            <w:tcW w:w="1829" w:type="dxa"/>
            <w:hideMark/>
          </w:tcPr>
          <w:p w:rsidR="000C0A41" w:rsidRPr="00BF2714" w:rsidRDefault="000C0A41" w:rsidP="00BF2714">
            <w:pPr>
              <w:jc w:val="center"/>
              <w:cnfStyle w:val="000000000000" w:firstRow="0" w:lastRow="0" w:firstColumn="0" w:lastColumn="0" w:oddVBand="0" w:evenVBand="0" w:oddHBand="0" w:evenHBand="0" w:firstRowFirstColumn="0" w:firstRowLastColumn="0" w:lastRowFirstColumn="0" w:lastRowLastColumn="0"/>
            </w:pPr>
            <w:r w:rsidRPr="00BF2714">
              <w:t>29.5, 20.8 to 40.1</w:t>
            </w:r>
          </w:p>
        </w:tc>
      </w:tr>
      <w:tr w:rsidR="000C0A41" w:rsidRPr="00BF2714" w:rsidTr="008C51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 w:type="dxa"/>
          </w:tcPr>
          <w:p w:rsidR="000C0A41" w:rsidRPr="004C7C18" w:rsidRDefault="000C0A41" w:rsidP="004C7C18">
            <w:pPr>
              <w:pStyle w:val="ListParagraph"/>
              <w:numPr>
                <w:ilvl w:val="0"/>
                <w:numId w:val="33"/>
              </w:numPr>
              <w:ind w:left="0" w:firstLine="0"/>
              <w:jc w:val="left"/>
            </w:pPr>
          </w:p>
        </w:tc>
        <w:tc>
          <w:tcPr>
            <w:tcW w:w="3053" w:type="dxa"/>
            <w:hideMark/>
          </w:tcPr>
          <w:p w:rsidR="000C0A41" w:rsidRPr="00BF2714" w:rsidRDefault="000C0A41" w:rsidP="00BF2714">
            <w:pPr>
              <w:jc w:val="left"/>
              <w:cnfStyle w:val="000000100000" w:firstRow="0" w:lastRow="0" w:firstColumn="0" w:lastColumn="0" w:oddVBand="0" w:evenVBand="0" w:oddHBand="1" w:evenHBand="0" w:firstRowFirstColumn="0" w:firstRowLastColumn="0" w:lastRowFirstColumn="0" w:lastRowLastColumn="0"/>
            </w:pPr>
            <w:r w:rsidRPr="00BF2714">
              <w:t>Symptoms+spirometry</w:t>
            </w:r>
          </w:p>
        </w:tc>
        <w:tc>
          <w:tcPr>
            <w:tcW w:w="1575" w:type="dxa"/>
            <w:hideMark/>
          </w:tcPr>
          <w:p w:rsidR="000C0A41" w:rsidRPr="00BF2714" w:rsidRDefault="000C0A41" w:rsidP="00BF2714">
            <w:pPr>
              <w:jc w:val="center"/>
              <w:cnfStyle w:val="000000100000" w:firstRow="0" w:lastRow="0" w:firstColumn="0" w:lastColumn="0" w:oddVBand="0" w:evenVBand="0" w:oddHBand="1" w:evenHBand="0" w:firstRowFirstColumn="0" w:firstRowLastColumn="0" w:lastRowFirstColumn="0" w:lastRowLastColumn="0"/>
            </w:pPr>
            <w:r w:rsidRPr="00BF2714">
              <w:t>119</w:t>
            </w:r>
          </w:p>
        </w:tc>
        <w:tc>
          <w:tcPr>
            <w:tcW w:w="1592" w:type="dxa"/>
            <w:hideMark/>
          </w:tcPr>
          <w:p w:rsidR="000C0A41" w:rsidRPr="00BF2714" w:rsidRDefault="000C0A41" w:rsidP="00BF2714">
            <w:pPr>
              <w:jc w:val="center"/>
              <w:cnfStyle w:val="000000100000" w:firstRow="0" w:lastRow="0" w:firstColumn="0" w:lastColumn="0" w:oddVBand="0" w:evenVBand="0" w:oddHBand="1" w:evenHBand="0" w:firstRowFirstColumn="0" w:firstRowLastColumn="0" w:lastRowFirstColumn="0" w:lastRowLastColumn="0"/>
            </w:pPr>
            <w:r w:rsidRPr="00BF2714">
              <w:t>83 (69.7)</w:t>
            </w:r>
          </w:p>
        </w:tc>
        <w:tc>
          <w:tcPr>
            <w:tcW w:w="1155" w:type="dxa"/>
            <w:hideMark/>
          </w:tcPr>
          <w:p w:rsidR="000C0A41" w:rsidRPr="00BF2714" w:rsidRDefault="000C0A41" w:rsidP="00BF2714">
            <w:pPr>
              <w:jc w:val="center"/>
              <w:cnfStyle w:val="000000100000" w:firstRow="0" w:lastRow="0" w:firstColumn="0" w:lastColumn="0" w:oddVBand="0" w:evenVBand="0" w:oddHBand="1" w:evenHBand="0" w:firstRowFirstColumn="0" w:firstRowLastColumn="0" w:lastRowFirstColumn="0" w:lastRowLastColumn="0"/>
            </w:pPr>
            <w:r w:rsidRPr="00BF2714">
              <w:t>37</w:t>
            </w:r>
          </w:p>
        </w:tc>
        <w:tc>
          <w:tcPr>
            <w:tcW w:w="1829" w:type="dxa"/>
            <w:hideMark/>
          </w:tcPr>
          <w:p w:rsidR="000C0A41" w:rsidRPr="00BF2714" w:rsidRDefault="000C0A41" w:rsidP="00BF2714">
            <w:pPr>
              <w:jc w:val="center"/>
              <w:cnfStyle w:val="000000100000" w:firstRow="0" w:lastRow="0" w:firstColumn="0" w:lastColumn="0" w:oddVBand="0" w:evenVBand="0" w:oddHBand="1" w:evenHBand="0" w:firstRowFirstColumn="0" w:firstRowLastColumn="0" w:lastRowFirstColumn="0" w:lastRowLastColumn="0"/>
            </w:pPr>
            <w:r w:rsidRPr="00BF2714">
              <w:t>43.5, 33.2 to 54.4</w:t>
            </w:r>
          </w:p>
        </w:tc>
      </w:tr>
      <w:tr w:rsidR="000C0A41" w:rsidRPr="00BF2714" w:rsidTr="008C516D">
        <w:trPr>
          <w:jc w:val="center"/>
        </w:trPr>
        <w:tc>
          <w:tcPr>
            <w:cnfStyle w:val="001000000000" w:firstRow="0" w:lastRow="0" w:firstColumn="1" w:lastColumn="0" w:oddVBand="0" w:evenVBand="0" w:oddHBand="0" w:evenHBand="0" w:firstRowFirstColumn="0" w:firstRowLastColumn="0" w:lastRowFirstColumn="0" w:lastRowLastColumn="0"/>
            <w:tcW w:w="294" w:type="dxa"/>
          </w:tcPr>
          <w:p w:rsidR="000C0A41" w:rsidRPr="004C7C18" w:rsidRDefault="000C0A41" w:rsidP="004C7C18">
            <w:pPr>
              <w:pStyle w:val="ListParagraph"/>
              <w:numPr>
                <w:ilvl w:val="0"/>
                <w:numId w:val="33"/>
              </w:numPr>
              <w:ind w:left="0" w:firstLine="0"/>
              <w:jc w:val="left"/>
            </w:pPr>
          </w:p>
        </w:tc>
        <w:tc>
          <w:tcPr>
            <w:tcW w:w="3053" w:type="dxa"/>
            <w:hideMark/>
          </w:tcPr>
          <w:p w:rsidR="000C0A41" w:rsidRPr="00BF2714" w:rsidRDefault="000C0A41" w:rsidP="00BF2714">
            <w:pPr>
              <w:jc w:val="left"/>
              <w:cnfStyle w:val="000000000000" w:firstRow="0" w:lastRow="0" w:firstColumn="0" w:lastColumn="0" w:oddVBand="0" w:evenVBand="0" w:oddHBand="0" w:evenHBand="0" w:firstRowFirstColumn="0" w:firstRowLastColumn="0" w:lastRowFirstColumn="0" w:lastRowLastColumn="0"/>
            </w:pPr>
            <w:r w:rsidRPr="00BF2714">
              <w:t>Symptoms only</w:t>
            </w:r>
          </w:p>
        </w:tc>
        <w:tc>
          <w:tcPr>
            <w:tcW w:w="1575" w:type="dxa"/>
            <w:hideMark/>
          </w:tcPr>
          <w:p w:rsidR="000C0A41" w:rsidRPr="00BF2714" w:rsidRDefault="000C0A41" w:rsidP="00BF2714">
            <w:pPr>
              <w:jc w:val="center"/>
              <w:cnfStyle w:val="000000000000" w:firstRow="0" w:lastRow="0" w:firstColumn="0" w:lastColumn="0" w:oddVBand="0" w:evenVBand="0" w:oddHBand="0" w:evenHBand="0" w:firstRowFirstColumn="0" w:firstRowLastColumn="0" w:lastRowFirstColumn="0" w:lastRowLastColumn="0"/>
            </w:pPr>
            <w:r w:rsidRPr="00BF2714">
              <w:t>118</w:t>
            </w:r>
          </w:p>
        </w:tc>
        <w:tc>
          <w:tcPr>
            <w:tcW w:w="1592" w:type="dxa"/>
            <w:hideMark/>
          </w:tcPr>
          <w:p w:rsidR="000C0A41" w:rsidRPr="00BF2714" w:rsidRDefault="000C0A41" w:rsidP="00BF2714">
            <w:pPr>
              <w:jc w:val="center"/>
              <w:cnfStyle w:val="000000000000" w:firstRow="0" w:lastRow="0" w:firstColumn="0" w:lastColumn="0" w:oddVBand="0" w:evenVBand="0" w:oddHBand="0" w:evenHBand="0" w:firstRowFirstColumn="0" w:firstRowLastColumn="0" w:lastRowFirstColumn="0" w:lastRowLastColumn="0"/>
            </w:pPr>
            <w:r w:rsidRPr="00BF2714">
              <w:t>90 (75.6)</w:t>
            </w:r>
          </w:p>
        </w:tc>
        <w:tc>
          <w:tcPr>
            <w:tcW w:w="1155" w:type="dxa"/>
            <w:hideMark/>
          </w:tcPr>
          <w:p w:rsidR="000C0A41" w:rsidRPr="00BF2714" w:rsidRDefault="000C0A41" w:rsidP="00BF2714">
            <w:pPr>
              <w:jc w:val="center"/>
              <w:cnfStyle w:val="000000000000" w:firstRow="0" w:lastRow="0" w:firstColumn="0" w:lastColumn="0" w:oddVBand="0" w:evenVBand="0" w:oddHBand="0" w:evenHBand="0" w:firstRowFirstColumn="0" w:firstRowLastColumn="0" w:lastRowFirstColumn="0" w:lastRowLastColumn="0"/>
            </w:pPr>
            <w:r w:rsidRPr="00BF2714">
              <w:t>11</w:t>
            </w:r>
          </w:p>
        </w:tc>
        <w:tc>
          <w:tcPr>
            <w:tcW w:w="1829" w:type="dxa"/>
            <w:hideMark/>
          </w:tcPr>
          <w:p w:rsidR="000C0A41" w:rsidRPr="00BF2714" w:rsidRDefault="000C0A41" w:rsidP="00BF2714">
            <w:pPr>
              <w:jc w:val="center"/>
              <w:cnfStyle w:val="000000000000" w:firstRow="0" w:lastRow="0" w:firstColumn="0" w:lastColumn="0" w:oddVBand="0" w:evenVBand="0" w:oddHBand="0" w:evenHBand="0" w:firstRowFirstColumn="0" w:firstRowLastColumn="0" w:lastRowFirstColumn="0" w:lastRowLastColumn="0"/>
            </w:pPr>
            <w:r w:rsidRPr="00BF2714">
              <w:t>12.2, 6.8 to 20.9</w:t>
            </w:r>
          </w:p>
        </w:tc>
      </w:tr>
    </w:tbl>
    <w:p w:rsidR="000C0A41" w:rsidRPr="0095474A" w:rsidRDefault="000C0A41" w:rsidP="00F46290">
      <w:pPr>
        <w:pStyle w:val="Heading2"/>
      </w:pPr>
      <w:bookmarkStart w:id="15" w:name="_Toc458185250"/>
      <w:r>
        <w:t xml:space="preserve">COPD </w:t>
      </w:r>
      <w:r w:rsidRPr="0095474A">
        <w:t>Risk Factors</w:t>
      </w:r>
      <w:bookmarkEnd w:id="15"/>
    </w:p>
    <w:p w:rsidR="000C0A41" w:rsidRDefault="000C0A41" w:rsidP="000705C4">
      <w:r w:rsidRPr="00F75112">
        <w:t xml:space="preserve">A non-systematic literature search was conducted to identify recent studies which quantified the risk factors for COPD.  COPD risk factors are shown in </w:t>
      </w:r>
      <w:r w:rsidRPr="00F75112">
        <w:fldChar w:fldCharType="begin"/>
      </w:r>
      <w:r w:rsidRPr="00F75112">
        <w:instrText xml:space="preserve"> REF _Ref346798903 \h  \* MERGEFORMAT </w:instrText>
      </w:r>
      <w:r w:rsidRPr="00F75112">
        <w:fldChar w:fldCharType="separate"/>
      </w:r>
      <w:r w:rsidRPr="000C0A41">
        <w:rPr>
          <w:bCs/>
          <w:color w:val="000000" w:themeColor="text1"/>
          <w:szCs w:val="18"/>
        </w:rPr>
        <w:t xml:space="preserve">Table </w:t>
      </w:r>
      <w:r w:rsidRPr="000C0A41">
        <w:rPr>
          <w:bCs/>
          <w:noProof/>
          <w:color w:val="000000" w:themeColor="text1"/>
          <w:szCs w:val="18"/>
        </w:rPr>
        <w:t>8</w:t>
      </w:r>
      <w:r w:rsidRPr="00F75112">
        <w:fldChar w:fldCharType="end"/>
      </w:r>
      <w:r w:rsidRPr="00F75112">
        <w:t>, with associated references:</w:t>
      </w:r>
    </w:p>
    <w:p w:rsidR="000C0A41" w:rsidRPr="00A62166" w:rsidRDefault="000C0A41" w:rsidP="00E42E8A">
      <w:pPr>
        <w:pStyle w:val="Caption"/>
      </w:pPr>
      <w:bookmarkStart w:id="16" w:name="_Ref346798903"/>
      <w:r w:rsidRPr="00A62166">
        <w:t xml:space="preserve">Table </w:t>
      </w:r>
      <w:fldSimple w:instr=" SEQ Table \* ARABIC ">
        <w:r>
          <w:rPr>
            <w:noProof/>
          </w:rPr>
          <w:t>8</w:t>
        </w:r>
      </w:fldSimple>
      <w:bookmarkEnd w:id="16"/>
      <w:r w:rsidRPr="00A62166">
        <w:t xml:space="preserve">: </w:t>
      </w:r>
      <w:r>
        <w:t xml:space="preserve">COPD </w:t>
      </w:r>
      <w:r w:rsidRPr="00A62166">
        <w:t xml:space="preserve">risk factor list </w:t>
      </w:r>
    </w:p>
    <w:tbl>
      <w:tblPr>
        <w:tblStyle w:val="GridTable4-Accent1"/>
        <w:tblW w:w="0" w:type="auto"/>
        <w:jc w:val="center"/>
        <w:tblLook w:val="04A0" w:firstRow="1" w:lastRow="0" w:firstColumn="1" w:lastColumn="0" w:noHBand="0" w:noVBand="1"/>
      </w:tblPr>
      <w:tblGrid>
        <w:gridCol w:w="3888"/>
        <w:gridCol w:w="4124"/>
      </w:tblGrid>
      <w:tr w:rsidR="000C0A41" w:rsidRPr="00E42E8A" w:rsidTr="00F7511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88" w:type="dxa"/>
          </w:tcPr>
          <w:p w:rsidR="000C0A41" w:rsidRPr="00E42E8A" w:rsidRDefault="000C0A41" w:rsidP="00E42E8A">
            <w:pPr>
              <w:jc w:val="center"/>
            </w:pPr>
            <w:r w:rsidRPr="00E42E8A">
              <w:t>Risk factor</w:t>
            </w:r>
          </w:p>
        </w:tc>
        <w:tc>
          <w:tcPr>
            <w:tcW w:w="4124" w:type="dxa"/>
          </w:tcPr>
          <w:p w:rsidR="000C0A41" w:rsidRPr="00E42E8A" w:rsidRDefault="000C0A41" w:rsidP="00E42E8A">
            <w:pPr>
              <w:jc w:val="center"/>
              <w:cnfStyle w:val="100000000000" w:firstRow="1" w:lastRow="0" w:firstColumn="0" w:lastColumn="0" w:oddVBand="0" w:evenVBand="0" w:oddHBand="0" w:evenHBand="0" w:firstRowFirstColumn="0" w:firstRowLastColumn="0" w:lastRowFirstColumn="0" w:lastRowLastColumn="0"/>
            </w:pPr>
            <w:r w:rsidRPr="00E42E8A">
              <w:t>References</w:t>
            </w:r>
          </w:p>
        </w:tc>
      </w:tr>
      <w:tr w:rsidR="000C0A41" w:rsidRPr="00CF1F95" w:rsidTr="00F751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88" w:type="dxa"/>
          </w:tcPr>
          <w:p w:rsidR="000C0A41" w:rsidRPr="00E37AEB" w:rsidRDefault="000C0A41" w:rsidP="00E42E8A">
            <w:pPr>
              <w:rPr>
                <w:b w:val="0"/>
              </w:rPr>
            </w:pPr>
            <w:r w:rsidRPr="00E37AEB">
              <w:rPr>
                <w:b w:val="0"/>
              </w:rPr>
              <w:t>Smoking</w:t>
            </w:r>
          </w:p>
        </w:tc>
        <w:tc>
          <w:tcPr>
            <w:tcW w:w="4124" w:type="dxa"/>
          </w:tcPr>
          <w:p w:rsidR="000C0A41" w:rsidRPr="00E37AEB" w:rsidRDefault="000C0A41" w:rsidP="00AE181E">
            <w:pPr>
              <w:cnfStyle w:val="000000100000" w:firstRow="0" w:lastRow="0" w:firstColumn="0" w:lastColumn="0" w:oddVBand="0" w:evenVBand="0" w:oddHBand="1" w:evenHBand="0" w:firstRowFirstColumn="0" w:firstRowLastColumn="0" w:lastRowFirstColumn="0" w:lastRowLastColumn="0"/>
            </w:pPr>
            <w:r w:rsidRPr="00E37AEB">
              <w:t>Pirie et al, Lancet 2012</w:t>
            </w:r>
          </w:p>
        </w:tc>
      </w:tr>
      <w:tr w:rsidR="000C0A41" w:rsidRPr="00CF1F95" w:rsidTr="00F75112">
        <w:trPr>
          <w:jc w:val="center"/>
        </w:trPr>
        <w:tc>
          <w:tcPr>
            <w:cnfStyle w:val="001000000000" w:firstRow="0" w:lastRow="0" w:firstColumn="1" w:lastColumn="0" w:oddVBand="0" w:evenVBand="0" w:oddHBand="0" w:evenHBand="0" w:firstRowFirstColumn="0" w:firstRowLastColumn="0" w:lastRowFirstColumn="0" w:lastRowLastColumn="0"/>
            <w:tcW w:w="3888" w:type="dxa"/>
          </w:tcPr>
          <w:p w:rsidR="000C0A41" w:rsidRPr="00E37AEB" w:rsidRDefault="000C0A41" w:rsidP="00E42E8A">
            <w:pPr>
              <w:rPr>
                <w:b w:val="0"/>
              </w:rPr>
            </w:pPr>
            <w:r w:rsidRPr="00E37AEB">
              <w:rPr>
                <w:b w:val="0"/>
              </w:rPr>
              <w:t>Age</w:t>
            </w:r>
          </w:p>
        </w:tc>
        <w:tc>
          <w:tcPr>
            <w:tcW w:w="4124" w:type="dxa"/>
          </w:tcPr>
          <w:p w:rsidR="000C0A41" w:rsidRPr="00E37AEB" w:rsidRDefault="000C0A41" w:rsidP="007A6CA5">
            <w:pPr>
              <w:cnfStyle w:val="000000000000" w:firstRow="0" w:lastRow="0" w:firstColumn="0" w:lastColumn="0" w:oddVBand="0" w:evenVBand="0" w:oddHBand="0" w:evenHBand="0" w:firstRowFirstColumn="0" w:firstRowLastColumn="0" w:lastRowFirstColumn="0" w:lastRowLastColumn="0"/>
            </w:pPr>
            <w:r w:rsidRPr="00E37AEB">
              <w:t>Afonso et al 2011</w:t>
            </w:r>
            <w:r>
              <w:rPr>
                <w:noProof/>
              </w:rPr>
              <w:t>[44]</w:t>
            </w:r>
          </w:p>
        </w:tc>
      </w:tr>
      <w:tr w:rsidR="000C0A41" w:rsidRPr="00CF1F95" w:rsidTr="00F751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88" w:type="dxa"/>
          </w:tcPr>
          <w:p w:rsidR="000C0A41" w:rsidRPr="00E37AEB" w:rsidRDefault="000C0A41" w:rsidP="00E42E8A">
            <w:pPr>
              <w:rPr>
                <w:b w:val="0"/>
              </w:rPr>
            </w:pPr>
            <w:r w:rsidRPr="00E37AEB">
              <w:rPr>
                <w:b w:val="0"/>
              </w:rPr>
              <w:t>Occupational exposure to dust and chemicals</w:t>
            </w:r>
          </w:p>
        </w:tc>
        <w:tc>
          <w:tcPr>
            <w:tcW w:w="4124" w:type="dxa"/>
          </w:tcPr>
          <w:p w:rsidR="000C0A41" w:rsidRPr="00E37AEB" w:rsidRDefault="000C0A41" w:rsidP="00AE181E">
            <w:pPr>
              <w:cnfStyle w:val="000000100000" w:firstRow="0" w:lastRow="0" w:firstColumn="0" w:lastColumn="0" w:oddVBand="0" w:evenVBand="0" w:oddHBand="1" w:evenHBand="0" w:firstRowFirstColumn="0" w:firstRowLastColumn="0" w:lastRowFirstColumn="0" w:lastRowLastColumn="0"/>
            </w:pPr>
            <w:r w:rsidRPr="00E37AEB">
              <w:t>Baur et al, J Occup Med toxicol, 2012</w:t>
            </w:r>
          </w:p>
        </w:tc>
      </w:tr>
      <w:tr w:rsidR="000C0A41" w:rsidRPr="00CF1F95" w:rsidTr="00F75112">
        <w:trPr>
          <w:jc w:val="center"/>
        </w:trPr>
        <w:tc>
          <w:tcPr>
            <w:cnfStyle w:val="001000000000" w:firstRow="0" w:lastRow="0" w:firstColumn="1" w:lastColumn="0" w:oddVBand="0" w:evenVBand="0" w:oddHBand="0" w:evenHBand="0" w:firstRowFirstColumn="0" w:firstRowLastColumn="0" w:lastRowFirstColumn="0" w:lastRowLastColumn="0"/>
            <w:tcW w:w="3888" w:type="dxa"/>
          </w:tcPr>
          <w:p w:rsidR="000C0A41" w:rsidRPr="00E37AEB" w:rsidRDefault="000C0A41" w:rsidP="00E42E8A">
            <w:pPr>
              <w:rPr>
                <w:b w:val="0"/>
              </w:rPr>
            </w:pPr>
            <w:r w:rsidRPr="00E37AEB">
              <w:rPr>
                <w:b w:val="0"/>
              </w:rPr>
              <w:t>Socioeconomic status</w:t>
            </w:r>
            <w:r>
              <w:rPr>
                <w:b w:val="0"/>
              </w:rPr>
              <w:t>/deprivation</w:t>
            </w:r>
          </w:p>
        </w:tc>
        <w:tc>
          <w:tcPr>
            <w:tcW w:w="4124" w:type="dxa"/>
          </w:tcPr>
          <w:p w:rsidR="000C0A41" w:rsidRPr="00E37AEB" w:rsidRDefault="000C0A41" w:rsidP="00AE181E">
            <w:pPr>
              <w:cnfStyle w:val="000000000000" w:firstRow="0" w:lastRow="0" w:firstColumn="0" w:lastColumn="0" w:oddVBand="0" w:evenVBand="0" w:oddHBand="0" w:evenHBand="0" w:firstRowFirstColumn="0" w:firstRowLastColumn="0" w:lastRowFirstColumn="0" w:lastRowLastColumn="0"/>
            </w:pPr>
            <w:r w:rsidRPr="00E37AEB">
              <w:t>Prescott &amp; Vestbo, Thorax, 1999</w:t>
            </w:r>
          </w:p>
        </w:tc>
      </w:tr>
      <w:tr w:rsidR="000C0A41" w:rsidRPr="00E42E8A" w:rsidTr="00F751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88" w:type="dxa"/>
          </w:tcPr>
          <w:p w:rsidR="000C0A41" w:rsidRPr="00E37AEB" w:rsidRDefault="000C0A41" w:rsidP="00E42E8A">
            <w:pPr>
              <w:rPr>
                <w:b w:val="0"/>
              </w:rPr>
            </w:pPr>
            <w:r w:rsidRPr="00E37AEB">
              <w:rPr>
                <w:b w:val="0"/>
              </w:rPr>
              <w:t>Sex</w:t>
            </w:r>
          </w:p>
        </w:tc>
        <w:tc>
          <w:tcPr>
            <w:tcW w:w="4124" w:type="dxa"/>
          </w:tcPr>
          <w:p w:rsidR="000C0A41" w:rsidRPr="00E37AEB" w:rsidRDefault="000C0A41" w:rsidP="00AE181E">
            <w:pPr>
              <w:cnfStyle w:val="000000100000" w:firstRow="0" w:lastRow="0" w:firstColumn="0" w:lastColumn="0" w:oddVBand="0" w:evenVBand="0" w:oddHBand="1" w:evenHBand="0" w:firstRowFirstColumn="0" w:firstRowLastColumn="0" w:lastRowFirstColumn="0" w:lastRowLastColumn="0"/>
            </w:pPr>
            <w:r w:rsidRPr="00E37AEB">
              <w:t>Sin et al, Proceedings ats, 2007</w:t>
            </w:r>
          </w:p>
        </w:tc>
      </w:tr>
    </w:tbl>
    <w:p w:rsidR="000C0A41" w:rsidRDefault="000C0A41" w:rsidP="00F75112"/>
    <w:p w:rsidR="000C0A41" w:rsidRPr="009810B5" w:rsidRDefault="000C0A41" w:rsidP="00F46290">
      <w:pPr>
        <w:pStyle w:val="Heading3"/>
      </w:pPr>
      <w:bookmarkStart w:id="17" w:name="_Toc458185251"/>
      <w:r w:rsidRPr="009810B5">
        <w:t>Risk factor – Smoking</w:t>
      </w:r>
      <w:bookmarkEnd w:id="17"/>
    </w:p>
    <w:p w:rsidR="000C0A41" w:rsidRDefault="000C0A41" w:rsidP="000705C4">
      <w:r>
        <w:t>Active smoking is by far the most important risk factor for COPD in the UK, and alone this will explain &gt;70% of cases globally.</w:t>
      </w:r>
      <w:r>
        <w:rPr>
          <w:noProof/>
        </w:rPr>
        <w:t>[2 ,37 ,39 ,42 ,47 ,48]</w:t>
      </w:r>
      <w:r>
        <w:t xml:space="preserve"> The vast majority of those with COPD in the UK have a smoking history (&gt;95%).</w:t>
      </w:r>
      <w:r>
        <w:rPr>
          <w:noProof/>
        </w:rPr>
        <w:t>[29 ,49 ,50]</w:t>
      </w:r>
      <w:r>
        <w:t xml:space="preserve"> Exposure to active cigarette smoking is normally measured as number of “pack years”, with one pack year equating to smoking one pack (20 cigarettes) per day for one year. Generally, individuals need exposure to about 15-20 pack years before they develop COPD. Beyond this exposure level, number of pack years does not appear to be associated with higher risk of COPD. Only around 20% of smokers develop COPD, however, so genetic and perhaps environmental factors are thought to play a role in susceptibility to smoking.  Most COPD in the UK is caused by tobacco smoking. However there is evidence that, shisha/water pipe, cannabis, heroin and crack cocaine smoking all cause COPD. It is difficult to assess exposure to these in large studies however. There is no definitive evidence on passive smoking at the moment.</w:t>
      </w:r>
    </w:p>
    <w:p w:rsidR="000C0A41" w:rsidRDefault="000C0A41" w:rsidP="00F46290">
      <w:pPr>
        <w:pStyle w:val="Heading3"/>
      </w:pPr>
      <w:bookmarkStart w:id="18" w:name="_Toc458185252"/>
      <w:r w:rsidRPr="009810B5">
        <w:t>Risk factor</w:t>
      </w:r>
      <w:r>
        <w:t>- Age</w:t>
      </w:r>
      <w:bookmarkEnd w:id="18"/>
    </w:p>
    <w:p w:rsidR="000C0A41" w:rsidRDefault="000C0A41" w:rsidP="006F46CF">
      <w:r>
        <w:t>COPD is very much associated with age and is very rare in those under the age of 35 (the cut-off age we have used for this prevalence model). Age is likely to interact with smoking status.</w:t>
      </w:r>
      <w:r>
        <w:rPr>
          <w:noProof/>
        </w:rPr>
        <w:t>[42 ,44 ,51-55]</w:t>
      </w:r>
    </w:p>
    <w:p w:rsidR="000C0A41" w:rsidRDefault="000C0A41" w:rsidP="001D2782">
      <w:pPr>
        <w:pStyle w:val="Heading3"/>
      </w:pPr>
      <w:bookmarkStart w:id="19" w:name="_Toc458185253"/>
      <w:r>
        <w:t>Risk factor – socioeconomic status/deprivation</w:t>
      </w:r>
      <w:bookmarkEnd w:id="19"/>
    </w:p>
    <w:p w:rsidR="000C0A41" w:rsidRDefault="000C0A41" w:rsidP="001D2782">
      <w:r>
        <w:t xml:space="preserve">This association could be due to early life factors and housing, other occupational or environmental exposures e.g. air pollution, or may be due to residual confounding from imperfectly measured smoking and occupational exposures.  </w:t>
      </w:r>
      <w:r>
        <w:rPr>
          <w:noProof/>
        </w:rPr>
        <w:t>[2 ,33 ,56-59]</w:t>
      </w:r>
    </w:p>
    <w:p w:rsidR="000C0A41" w:rsidRDefault="000C0A41" w:rsidP="00BC42C4">
      <w:pPr>
        <w:pStyle w:val="Heading3"/>
      </w:pPr>
      <w:bookmarkStart w:id="20" w:name="_Toc458185254"/>
      <w:r>
        <w:lastRenderedPageBreak/>
        <w:t>Risk factor – Ethnicity</w:t>
      </w:r>
      <w:bookmarkEnd w:id="20"/>
    </w:p>
    <w:p w:rsidR="000C0A41" w:rsidRDefault="000C0A41" w:rsidP="00BC42C4">
      <w:r>
        <w:t xml:space="preserve">There is some evidence that ethnicity is related to risk of COPD. However much of this could be due to smoking and deprivation, depending on how well these measured. We did not find significant associations in our 2007 paper which used HSfE data. </w:t>
      </w:r>
      <w:r>
        <w:rPr>
          <w:noProof/>
        </w:rPr>
        <w:t>[2]</w:t>
      </w:r>
      <w:r>
        <w:t>. Ethnicity has also been shown to be related more to severity than incidence.</w:t>
      </w:r>
      <w:r>
        <w:rPr>
          <w:noProof/>
        </w:rPr>
        <w:t>[2 ,60]</w:t>
      </w:r>
      <w:r>
        <w:t xml:space="preserve"> We therefore decided not to include it in the current models.</w:t>
      </w:r>
    </w:p>
    <w:p w:rsidR="000C0A41" w:rsidRDefault="000C0A41" w:rsidP="00BC42C4">
      <w:pPr>
        <w:pStyle w:val="Heading3"/>
      </w:pPr>
      <w:bookmarkStart w:id="21" w:name="_Toc458185255"/>
      <w:r>
        <w:t>Risk factor – Sex</w:t>
      </w:r>
      <w:bookmarkEnd w:id="21"/>
    </w:p>
    <w:p w:rsidR="000C0A41" w:rsidRDefault="000C0A41" w:rsidP="00BC42C4">
      <w:r>
        <w:t>Traditionally men have been shown to be at higher risk, taking into account smoking history, but this may be due to residual confounding from imperfectly measured smoking and occupational exposure. However with ageing of the population of women who have smoked more, evidence that this trend is disappearing and may well have reversed.</w:t>
      </w:r>
      <w:r>
        <w:rPr>
          <w:noProof/>
        </w:rPr>
        <w:t>[2 ,22 ,61-65]</w:t>
      </w:r>
      <w:r>
        <w:t xml:space="preserve">  Effects of tobacco smoking are known to be higher for women. There may be an interaction with other risk factors e.g. age.</w:t>
      </w:r>
    </w:p>
    <w:p w:rsidR="000C0A41" w:rsidRPr="00BC42C4" w:rsidRDefault="000C0A41" w:rsidP="00656636">
      <w:pPr>
        <w:pStyle w:val="Heading3"/>
      </w:pPr>
      <w:bookmarkStart w:id="22" w:name="_Toc458185256"/>
      <w:r>
        <w:t>Risk factor – Occupation</w:t>
      </w:r>
      <w:bookmarkEnd w:id="22"/>
    </w:p>
    <w:p w:rsidR="000C0A41" w:rsidRDefault="000C0A41" w:rsidP="006732DC">
      <w:r>
        <w:t>There has been increased attention on occupation recently for those exposed to dust and fumes at work.</w:t>
      </w:r>
      <w:r>
        <w:rPr>
          <w:noProof/>
        </w:rPr>
        <w:t>[26 ,66-68]</w:t>
      </w:r>
      <w:r>
        <w:t xml:space="preserve"> This is likely to be different types of exposure between countries, and apparent associations may also depend on how well smoking has been measured. It is difficult to get a good occupational history from self-reports, so studies may underestimate occupation as a risk factor. However, it is likely to represent only &lt;5% of COPD in UK. In addition, there is very little occupational data in CPRD.</w:t>
      </w:r>
    </w:p>
    <w:p w:rsidR="000C0A41" w:rsidRDefault="000C0A41" w:rsidP="006732DC"/>
    <w:p w:rsidR="000C0A41" w:rsidRDefault="000C0A41" w:rsidP="006732DC">
      <w:r>
        <w:fldChar w:fldCharType="begin"/>
      </w:r>
      <w:r>
        <w:instrText xml:space="preserve"> REF _Ref346358093 \h </w:instrText>
      </w:r>
      <w:r>
        <w:fldChar w:fldCharType="separate"/>
      </w:r>
      <w:r w:rsidRPr="00A62166">
        <w:t xml:space="preserve">Table </w:t>
      </w:r>
      <w:r>
        <w:rPr>
          <w:noProof/>
        </w:rPr>
        <w:t>9</w:t>
      </w:r>
      <w:r>
        <w:fldChar w:fldCharType="end"/>
      </w:r>
      <w:r>
        <w:t xml:space="preserve"> summarises </w:t>
      </w:r>
      <w:r w:rsidRPr="00294D2C">
        <w:t>COPD risk factors with their pooled, matched or adjusted odds ratios</w:t>
      </w:r>
      <w:r>
        <w:t>.</w:t>
      </w:r>
    </w:p>
    <w:p w:rsidR="000C0A41" w:rsidRPr="00A62166" w:rsidRDefault="000C0A41" w:rsidP="00B7047A">
      <w:pPr>
        <w:pStyle w:val="Caption"/>
      </w:pPr>
      <w:bookmarkStart w:id="23" w:name="_Ref346358093"/>
      <w:bookmarkStart w:id="24" w:name="_Ref346358085"/>
      <w:r w:rsidRPr="00A62166">
        <w:t xml:space="preserve">Table </w:t>
      </w:r>
      <w:fldSimple w:instr=" SEQ Table \* ARABIC ">
        <w:r>
          <w:rPr>
            <w:noProof/>
          </w:rPr>
          <w:t>9</w:t>
        </w:r>
      </w:fldSimple>
      <w:bookmarkEnd w:id="23"/>
      <w:r w:rsidRPr="00A62166">
        <w:t xml:space="preserve">: </w:t>
      </w:r>
      <w:r>
        <w:t xml:space="preserve">COPD </w:t>
      </w:r>
      <w:r w:rsidRPr="00A62166">
        <w:t>risk factors with their pooled</w:t>
      </w:r>
      <w:r>
        <w:t>, matched</w:t>
      </w:r>
      <w:r w:rsidRPr="00A62166">
        <w:t xml:space="preserve"> or adjusted odds ratios</w:t>
      </w:r>
      <w:bookmarkEnd w:id="24"/>
      <w:r w:rsidRPr="00A62166">
        <w:t xml:space="preserve"> </w:t>
      </w:r>
    </w:p>
    <w:tbl>
      <w:tblPr>
        <w:tblStyle w:val="GridTable4-Accent1"/>
        <w:tblW w:w="9918" w:type="dxa"/>
        <w:jc w:val="center"/>
        <w:tblLook w:val="04A0" w:firstRow="1" w:lastRow="0" w:firstColumn="1" w:lastColumn="0" w:noHBand="0" w:noVBand="1"/>
      </w:tblPr>
      <w:tblGrid>
        <w:gridCol w:w="2122"/>
        <w:gridCol w:w="3969"/>
        <w:gridCol w:w="1275"/>
        <w:gridCol w:w="1276"/>
        <w:gridCol w:w="1276"/>
      </w:tblGrid>
      <w:tr w:rsidR="000C0A41" w:rsidRPr="003924F3" w:rsidTr="00E42C50">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2122" w:type="dxa"/>
          </w:tcPr>
          <w:p w:rsidR="000C0A41" w:rsidRPr="003924F3" w:rsidRDefault="000C0A41" w:rsidP="001C0FCB">
            <w:pPr>
              <w:jc w:val="center"/>
              <w:rPr>
                <w:lang w:val="en"/>
              </w:rPr>
            </w:pPr>
            <w:r w:rsidRPr="003924F3">
              <w:rPr>
                <w:lang w:val="en"/>
              </w:rPr>
              <w:t>Risk factor</w:t>
            </w:r>
          </w:p>
        </w:tc>
        <w:tc>
          <w:tcPr>
            <w:tcW w:w="3969" w:type="dxa"/>
          </w:tcPr>
          <w:p w:rsidR="000C0A41" w:rsidRPr="003924F3" w:rsidRDefault="000C0A41" w:rsidP="001C0FCB">
            <w:pPr>
              <w:jc w:val="center"/>
              <w:cnfStyle w:val="100000000000" w:firstRow="1" w:lastRow="0" w:firstColumn="0" w:lastColumn="0" w:oddVBand="0" w:evenVBand="0" w:oddHBand="0" w:evenHBand="0" w:firstRowFirstColumn="0" w:firstRowLastColumn="0" w:lastRowFirstColumn="0" w:lastRowLastColumn="0"/>
              <w:rPr>
                <w:lang w:val="en"/>
              </w:rPr>
            </w:pPr>
            <w:r w:rsidRPr="003924F3">
              <w:rPr>
                <w:lang w:val="en"/>
              </w:rPr>
              <w:t>Type of Odds Ratio</w:t>
            </w:r>
          </w:p>
        </w:tc>
        <w:tc>
          <w:tcPr>
            <w:tcW w:w="1275" w:type="dxa"/>
          </w:tcPr>
          <w:p w:rsidR="000C0A41" w:rsidRPr="003924F3" w:rsidRDefault="000C0A41" w:rsidP="001C0FCB">
            <w:pPr>
              <w:jc w:val="center"/>
              <w:cnfStyle w:val="100000000000" w:firstRow="1" w:lastRow="0" w:firstColumn="0" w:lastColumn="0" w:oddVBand="0" w:evenVBand="0" w:oddHBand="0" w:evenHBand="0" w:firstRowFirstColumn="0" w:firstRowLastColumn="0" w:lastRowFirstColumn="0" w:lastRowLastColumn="0"/>
              <w:rPr>
                <w:lang w:val="en"/>
              </w:rPr>
            </w:pPr>
            <w:r w:rsidRPr="003924F3">
              <w:rPr>
                <w:lang w:val="en"/>
              </w:rPr>
              <w:t>Odds Ratio</w:t>
            </w:r>
          </w:p>
        </w:tc>
        <w:tc>
          <w:tcPr>
            <w:tcW w:w="1276" w:type="dxa"/>
          </w:tcPr>
          <w:p w:rsidR="000C0A41" w:rsidRPr="003924F3" w:rsidRDefault="000C0A41" w:rsidP="001C0FCB">
            <w:pPr>
              <w:jc w:val="center"/>
              <w:cnfStyle w:val="100000000000" w:firstRow="1" w:lastRow="0" w:firstColumn="0" w:lastColumn="0" w:oddVBand="0" w:evenVBand="0" w:oddHBand="0" w:evenHBand="0" w:firstRowFirstColumn="0" w:firstRowLastColumn="0" w:lastRowFirstColumn="0" w:lastRowLastColumn="0"/>
              <w:rPr>
                <w:lang w:val="en"/>
              </w:rPr>
            </w:pPr>
            <w:r w:rsidRPr="003924F3">
              <w:rPr>
                <w:lang w:val="en"/>
              </w:rPr>
              <w:t>95% CI</w:t>
            </w:r>
          </w:p>
        </w:tc>
        <w:tc>
          <w:tcPr>
            <w:tcW w:w="1276" w:type="dxa"/>
          </w:tcPr>
          <w:p w:rsidR="000C0A41" w:rsidRPr="003924F3" w:rsidRDefault="000C0A41" w:rsidP="001C0FCB">
            <w:pPr>
              <w:jc w:val="center"/>
              <w:cnfStyle w:val="100000000000" w:firstRow="1" w:lastRow="0" w:firstColumn="0" w:lastColumn="0" w:oddVBand="0" w:evenVBand="0" w:oddHBand="0" w:evenHBand="0" w:firstRowFirstColumn="0" w:firstRowLastColumn="0" w:lastRowFirstColumn="0" w:lastRowLastColumn="0"/>
              <w:rPr>
                <w:lang w:val="en"/>
              </w:rPr>
            </w:pPr>
            <w:r w:rsidRPr="003924F3">
              <w:rPr>
                <w:lang w:val="en"/>
              </w:rPr>
              <w:t>Effect on Outcome</w:t>
            </w:r>
          </w:p>
        </w:tc>
      </w:tr>
      <w:tr w:rsidR="000C0A41" w:rsidRPr="003924F3" w:rsidTr="00E42C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rsidR="000C0A41" w:rsidRPr="003924F3" w:rsidRDefault="000C0A41" w:rsidP="004276EA">
            <w:pPr>
              <w:jc w:val="left"/>
              <w:rPr>
                <w:lang w:val="en"/>
              </w:rPr>
            </w:pPr>
            <w:r w:rsidRPr="003924F3">
              <w:rPr>
                <w:lang w:val="en"/>
              </w:rPr>
              <w:t>Smoking status</w:t>
            </w:r>
          </w:p>
        </w:tc>
        <w:tc>
          <w:tcPr>
            <w:tcW w:w="3969" w:type="dxa"/>
          </w:tcPr>
          <w:p w:rsidR="000C0A41" w:rsidRPr="003924F3" w:rsidRDefault="000C0A41" w:rsidP="004276EA">
            <w:pPr>
              <w:jc w:val="left"/>
              <w:cnfStyle w:val="000000100000" w:firstRow="0" w:lastRow="0" w:firstColumn="0" w:lastColumn="0" w:oddVBand="0" w:evenVBand="0" w:oddHBand="1" w:evenHBand="0" w:firstRowFirstColumn="0" w:firstRowLastColumn="0" w:lastRowFirstColumn="0" w:lastRowLastColumn="0"/>
              <w:rPr>
                <w:lang w:val="en"/>
              </w:rPr>
            </w:pPr>
          </w:p>
        </w:tc>
        <w:tc>
          <w:tcPr>
            <w:tcW w:w="1275" w:type="dxa"/>
          </w:tcPr>
          <w:p w:rsidR="000C0A41" w:rsidRPr="003924F3" w:rsidRDefault="000C0A41" w:rsidP="004276EA">
            <w:pPr>
              <w:jc w:val="center"/>
              <w:cnfStyle w:val="000000100000" w:firstRow="0" w:lastRow="0" w:firstColumn="0" w:lastColumn="0" w:oddVBand="0" w:evenVBand="0" w:oddHBand="1" w:evenHBand="0" w:firstRowFirstColumn="0" w:firstRowLastColumn="0" w:lastRowFirstColumn="0" w:lastRowLastColumn="0"/>
              <w:rPr>
                <w:lang w:val="en"/>
              </w:rPr>
            </w:pPr>
          </w:p>
        </w:tc>
        <w:tc>
          <w:tcPr>
            <w:tcW w:w="1276" w:type="dxa"/>
          </w:tcPr>
          <w:p w:rsidR="000C0A41" w:rsidRPr="003924F3" w:rsidRDefault="000C0A41" w:rsidP="004276EA">
            <w:pPr>
              <w:jc w:val="center"/>
              <w:cnfStyle w:val="000000100000" w:firstRow="0" w:lastRow="0" w:firstColumn="0" w:lastColumn="0" w:oddVBand="0" w:evenVBand="0" w:oddHBand="1" w:evenHBand="0" w:firstRowFirstColumn="0" w:firstRowLastColumn="0" w:lastRowFirstColumn="0" w:lastRowLastColumn="0"/>
              <w:rPr>
                <w:lang w:val="en"/>
              </w:rPr>
            </w:pPr>
          </w:p>
        </w:tc>
        <w:tc>
          <w:tcPr>
            <w:tcW w:w="1276" w:type="dxa"/>
          </w:tcPr>
          <w:p w:rsidR="000C0A41" w:rsidRPr="003924F3" w:rsidRDefault="000C0A41" w:rsidP="004276EA">
            <w:pPr>
              <w:jc w:val="center"/>
              <w:cnfStyle w:val="000000100000" w:firstRow="0" w:lastRow="0" w:firstColumn="0" w:lastColumn="0" w:oddVBand="0" w:evenVBand="0" w:oddHBand="1" w:evenHBand="0" w:firstRowFirstColumn="0" w:firstRowLastColumn="0" w:lastRowFirstColumn="0" w:lastRowLastColumn="0"/>
              <w:rPr>
                <w:lang w:val="en"/>
              </w:rPr>
            </w:pPr>
          </w:p>
        </w:tc>
      </w:tr>
      <w:tr w:rsidR="000C0A41" w:rsidRPr="003924F3" w:rsidTr="00E42C50">
        <w:trPr>
          <w:jc w:val="center"/>
        </w:trPr>
        <w:tc>
          <w:tcPr>
            <w:cnfStyle w:val="001000000000" w:firstRow="0" w:lastRow="0" w:firstColumn="1" w:lastColumn="0" w:oddVBand="0" w:evenVBand="0" w:oddHBand="0" w:evenHBand="0" w:firstRowFirstColumn="0" w:firstRowLastColumn="0" w:lastRowFirstColumn="0" w:lastRowLastColumn="0"/>
            <w:tcW w:w="2122" w:type="dxa"/>
          </w:tcPr>
          <w:p w:rsidR="000C0A41" w:rsidRPr="003924F3" w:rsidRDefault="000C0A41" w:rsidP="004276EA">
            <w:pPr>
              <w:jc w:val="left"/>
              <w:rPr>
                <w:b w:val="0"/>
                <w:lang w:val="en"/>
              </w:rPr>
            </w:pPr>
            <w:r w:rsidRPr="003924F3">
              <w:rPr>
                <w:b w:val="0"/>
                <w:lang w:val="en"/>
              </w:rPr>
              <w:t>Ever smoker</w:t>
            </w:r>
          </w:p>
        </w:tc>
        <w:tc>
          <w:tcPr>
            <w:tcW w:w="3969" w:type="dxa"/>
          </w:tcPr>
          <w:p w:rsidR="000C0A41" w:rsidRPr="003924F3" w:rsidRDefault="000C0A41" w:rsidP="00E92026">
            <w:pPr>
              <w:jc w:val="left"/>
              <w:cnfStyle w:val="000000000000" w:firstRow="0" w:lastRow="0" w:firstColumn="0" w:lastColumn="0" w:oddVBand="0" w:evenVBand="0" w:oddHBand="0" w:evenHBand="0" w:firstRowFirstColumn="0" w:firstRowLastColumn="0" w:lastRowFirstColumn="0" w:lastRowLastColumn="0"/>
              <w:rPr>
                <w:lang w:val="en"/>
              </w:rPr>
            </w:pPr>
            <w:r w:rsidRPr="003924F3">
              <w:rPr>
                <w:lang w:val="en"/>
              </w:rPr>
              <w:t xml:space="preserve">Pooled OR from SR and MA – incidence odds </w:t>
            </w:r>
          </w:p>
        </w:tc>
        <w:tc>
          <w:tcPr>
            <w:tcW w:w="1275" w:type="dxa"/>
          </w:tcPr>
          <w:p w:rsidR="000C0A41" w:rsidRPr="003924F3" w:rsidRDefault="000C0A41" w:rsidP="004276EA">
            <w:pPr>
              <w:jc w:val="center"/>
              <w:cnfStyle w:val="000000000000" w:firstRow="0" w:lastRow="0" w:firstColumn="0" w:lastColumn="0" w:oddVBand="0" w:evenVBand="0" w:oddHBand="0" w:evenHBand="0" w:firstRowFirstColumn="0" w:firstRowLastColumn="0" w:lastRowFirstColumn="0" w:lastRowLastColumn="0"/>
              <w:rPr>
                <w:lang w:val="en"/>
              </w:rPr>
            </w:pPr>
            <w:r w:rsidRPr="003924F3">
              <w:rPr>
                <w:lang w:val="en"/>
              </w:rPr>
              <w:t>2.89</w:t>
            </w:r>
          </w:p>
        </w:tc>
        <w:tc>
          <w:tcPr>
            <w:tcW w:w="1276" w:type="dxa"/>
          </w:tcPr>
          <w:p w:rsidR="000C0A41" w:rsidRPr="003924F3" w:rsidRDefault="000C0A41" w:rsidP="006732DC">
            <w:pPr>
              <w:jc w:val="center"/>
              <w:cnfStyle w:val="000000000000" w:firstRow="0" w:lastRow="0" w:firstColumn="0" w:lastColumn="0" w:oddVBand="0" w:evenVBand="0" w:oddHBand="0" w:evenHBand="0" w:firstRowFirstColumn="0" w:firstRowLastColumn="0" w:lastRowFirstColumn="0" w:lastRowLastColumn="0"/>
              <w:rPr>
                <w:lang w:val="en"/>
              </w:rPr>
            </w:pPr>
            <w:r w:rsidRPr="003924F3">
              <w:rPr>
                <w:lang w:val="en"/>
              </w:rPr>
              <w:t>2.63-3.17</w:t>
            </w:r>
          </w:p>
        </w:tc>
        <w:tc>
          <w:tcPr>
            <w:tcW w:w="1276" w:type="dxa"/>
          </w:tcPr>
          <w:p w:rsidR="000C0A41" w:rsidRPr="003924F3" w:rsidRDefault="000C0A41" w:rsidP="004276EA">
            <w:pPr>
              <w:jc w:val="center"/>
              <w:cnfStyle w:val="000000000000" w:firstRow="0" w:lastRow="0" w:firstColumn="0" w:lastColumn="0" w:oddVBand="0" w:evenVBand="0" w:oddHBand="0" w:evenHBand="0" w:firstRowFirstColumn="0" w:firstRowLastColumn="0" w:lastRowFirstColumn="0" w:lastRowLastColumn="0"/>
              <w:rPr>
                <w:lang w:val="en"/>
              </w:rPr>
            </w:pPr>
            <w:r w:rsidRPr="003924F3">
              <w:rPr>
                <w:lang w:val="en"/>
              </w:rPr>
              <w:t>Risk factor</w:t>
            </w:r>
          </w:p>
        </w:tc>
      </w:tr>
      <w:tr w:rsidR="000C0A41" w:rsidRPr="003924F3" w:rsidTr="00E42C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rsidR="000C0A41" w:rsidRPr="003924F3" w:rsidRDefault="000C0A41" w:rsidP="00035439">
            <w:pPr>
              <w:jc w:val="left"/>
              <w:rPr>
                <w:b w:val="0"/>
                <w:lang w:val="en"/>
              </w:rPr>
            </w:pPr>
            <w:r w:rsidRPr="003924F3">
              <w:rPr>
                <w:b w:val="0"/>
                <w:lang w:val="en"/>
              </w:rPr>
              <w:t>Ex-smoker</w:t>
            </w:r>
          </w:p>
        </w:tc>
        <w:tc>
          <w:tcPr>
            <w:tcW w:w="3969" w:type="dxa"/>
          </w:tcPr>
          <w:p w:rsidR="000C0A41" w:rsidRPr="003924F3" w:rsidRDefault="000C0A41" w:rsidP="007A6CA5">
            <w:pPr>
              <w:jc w:val="left"/>
              <w:cnfStyle w:val="000000100000" w:firstRow="0" w:lastRow="0" w:firstColumn="0" w:lastColumn="0" w:oddVBand="0" w:evenVBand="0" w:oddHBand="1" w:evenHBand="0" w:firstRowFirstColumn="0" w:firstRowLastColumn="0" w:lastRowFirstColumn="0" w:lastRowLastColumn="0"/>
              <w:rPr>
                <w:b/>
                <w:lang w:val="en"/>
              </w:rPr>
            </w:pPr>
            <w:r w:rsidRPr="003924F3">
              <w:rPr>
                <w:lang w:val="en"/>
              </w:rPr>
              <w:t xml:space="preserve">Pooled OR from SR and MA </w:t>
            </w:r>
            <w:r w:rsidRPr="003924F3">
              <w:rPr>
                <w:noProof/>
                <w:lang w:val="en"/>
              </w:rPr>
              <w:t>[69]</w:t>
            </w:r>
            <w:r w:rsidRPr="003924F3">
              <w:rPr>
                <w:lang w:val="en"/>
              </w:rPr>
              <w:t xml:space="preserve"> – incidence odds</w:t>
            </w:r>
          </w:p>
        </w:tc>
        <w:tc>
          <w:tcPr>
            <w:tcW w:w="1275" w:type="dxa"/>
          </w:tcPr>
          <w:p w:rsidR="000C0A41" w:rsidRPr="003924F3" w:rsidRDefault="000C0A41" w:rsidP="00035439">
            <w:pPr>
              <w:jc w:val="center"/>
              <w:cnfStyle w:val="000000100000" w:firstRow="0" w:lastRow="0" w:firstColumn="0" w:lastColumn="0" w:oddVBand="0" w:evenVBand="0" w:oddHBand="1" w:evenHBand="0" w:firstRowFirstColumn="0" w:firstRowLastColumn="0" w:lastRowFirstColumn="0" w:lastRowLastColumn="0"/>
              <w:rPr>
                <w:lang w:val="en"/>
              </w:rPr>
            </w:pPr>
            <w:r w:rsidRPr="003924F3">
              <w:rPr>
                <w:lang w:val="en"/>
              </w:rPr>
              <w:t>2.35</w:t>
            </w:r>
          </w:p>
        </w:tc>
        <w:tc>
          <w:tcPr>
            <w:tcW w:w="1276" w:type="dxa"/>
          </w:tcPr>
          <w:p w:rsidR="000C0A41" w:rsidRPr="003924F3" w:rsidRDefault="000C0A41" w:rsidP="00035439">
            <w:pPr>
              <w:jc w:val="center"/>
              <w:cnfStyle w:val="000000100000" w:firstRow="0" w:lastRow="0" w:firstColumn="0" w:lastColumn="0" w:oddVBand="0" w:evenVBand="0" w:oddHBand="1" w:evenHBand="0" w:firstRowFirstColumn="0" w:firstRowLastColumn="0" w:lastRowFirstColumn="0" w:lastRowLastColumn="0"/>
              <w:rPr>
                <w:lang w:val="en"/>
              </w:rPr>
            </w:pPr>
            <w:r w:rsidRPr="003924F3">
              <w:rPr>
                <w:lang w:val="en"/>
              </w:rPr>
              <w:t>2.11-2.63</w:t>
            </w:r>
          </w:p>
        </w:tc>
        <w:tc>
          <w:tcPr>
            <w:tcW w:w="1276" w:type="dxa"/>
          </w:tcPr>
          <w:p w:rsidR="000C0A41" w:rsidRPr="003924F3" w:rsidRDefault="000C0A41" w:rsidP="00035439">
            <w:pPr>
              <w:jc w:val="center"/>
              <w:cnfStyle w:val="000000100000" w:firstRow="0" w:lastRow="0" w:firstColumn="0" w:lastColumn="0" w:oddVBand="0" w:evenVBand="0" w:oddHBand="1" w:evenHBand="0" w:firstRowFirstColumn="0" w:firstRowLastColumn="0" w:lastRowFirstColumn="0" w:lastRowLastColumn="0"/>
              <w:rPr>
                <w:b/>
                <w:lang w:val="en"/>
              </w:rPr>
            </w:pPr>
            <w:r w:rsidRPr="003924F3">
              <w:rPr>
                <w:lang w:val="en"/>
              </w:rPr>
              <w:t>Risk factor</w:t>
            </w:r>
          </w:p>
        </w:tc>
      </w:tr>
      <w:tr w:rsidR="000C0A41" w:rsidRPr="003924F3" w:rsidTr="00E42C50">
        <w:trPr>
          <w:jc w:val="center"/>
        </w:trPr>
        <w:tc>
          <w:tcPr>
            <w:cnfStyle w:val="001000000000" w:firstRow="0" w:lastRow="0" w:firstColumn="1" w:lastColumn="0" w:oddVBand="0" w:evenVBand="0" w:oddHBand="0" w:evenHBand="0" w:firstRowFirstColumn="0" w:firstRowLastColumn="0" w:lastRowFirstColumn="0" w:lastRowLastColumn="0"/>
            <w:tcW w:w="2122" w:type="dxa"/>
          </w:tcPr>
          <w:p w:rsidR="000C0A41" w:rsidRPr="003924F3" w:rsidRDefault="000C0A41" w:rsidP="00035439">
            <w:pPr>
              <w:jc w:val="left"/>
              <w:rPr>
                <w:b w:val="0"/>
                <w:lang w:val="en"/>
              </w:rPr>
            </w:pPr>
            <w:r w:rsidRPr="003924F3">
              <w:rPr>
                <w:b w:val="0"/>
                <w:lang w:val="en"/>
              </w:rPr>
              <w:t>Current smoker</w:t>
            </w:r>
          </w:p>
        </w:tc>
        <w:tc>
          <w:tcPr>
            <w:tcW w:w="3969" w:type="dxa"/>
          </w:tcPr>
          <w:p w:rsidR="000C0A41" w:rsidRPr="003924F3" w:rsidRDefault="000C0A41" w:rsidP="007A6CA5">
            <w:pPr>
              <w:jc w:val="left"/>
              <w:cnfStyle w:val="000000000000" w:firstRow="0" w:lastRow="0" w:firstColumn="0" w:lastColumn="0" w:oddVBand="0" w:evenVBand="0" w:oddHBand="0" w:evenHBand="0" w:firstRowFirstColumn="0" w:firstRowLastColumn="0" w:lastRowFirstColumn="0" w:lastRowLastColumn="0"/>
              <w:rPr>
                <w:lang w:val="en"/>
              </w:rPr>
            </w:pPr>
            <w:r w:rsidRPr="003924F3">
              <w:rPr>
                <w:lang w:val="en"/>
              </w:rPr>
              <w:t xml:space="preserve">Pooled OR from SR and MA </w:t>
            </w:r>
            <w:r w:rsidRPr="003924F3">
              <w:rPr>
                <w:noProof/>
                <w:lang w:val="en"/>
              </w:rPr>
              <w:t>[69]</w:t>
            </w:r>
            <w:r w:rsidRPr="003924F3">
              <w:rPr>
                <w:lang w:val="en"/>
              </w:rPr>
              <w:t xml:space="preserve"> – incidence odds</w:t>
            </w:r>
          </w:p>
        </w:tc>
        <w:tc>
          <w:tcPr>
            <w:tcW w:w="1275" w:type="dxa"/>
          </w:tcPr>
          <w:p w:rsidR="000C0A41" w:rsidRPr="003924F3" w:rsidRDefault="000C0A41" w:rsidP="00035439">
            <w:pPr>
              <w:jc w:val="center"/>
              <w:cnfStyle w:val="000000000000" w:firstRow="0" w:lastRow="0" w:firstColumn="0" w:lastColumn="0" w:oddVBand="0" w:evenVBand="0" w:oddHBand="0" w:evenHBand="0" w:firstRowFirstColumn="0" w:firstRowLastColumn="0" w:lastRowFirstColumn="0" w:lastRowLastColumn="0"/>
              <w:rPr>
                <w:lang w:val="en"/>
              </w:rPr>
            </w:pPr>
            <w:r w:rsidRPr="003924F3">
              <w:rPr>
                <w:lang w:val="en"/>
              </w:rPr>
              <w:t>3.51</w:t>
            </w:r>
          </w:p>
        </w:tc>
        <w:tc>
          <w:tcPr>
            <w:tcW w:w="1276" w:type="dxa"/>
          </w:tcPr>
          <w:p w:rsidR="000C0A41" w:rsidRPr="003924F3" w:rsidRDefault="000C0A41" w:rsidP="00035439">
            <w:pPr>
              <w:jc w:val="center"/>
              <w:cnfStyle w:val="000000000000" w:firstRow="0" w:lastRow="0" w:firstColumn="0" w:lastColumn="0" w:oddVBand="0" w:evenVBand="0" w:oddHBand="0" w:evenHBand="0" w:firstRowFirstColumn="0" w:firstRowLastColumn="0" w:lastRowFirstColumn="0" w:lastRowLastColumn="0"/>
              <w:rPr>
                <w:lang w:val="en"/>
              </w:rPr>
            </w:pPr>
            <w:r w:rsidRPr="003924F3">
              <w:rPr>
                <w:lang w:val="en"/>
              </w:rPr>
              <w:t>3.08-3.99</w:t>
            </w:r>
          </w:p>
        </w:tc>
        <w:tc>
          <w:tcPr>
            <w:tcW w:w="1276" w:type="dxa"/>
          </w:tcPr>
          <w:p w:rsidR="000C0A41" w:rsidRPr="003924F3" w:rsidRDefault="000C0A41" w:rsidP="00035439">
            <w:pPr>
              <w:jc w:val="center"/>
              <w:cnfStyle w:val="000000000000" w:firstRow="0" w:lastRow="0" w:firstColumn="0" w:lastColumn="0" w:oddVBand="0" w:evenVBand="0" w:oddHBand="0" w:evenHBand="0" w:firstRowFirstColumn="0" w:firstRowLastColumn="0" w:lastRowFirstColumn="0" w:lastRowLastColumn="0"/>
              <w:rPr>
                <w:lang w:val="en"/>
              </w:rPr>
            </w:pPr>
            <w:r w:rsidRPr="003924F3">
              <w:rPr>
                <w:lang w:val="en"/>
              </w:rPr>
              <w:t>Risk factor</w:t>
            </w:r>
          </w:p>
        </w:tc>
      </w:tr>
      <w:tr w:rsidR="000C0A41" w:rsidRPr="003924F3" w:rsidTr="00E42C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rsidR="000C0A41" w:rsidRPr="003924F3" w:rsidRDefault="000C0A41" w:rsidP="00BD60B4">
            <w:pPr>
              <w:jc w:val="left"/>
              <w:rPr>
                <w:b w:val="0"/>
                <w:lang w:val="en"/>
              </w:rPr>
            </w:pPr>
            <w:r w:rsidRPr="003924F3">
              <w:rPr>
                <w:b w:val="0"/>
                <w:lang w:val="en"/>
              </w:rPr>
              <w:t xml:space="preserve">Current smoker </w:t>
            </w:r>
          </w:p>
        </w:tc>
        <w:tc>
          <w:tcPr>
            <w:tcW w:w="3969" w:type="dxa"/>
          </w:tcPr>
          <w:p w:rsidR="000C0A41" w:rsidRPr="003924F3" w:rsidRDefault="000C0A41" w:rsidP="007A6CA5">
            <w:pPr>
              <w:jc w:val="left"/>
              <w:cnfStyle w:val="000000100000" w:firstRow="0" w:lastRow="0" w:firstColumn="0" w:lastColumn="0" w:oddVBand="0" w:evenVBand="0" w:oddHBand="1" w:evenHBand="0" w:firstRowFirstColumn="0" w:firstRowLastColumn="0" w:lastRowFirstColumn="0" w:lastRowLastColumn="0"/>
            </w:pPr>
            <w:r w:rsidRPr="003924F3">
              <w:t xml:space="preserve">Pooled OR from </w:t>
            </w:r>
            <w:r w:rsidRPr="003924F3">
              <w:rPr>
                <w:noProof/>
              </w:rPr>
              <w:t>[70]</w:t>
            </w:r>
            <w:r w:rsidRPr="003924F3">
              <w:t xml:space="preserve"> (BOLD study) – prevalence odds</w:t>
            </w:r>
          </w:p>
        </w:tc>
        <w:tc>
          <w:tcPr>
            <w:tcW w:w="1275" w:type="dxa"/>
          </w:tcPr>
          <w:p w:rsidR="000C0A41" w:rsidRPr="003924F3" w:rsidRDefault="000C0A41" w:rsidP="00BD60B4">
            <w:pPr>
              <w:jc w:val="center"/>
              <w:cnfStyle w:val="000000100000" w:firstRow="0" w:lastRow="0" w:firstColumn="0" w:lastColumn="0" w:oddVBand="0" w:evenVBand="0" w:oddHBand="1" w:evenHBand="0" w:firstRowFirstColumn="0" w:firstRowLastColumn="0" w:lastRowFirstColumn="0" w:lastRowLastColumn="0"/>
              <w:rPr>
                <w:lang w:val="en"/>
              </w:rPr>
            </w:pPr>
            <w:r w:rsidRPr="003924F3">
              <w:rPr>
                <w:lang w:val="en"/>
              </w:rPr>
              <w:t>1.34</w:t>
            </w:r>
          </w:p>
        </w:tc>
        <w:tc>
          <w:tcPr>
            <w:tcW w:w="1276" w:type="dxa"/>
          </w:tcPr>
          <w:p w:rsidR="000C0A41" w:rsidRPr="003924F3" w:rsidRDefault="000C0A41" w:rsidP="00BD60B4">
            <w:pPr>
              <w:jc w:val="center"/>
              <w:cnfStyle w:val="000000100000" w:firstRow="0" w:lastRow="0" w:firstColumn="0" w:lastColumn="0" w:oddVBand="0" w:evenVBand="0" w:oddHBand="1" w:evenHBand="0" w:firstRowFirstColumn="0" w:firstRowLastColumn="0" w:lastRowFirstColumn="0" w:lastRowLastColumn="0"/>
              <w:rPr>
                <w:lang w:val="en"/>
              </w:rPr>
            </w:pPr>
            <w:r w:rsidRPr="003924F3">
              <w:rPr>
                <w:lang w:val="en"/>
              </w:rPr>
              <w:t>1.12-1.61</w:t>
            </w:r>
          </w:p>
        </w:tc>
        <w:tc>
          <w:tcPr>
            <w:tcW w:w="1276" w:type="dxa"/>
          </w:tcPr>
          <w:p w:rsidR="000C0A41" w:rsidRPr="003924F3" w:rsidRDefault="000C0A41" w:rsidP="00BD60B4">
            <w:pPr>
              <w:jc w:val="center"/>
              <w:cnfStyle w:val="000000100000" w:firstRow="0" w:lastRow="0" w:firstColumn="0" w:lastColumn="0" w:oddVBand="0" w:evenVBand="0" w:oddHBand="1" w:evenHBand="0" w:firstRowFirstColumn="0" w:firstRowLastColumn="0" w:lastRowFirstColumn="0" w:lastRowLastColumn="0"/>
              <w:rPr>
                <w:lang w:val="en"/>
              </w:rPr>
            </w:pPr>
            <w:r w:rsidRPr="003924F3">
              <w:rPr>
                <w:lang w:val="en"/>
              </w:rPr>
              <w:t>Risk factor</w:t>
            </w:r>
          </w:p>
        </w:tc>
      </w:tr>
      <w:tr w:rsidR="000C0A41" w:rsidRPr="003924F3" w:rsidTr="00E42C50">
        <w:trPr>
          <w:jc w:val="center"/>
        </w:trPr>
        <w:tc>
          <w:tcPr>
            <w:cnfStyle w:val="001000000000" w:firstRow="0" w:lastRow="0" w:firstColumn="1" w:lastColumn="0" w:oddVBand="0" w:evenVBand="0" w:oddHBand="0" w:evenHBand="0" w:firstRowFirstColumn="0" w:firstRowLastColumn="0" w:lastRowFirstColumn="0" w:lastRowLastColumn="0"/>
            <w:tcW w:w="2122" w:type="dxa"/>
          </w:tcPr>
          <w:p w:rsidR="000C0A41" w:rsidRPr="003924F3" w:rsidRDefault="000C0A41" w:rsidP="00BD60B4">
            <w:pPr>
              <w:jc w:val="left"/>
              <w:rPr>
                <w:b w:val="0"/>
                <w:lang w:val="en"/>
              </w:rPr>
            </w:pPr>
            <w:r w:rsidRPr="003924F3">
              <w:rPr>
                <w:b w:val="0"/>
                <w:lang w:val="en"/>
              </w:rPr>
              <w:t>Passive smoking</w:t>
            </w:r>
          </w:p>
        </w:tc>
        <w:tc>
          <w:tcPr>
            <w:tcW w:w="3969" w:type="dxa"/>
          </w:tcPr>
          <w:p w:rsidR="000C0A41" w:rsidRPr="003924F3" w:rsidRDefault="000C0A41" w:rsidP="007A6CA5">
            <w:pPr>
              <w:jc w:val="left"/>
              <w:cnfStyle w:val="000000000000" w:firstRow="0" w:lastRow="0" w:firstColumn="0" w:lastColumn="0" w:oddVBand="0" w:evenVBand="0" w:oddHBand="0" w:evenHBand="0" w:firstRowFirstColumn="0" w:firstRowLastColumn="0" w:lastRowFirstColumn="0" w:lastRowLastColumn="0"/>
            </w:pPr>
            <w:r w:rsidRPr="003924F3">
              <w:t xml:space="preserve">Pooled OR from </w:t>
            </w:r>
            <w:r w:rsidRPr="003924F3">
              <w:rPr>
                <w:noProof/>
              </w:rPr>
              <w:t>[70]</w:t>
            </w:r>
            <w:r w:rsidRPr="003924F3">
              <w:t xml:space="preserve"> (BOLD study) – prevalence odds</w:t>
            </w:r>
          </w:p>
        </w:tc>
        <w:tc>
          <w:tcPr>
            <w:tcW w:w="1275" w:type="dxa"/>
          </w:tcPr>
          <w:p w:rsidR="000C0A41" w:rsidRPr="003924F3" w:rsidRDefault="000C0A41" w:rsidP="00BD60B4">
            <w:pPr>
              <w:jc w:val="center"/>
              <w:cnfStyle w:val="000000000000" w:firstRow="0" w:lastRow="0" w:firstColumn="0" w:lastColumn="0" w:oddVBand="0" w:evenVBand="0" w:oddHBand="0" w:evenHBand="0" w:firstRowFirstColumn="0" w:firstRowLastColumn="0" w:lastRowFirstColumn="0" w:lastRowLastColumn="0"/>
              <w:rPr>
                <w:lang w:val="en"/>
              </w:rPr>
            </w:pPr>
            <w:r w:rsidRPr="003924F3">
              <w:rPr>
                <w:lang w:val="en"/>
              </w:rPr>
              <w:t>1.22</w:t>
            </w:r>
          </w:p>
        </w:tc>
        <w:tc>
          <w:tcPr>
            <w:tcW w:w="1276" w:type="dxa"/>
          </w:tcPr>
          <w:p w:rsidR="000C0A41" w:rsidRPr="003924F3" w:rsidRDefault="000C0A41" w:rsidP="00BD60B4">
            <w:pPr>
              <w:jc w:val="center"/>
              <w:cnfStyle w:val="000000000000" w:firstRow="0" w:lastRow="0" w:firstColumn="0" w:lastColumn="0" w:oddVBand="0" w:evenVBand="0" w:oddHBand="0" w:evenHBand="0" w:firstRowFirstColumn="0" w:firstRowLastColumn="0" w:lastRowFirstColumn="0" w:lastRowLastColumn="0"/>
              <w:rPr>
                <w:lang w:val="en"/>
              </w:rPr>
            </w:pPr>
            <w:r w:rsidRPr="003924F3">
              <w:rPr>
                <w:lang w:val="en"/>
              </w:rPr>
              <w:t>1.06-1.41</w:t>
            </w:r>
          </w:p>
        </w:tc>
        <w:tc>
          <w:tcPr>
            <w:tcW w:w="1276" w:type="dxa"/>
          </w:tcPr>
          <w:p w:rsidR="000C0A41" w:rsidRPr="003924F3" w:rsidRDefault="000C0A41" w:rsidP="00BD60B4">
            <w:pPr>
              <w:jc w:val="center"/>
              <w:cnfStyle w:val="000000000000" w:firstRow="0" w:lastRow="0" w:firstColumn="0" w:lastColumn="0" w:oddVBand="0" w:evenVBand="0" w:oddHBand="0" w:evenHBand="0" w:firstRowFirstColumn="0" w:firstRowLastColumn="0" w:lastRowFirstColumn="0" w:lastRowLastColumn="0"/>
              <w:rPr>
                <w:lang w:val="en"/>
              </w:rPr>
            </w:pPr>
            <w:r w:rsidRPr="003924F3">
              <w:rPr>
                <w:lang w:val="en"/>
              </w:rPr>
              <w:t>Risk factor</w:t>
            </w:r>
          </w:p>
        </w:tc>
      </w:tr>
      <w:tr w:rsidR="000C0A41" w:rsidRPr="003924F3" w:rsidTr="00E42C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rsidR="000C0A41" w:rsidRPr="003924F3" w:rsidRDefault="000C0A41" w:rsidP="00BD60B4">
            <w:pPr>
              <w:jc w:val="left"/>
              <w:rPr>
                <w:b w:val="0"/>
                <w:lang w:val="en"/>
              </w:rPr>
            </w:pPr>
            <w:r w:rsidRPr="003924F3">
              <w:rPr>
                <w:lang w:val="en"/>
              </w:rPr>
              <w:t>Smoking pack years?</w:t>
            </w:r>
          </w:p>
        </w:tc>
        <w:tc>
          <w:tcPr>
            <w:tcW w:w="3969" w:type="dxa"/>
          </w:tcPr>
          <w:p w:rsidR="000C0A41" w:rsidRPr="003924F3" w:rsidRDefault="000C0A41" w:rsidP="00BD60B4">
            <w:pPr>
              <w:jc w:val="left"/>
              <w:cnfStyle w:val="000000100000" w:firstRow="0" w:lastRow="0" w:firstColumn="0" w:lastColumn="0" w:oddVBand="0" w:evenVBand="0" w:oddHBand="1" w:evenHBand="0" w:firstRowFirstColumn="0" w:firstRowLastColumn="0" w:lastRowFirstColumn="0" w:lastRowLastColumn="0"/>
            </w:pPr>
          </w:p>
        </w:tc>
        <w:tc>
          <w:tcPr>
            <w:tcW w:w="1275" w:type="dxa"/>
          </w:tcPr>
          <w:p w:rsidR="000C0A41" w:rsidRPr="003924F3" w:rsidRDefault="000C0A41" w:rsidP="00BD60B4">
            <w:pPr>
              <w:jc w:val="center"/>
              <w:cnfStyle w:val="000000100000" w:firstRow="0" w:lastRow="0" w:firstColumn="0" w:lastColumn="0" w:oddVBand="0" w:evenVBand="0" w:oddHBand="1" w:evenHBand="0" w:firstRowFirstColumn="0" w:firstRowLastColumn="0" w:lastRowFirstColumn="0" w:lastRowLastColumn="0"/>
              <w:rPr>
                <w:lang w:val="en"/>
              </w:rPr>
            </w:pPr>
          </w:p>
        </w:tc>
        <w:tc>
          <w:tcPr>
            <w:tcW w:w="1276" w:type="dxa"/>
          </w:tcPr>
          <w:p w:rsidR="000C0A41" w:rsidRPr="003924F3" w:rsidRDefault="000C0A41" w:rsidP="00BD60B4">
            <w:pPr>
              <w:jc w:val="center"/>
              <w:cnfStyle w:val="000000100000" w:firstRow="0" w:lastRow="0" w:firstColumn="0" w:lastColumn="0" w:oddVBand="0" w:evenVBand="0" w:oddHBand="1" w:evenHBand="0" w:firstRowFirstColumn="0" w:firstRowLastColumn="0" w:lastRowFirstColumn="0" w:lastRowLastColumn="0"/>
              <w:rPr>
                <w:lang w:val="en"/>
              </w:rPr>
            </w:pPr>
          </w:p>
        </w:tc>
        <w:tc>
          <w:tcPr>
            <w:tcW w:w="1276" w:type="dxa"/>
          </w:tcPr>
          <w:p w:rsidR="000C0A41" w:rsidRPr="003924F3" w:rsidRDefault="000C0A41" w:rsidP="00BD60B4">
            <w:pPr>
              <w:jc w:val="center"/>
              <w:cnfStyle w:val="000000100000" w:firstRow="0" w:lastRow="0" w:firstColumn="0" w:lastColumn="0" w:oddVBand="0" w:evenVBand="0" w:oddHBand="1" w:evenHBand="0" w:firstRowFirstColumn="0" w:firstRowLastColumn="0" w:lastRowFirstColumn="0" w:lastRowLastColumn="0"/>
              <w:rPr>
                <w:lang w:val="en"/>
              </w:rPr>
            </w:pPr>
          </w:p>
        </w:tc>
      </w:tr>
      <w:tr w:rsidR="000C0A41" w:rsidRPr="003924F3" w:rsidTr="00E42C50">
        <w:trPr>
          <w:trHeight w:val="82"/>
          <w:jc w:val="center"/>
        </w:trPr>
        <w:tc>
          <w:tcPr>
            <w:cnfStyle w:val="001000000000" w:firstRow="0" w:lastRow="0" w:firstColumn="1" w:lastColumn="0" w:oddVBand="0" w:evenVBand="0" w:oddHBand="0" w:evenHBand="0" w:firstRowFirstColumn="0" w:firstRowLastColumn="0" w:lastRowFirstColumn="0" w:lastRowLastColumn="0"/>
            <w:tcW w:w="2122" w:type="dxa"/>
          </w:tcPr>
          <w:p w:rsidR="000C0A41" w:rsidRPr="003924F3" w:rsidRDefault="000C0A41" w:rsidP="001E4AAB">
            <w:pPr>
              <w:jc w:val="left"/>
              <w:rPr>
                <w:b w:val="0"/>
                <w:lang w:val="en"/>
              </w:rPr>
            </w:pPr>
            <w:r w:rsidRPr="003924F3">
              <w:rPr>
                <w:lang w:val="en"/>
              </w:rPr>
              <w:t>Age</w:t>
            </w:r>
          </w:p>
        </w:tc>
        <w:tc>
          <w:tcPr>
            <w:tcW w:w="3969" w:type="dxa"/>
          </w:tcPr>
          <w:p w:rsidR="000C0A41" w:rsidRPr="003924F3" w:rsidRDefault="000C0A41" w:rsidP="001E4AAB">
            <w:pPr>
              <w:jc w:val="left"/>
              <w:cnfStyle w:val="000000000000" w:firstRow="0" w:lastRow="0" w:firstColumn="0" w:lastColumn="0" w:oddVBand="0" w:evenVBand="0" w:oddHBand="0" w:evenHBand="0" w:firstRowFirstColumn="0" w:firstRowLastColumn="0" w:lastRowFirstColumn="0" w:lastRowLastColumn="0"/>
            </w:pPr>
          </w:p>
        </w:tc>
        <w:tc>
          <w:tcPr>
            <w:tcW w:w="1275" w:type="dxa"/>
          </w:tcPr>
          <w:p w:rsidR="000C0A41" w:rsidRPr="003924F3" w:rsidRDefault="000C0A41" w:rsidP="001E4AAB">
            <w:pPr>
              <w:jc w:val="center"/>
              <w:cnfStyle w:val="000000000000" w:firstRow="0" w:lastRow="0" w:firstColumn="0" w:lastColumn="0" w:oddVBand="0" w:evenVBand="0" w:oddHBand="0" w:evenHBand="0" w:firstRowFirstColumn="0" w:firstRowLastColumn="0" w:lastRowFirstColumn="0" w:lastRowLastColumn="0"/>
              <w:rPr>
                <w:lang w:val="en"/>
              </w:rPr>
            </w:pPr>
          </w:p>
        </w:tc>
        <w:tc>
          <w:tcPr>
            <w:tcW w:w="1276" w:type="dxa"/>
          </w:tcPr>
          <w:p w:rsidR="000C0A41" w:rsidRPr="003924F3" w:rsidRDefault="000C0A41" w:rsidP="001E4AAB">
            <w:pPr>
              <w:jc w:val="center"/>
              <w:cnfStyle w:val="000000000000" w:firstRow="0" w:lastRow="0" w:firstColumn="0" w:lastColumn="0" w:oddVBand="0" w:evenVBand="0" w:oddHBand="0" w:evenHBand="0" w:firstRowFirstColumn="0" w:firstRowLastColumn="0" w:lastRowFirstColumn="0" w:lastRowLastColumn="0"/>
              <w:rPr>
                <w:lang w:val="en"/>
              </w:rPr>
            </w:pPr>
          </w:p>
        </w:tc>
        <w:tc>
          <w:tcPr>
            <w:tcW w:w="1276" w:type="dxa"/>
          </w:tcPr>
          <w:p w:rsidR="000C0A41" w:rsidRPr="003924F3" w:rsidRDefault="000C0A41" w:rsidP="001E4AAB">
            <w:pPr>
              <w:jc w:val="center"/>
              <w:cnfStyle w:val="000000000000" w:firstRow="0" w:lastRow="0" w:firstColumn="0" w:lastColumn="0" w:oddVBand="0" w:evenVBand="0" w:oddHBand="0" w:evenHBand="0" w:firstRowFirstColumn="0" w:firstRowLastColumn="0" w:lastRowFirstColumn="0" w:lastRowLastColumn="0"/>
              <w:rPr>
                <w:lang w:val="en"/>
              </w:rPr>
            </w:pPr>
          </w:p>
        </w:tc>
      </w:tr>
      <w:tr w:rsidR="000C0A41" w:rsidRPr="003924F3" w:rsidTr="00E42C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rsidR="000C0A41" w:rsidRPr="003924F3" w:rsidRDefault="000C0A41" w:rsidP="001E4AAB">
            <w:pPr>
              <w:jc w:val="left"/>
              <w:rPr>
                <w:b w:val="0"/>
                <w:lang w:val="en"/>
              </w:rPr>
            </w:pPr>
            <w:r w:rsidRPr="003924F3">
              <w:rPr>
                <w:b w:val="0"/>
                <w:lang w:val="en"/>
              </w:rPr>
              <w:t>40-59</w:t>
            </w:r>
          </w:p>
        </w:tc>
        <w:tc>
          <w:tcPr>
            <w:tcW w:w="3969" w:type="dxa"/>
          </w:tcPr>
          <w:p w:rsidR="000C0A41" w:rsidRPr="003924F3" w:rsidRDefault="000C0A41" w:rsidP="001E4AAB">
            <w:pPr>
              <w:jc w:val="left"/>
              <w:cnfStyle w:val="000000100000" w:firstRow="0" w:lastRow="0" w:firstColumn="0" w:lastColumn="0" w:oddVBand="0" w:evenVBand="0" w:oddHBand="1" w:evenHBand="0" w:firstRowFirstColumn="0" w:firstRowLastColumn="0" w:lastRowFirstColumn="0" w:lastRowLastColumn="0"/>
            </w:pPr>
          </w:p>
        </w:tc>
        <w:tc>
          <w:tcPr>
            <w:tcW w:w="1275" w:type="dxa"/>
          </w:tcPr>
          <w:p w:rsidR="000C0A41" w:rsidRPr="003924F3" w:rsidRDefault="000C0A41" w:rsidP="001E4AAB">
            <w:pPr>
              <w:jc w:val="center"/>
              <w:cnfStyle w:val="000000100000" w:firstRow="0" w:lastRow="0" w:firstColumn="0" w:lastColumn="0" w:oddVBand="0" w:evenVBand="0" w:oddHBand="1" w:evenHBand="0" w:firstRowFirstColumn="0" w:firstRowLastColumn="0" w:lastRowFirstColumn="0" w:lastRowLastColumn="0"/>
              <w:rPr>
                <w:lang w:val="en"/>
              </w:rPr>
            </w:pPr>
            <w:r w:rsidRPr="003924F3">
              <w:rPr>
                <w:lang w:val="en"/>
              </w:rPr>
              <w:t>1</w:t>
            </w:r>
          </w:p>
        </w:tc>
        <w:tc>
          <w:tcPr>
            <w:tcW w:w="1276" w:type="dxa"/>
          </w:tcPr>
          <w:p w:rsidR="000C0A41" w:rsidRPr="003924F3" w:rsidRDefault="000C0A41" w:rsidP="001E4AAB">
            <w:pPr>
              <w:jc w:val="center"/>
              <w:cnfStyle w:val="000000100000" w:firstRow="0" w:lastRow="0" w:firstColumn="0" w:lastColumn="0" w:oddVBand="0" w:evenVBand="0" w:oddHBand="1" w:evenHBand="0" w:firstRowFirstColumn="0" w:firstRowLastColumn="0" w:lastRowFirstColumn="0" w:lastRowLastColumn="0"/>
              <w:rPr>
                <w:lang w:val="en"/>
              </w:rPr>
            </w:pPr>
          </w:p>
        </w:tc>
        <w:tc>
          <w:tcPr>
            <w:tcW w:w="1276" w:type="dxa"/>
          </w:tcPr>
          <w:p w:rsidR="000C0A41" w:rsidRPr="003924F3" w:rsidRDefault="000C0A41" w:rsidP="001E4AAB">
            <w:pPr>
              <w:jc w:val="center"/>
              <w:cnfStyle w:val="000000100000" w:firstRow="0" w:lastRow="0" w:firstColumn="0" w:lastColumn="0" w:oddVBand="0" w:evenVBand="0" w:oddHBand="1" w:evenHBand="0" w:firstRowFirstColumn="0" w:firstRowLastColumn="0" w:lastRowFirstColumn="0" w:lastRowLastColumn="0"/>
              <w:rPr>
                <w:lang w:val="en"/>
              </w:rPr>
            </w:pPr>
          </w:p>
        </w:tc>
      </w:tr>
      <w:tr w:rsidR="000C0A41" w:rsidRPr="003924F3" w:rsidTr="00E42C50">
        <w:trPr>
          <w:jc w:val="center"/>
        </w:trPr>
        <w:tc>
          <w:tcPr>
            <w:cnfStyle w:val="001000000000" w:firstRow="0" w:lastRow="0" w:firstColumn="1" w:lastColumn="0" w:oddVBand="0" w:evenVBand="0" w:oddHBand="0" w:evenHBand="0" w:firstRowFirstColumn="0" w:firstRowLastColumn="0" w:lastRowFirstColumn="0" w:lastRowLastColumn="0"/>
            <w:tcW w:w="2122" w:type="dxa"/>
          </w:tcPr>
          <w:p w:rsidR="000C0A41" w:rsidRPr="003924F3" w:rsidRDefault="000C0A41" w:rsidP="001E4AAB">
            <w:pPr>
              <w:jc w:val="left"/>
              <w:rPr>
                <w:lang w:val="en"/>
              </w:rPr>
            </w:pPr>
            <w:r w:rsidRPr="003924F3">
              <w:rPr>
                <w:b w:val="0"/>
                <w:lang w:val="en"/>
              </w:rPr>
              <w:t>60-69</w:t>
            </w:r>
          </w:p>
        </w:tc>
        <w:tc>
          <w:tcPr>
            <w:tcW w:w="3969" w:type="dxa"/>
            <w:vMerge w:val="restart"/>
          </w:tcPr>
          <w:p w:rsidR="000C0A41" w:rsidRPr="003924F3" w:rsidRDefault="000C0A41" w:rsidP="007A6CA5">
            <w:pPr>
              <w:jc w:val="left"/>
              <w:cnfStyle w:val="000000000000" w:firstRow="0" w:lastRow="0" w:firstColumn="0" w:lastColumn="0" w:oddVBand="0" w:evenVBand="0" w:oddHBand="0" w:evenHBand="0" w:firstRowFirstColumn="0" w:firstRowLastColumn="0" w:lastRowFirstColumn="0" w:lastRowLastColumn="0"/>
            </w:pPr>
            <w:r w:rsidRPr="003924F3">
              <w:t xml:space="preserve">Adjusted HR from </w:t>
            </w:r>
            <w:r>
              <w:rPr>
                <w:noProof/>
              </w:rPr>
              <w:t>[44]</w:t>
            </w:r>
          </w:p>
        </w:tc>
        <w:tc>
          <w:tcPr>
            <w:tcW w:w="1275" w:type="dxa"/>
          </w:tcPr>
          <w:p w:rsidR="000C0A41" w:rsidRPr="003924F3" w:rsidRDefault="000C0A41" w:rsidP="001E4AAB">
            <w:pPr>
              <w:jc w:val="center"/>
              <w:cnfStyle w:val="000000000000" w:firstRow="0" w:lastRow="0" w:firstColumn="0" w:lastColumn="0" w:oddVBand="0" w:evenVBand="0" w:oddHBand="0" w:evenHBand="0" w:firstRowFirstColumn="0" w:firstRowLastColumn="0" w:lastRowFirstColumn="0" w:lastRowLastColumn="0"/>
              <w:rPr>
                <w:lang w:val="en"/>
              </w:rPr>
            </w:pPr>
            <w:r w:rsidRPr="003924F3">
              <w:rPr>
                <w:lang w:val="en"/>
              </w:rPr>
              <w:t>3.67</w:t>
            </w:r>
          </w:p>
        </w:tc>
        <w:tc>
          <w:tcPr>
            <w:tcW w:w="1276" w:type="dxa"/>
          </w:tcPr>
          <w:p w:rsidR="000C0A41" w:rsidRPr="003924F3" w:rsidRDefault="000C0A41" w:rsidP="001E4AAB">
            <w:pPr>
              <w:jc w:val="center"/>
              <w:cnfStyle w:val="000000000000" w:firstRow="0" w:lastRow="0" w:firstColumn="0" w:lastColumn="0" w:oddVBand="0" w:evenVBand="0" w:oddHBand="0" w:evenHBand="0" w:firstRowFirstColumn="0" w:firstRowLastColumn="0" w:lastRowFirstColumn="0" w:lastRowLastColumn="0"/>
              <w:rPr>
                <w:lang w:val="en"/>
              </w:rPr>
            </w:pPr>
            <w:r w:rsidRPr="003924F3">
              <w:rPr>
                <w:lang w:val="en"/>
              </w:rPr>
              <w:t>3.23-4.17</w:t>
            </w:r>
          </w:p>
        </w:tc>
        <w:tc>
          <w:tcPr>
            <w:tcW w:w="1276" w:type="dxa"/>
          </w:tcPr>
          <w:p w:rsidR="000C0A41" w:rsidRPr="003924F3" w:rsidRDefault="000C0A41" w:rsidP="001E4AAB">
            <w:pPr>
              <w:jc w:val="center"/>
              <w:cnfStyle w:val="000000000000" w:firstRow="0" w:lastRow="0" w:firstColumn="0" w:lastColumn="0" w:oddVBand="0" w:evenVBand="0" w:oddHBand="0" w:evenHBand="0" w:firstRowFirstColumn="0" w:firstRowLastColumn="0" w:lastRowFirstColumn="0" w:lastRowLastColumn="0"/>
              <w:rPr>
                <w:lang w:val="en"/>
              </w:rPr>
            </w:pPr>
            <w:r w:rsidRPr="003924F3">
              <w:rPr>
                <w:lang w:val="en"/>
              </w:rPr>
              <w:t>Risk factor</w:t>
            </w:r>
          </w:p>
        </w:tc>
      </w:tr>
      <w:tr w:rsidR="000C0A41" w:rsidRPr="003924F3" w:rsidTr="00E42C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rsidR="000C0A41" w:rsidRPr="003924F3" w:rsidRDefault="000C0A41" w:rsidP="001E4AAB">
            <w:pPr>
              <w:jc w:val="left"/>
              <w:rPr>
                <w:lang w:val="en"/>
              </w:rPr>
            </w:pPr>
            <w:r w:rsidRPr="003924F3">
              <w:rPr>
                <w:b w:val="0"/>
                <w:lang w:val="en"/>
              </w:rPr>
              <w:t>≥70</w:t>
            </w:r>
          </w:p>
        </w:tc>
        <w:tc>
          <w:tcPr>
            <w:tcW w:w="3969" w:type="dxa"/>
            <w:vMerge/>
          </w:tcPr>
          <w:p w:rsidR="000C0A41" w:rsidRPr="003924F3" w:rsidRDefault="000C0A41" w:rsidP="001E4AAB">
            <w:pPr>
              <w:jc w:val="left"/>
              <w:cnfStyle w:val="000000100000" w:firstRow="0" w:lastRow="0" w:firstColumn="0" w:lastColumn="0" w:oddVBand="0" w:evenVBand="0" w:oddHBand="1" w:evenHBand="0" w:firstRowFirstColumn="0" w:firstRowLastColumn="0" w:lastRowFirstColumn="0" w:lastRowLastColumn="0"/>
              <w:rPr>
                <w:lang w:val="en"/>
              </w:rPr>
            </w:pPr>
          </w:p>
        </w:tc>
        <w:tc>
          <w:tcPr>
            <w:tcW w:w="1275" w:type="dxa"/>
          </w:tcPr>
          <w:p w:rsidR="000C0A41" w:rsidRPr="003924F3" w:rsidRDefault="000C0A41" w:rsidP="001E4AAB">
            <w:pPr>
              <w:jc w:val="center"/>
              <w:cnfStyle w:val="000000100000" w:firstRow="0" w:lastRow="0" w:firstColumn="0" w:lastColumn="0" w:oddVBand="0" w:evenVBand="0" w:oddHBand="1" w:evenHBand="0" w:firstRowFirstColumn="0" w:firstRowLastColumn="0" w:lastRowFirstColumn="0" w:lastRowLastColumn="0"/>
              <w:rPr>
                <w:lang w:val="en"/>
              </w:rPr>
            </w:pPr>
            <w:r w:rsidRPr="003924F3">
              <w:rPr>
                <w:lang w:val="en"/>
              </w:rPr>
              <w:t>8.55</w:t>
            </w:r>
          </w:p>
        </w:tc>
        <w:tc>
          <w:tcPr>
            <w:tcW w:w="1276" w:type="dxa"/>
          </w:tcPr>
          <w:p w:rsidR="000C0A41" w:rsidRPr="003924F3" w:rsidRDefault="000C0A41" w:rsidP="001E4AAB">
            <w:pPr>
              <w:jc w:val="center"/>
              <w:cnfStyle w:val="000000100000" w:firstRow="0" w:lastRow="0" w:firstColumn="0" w:lastColumn="0" w:oddVBand="0" w:evenVBand="0" w:oddHBand="1" w:evenHBand="0" w:firstRowFirstColumn="0" w:firstRowLastColumn="0" w:lastRowFirstColumn="0" w:lastRowLastColumn="0"/>
              <w:rPr>
                <w:lang w:val="en"/>
              </w:rPr>
            </w:pPr>
            <w:r w:rsidRPr="003924F3">
              <w:rPr>
                <w:lang w:val="en"/>
              </w:rPr>
              <w:t>7.58-9.65</w:t>
            </w:r>
          </w:p>
        </w:tc>
        <w:tc>
          <w:tcPr>
            <w:tcW w:w="1276" w:type="dxa"/>
          </w:tcPr>
          <w:p w:rsidR="000C0A41" w:rsidRPr="003924F3" w:rsidRDefault="000C0A41" w:rsidP="001E4AAB">
            <w:pPr>
              <w:jc w:val="center"/>
              <w:cnfStyle w:val="000000100000" w:firstRow="0" w:lastRow="0" w:firstColumn="0" w:lastColumn="0" w:oddVBand="0" w:evenVBand="0" w:oddHBand="1" w:evenHBand="0" w:firstRowFirstColumn="0" w:firstRowLastColumn="0" w:lastRowFirstColumn="0" w:lastRowLastColumn="0"/>
              <w:rPr>
                <w:lang w:val="en"/>
              </w:rPr>
            </w:pPr>
            <w:r w:rsidRPr="003924F3">
              <w:rPr>
                <w:lang w:val="en"/>
              </w:rPr>
              <w:t>Risk factor</w:t>
            </w:r>
          </w:p>
        </w:tc>
      </w:tr>
      <w:tr w:rsidR="000C0A41" w:rsidRPr="003924F3" w:rsidTr="00E42C50">
        <w:trPr>
          <w:jc w:val="center"/>
        </w:trPr>
        <w:tc>
          <w:tcPr>
            <w:cnfStyle w:val="001000000000" w:firstRow="0" w:lastRow="0" w:firstColumn="1" w:lastColumn="0" w:oddVBand="0" w:evenVBand="0" w:oddHBand="0" w:evenHBand="0" w:firstRowFirstColumn="0" w:firstRowLastColumn="0" w:lastRowFirstColumn="0" w:lastRowLastColumn="0"/>
            <w:tcW w:w="2122" w:type="dxa"/>
          </w:tcPr>
          <w:p w:rsidR="000C0A41" w:rsidRPr="003924F3" w:rsidRDefault="000C0A41" w:rsidP="001E4AAB">
            <w:pPr>
              <w:jc w:val="left"/>
              <w:rPr>
                <w:b w:val="0"/>
                <w:lang w:val="en"/>
              </w:rPr>
            </w:pPr>
            <w:r w:rsidRPr="003924F3">
              <w:rPr>
                <w:b w:val="0"/>
                <w:lang w:val="en"/>
              </w:rPr>
              <w:t>Per 10-year difference</w:t>
            </w:r>
          </w:p>
        </w:tc>
        <w:tc>
          <w:tcPr>
            <w:tcW w:w="3969" w:type="dxa"/>
          </w:tcPr>
          <w:p w:rsidR="000C0A41" w:rsidRPr="003924F3" w:rsidRDefault="000C0A41" w:rsidP="007A6CA5">
            <w:pPr>
              <w:jc w:val="left"/>
              <w:cnfStyle w:val="000000000000" w:firstRow="0" w:lastRow="0" w:firstColumn="0" w:lastColumn="0" w:oddVBand="0" w:evenVBand="0" w:oddHBand="0" w:evenHBand="0" w:firstRowFirstColumn="0" w:firstRowLastColumn="0" w:lastRowFirstColumn="0" w:lastRowLastColumn="0"/>
            </w:pPr>
            <w:r w:rsidRPr="003924F3">
              <w:t xml:space="preserve">Pooled OR from </w:t>
            </w:r>
            <w:r w:rsidRPr="003924F3">
              <w:rPr>
                <w:noProof/>
              </w:rPr>
              <w:t>[70]</w:t>
            </w:r>
            <w:r w:rsidRPr="003924F3">
              <w:t xml:space="preserve"> (BOLD study) – prevalence odds</w:t>
            </w:r>
          </w:p>
        </w:tc>
        <w:tc>
          <w:tcPr>
            <w:tcW w:w="1275" w:type="dxa"/>
          </w:tcPr>
          <w:p w:rsidR="000C0A41" w:rsidRPr="003924F3" w:rsidRDefault="000C0A41" w:rsidP="001E4AAB">
            <w:pPr>
              <w:jc w:val="center"/>
              <w:cnfStyle w:val="000000000000" w:firstRow="0" w:lastRow="0" w:firstColumn="0" w:lastColumn="0" w:oddVBand="0" w:evenVBand="0" w:oddHBand="0" w:evenHBand="0" w:firstRowFirstColumn="0" w:firstRowLastColumn="0" w:lastRowFirstColumn="0" w:lastRowLastColumn="0"/>
              <w:rPr>
                <w:lang w:val="en"/>
              </w:rPr>
            </w:pPr>
            <w:r w:rsidRPr="003924F3">
              <w:rPr>
                <w:lang w:val="en"/>
              </w:rPr>
              <w:t>1.52</w:t>
            </w:r>
          </w:p>
        </w:tc>
        <w:tc>
          <w:tcPr>
            <w:tcW w:w="1276" w:type="dxa"/>
          </w:tcPr>
          <w:p w:rsidR="000C0A41" w:rsidRPr="003924F3" w:rsidRDefault="000C0A41" w:rsidP="001E4AAB">
            <w:pPr>
              <w:jc w:val="center"/>
              <w:cnfStyle w:val="000000000000" w:firstRow="0" w:lastRow="0" w:firstColumn="0" w:lastColumn="0" w:oddVBand="0" w:evenVBand="0" w:oddHBand="0" w:evenHBand="0" w:firstRowFirstColumn="0" w:firstRowLastColumn="0" w:lastRowFirstColumn="0" w:lastRowLastColumn="0"/>
              <w:rPr>
                <w:lang w:val="en"/>
              </w:rPr>
            </w:pPr>
            <w:r w:rsidRPr="003924F3">
              <w:rPr>
                <w:lang w:val="en"/>
              </w:rPr>
              <w:t>1.35-1.71</w:t>
            </w:r>
          </w:p>
        </w:tc>
        <w:tc>
          <w:tcPr>
            <w:tcW w:w="1276" w:type="dxa"/>
          </w:tcPr>
          <w:p w:rsidR="000C0A41" w:rsidRPr="003924F3" w:rsidRDefault="000C0A41" w:rsidP="001E4AAB">
            <w:pPr>
              <w:jc w:val="center"/>
              <w:cnfStyle w:val="000000000000" w:firstRow="0" w:lastRow="0" w:firstColumn="0" w:lastColumn="0" w:oddVBand="0" w:evenVBand="0" w:oddHBand="0" w:evenHBand="0" w:firstRowFirstColumn="0" w:firstRowLastColumn="0" w:lastRowFirstColumn="0" w:lastRowLastColumn="0"/>
              <w:rPr>
                <w:lang w:val="en"/>
              </w:rPr>
            </w:pPr>
            <w:r w:rsidRPr="003924F3">
              <w:rPr>
                <w:lang w:val="en"/>
              </w:rPr>
              <w:t>Risk factor</w:t>
            </w:r>
          </w:p>
        </w:tc>
      </w:tr>
      <w:tr w:rsidR="000C0A41" w:rsidRPr="003924F3" w:rsidTr="00E42C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rsidR="000C0A41" w:rsidRPr="003924F3" w:rsidRDefault="000C0A41" w:rsidP="001E4AAB">
            <w:pPr>
              <w:jc w:val="left"/>
              <w:rPr>
                <w:lang w:val="en"/>
              </w:rPr>
            </w:pPr>
            <w:r w:rsidRPr="003924F3">
              <w:rPr>
                <w:lang w:val="en"/>
              </w:rPr>
              <w:t>Sex</w:t>
            </w:r>
          </w:p>
        </w:tc>
        <w:tc>
          <w:tcPr>
            <w:tcW w:w="3969" w:type="dxa"/>
          </w:tcPr>
          <w:p w:rsidR="000C0A41" w:rsidRPr="003924F3" w:rsidRDefault="000C0A41" w:rsidP="001E4AAB">
            <w:pPr>
              <w:jc w:val="left"/>
              <w:cnfStyle w:val="000000100000" w:firstRow="0" w:lastRow="0" w:firstColumn="0" w:lastColumn="0" w:oddVBand="0" w:evenVBand="0" w:oddHBand="1" w:evenHBand="0" w:firstRowFirstColumn="0" w:firstRowLastColumn="0" w:lastRowFirstColumn="0" w:lastRowLastColumn="0"/>
              <w:rPr>
                <w:lang w:val="en"/>
              </w:rPr>
            </w:pPr>
          </w:p>
        </w:tc>
        <w:tc>
          <w:tcPr>
            <w:tcW w:w="1275" w:type="dxa"/>
          </w:tcPr>
          <w:p w:rsidR="000C0A41" w:rsidRPr="003924F3" w:rsidRDefault="000C0A41" w:rsidP="001E4AAB">
            <w:pPr>
              <w:jc w:val="center"/>
              <w:cnfStyle w:val="000000100000" w:firstRow="0" w:lastRow="0" w:firstColumn="0" w:lastColumn="0" w:oddVBand="0" w:evenVBand="0" w:oddHBand="1" w:evenHBand="0" w:firstRowFirstColumn="0" w:firstRowLastColumn="0" w:lastRowFirstColumn="0" w:lastRowLastColumn="0"/>
              <w:rPr>
                <w:lang w:val="en"/>
              </w:rPr>
            </w:pPr>
          </w:p>
        </w:tc>
        <w:tc>
          <w:tcPr>
            <w:tcW w:w="1276" w:type="dxa"/>
          </w:tcPr>
          <w:p w:rsidR="000C0A41" w:rsidRPr="003924F3" w:rsidRDefault="000C0A41" w:rsidP="001E4AAB">
            <w:pPr>
              <w:jc w:val="center"/>
              <w:cnfStyle w:val="000000100000" w:firstRow="0" w:lastRow="0" w:firstColumn="0" w:lastColumn="0" w:oddVBand="0" w:evenVBand="0" w:oddHBand="1" w:evenHBand="0" w:firstRowFirstColumn="0" w:firstRowLastColumn="0" w:lastRowFirstColumn="0" w:lastRowLastColumn="0"/>
              <w:rPr>
                <w:lang w:val="en"/>
              </w:rPr>
            </w:pPr>
          </w:p>
        </w:tc>
        <w:tc>
          <w:tcPr>
            <w:tcW w:w="1276" w:type="dxa"/>
          </w:tcPr>
          <w:p w:rsidR="000C0A41" w:rsidRPr="003924F3" w:rsidRDefault="000C0A41" w:rsidP="001E4AAB">
            <w:pPr>
              <w:jc w:val="center"/>
              <w:cnfStyle w:val="000000100000" w:firstRow="0" w:lastRow="0" w:firstColumn="0" w:lastColumn="0" w:oddVBand="0" w:evenVBand="0" w:oddHBand="1" w:evenHBand="0" w:firstRowFirstColumn="0" w:firstRowLastColumn="0" w:lastRowFirstColumn="0" w:lastRowLastColumn="0"/>
              <w:rPr>
                <w:lang w:val="en"/>
              </w:rPr>
            </w:pPr>
          </w:p>
        </w:tc>
      </w:tr>
      <w:tr w:rsidR="000C0A41" w:rsidRPr="003924F3" w:rsidTr="00E42C50">
        <w:trPr>
          <w:jc w:val="center"/>
        </w:trPr>
        <w:tc>
          <w:tcPr>
            <w:cnfStyle w:val="001000000000" w:firstRow="0" w:lastRow="0" w:firstColumn="1" w:lastColumn="0" w:oddVBand="0" w:evenVBand="0" w:oddHBand="0" w:evenHBand="0" w:firstRowFirstColumn="0" w:firstRowLastColumn="0" w:lastRowFirstColumn="0" w:lastRowLastColumn="0"/>
            <w:tcW w:w="2122" w:type="dxa"/>
          </w:tcPr>
          <w:p w:rsidR="000C0A41" w:rsidRPr="003924F3" w:rsidRDefault="000C0A41" w:rsidP="001E4AAB">
            <w:pPr>
              <w:jc w:val="left"/>
              <w:rPr>
                <w:b w:val="0"/>
                <w:lang w:val="en"/>
              </w:rPr>
            </w:pPr>
            <w:r w:rsidRPr="003924F3">
              <w:rPr>
                <w:b w:val="0"/>
                <w:lang w:val="en"/>
              </w:rPr>
              <w:t>Female sex</w:t>
            </w:r>
          </w:p>
        </w:tc>
        <w:tc>
          <w:tcPr>
            <w:tcW w:w="3969" w:type="dxa"/>
          </w:tcPr>
          <w:p w:rsidR="000C0A41" w:rsidRPr="003924F3" w:rsidRDefault="000C0A41" w:rsidP="007A6CA5">
            <w:pPr>
              <w:jc w:val="left"/>
              <w:cnfStyle w:val="000000000000" w:firstRow="0" w:lastRow="0" w:firstColumn="0" w:lastColumn="0" w:oddVBand="0" w:evenVBand="0" w:oddHBand="0" w:evenHBand="0" w:firstRowFirstColumn="0" w:firstRowLastColumn="0" w:lastRowFirstColumn="0" w:lastRowLastColumn="0"/>
              <w:rPr>
                <w:lang w:val="en"/>
              </w:rPr>
            </w:pPr>
            <w:r w:rsidRPr="003924F3">
              <w:t xml:space="preserve">Pooled Europe-wide OR from </w:t>
            </w:r>
            <w:r w:rsidRPr="003924F3">
              <w:rPr>
                <w:noProof/>
              </w:rPr>
              <w:t>[70]</w:t>
            </w:r>
            <w:r w:rsidRPr="003924F3">
              <w:t xml:space="preserve"> (BOLD study) – prevalence odds</w:t>
            </w:r>
          </w:p>
        </w:tc>
        <w:tc>
          <w:tcPr>
            <w:tcW w:w="1275" w:type="dxa"/>
          </w:tcPr>
          <w:p w:rsidR="000C0A41" w:rsidRPr="003924F3" w:rsidRDefault="000C0A41" w:rsidP="001E4AAB">
            <w:pPr>
              <w:jc w:val="center"/>
              <w:cnfStyle w:val="000000000000" w:firstRow="0" w:lastRow="0" w:firstColumn="0" w:lastColumn="0" w:oddVBand="0" w:evenVBand="0" w:oddHBand="0" w:evenHBand="0" w:firstRowFirstColumn="0" w:firstRowLastColumn="0" w:lastRowFirstColumn="0" w:lastRowLastColumn="0"/>
              <w:rPr>
                <w:lang w:val="en"/>
              </w:rPr>
            </w:pPr>
            <w:r w:rsidRPr="003924F3">
              <w:rPr>
                <w:lang w:val="en"/>
              </w:rPr>
              <w:t>1.10</w:t>
            </w:r>
          </w:p>
        </w:tc>
        <w:tc>
          <w:tcPr>
            <w:tcW w:w="1276" w:type="dxa"/>
          </w:tcPr>
          <w:p w:rsidR="000C0A41" w:rsidRPr="003924F3" w:rsidRDefault="000C0A41" w:rsidP="001E4AAB">
            <w:pPr>
              <w:jc w:val="center"/>
              <w:cnfStyle w:val="000000000000" w:firstRow="0" w:lastRow="0" w:firstColumn="0" w:lastColumn="0" w:oddVBand="0" w:evenVBand="0" w:oddHBand="0" w:evenHBand="0" w:firstRowFirstColumn="0" w:firstRowLastColumn="0" w:lastRowFirstColumn="0" w:lastRowLastColumn="0"/>
              <w:rPr>
                <w:lang w:val="en"/>
              </w:rPr>
            </w:pPr>
            <w:r w:rsidRPr="003924F3">
              <w:rPr>
                <w:lang w:val="en"/>
              </w:rPr>
              <w:t>0.85-1.43</w:t>
            </w:r>
          </w:p>
        </w:tc>
        <w:tc>
          <w:tcPr>
            <w:tcW w:w="1276" w:type="dxa"/>
          </w:tcPr>
          <w:p w:rsidR="000C0A41" w:rsidRPr="003924F3" w:rsidRDefault="000C0A41" w:rsidP="001E4AAB">
            <w:pPr>
              <w:jc w:val="center"/>
              <w:cnfStyle w:val="000000000000" w:firstRow="0" w:lastRow="0" w:firstColumn="0" w:lastColumn="0" w:oddVBand="0" w:evenVBand="0" w:oddHBand="0" w:evenHBand="0" w:firstRowFirstColumn="0" w:firstRowLastColumn="0" w:lastRowFirstColumn="0" w:lastRowLastColumn="0"/>
              <w:rPr>
                <w:lang w:val="en"/>
              </w:rPr>
            </w:pPr>
            <w:r w:rsidRPr="003924F3">
              <w:rPr>
                <w:lang w:val="en"/>
              </w:rPr>
              <w:t>ns</w:t>
            </w:r>
          </w:p>
        </w:tc>
      </w:tr>
      <w:tr w:rsidR="000C0A41" w:rsidRPr="003924F3" w:rsidTr="00E42C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rsidR="000C0A41" w:rsidRPr="003924F3" w:rsidRDefault="000C0A41" w:rsidP="001E4AAB">
            <w:pPr>
              <w:jc w:val="left"/>
              <w:rPr>
                <w:lang w:val="en"/>
              </w:rPr>
            </w:pPr>
            <w:r w:rsidRPr="003924F3">
              <w:rPr>
                <w:lang w:val="en"/>
              </w:rPr>
              <w:t>SES</w:t>
            </w:r>
          </w:p>
        </w:tc>
        <w:tc>
          <w:tcPr>
            <w:tcW w:w="3969" w:type="dxa"/>
          </w:tcPr>
          <w:p w:rsidR="000C0A41" w:rsidRPr="003924F3" w:rsidRDefault="000C0A41" w:rsidP="001E4AAB">
            <w:pPr>
              <w:jc w:val="left"/>
              <w:cnfStyle w:val="000000100000" w:firstRow="0" w:lastRow="0" w:firstColumn="0" w:lastColumn="0" w:oddVBand="0" w:evenVBand="0" w:oddHBand="1" w:evenHBand="0" w:firstRowFirstColumn="0" w:firstRowLastColumn="0" w:lastRowFirstColumn="0" w:lastRowLastColumn="0"/>
              <w:rPr>
                <w:lang w:val="en"/>
              </w:rPr>
            </w:pPr>
          </w:p>
        </w:tc>
        <w:tc>
          <w:tcPr>
            <w:tcW w:w="1275" w:type="dxa"/>
          </w:tcPr>
          <w:p w:rsidR="000C0A41" w:rsidRPr="003924F3" w:rsidRDefault="000C0A41" w:rsidP="001E4AAB">
            <w:pPr>
              <w:jc w:val="center"/>
              <w:cnfStyle w:val="000000100000" w:firstRow="0" w:lastRow="0" w:firstColumn="0" w:lastColumn="0" w:oddVBand="0" w:evenVBand="0" w:oddHBand="1" w:evenHBand="0" w:firstRowFirstColumn="0" w:firstRowLastColumn="0" w:lastRowFirstColumn="0" w:lastRowLastColumn="0"/>
              <w:rPr>
                <w:lang w:val="en"/>
              </w:rPr>
            </w:pPr>
          </w:p>
        </w:tc>
        <w:tc>
          <w:tcPr>
            <w:tcW w:w="1276" w:type="dxa"/>
          </w:tcPr>
          <w:p w:rsidR="000C0A41" w:rsidRPr="003924F3" w:rsidRDefault="000C0A41" w:rsidP="001E4AAB">
            <w:pPr>
              <w:jc w:val="center"/>
              <w:cnfStyle w:val="000000100000" w:firstRow="0" w:lastRow="0" w:firstColumn="0" w:lastColumn="0" w:oddVBand="0" w:evenVBand="0" w:oddHBand="1" w:evenHBand="0" w:firstRowFirstColumn="0" w:firstRowLastColumn="0" w:lastRowFirstColumn="0" w:lastRowLastColumn="0"/>
              <w:rPr>
                <w:lang w:val="en"/>
              </w:rPr>
            </w:pPr>
          </w:p>
        </w:tc>
        <w:tc>
          <w:tcPr>
            <w:tcW w:w="1276" w:type="dxa"/>
          </w:tcPr>
          <w:p w:rsidR="000C0A41" w:rsidRPr="003924F3" w:rsidRDefault="000C0A41" w:rsidP="001E4AAB">
            <w:pPr>
              <w:jc w:val="center"/>
              <w:cnfStyle w:val="000000100000" w:firstRow="0" w:lastRow="0" w:firstColumn="0" w:lastColumn="0" w:oddVBand="0" w:evenVBand="0" w:oddHBand="1" w:evenHBand="0" w:firstRowFirstColumn="0" w:firstRowLastColumn="0" w:lastRowFirstColumn="0" w:lastRowLastColumn="0"/>
              <w:rPr>
                <w:lang w:val="en"/>
              </w:rPr>
            </w:pPr>
          </w:p>
        </w:tc>
      </w:tr>
      <w:tr w:rsidR="000C0A41" w:rsidRPr="003924F3" w:rsidTr="00E42C50">
        <w:trPr>
          <w:jc w:val="center"/>
        </w:trPr>
        <w:tc>
          <w:tcPr>
            <w:cnfStyle w:val="001000000000" w:firstRow="0" w:lastRow="0" w:firstColumn="1" w:lastColumn="0" w:oddVBand="0" w:evenVBand="0" w:oddHBand="0" w:evenHBand="0" w:firstRowFirstColumn="0" w:firstRowLastColumn="0" w:lastRowFirstColumn="0" w:lastRowLastColumn="0"/>
            <w:tcW w:w="2122" w:type="dxa"/>
          </w:tcPr>
          <w:p w:rsidR="000C0A41" w:rsidRPr="003924F3" w:rsidRDefault="000C0A41" w:rsidP="001E4AAB">
            <w:pPr>
              <w:jc w:val="left"/>
              <w:rPr>
                <w:b w:val="0"/>
                <w:lang w:val="en"/>
              </w:rPr>
            </w:pPr>
            <w:r w:rsidRPr="003924F3">
              <w:rPr>
                <w:b w:val="0"/>
                <w:lang w:val="en"/>
              </w:rPr>
              <w:t xml:space="preserve">Education (per change in one group </w:t>
            </w:r>
            <w:r w:rsidRPr="003924F3">
              <w:rPr>
                <w:b w:val="0"/>
                <w:lang w:val="en"/>
              </w:rPr>
              <w:lastRenderedPageBreak/>
              <w:t>from none, primary, secondary, tertiary )</w:t>
            </w:r>
          </w:p>
        </w:tc>
        <w:tc>
          <w:tcPr>
            <w:tcW w:w="3969" w:type="dxa"/>
          </w:tcPr>
          <w:p w:rsidR="000C0A41" w:rsidRPr="003924F3" w:rsidRDefault="000C0A41" w:rsidP="007A6CA5">
            <w:pPr>
              <w:jc w:val="left"/>
              <w:cnfStyle w:val="000000000000" w:firstRow="0" w:lastRow="0" w:firstColumn="0" w:lastColumn="0" w:oddVBand="0" w:evenVBand="0" w:oddHBand="0" w:evenHBand="0" w:firstRowFirstColumn="0" w:firstRowLastColumn="0" w:lastRowFirstColumn="0" w:lastRowLastColumn="0"/>
              <w:rPr>
                <w:lang w:val="en"/>
              </w:rPr>
            </w:pPr>
            <w:r w:rsidRPr="003924F3">
              <w:lastRenderedPageBreak/>
              <w:t xml:space="preserve">Pooled OR from </w:t>
            </w:r>
            <w:r w:rsidRPr="003924F3">
              <w:rPr>
                <w:noProof/>
              </w:rPr>
              <w:t>[70]</w:t>
            </w:r>
            <w:r w:rsidRPr="003924F3">
              <w:t xml:space="preserve"> (BOLD study) – prevalence odds</w:t>
            </w:r>
          </w:p>
        </w:tc>
        <w:tc>
          <w:tcPr>
            <w:tcW w:w="1275" w:type="dxa"/>
          </w:tcPr>
          <w:p w:rsidR="000C0A41" w:rsidRPr="003924F3" w:rsidRDefault="000C0A41" w:rsidP="001E4AAB">
            <w:pPr>
              <w:jc w:val="center"/>
              <w:cnfStyle w:val="000000000000" w:firstRow="0" w:lastRow="0" w:firstColumn="0" w:lastColumn="0" w:oddVBand="0" w:evenVBand="0" w:oddHBand="0" w:evenHBand="0" w:firstRowFirstColumn="0" w:firstRowLastColumn="0" w:lastRowFirstColumn="0" w:lastRowLastColumn="0"/>
              <w:rPr>
                <w:lang w:val="en"/>
              </w:rPr>
            </w:pPr>
            <w:r w:rsidRPr="003924F3">
              <w:rPr>
                <w:lang w:val="en"/>
              </w:rPr>
              <w:t>0.76</w:t>
            </w:r>
          </w:p>
        </w:tc>
        <w:tc>
          <w:tcPr>
            <w:tcW w:w="1276" w:type="dxa"/>
          </w:tcPr>
          <w:p w:rsidR="000C0A41" w:rsidRPr="003924F3" w:rsidRDefault="000C0A41" w:rsidP="001E4AAB">
            <w:pPr>
              <w:jc w:val="center"/>
              <w:cnfStyle w:val="000000000000" w:firstRow="0" w:lastRow="0" w:firstColumn="0" w:lastColumn="0" w:oddVBand="0" w:evenVBand="0" w:oddHBand="0" w:evenHBand="0" w:firstRowFirstColumn="0" w:firstRowLastColumn="0" w:lastRowFirstColumn="0" w:lastRowLastColumn="0"/>
              <w:rPr>
                <w:lang w:val="en"/>
              </w:rPr>
            </w:pPr>
            <w:r w:rsidRPr="003924F3">
              <w:rPr>
                <w:lang w:val="en"/>
              </w:rPr>
              <w:t>0.67-0.87</w:t>
            </w:r>
          </w:p>
        </w:tc>
        <w:tc>
          <w:tcPr>
            <w:tcW w:w="1276" w:type="dxa"/>
          </w:tcPr>
          <w:p w:rsidR="000C0A41" w:rsidRPr="003924F3" w:rsidRDefault="000C0A41" w:rsidP="001E4AAB">
            <w:pPr>
              <w:jc w:val="center"/>
              <w:cnfStyle w:val="000000000000" w:firstRow="0" w:lastRow="0" w:firstColumn="0" w:lastColumn="0" w:oddVBand="0" w:evenVBand="0" w:oddHBand="0" w:evenHBand="0" w:firstRowFirstColumn="0" w:firstRowLastColumn="0" w:lastRowFirstColumn="0" w:lastRowLastColumn="0"/>
              <w:rPr>
                <w:lang w:val="en"/>
              </w:rPr>
            </w:pPr>
            <w:r w:rsidRPr="003924F3">
              <w:rPr>
                <w:lang w:val="en"/>
              </w:rPr>
              <w:t>Risk factor</w:t>
            </w:r>
          </w:p>
        </w:tc>
      </w:tr>
      <w:tr w:rsidR="000C0A41" w:rsidRPr="003924F3" w:rsidTr="00E42C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rsidR="000C0A41" w:rsidRPr="003924F3" w:rsidRDefault="000C0A41" w:rsidP="001E4AAB">
            <w:pPr>
              <w:jc w:val="left"/>
              <w:rPr>
                <w:lang w:val="en"/>
              </w:rPr>
            </w:pPr>
            <w:r w:rsidRPr="003924F3">
              <w:rPr>
                <w:lang w:val="en"/>
              </w:rPr>
              <w:t>Occupation</w:t>
            </w:r>
          </w:p>
        </w:tc>
        <w:tc>
          <w:tcPr>
            <w:tcW w:w="3969" w:type="dxa"/>
          </w:tcPr>
          <w:p w:rsidR="000C0A41" w:rsidRPr="003924F3" w:rsidRDefault="000C0A41" w:rsidP="001E4AAB">
            <w:pPr>
              <w:jc w:val="left"/>
              <w:cnfStyle w:val="000000100000" w:firstRow="0" w:lastRow="0" w:firstColumn="0" w:lastColumn="0" w:oddVBand="0" w:evenVBand="0" w:oddHBand="1" w:evenHBand="0" w:firstRowFirstColumn="0" w:firstRowLastColumn="0" w:lastRowFirstColumn="0" w:lastRowLastColumn="0"/>
            </w:pPr>
          </w:p>
        </w:tc>
        <w:tc>
          <w:tcPr>
            <w:tcW w:w="1275" w:type="dxa"/>
          </w:tcPr>
          <w:p w:rsidR="000C0A41" w:rsidRPr="003924F3" w:rsidRDefault="000C0A41" w:rsidP="001E4AAB">
            <w:pPr>
              <w:jc w:val="center"/>
              <w:cnfStyle w:val="000000100000" w:firstRow="0" w:lastRow="0" w:firstColumn="0" w:lastColumn="0" w:oddVBand="0" w:evenVBand="0" w:oddHBand="1" w:evenHBand="0" w:firstRowFirstColumn="0" w:firstRowLastColumn="0" w:lastRowFirstColumn="0" w:lastRowLastColumn="0"/>
              <w:rPr>
                <w:lang w:val="en"/>
              </w:rPr>
            </w:pPr>
          </w:p>
        </w:tc>
        <w:tc>
          <w:tcPr>
            <w:tcW w:w="1276" w:type="dxa"/>
          </w:tcPr>
          <w:p w:rsidR="000C0A41" w:rsidRPr="003924F3" w:rsidRDefault="000C0A41" w:rsidP="001E4AAB">
            <w:pPr>
              <w:jc w:val="center"/>
              <w:cnfStyle w:val="000000100000" w:firstRow="0" w:lastRow="0" w:firstColumn="0" w:lastColumn="0" w:oddVBand="0" w:evenVBand="0" w:oddHBand="1" w:evenHBand="0" w:firstRowFirstColumn="0" w:firstRowLastColumn="0" w:lastRowFirstColumn="0" w:lastRowLastColumn="0"/>
              <w:rPr>
                <w:lang w:val="en"/>
              </w:rPr>
            </w:pPr>
          </w:p>
        </w:tc>
        <w:tc>
          <w:tcPr>
            <w:tcW w:w="1276" w:type="dxa"/>
          </w:tcPr>
          <w:p w:rsidR="000C0A41" w:rsidRPr="003924F3" w:rsidRDefault="000C0A41" w:rsidP="001E4AAB">
            <w:pPr>
              <w:jc w:val="center"/>
              <w:cnfStyle w:val="000000100000" w:firstRow="0" w:lastRow="0" w:firstColumn="0" w:lastColumn="0" w:oddVBand="0" w:evenVBand="0" w:oddHBand="1" w:evenHBand="0" w:firstRowFirstColumn="0" w:firstRowLastColumn="0" w:lastRowFirstColumn="0" w:lastRowLastColumn="0"/>
              <w:rPr>
                <w:lang w:val="en"/>
              </w:rPr>
            </w:pPr>
          </w:p>
        </w:tc>
      </w:tr>
      <w:tr w:rsidR="000C0A41" w:rsidRPr="003924F3" w:rsidTr="00E42C50">
        <w:trPr>
          <w:jc w:val="center"/>
        </w:trPr>
        <w:tc>
          <w:tcPr>
            <w:cnfStyle w:val="001000000000" w:firstRow="0" w:lastRow="0" w:firstColumn="1" w:lastColumn="0" w:oddVBand="0" w:evenVBand="0" w:oddHBand="0" w:evenHBand="0" w:firstRowFirstColumn="0" w:firstRowLastColumn="0" w:lastRowFirstColumn="0" w:lastRowLastColumn="0"/>
            <w:tcW w:w="2122" w:type="dxa"/>
          </w:tcPr>
          <w:p w:rsidR="000C0A41" w:rsidRPr="003924F3" w:rsidRDefault="000C0A41" w:rsidP="001E4AAB">
            <w:pPr>
              <w:jc w:val="left"/>
              <w:rPr>
                <w:b w:val="0"/>
                <w:lang w:val="en"/>
              </w:rPr>
            </w:pPr>
            <w:r w:rsidRPr="003924F3">
              <w:rPr>
                <w:b w:val="0"/>
                <w:lang w:val="en"/>
              </w:rPr>
              <w:t>Working in dusty job (per 10 years)</w:t>
            </w:r>
          </w:p>
        </w:tc>
        <w:tc>
          <w:tcPr>
            <w:tcW w:w="3969" w:type="dxa"/>
          </w:tcPr>
          <w:p w:rsidR="000C0A41" w:rsidRPr="003924F3" w:rsidRDefault="000C0A41" w:rsidP="007A6CA5">
            <w:pPr>
              <w:jc w:val="left"/>
              <w:cnfStyle w:val="000000000000" w:firstRow="0" w:lastRow="0" w:firstColumn="0" w:lastColumn="0" w:oddVBand="0" w:evenVBand="0" w:oddHBand="0" w:evenHBand="0" w:firstRowFirstColumn="0" w:firstRowLastColumn="0" w:lastRowFirstColumn="0" w:lastRowLastColumn="0"/>
            </w:pPr>
            <w:r w:rsidRPr="003924F3">
              <w:t xml:space="preserve">Pooled OR from </w:t>
            </w:r>
            <w:r w:rsidRPr="003924F3">
              <w:rPr>
                <w:noProof/>
              </w:rPr>
              <w:t>[70]</w:t>
            </w:r>
            <w:r w:rsidRPr="003924F3">
              <w:t xml:space="preserve"> (BOLD study) – prevalence odds</w:t>
            </w:r>
          </w:p>
        </w:tc>
        <w:tc>
          <w:tcPr>
            <w:tcW w:w="1275" w:type="dxa"/>
          </w:tcPr>
          <w:p w:rsidR="000C0A41" w:rsidRPr="003924F3" w:rsidRDefault="000C0A41" w:rsidP="001E4AAB">
            <w:pPr>
              <w:jc w:val="center"/>
              <w:cnfStyle w:val="000000000000" w:firstRow="0" w:lastRow="0" w:firstColumn="0" w:lastColumn="0" w:oddVBand="0" w:evenVBand="0" w:oddHBand="0" w:evenHBand="0" w:firstRowFirstColumn="0" w:firstRowLastColumn="0" w:lastRowFirstColumn="0" w:lastRowLastColumn="0"/>
              <w:rPr>
                <w:lang w:val="en"/>
              </w:rPr>
            </w:pPr>
            <w:r w:rsidRPr="003924F3">
              <w:rPr>
                <w:lang w:val="en"/>
              </w:rPr>
              <w:t>1.08</w:t>
            </w:r>
          </w:p>
        </w:tc>
        <w:tc>
          <w:tcPr>
            <w:tcW w:w="1276" w:type="dxa"/>
          </w:tcPr>
          <w:p w:rsidR="000C0A41" w:rsidRPr="003924F3" w:rsidRDefault="000C0A41" w:rsidP="001E4AAB">
            <w:pPr>
              <w:jc w:val="center"/>
              <w:cnfStyle w:val="000000000000" w:firstRow="0" w:lastRow="0" w:firstColumn="0" w:lastColumn="0" w:oddVBand="0" w:evenVBand="0" w:oddHBand="0" w:evenHBand="0" w:firstRowFirstColumn="0" w:firstRowLastColumn="0" w:lastRowFirstColumn="0" w:lastRowLastColumn="0"/>
              <w:rPr>
                <w:lang w:val="en"/>
              </w:rPr>
            </w:pPr>
            <w:r w:rsidRPr="003924F3">
              <w:rPr>
                <w:lang w:val="en"/>
              </w:rPr>
              <w:t>1.02-1.13</w:t>
            </w:r>
          </w:p>
        </w:tc>
        <w:tc>
          <w:tcPr>
            <w:tcW w:w="1276" w:type="dxa"/>
          </w:tcPr>
          <w:p w:rsidR="000C0A41" w:rsidRPr="003924F3" w:rsidRDefault="000C0A41" w:rsidP="001E4AAB">
            <w:pPr>
              <w:jc w:val="center"/>
              <w:cnfStyle w:val="000000000000" w:firstRow="0" w:lastRow="0" w:firstColumn="0" w:lastColumn="0" w:oddVBand="0" w:evenVBand="0" w:oddHBand="0" w:evenHBand="0" w:firstRowFirstColumn="0" w:firstRowLastColumn="0" w:lastRowFirstColumn="0" w:lastRowLastColumn="0"/>
              <w:rPr>
                <w:lang w:val="en"/>
              </w:rPr>
            </w:pPr>
            <w:r w:rsidRPr="003924F3">
              <w:rPr>
                <w:lang w:val="en"/>
              </w:rPr>
              <w:t>ns</w:t>
            </w:r>
          </w:p>
          <w:p w:rsidR="000C0A41" w:rsidRPr="003924F3" w:rsidRDefault="000C0A41" w:rsidP="00B73747">
            <w:pPr>
              <w:cnfStyle w:val="000000000000" w:firstRow="0" w:lastRow="0" w:firstColumn="0" w:lastColumn="0" w:oddVBand="0" w:evenVBand="0" w:oddHBand="0" w:evenHBand="0" w:firstRowFirstColumn="0" w:firstRowLastColumn="0" w:lastRowFirstColumn="0" w:lastRowLastColumn="0"/>
              <w:rPr>
                <w:lang w:val="en"/>
              </w:rPr>
            </w:pPr>
          </w:p>
        </w:tc>
      </w:tr>
      <w:tr w:rsidR="000C0A41" w:rsidRPr="003924F3" w:rsidTr="00E42C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rsidR="000C0A41" w:rsidRPr="003924F3" w:rsidRDefault="000C0A41" w:rsidP="001E4AAB">
            <w:pPr>
              <w:jc w:val="left"/>
              <w:rPr>
                <w:b w:val="0"/>
                <w:lang w:val="en"/>
              </w:rPr>
            </w:pPr>
            <w:r w:rsidRPr="003924F3">
              <w:rPr>
                <w:b w:val="0"/>
                <w:lang w:val="en"/>
              </w:rPr>
              <w:t>Regular exposure to dust in present job</w:t>
            </w:r>
          </w:p>
        </w:tc>
        <w:tc>
          <w:tcPr>
            <w:tcW w:w="3969" w:type="dxa"/>
          </w:tcPr>
          <w:p w:rsidR="000C0A41" w:rsidRPr="003924F3" w:rsidRDefault="000C0A41" w:rsidP="007A6CA5">
            <w:pPr>
              <w:jc w:val="left"/>
              <w:cnfStyle w:val="000000100000" w:firstRow="0" w:lastRow="0" w:firstColumn="0" w:lastColumn="0" w:oddVBand="0" w:evenVBand="0" w:oddHBand="1" w:evenHBand="0" w:firstRowFirstColumn="0" w:firstRowLastColumn="0" w:lastRowFirstColumn="0" w:lastRowLastColumn="0"/>
            </w:pPr>
            <w:r w:rsidRPr="003924F3">
              <w:t xml:space="preserve">Pooled OR from </w:t>
            </w:r>
            <w:r w:rsidRPr="003924F3">
              <w:rPr>
                <w:noProof/>
              </w:rPr>
              <w:t>[70]</w:t>
            </w:r>
            <w:r w:rsidRPr="003924F3">
              <w:t xml:space="preserve"> (BOLD study) – prevalence odds</w:t>
            </w:r>
          </w:p>
        </w:tc>
        <w:tc>
          <w:tcPr>
            <w:tcW w:w="1275" w:type="dxa"/>
          </w:tcPr>
          <w:p w:rsidR="000C0A41" w:rsidRPr="003924F3" w:rsidRDefault="000C0A41" w:rsidP="001E4AAB">
            <w:pPr>
              <w:jc w:val="center"/>
              <w:cnfStyle w:val="000000100000" w:firstRow="0" w:lastRow="0" w:firstColumn="0" w:lastColumn="0" w:oddVBand="0" w:evenVBand="0" w:oddHBand="1" w:evenHBand="0" w:firstRowFirstColumn="0" w:firstRowLastColumn="0" w:lastRowFirstColumn="0" w:lastRowLastColumn="0"/>
              <w:rPr>
                <w:lang w:val="en"/>
              </w:rPr>
            </w:pPr>
            <w:r w:rsidRPr="003924F3">
              <w:rPr>
                <w:lang w:val="en"/>
              </w:rPr>
              <w:t>0.86</w:t>
            </w:r>
          </w:p>
        </w:tc>
        <w:tc>
          <w:tcPr>
            <w:tcW w:w="1276" w:type="dxa"/>
          </w:tcPr>
          <w:p w:rsidR="000C0A41" w:rsidRPr="003924F3" w:rsidRDefault="000C0A41" w:rsidP="001E4AAB">
            <w:pPr>
              <w:jc w:val="center"/>
              <w:cnfStyle w:val="000000100000" w:firstRow="0" w:lastRow="0" w:firstColumn="0" w:lastColumn="0" w:oddVBand="0" w:evenVBand="0" w:oddHBand="1" w:evenHBand="0" w:firstRowFirstColumn="0" w:firstRowLastColumn="0" w:lastRowFirstColumn="0" w:lastRowLastColumn="0"/>
              <w:rPr>
                <w:lang w:val="en"/>
              </w:rPr>
            </w:pPr>
            <w:r w:rsidRPr="003924F3">
              <w:rPr>
                <w:lang w:val="en"/>
              </w:rPr>
              <w:t>0.61-1.21</w:t>
            </w:r>
          </w:p>
        </w:tc>
        <w:tc>
          <w:tcPr>
            <w:tcW w:w="1276" w:type="dxa"/>
          </w:tcPr>
          <w:p w:rsidR="000C0A41" w:rsidRPr="003924F3" w:rsidRDefault="000C0A41" w:rsidP="00B73747">
            <w:pPr>
              <w:jc w:val="center"/>
              <w:cnfStyle w:val="000000100000" w:firstRow="0" w:lastRow="0" w:firstColumn="0" w:lastColumn="0" w:oddVBand="0" w:evenVBand="0" w:oddHBand="1" w:evenHBand="0" w:firstRowFirstColumn="0" w:firstRowLastColumn="0" w:lastRowFirstColumn="0" w:lastRowLastColumn="0"/>
              <w:rPr>
                <w:lang w:val="en"/>
              </w:rPr>
            </w:pPr>
            <w:r w:rsidRPr="003924F3">
              <w:rPr>
                <w:lang w:val="en"/>
              </w:rPr>
              <w:t>ns</w:t>
            </w:r>
          </w:p>
          <w:p w:rsidR="000C0A41" w:rsidRPr="003924F3" w:rsidRDefault="000C0A41" w:rsidP="001E4AAB">
            <w:pPr>
              <w:jc w:val="center"/>
              <w:cnfStyle w:val="000000100000" w:firstRow="0" w:lastRow="0" w:firstColumn="0" w:lastColumn="0" w:oddVBand="0" w:evenVBand="0" w:oddHBand="1" w:evenHBand="0" w:firstRowFirstColumn="0" w:firstRowLastColumn="0" w:lastRowFirstColumn="0" w:lastRowLastColumn="0"/>
              <w:rPr>
                <w:lang w:val="en"/>
              </w:rPr>
            </w:pPr>
          </w:p>
        </w:tc>
      </w:tr>
      <w:tr w:rsidR="000C0A41" w:rsidRPr="003924F3" w:rsidTr="00E42C50">
        <w:trPr>
          <w:jc w:val="center"/>
        </w:trPr>
        <w:tc>
          <w:tcPr>
            <w:cnfStyle w:val="001000000000" w:firstRow="0" w:lastRow="0" w:firstColumn="1" w:lastColumn="0" w:oddVBand="0" w:evenVBand="0" w:oddHBand="0" w:evenHBand="0" w:firstRowFirstColumn="0" w:firstRowLastColumn="0" w:lastRowFirstColumn="0" w:lastRowLastColumn="0"/>
            <w:tcW w:w="2122" w:type="dxa"/>
          </w:tcPr>
          <w:p w:rsidR="000C0A41" w:rsidRPr="003924F3" w:rsidRDefault="000C0A41" w:rsidP="00423462">
            <w:pPr>
              <w:jc w:val="left"/>
              <w:rPr>
                <w:b w:val="0"/>
                <w:lang w:val="en"/>
              </w:rPr>
            </w:pPr>
            <w:r w:rsidRPr="003924F3">
              <w:rPr>
                <w:b w:val="0"/>
                <w:lang w:val="en"/>
              </w:rPr>
              <w:t>Regular exposure to fumes in present job</w:t>
            </w:r>
          </w:p>
        </w:tc>
        <w:tc>
          <w:tcPr>
            <w:tcW w:w="3969" w:type="dxa"/>
          </w:tcPr>
          <w:p w:rsidR="000C0A41" w:rsidRPr="003924F3" w:rsidRDefault="000C0A41" w:rsidP="007A6CA5">
            <w:pPr>
              <w:jc w:val="left"/>
              <w:cnfStyle w:val="000000000000" w:firstRow="0" w:lastRow="0" w:firstColumn="0" w:lastColumn="0" w:oddVBand="0" w:evenVBand="0" w:oddHBand="0" w:evenHBand="0" w:firstRowFirstColumn="0" w:firstRowLastColumn="0" w:lastRowFirstColumn="0" w:lastRowLastColumn="0"/>
            </w:pPr>
            <w:r w:rsidRPr="003924F3">
              <w:t xml:space="preserve">Pooled OR from </w:t>
            </w:r>
            <w:r w:rsidRPr="003924F3">
              <w:rPr>
                <w:noProof/>
              </w:rPr>
              <w:t>[70]</w:t>
            </w:r>
            <w:r w:rsidRPr="003924F3">
              <w:t xml:space="preserve"> (BOLD study) – prevalence odds</w:t>
            </w:r>
          </w:p>
        </w:tc>
        <w:tc>
          <w:tcPr>
            <w:tcW w:w="1275" w:type="dxa"/>
          </w:tcPr>
          <w:p w:rsidR="000C0A41" w:rsidRPr="003924F3" w:rsidRDefault="000C0A41" w:rsidP="001E4AAB">
            <w:pPr>
              <w:jc w:val="center"/>
              <w:cnfStyle w:val="000000000000" w:firstRow="0" w:lastRow="0" w:firstColumn="0" w:lastColumn="0" w:oddVBand="0" w:evenVBand="0" w:oddHBand="0" w:evenHBand="0" w:firstRowFirstColumn="0" w:firstRowLastColumn="0" w:lastRowFirstColumn="0" w:lastRowLastColumn="0"/>
              <w:rPr>
                <w:lang w:val="en"/>
              </w:rPr>
            </w:pPr>
            <w:r w:rsidRPr="003924F3">
              <w:rPr>
                <w:lang w:val="en"/>
              </w:rPr>
              <w:t>0.91</w:t>
            </w:r>
          </w:p>
        </w:tc>
        <w:tc>
          <w:tcPr>
            <w:tcW w:w="1276" w:type="dxa"/>
          </w:tcPr>
          <w:p w:rsidR="000C0A41" w:rsidRPr="003924F3" w:rsidRDefault="000C0A41" w:rsidP="00B73747">
            <w:pPr>
              <w:jc w:val="center"/>
              <w:cnfStyle w:val="000000000000" w:firstRow="0" w:lastRow="0" w:firstColumn="0" w:lastColumn="0" w:oddVBand="0" w:evenVBand="0" w:oddHBand="0" w:evenHBand="0" w:firstRowFirstColumn="0" w:firstRowLastColumn="0" w:lastRowFirstColumn="0" w:lastRowLastColumn="0"/>
              <w:rPr>
                <w:lang w:val="en"/>
              </w:rPr>
            </w:pPr>
            <w:r w:rsidRPr="003924F3">
              <w:rPr>
                <w:lang w:val="en"/>
              </w:rPr>
              <w:t>0.67-1.24</w:t>
            </w:r>
          </w:p>
        </w:tc>
        <w:tc>
          <w:tcPr>
            <w:tcW w:w="1276" w:type="dxa"/>
          </w:tcPr>
          <w:p w:rsidR="000C0A41" w:rsidRPr="003924F3" w:rsidRDefault="000C0A41" w:rsidP="00B73747">
            <w:pPr>
              <w:jc w:val="center"/>
              <w:cnfStyle w:val="000000000000" w:firstRow="0" w:lastRow="0" w:firstColumn="0" w:lastColumn="0" w:oddVBand="0" w:evenVBand="0" w:oddHBand="0" w:evenHBand="0" w:firstRowFirstColumn="0" w:firstRowLastColumn="0" w:lastRowFirstColumn="0" w:lastRowLastColumn="0"/>
              <w:rPr>
                <w:lang w:val="en"/>
              </w:rPr>
            </w:pPr>
            <w:r w:rsidRPr="003924F3">
              <w:rPr>
                <w:lang w:val="en"/>
              </w:rPr>
              <w:t>ns</w:t>
            </w:r>
          </w:p>
          <w:p w:rsidR="000C0A41" w:rsidRPr="003924F3" w:rsidRDefault="000C0A41" w:rsidP="001E4AAB">
            <w:pPr>
              <w:jc w:val="center"/>
              <w:cnfStyle w:val="000000000000" w:firstRow="0" w:lastRow="0" w:firstColumn="0" w:lastColumn="0" w:oddVBand="0" w:evenVBand="0" w:oddHBand="0" w:evenHBand="0" w:firstRowFirstColumn="0" w:firstRowLastColumn="0" w:lastRowFirstColumn="0" w:lastRowLastColumn="0"/>
              <w:rPr>
                <w:lang w:val="en"/>
              </w:rPr>
            </w:pPr>
          </w:p>
        </w:tc>
      </w:tr>
      <w:tr w:rsidR="000C0A41" w:rsidRPr="003924F3" w:rsidTr="00E42C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rsidR="000C0A41" w:rsidRPr="003924F3" w:rsidRDefault="000C0A41" w:rsidP="001E4AAB">
            <w:pPr>
              <w:jc w:val="left"/>
              <w:rPr>
                <w:lang w:val="en"/>
              </w:rPr>
            </w:pPr>
            <w:r w:rsidRPr="003924F3">
              <w:rPr>
                <w:lang w:val="en"/>
              </w:rPr>
              <w:t>Biomass exposure</w:t>
            </w:r>
          </w:p>
        </w:tc>
        <w:tc>
          <w:tcPr>
            <w:tcW w:w="3969" w:type="dxa"/>
          </w:tcPr>
          <w:p w:rsidR="000C0A41" w:rsidRPr="003924F3" w:rsidRDefault="000C0A41" w:rsidP="001E4AAB">
            <w:pPr>
              <w:jc w:val="left"/>
              <w:cnfStyle w:val="000000100000" w:firstRow="0" w:lastRow="0" w:firstColumn="0" w:lastColumn="0" w:oddVBand="0" w:evenVBand="0" w:oddHBand="1" w:evenHBand="0" w:firstRowFirstColumn="0" w:firstRowLastColumn="0" w:lastRowFirstColumn="0" w:lastRowLastColumn="0"/>
            </w:pPr>
          </w:p>
        </w:tc>
        <w:tc>
          <w:tcPr>
            <w:tcW w:w="1275" w:type="dxa"/>
          </w:tcPr>
          <w:p w:rsidR="000C0A41" w:rsidRPr="003924F3" w:rsidRDefault="000C0A41" w:rsidP="001E4AAB">
            <w:pPr>
              <w:jc w:val="center"/>
              <w:cnfStyle w:val="000000100000" w:firstRow="0" w:lastRow="0" w:firstColumn="0" w:lastColumn="0" w:oddVBand="0" w:evenVBand="0" w:oddHBand="1" w:evenHBand="0" w:firstRowFirstColumn="0" w:firstRowLastColumn="0" w:lastRowFirstColumn="0" w:lastRowLastColumn="0"/>
              <w:rPr>
                <w:lang w:val="en"/>
              </w:rPr>
            </w:pPr>
          </w:p>
        </w:tc>
        <w:tc>
          <w:tcPr>
            <w:tcW w:w="1276" w:type="dxa"/>
          </w:tcPr>
          <w:p w:rsidR="000C0A41" w:rsidRPr="003924F3" w:rsidRDefault="000C0A41" w:rsidP="001E4AAB">
            <w:pPr>
              <w:jc w:val="center"/>
              <w:cnfStyle w:val="000000100000" w:firstRow="0" w:lastRow="0" w:firstColumn="0" w:lastColumn="0" w:oddVBand="0" w:evenVBand="0" w:oddHBand="1" w:evenHBand="0" w:firstRowFirstColumn="0" w:firstRowLastColumn="0" w:lastRowFirstColumn="0" w:lastRowLastColumn="0"/>
              <w:rPr>
                <w:lang w:val="en"/>
              </w:rPr>
            </w:pPr>
          </w:p>
        </w:tc>
        <w:tc>
          <w:tcPr>
            <w:tcW w:w="1276" w:type="dxa"/>
          </w:tcPr>
          <w:p w:rsidR="000C0A41" w:rsidRPr="003924F3" w:rsidRDefault="000C0A41" w:rsidP="001E4AAB">
            <w:pPr>
              <w:jc w:val="center"/>
              <w:cnfStyle w:val="000000100000" w:firstRow="0" w:lastRow="0" w:firstColumn="0" w:lastColumn="0" w:oddVBand="0" w:evenVBand="0" w:oddHBand="1" w:evenHBand="0" w:firstRowFirstColumn="0" w:firstRowLastColumn="0" w:lastRowFirstColumn="0" w:lastRowLastColumn="0"/>
              <w:rPr>
                <w:lang w:val="en"/>
              </w:rPr>
            </w:pPr>
          </w:p>
        </w:tc>
      </w:tr>
      <w:tr w:rsidR="000C0A41" w:rsidRPr="003924F3" w:rsidTr="00E42C50">
        <w:trPr>
          <w:jc w:val="center"/>
        </w:trPr>
        <w:tc>
          <w:tcPr>
            <w:cnfStyle w:val="001000000000" w:firstRow="0" w:lastRow="0" w:firstColumn="1" w:lastColumn="0" w:oddVBand="0" w:evenVBand="0" w:oddHBand="0" w:evenHBand="0" w:firstRowFirstColumn="0" w:firstRowLastColumn="0" w:lastRowFirstColumn="0" w:lastRowLastColumn="0"/>
            <w:tcW w:w="2122" w:type="dxa"/>
          </w:tcPr>
          <w:p w:rsidR="000C0A41" w:rsidRPr="003924F3" w:rsidRDefault="000C0A41" w:rsidP="001E4AAB">
            <w:pPr>
              <w:jc w:val="left"/>
              <w:rPr>
                <w:b w:val="0"/>
                <w:lang w:val="en"/>
              </w:rPr>
            </w:pPr>
            <w:r w:rsidRPr="003924F3">
              <w:rPr>
                <w:b w:val="0"/>
                <w:lang w:val="en"/>
              </w:rPr>
              <w:t>Heating (per 10 years)</w:t>
            </w:r>
          </w:p>
        </w:tc>
        <w:tc>
          <w:tcPr>
            <w:tcW w:w="3969" w:type="dxa"/>
          </w:tcPr>
          <w:p w:rsidR="000C0A41" w:rsidRPr="003924F3" w:rsidRDefault="000C0A41" w:rsidP="007A6CA5">
            <w:pPr>
              <w:jc w:val="left"/>
              <w:cnfStyle w:val="000000000000" w:firstRow="0" w:lastRow="0" w:firstColumn="0" w:lastColumn="0" w:oddVBand="0" w:evenVBand="0" w:oddHBand="0" w:evenHBand="0" w:firstRowFirstColumn="0" w:firstRowLastColumn="0" w:lastRowFirstColumn="0" w:lastRowLastColumn="0"/>
            </w:pPr>
            <w:r w:rsidRPr="003924F3">
              <w:t xml:space="preserve">Pooled OR from </w:t>
            </w:r>
            <w:r w:rsidRPr="003924F3">
              <w:rPr>
                <w:noProof/>
              </w:rPr>
              <w:t>[70]</w:t>
            </w:r>
            <w:r w:rsidRPr="003924F3">
              <w:t xml:space="preserve"> (BOLD study) – prevalence odds</w:t>
            </w:r>
          </w:p>
        </w:tc>
        <w:tc>
          <w:tcPr>
            <w:tcW w:w="1275" w:type="dxa"/>
          </w:tcPr>
          <w:p w:rsidR="000C0A41" w:rsidRPr="003924F3" w:rsidRDefault="000C0A41" w:rsidP="001E4AAB">
            <w:pPr>
              <w:jc w:val="center"/>
              <w:cnfStyle w:val="000000000000" w:firstRow="0" w:lastRow="0" w:firstColumn="0" w:lastColumn="0" w:oddVBand="0" w:evenVBand="0" w:oddHBand="0" w:evenHBand="0" w:firstRowFirstColumn="0" w:firstRowLastColumn="0" w:lastRowFirstColumn="0" w:lastRowLastColumn="0"/>
              <w:rPr>
                <w:lang w:val="en"/>
              </w:rPr>
            </w:pPr>
            <w:r w:rsidRPr="003924F3">
              <w:rPr>
                <w:lang w:val="en"/>
              </w:rPr>
              <w:t>1.03</w:t>
            </w:r>
          </w:p>
        </w:tc>
        <w:tc>
          <w:tcPr>
            <w:tcW w:w="1276" w:type="dxa"/>
          </w:tcPr>
          <w:p w:rsidR="000C0A41" w:rsidRPr="003924F3" w:rsidRDefault="000C0A41" w:rsidP="001E4AAB">
            <w:pPr>
              <w:jc w:val="center"/>
              <w:cnfStyle w:val="000000000000" w:firstRow="0" w:lastRow="0" w:firstColumn="0" w:lastColumn="0" w:oddVBand="0" w:evenVBand="0" w:oddHBand="0" w:evenHBand="0" w:firstRowFirstColumn="0" w:firstRowLastColumn="0" w:lastRowFirstColumn="0" w:lastRowLastColumn="0"/>
              <w:rPr>
                <w:lang w:val="en"/>
              </w:rPr>
            </w:pPr>
            <w:r w:rsidRPr="003924F3">
              <w:rPr>
                <w:lang w:val="en"/>
              </w:rPr>
              <w:t>0.97-1.10</w:t>
            </w:r>
          </w:p>
        </w:tc>
        <w:tc>
          <w:tcPr>
            <w:tcW w:w="1276" w:type="dxa"/>
          </w:tcPr>
          <w:p w:rsidR="000C0A41" w:rsidRPr="003924F3" w:rsidRDefault="000C0A41" w:rsidP="001E4AAB">
            <w:pPr>
              <w:jc w:val="center"/>
              <w:cnfStyle w:val="000000000000" w:firstRow="0" w:lastRow="0" w:firstColumn="0" w:lastColumn="0" w:oddVBand="0" w:evenVBand="0" w:oddHBand="0" w:evenHBand="0" w:firstRowFirstColumn="0" w:firstRowLastColumn="0" w:lastRowFirstColumn="0" w:lastRowLastColumn="0"/>
              <w:rPr>
                <w:lang w:val="en"/>
              </w:rPr>
            </w:pPr>
            <w:r w:rsidRPr="003924F3">
              <w:rPr>
                <w:lang w:val="en"/>
              </w:rPr>
              <w:t>ns</w:t>
            </w:r>
          </w:p>
        </w:tc>
      </w:tr>
      <w:tr w:rsidR="000C0A41" w:rsidRPr="00A62166" w:rsidTr="00E42C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rsidR="000C0A41" w:rsidRPr="003924F3" w:rsidRDefault="000C0A41" w:rsidP="001E4AAB">
            <w:pPr>
              <w:jc w:val="left"/>
              <w:rPr>
                <w:b w:val="0"/>
                <w:lang w:val="en"/>
              </w:rPr>
            </w:pPr>
            <w:r w:rsidRPr="003924F3">
              <w:rPr>
                <w:b w:val="0"/>
                <w:lang w:val="en"/>
              </w:rPr>
              <w:t>Cooking (per 10 years)</w:t>
            </w:r>
          </w:p>
        </w:tc>
        <w:tc>
          <w:tcPr>
            <w:tcW w:w="3969" w:type="dxa"/>
          </w:tcPr>
          <w:p w:rsidR="000C0A41" w:rsidRPr="003924F3" w:rsidRDefault="000C0A41" w:rsidP="007A6CA5">
            <w:pPr>
              <w:jc w:val="left"/>
              <w:cnfStyle w:val="000000100000" w:firstRow="0" w:lastRow="0" w:firstColumn="0" w:lastColumn="0" w:oddVBand="0" w:evenVBand="0" w:oddHBand="1" w:evenHBand="0" w:firstRowFirstColumn="0" w:firstRowLastColumn="0" w:lastRowFirstColumn="0" w:lastRowLastColumn="0"/>
            </w:pPr>
            <w:r w:rsidRPr="003924F3">
              <w:t xml:space="preserve">Pooled OR from </w:t>
            </w:r>
            <w:r w:rsidRPr="003924F3">
              <w:rPr>
                <w:noProof/>
              </w:rPr>
              <w:t>[70]</w:t>
            </w:r>
            <w:r w:rsidRPr="003924F3">
              <w:t xml:space="preserve"> (BOLD study) – prevalence odds</w:t>
            </w:r>
          </w:p>
        </w:tc>
        <w:tc>
          <w:tcPr>
            <w:tcW w:w="1275" w:type="dxa"/>
          </w:tcPr>
          <w:p w:rsidR="000C0A41" w:rsidRPr="003924F3" w:rsidRDefault="000C0A41" w:rsidP="001E4AAB">
            <w:pPr>
              <w:jc w:val="center"/>
              <w:cnfStyle w:val="000000100000" w:firstRow="0" w:lastRow="0" w:firstColumn="0" w:lastColumn="0" w:oddVBand="0" w:evenVBand="0" w:oddHBand="1" w:evenHBand="0" w:firstRowFirstColumn="0" w:firstRowLastColumn="0" w:lastRowFirstColumn="0" w:lastRowLastColumn="0"/>
              <w:rPr>
                <w:lang w:val="en"/>
              </w:rPr>
            </w:pPr>
            <w:r w:rsidRPr="003924F3">
              <w:rPr>
                <w:lang w:val="en"/>
              </w:rPr>
              <w:t>0.98</w:t>
            </w:r>
          </w:p>
        </w:tc>
        <w:tc>
          <w:tcPr>
            <w:tcW w:w="1276" w:type="dxa"/>
          </w:tcPr>
          <w:p w:rsidR="000C0A41" w:rsidRPr="003924F3" w:rsidRDefault="000C0A41" w:rsidP="001E4AAB">
            <w:pPr>
              <w:jc w:val="center"/>
              <w:cnfStyle w:val="000000100000" w:firstRow="0" w:lastRow="0" w:firstColumn="0" w:lastColumn="0" w:oddVBand="0" w:evenVBand="0" w:oddHBand="1" w:evenHBand="0" w:firstRowFirstColumn="0" w:firstRowLastColumn="0" w:lastRowFirstColumn="0" w:lastRowLastColumn="0"/>
              <w:rPr>
                <w:lang w:val="en"/>
              </w:rPr>
            </w:pPr>
            <w:r w:rsidRPr="003924F3">
              <w:rPr>
                <w:lang w:val="en"/>
              </w:rPr>
              <w:t>0.70-1.37</w:t>
            </w:r>
          </w:p>
        </w:tc>
        <w:tc>
          <w:tcPr>
            <w:tcW w:w="1276" w:type="dxa"/>
          </w:tcPr>
          <w:p w:rsidR="000C0A41" w:rsidRDefault="000C0A41" w:rsidP="001E4AAB">
            <w:pPr>
              <w:jc w:val="center"/>
              <w:cnfStyle w:val="000000100000" w:firstRow="0" w:lastRow="0" w:firstColumn="0" w:lastColumn="0" w:oddVBand="0" w:evenVBand="0" w:oddHBand="1" w:evenHBand="0" w:firstRowFirstColumn="0" w:firstRowLastColumn="0" w:lastRowFirstColumn="0" w:lastRowLastColumn="0"/>
              <w:rPr>
                <w:lang w:val="en"/>
              </w:rPr>
            </w:pPr>
            <w:r w:rsidRPr="003924F3">
              <w:rPr>
                <w:lang w:val="en"/>
              </w:rPr>
              <w:t>ns</w:t>
            </w:r>
          </w:p>
        </w:tc>
      </w:tr>
    </w:tbl>
    <w:p w:rsidR="000C0A41" w:rsidRDefault="000C0A41" w:rsidP="00294D2C">
      <w:bookmarkStart w:id="25" w:name="_Ref372885346"/>
      <w:bookmarkStart w:id="26" w:name="_Ref443902313"/>
    </w:p>
    <w:p w:rsidR="000C0A41" w:rsidRPr="00070FCA" w:rsidRDefault="000C0A41" w:rsidP="00070FCA">
      <w:bookmarkStart w:id="27" w:name="_Ref374356402"/>
      <w:bookmarkEnd w:id="25"/>
      <w:bookmarkEnd w:id="26"/>
      <w:r>
        <w:br w:type="page"/>
      </w:r>
      <w:r w:rsidRPr="00070FCA">
        <w:lastRenderedPageBreak/>
        <w:t>As previously mentioned, COPD is a clinical diagnosis and diagnosing COPD based on spirometry alone in those with low pre-test probability (such as the general population) is likely to result in significant over-diagnosis, notably because of misdiagnosis with asthma. Many epidemiological studies have, however, used spirometry alone as a definition of COPD, therefore making estimates of population prevalence of COPD difficult. A 2015 study by Raluy-Callado reported the prevalence of COPD both from doctor diagnosed COPD in the UK, and spirometrically defined COPD worldwide.</w:t>
      </w:r>
      <w:r>
        <w:t xml:space="preserve"> </w:t>
      </w:r>
      <w:r w:rsidRPr="00295DB6">
        <w:t>Raluy-Callado 2015, UK, Physician diagnosed COPD from EHR records, 3.3% (3.1-3.6%), -, -, 64 (SD, 11)</w:t>
      </w:r>
    </w:p>
    <w:p w:rsidR="000C0A41" w:rsidRDefault="000C0A41" w:rsidP="00295DB6">
      <w:r>
        <w:br w:type="page"/>
      </w:r>
    </w:p>
    <w:p w:rsidR="000C0A41" w:rsidRDefault="000C0A41" w:rsidP="000C0A41">
      <w:pPr>
        <w:pStyle w:val="Heading1"/>
        <w:numPr>
          <w:ilvl w:val="0"/>
          <w:numId w:val="19"/>
        </w:numPr>
      </w:pPr>
      <w:bookmarkStart w:id="28" w:name="_Toc458185257"/>
      <w:r>
        <w:lastRenderedPageBreak/>
        <w:t>Methods</w:t>
      </w:r>
      <w:bookmarkEnd w:id="28"/>
    </w:p>
    <w:p w:rsidR="000C0A41" w:rsidRPr="00E20B24" w:rsidRDefault="000C0A41" w:rsidP="00B12E59">
      <w:pPr>
        <w:pStyle w:val="Heading2"/>
      </w:pPr>
      <w:bookmarkStart w:id="29" w:name="_Toc458185258"/>
      <w:bookmarkEnd w:id="27"/>
      <w:r>
        <w:t xml:space="preserve">COPD </w:t>
      </w:r>
      <w:r w:rsidRPr="00074C00">
        <w:t>prevalence from UK</w:t>
      </w:r>
      <w:r>
        <w:t xml:space="preserve"> primary care data</w:t>
      </w:r>
      <w:r w:rsidRPr="00074C00">
        <w:t>:</w:t>
      </w:r>
      <w:r>
        <w:t xml:space="preserve"> </w:t>
      </w:r>
      <w:r w:rsidRPr="00E20B24">
        <w:t>C</w:t>
      </w:r>
      <w:r>
        <w:t xml:space="preserve">linical </w:t>
      </w:r>
      <w:r w:rsidRPr="00E20B24">
        <w:t>P</w:t>
      </w:r>
      <w:r>
        <w:t xml:space="preserve">ractice </w:t>
      </w:r>
      <w:r w:rsidRPr="00E20B24">
        <w:t>R</w:t>
      </w:r>
      <w:r>
        <w:t xml:space="preserve">esearch </w:t>
      </w:r>
      <w:r w:rsidRPr="00E20B24">
        <w:t>D</w:t>
      </w:r>
      <w:r>
        <w:t>atalink</w:t>
      </w:r>
      <w:bookmarkEnd w:id="29"/>
    </w:p>
    <w:p w:rsidR="000C0A41" w:rsidRPr="004570A9" w:rsidRDefault="000C0A41" w:rsidP="00A224D3">
      <w:pPr>
        <w:pStyle w:val="Heading3"/>
      </w:pPr>
      <w:bookmarkStart w:id="30" w:name="_Toc458185259"/>
      <w:r w:rsidRPr="004570A9">
        <w:t>Data source</w:t>
      </w:r>
      <w:r>
        <w:t xml:space="preserve">, </w:t>
      </w:r>
      <w:r w:rsidRPr="004570A9">
        <w:t>sampling</w:t>
      </w:r>
      <w:r>
        <w:t xml:space="preserve"> and COPD code lists</w:t>
      </w:r>
      <w:bookmarkEnd w:id="30"/>
    </w:p>
    <w:p w:rsidR="000C0A41" w:rsidRDefault="000C0A41" w:rsidP="006732DC">
      <w:r>
        <w:t>Given the difficulties associated with the use of HSfE 2010 data, we decided to use Clinical Practice Research Datalink (CPRD) data extracts. CPRD is an ongoing primary care database of longitudinal anonymised electronic health records (EHRs) from general practitioners, with coverage of over 11.3 million patients from 674 practices in the UK.</w:t>
      </w:r>
      <w:r>
        <w:rPr>
          <w:noProof/>
        </w:rPr>
        <w:t>[71]</w:t>
      </w:r>
      <w:r>
        <w:t xml:space="preserve"> With 4.4 million active (alive, currently registered) patients meeting quality criteria, approximately 6.9% of the UK population are included and patients are broadly representative of the UK general population in terms of age, sex and ethnicity.  The distribution of CPRD practices is shown in </w:t>
      </w:r>
      <w:r>
        <w:fldChar w:fldCharType="begin"/>
      </w:r>
      <w:r>
        <w:instrText xml:space="preserve"> REF _Ref444488214 \h  \* MERGEFORMAT </w:instrText>
      </w:r>
      <w:r>
        <w:fldChar w:fldCharType="separate"/>
      </w:r>
      <w:r w:rsidRPr="00564AA2">
        <w:t xml:space="preserve">Figure </w:t>
      </w:r>
      <w:r>
        <w:rPr>
          <w:noProof/>
        </w:rPr>
        <w:t>2</w:t>
      </w:r>
      <w:r>
        <w:fldChar w:fldCharType="end"/>
      </w:r>
      <w:r>
        <w:t xml:space="preserve"> below.</w:t>
      </w:r>
    </w:p>
    <w:p w:rsidR="000C0A41" w:rsidRPr="00564AA2" w:rsidRDefault="000C0A41" w:rsidP="00BF2714">
      <w:pPr>
        <w:pStyle w:val="Caption"/>
      </w:pPr>
      <w:bookmarkStart w:id="31" w:name="_Ref444488214"/>
      <w:r w:rsidRPr="00564AA2">
        <w:t xml:space="preserve">Figure </w:t>
      </w:r>
      <w:fldSimple w:instr=" SEQ Figure \* ARABIC ">
        <w:r>
          <w:rPr>
            <w:noProof/>
          </w:rPr>
          <w:t>2</w:t>
        </w:r>
      </w:fldSimple>
      <w:bookmarkEnd w:id="31"/>
      <w:r w:rsidRPr="00564AA2">
        <w:t>: distribution of 674 CPRD practices by region in England, and in Wales, Scotland and Northern Ireland</w:t>
      </w:r>
    </w:p>
    <w:p w:rsidR="000C0A41" w:rsidRDefault="000C0A41" w:rsidP="00BF2714">
      <w:pPr>
        <w:jc w:val="center"/>
      </w:pPr>
      <w:r>
        <w:rPr>
          <w:noProof/>
          <w:lang w:eastAsia="en-GB"/>
        </w:rPr>
        <w:drawing>
          <wp:inline distT="0" distB="0" distL="0" distR="0" wp14:anchorId="4286FE2D" wp14:editId="4FD1D4D2">
            <wp:extent cx="3889375" cy="453580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9375" cy="4535805"/>
                    </a:xfrm>
                    <a:prstGeom prst="rect">
                      <a:avLst/>
                    </a:prstGeom>
                    <a:noFill/>
                  </pic:spPr>
                </pic:pic>
              </a:graphicData>
            </a:graphic>
          </wp:inline>
        </w:drawing>
      </w:r>
    </w:p>
    <w:p w:rsidR="000C0A41" w:rsidRDefault="000C0A41" w:rsidP="0061054C">
      <w:pPr>
        <w:pStyle w:val="Heading2"/>
      </w:pPr>
      <w:bookmarkStart w:id="32" w:name="_Ref413848218"/>
      <w:bookmarkStart w:id="33" w:name="_Toc458185260"/>
      <w:r>
        <w:t>Outcome definition: definite/probable COPD</w:t>
      </w:r>
      <w:bookmarkEnd w:id="33"/>
    </w:p>
    <w:p w:rsidR="000C0A41" w:rsidRDefault="000C0A41" w:rsidP="005834D3">
      <w:r>
        <w:t>We identified cases of COPD in three ways:</w:t>
      </w:r>
    </w:p>
    <w:p w:rsidR="000C0A41" w:rsidRDefault="000C0A41" w:rsidP="00070FCA">
      <w:pPr>
        <w:pStyle w:val="ListParagraph"/>
        <w:numPr>
          <w:ilvl w:val="0"/>
          <w:numId w:val="37"/>
        </w:numPr>
        <w:spacing w:before="120"/>
        <w:ind w:left="714" w:hanging="357"/>
        <w:contextualSpacing w:val="0"/>
      </w:pPr>
      <w:r>
        <w:t>cases diagnosed by a doctor (usually the GP) and entered into CPRD</w:t>
      </w:r>
    </w:p>
    <w:p w:rsidR="000C0A41" w:rsidRDefault="000C0A41" w:rsidP="00070FCA">
      <w:pPr>
        <w:pStyle w:val="ListParagraph"/>
        <w:numPr>
          <w:ilvl w:val="0"/>
          <w:numId w:val="37"/>
        </w:numPr>
        <w:spacing w:before="120"/>
        <w:ind w:left="714" w:hanging="357"/>
        <w:contextualSpacing w:val="0"/>
      </w:pPr>
      <w:r>
        <w:lastRenderedPageBreak/>
        <w:t>cases with linked Hospital Episode Statistics (HES) inpatient diagnosis of COPD, which has been validated for other diseases</w:t>
      </w:r>
    </w:p>
    <w:p w:rsidR="000C0A41" w:rsidRDefault="000C0A41" w:rsidP="00070FCA">
      <w:pPr>
        <w:pStyle w:val="ListParagraph"/>
        <w:numPr>
          <w:ilvl w:val="0"/>
          <w:numId w:val="37"/>
        </w:numPr>
        <w:spacing w:before="120"/>
        <w:ind w:left="714" w:hanging="357"/>
        <w:contextualSpacing w:val="0"/>
      </w:pPr>
      <w:r>
        <w:t>cases which can be inferred from records of symptoms and prescriptions.</w:t>
      </w:r>
    </w:p>
    <w:p w:rsidR="000C0A41" w:rsidRDefault="000C0A41" w:rsidP="005834D3"/>
    <w:p w:rsidR="000C0A41" w:rsidRDefault="000C0A41" w:rsidP="00643838">
      <w:r>
        <w:t>In CPRD, version 2 5-byte Read codes, which are hierarchical, are converted into non-hierarchical numeric codes (“medcodes”). We compiled a list of CPRD medcodes for doctor diagnosis of COPD, for the symptoms which make up the COPD classification and for the drugs used on COPD patients. In the 2014 paper by Quint et al,</w:t>
      </w:r>
      <w:r>
        <w:rPr>
          <w:noProof/>
        </w:rPr>
        <w:t>[46]</w:t>
      </w:r>
      <w:r>
        <w:t xml:space="preserve"> efforts were made to select only definite COPD cases. For that reason, not all the Read codes included in the QOF COPD list were selected.  The same medcodes were used here. As one of the objectives of the local COPD prevalence estimates is to compare them with QOF prevalence, using the Quint et al code list as an outcome might underestimate prevalence. The list of QOF codes is shown in </w:t>
      </w:r>
      <w:r>
        <w:fldChar w:fldCharType="begin"/>
      </w:r>
      <w:r>
        <w:instrText xml:space="preserve"> REF _Ref457922608 \h </w:instrText>
      </w:r>
      <w:r>
        <w:fldChar w:fldCharType="separate"/>
      </w:r>
      <w:r>
        <w:t xml:space="preserve">Table </w:t>
      </w:r>
      <w:r>
        <w:rPr>
          <w:noProof/>
        </w:rPr>
        <w:t>10</w:t>
      </w:r>
      <w:r>
        <w:fldChar w:fldCharType="end"/>
      </w:r>
      <w:r>
        <w:t>.</w:t>
      </w:r>
    </w:p>
    <w:p w:rsidR="000C0A41" w:rsidRDefault="000C0A41" w:rsidP="009434DE">
      <w:pPr>
        <w:pStyle w:val="Caption"/>
      </w:pPr>
      <w:bookmarkStart w:id="34" w:name="_Ref457922608"/>
      <w:bookmarkEnd w:id="32"/>
      <w:r>
        <w:t xml:space="preserve">Table </w:t>
      </w:r>
      <w:fldSimple w:instr=" SEQ Table \* ARABIC ">
        <w:r>
          <w:rPr>
            <w:noProof/>
          </w:rPr>
          <w:t>10</w:t>
        </w:r>
      </w:fldSimple>
      <w:bookmarkEnd w:id="34"/>
      <w:r>
        <w:t>: QOF Read codes and codes used by Quint et al (2014)</w:t>
      </w:r>
    </w:p>
    <w:tbl>
      <w:tblPr>
        <w:tblStyle w:val="GridTable4-Accent1"/>
        <w:tblW w:w="9067" w:type="dxa"/>
        <w:jc w:val="center"/>
        <w:tblLook w:val="04A0" w:firstRow="1" w:lastRow="0" w:firstColumn="1" w:lastColumn="0" w:noHBand="0" w:noVBand="1"/>
      </w:tblPr>
      <w:tblGrid>
        <w:gridCol w:w="2022"/>
        <w:gridCol w:w="5320"/>
        <w:gridCol w:w="1725"/>
      </w:tblGrid>
      <w:tr w:rsidR="000C0A41" w:rsidRPr="0037448D" w:rsidTr="009434DE">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2022" w:type="dxa"/>
            <w:hideMark/>
          </w:tcPr>
          <w:p w:rsidR="000C0A41" w:rsidRPr="0037448D" w:rsidRDefault="000C0A41" w:rsidP="009434DE">
            <w:pPr>
              <w:jc w:val="center"/>
            </w:pPr>
            <w:r w:rsidRPr="0037448D">
              <w:t>QOF Read code</w:t>
            </w:r>
          </w:p>
        </w:tc>
        <w:tc>
          <w:tcPr>
            <w:tcW w:w="5320" w:type="dxa"/>
            <w:hideMark/>
          </w:tcPr>
          <w:p w:rsidR="000C0A41" w:rsidRPr="0037448D" w:rsidRDefault="000C0A41" w:rsidP="009434DE">
            <w:pPr>
              <w:jc w:val="center"/>
              <w:cnfStyle w:val="100000000000" w:firstRow="1" w:lastRow="0" w:firstColumn="0" w:lastColumn="0" w:oddVBand="0" w:evenVBand="0" w:oddHBand="0" w:evenHBand="0" w:firstRowFirstColumn="0" w:firstRowLastColumn="0" w:lastRowFirstColumn="0" w:lastRowLastColumn="0"/>
            </w:pPr>
            <w:r w:rsidRPr="0037448D">
              <w:t>QOF Read term</w:t>
            </w:r>
          </w:p>
        </w:tc>
        <w:tc>
          <w:tcPr>
            <w:tcW w:w="1725" w:type="dxa"/>
            <w:hideMark/>
          </w:tcPr>
          <w:p w:rsidR="000C0A41" w:rsidRPr="0037448D" w:rsidRDefault="000C0A41" w:rsidP="009434DE">
            <w:pPr>
              <w:jc w:val="center"/>
              <w:cnfStyle w:val="100000000000" w:firstRow="1" w:lastRow="0" w:firstColumn="0" w:lastColumn="0" w:oddVBand="0" w:evenVBand="0" w:oddHBand="0" w:evenHBand="0" w:firstRowFirstColumn="0" w:firstRowLastColumn="0" w:lastRowFirstColumn="0" w:lastRowLastColumn="0"/>
            </w:pPr>
            <w:r w:rsidRPr="0037448D">
              <w:t>Quint et al 2015</w:t>
            </w:r>
          </w:p>
        </w:tc>
      </w:tr>
      <w:tr w:rsidR="000C0A41" w:rsidRPr="0037448D" w:rsidTr="009434D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22" w:type="dxa"/>
            <w:noWrap/>
            <w:hideMark/>
          </w:tcPr>
          <w:p w:rsidR="000C0A41" w:rsidRPr="0037448D" w:rsidRDefault="000C0A41" w:rsidP="0037448D">
            <w:r w:rsidRPr="0037448D">
              <w:t>H32..00</w:t>
            </w:r>
          </w:p>
        </w:tc>
        <w:tc>
          <w:tcPr>
            <w:tcW w:w="5320" w:type="dxa"/>
            <w:noWrap/>
            <w:hideMark/>
          </w:tcPr>
          <w:p w:rsidR="000C0A41" w:rsidRPr="0037448D" w:rsidRDefault="000C0A41">
            <w:pPr>
              <w:cnfStyle w:val="000000100000" w:firstRow="0" w:lastRow="0" w:firstColumn="0" w:lastColumn="0" w:oddVBand="0" w:evenVBand="0" w:oddHBand="1" w:evenHBand="0" w:firstRowFirstColumn="0" w:firstRowLastColumn="0" w:lastRowFirstColumn="0" w:lastRowLastColumn="0"/>
            </w:pPr>
            <w:r w:rsidRPr="0037448D">
              <w:t>Emphysema</w:t>
            </w:r>
          </w:p>
        </w:tc>
        <w:tc>
          <w:tcPr>
            <w:tcW w:w="1725" w:type="dxa"/>
            <w:noWrap/>
            <w:hideMark/>
          </w:tcPr>
          <w:p w:rsidR="000C0A41" w:rsidRPr="0037448D" w:rsidRDefault="000C0A41" w:rsidP="009434DE">
            <w:pPr>
              <w:jc w:val="center"/>
              <w:cnfStyle w:val="000000100000" w:firstRow="0" w:lastRow="0" w:firstColumn="0" w:lastColumn="0" w:oddVBand="0" w:evenVBand="0" w:oddHBand="1" w:evenHBand="0" w:firstRowFirstColumn="0" w:firstRowLastColumn="0" w:lastRowFirstColumn="0" w:lastRowLastColumn="0"/>
              <w:rPr>
                <w:b/>
                <w:bCs/>
              </w:rPr>
            </w:pPr>
            <w:r w:rsidRPr="0037448D">
              <w:rPr>
                <w:b/>
                <w:bCs/>
              </w:rPr>
              <w:t>√</w:t>
            </w:r>
          </w:p>
        </w:tc>
      </w:tr>
      <w:tr w:rsidR="000C0A41" w:rsidRPr="0037448D" w:rsidTr="009434DE">
        <w:trPr>
          <w:trHeight w:val="300"/>
          <w:jc w:val="center"/>
        </w:trPr>
        <w:tc>
          <w:tcPr>
            <w:cnfStyle w:val="001000000000" w:firstRow="0" w:lastRow="0" w:firstColumn="1" w:lastColumn="0" w:oddVBand="0" w:evenVBand="0" w:oddHBand="0" w:evenHBand="0" w:firstRowFirstColumn="0" w:firstRowLastColumn="0" w:lastRowFirstColumn="0" w:lastRowLastColumn="0"/>
            <w:tcW w:w="2022" w:type="dxa"/>
            <w:noWrap/>
            <w:hideMark/>
          </w:tcPr>
          <w:p w:rsidR="000C0A41" w:rsidRPr="0037448D" w:rsidRDefault="000C0A41" w:rsidP="0037448D">
            <w:r w:rsidRPr="0037448D">
              <w:t>H3...00</w:t>
            </w:r>
          </w:p>
        </w:tc>
        <w:tc>
          <w:tcPr>
            <w:tcW w:w="5320" w:type="dxa"/>
            <w:noWrap/>
            <w:hideMark/>
          </w:tcPr>
          <w:p w:rsidR="000C0A41" w:rsidRPr="0037448D" w:rsidRDefault="000C0A41">
            <w:pPr>
              <w:cnfStyle w:val="000000000000" w:firstRow="0" w:lastRow="0" w:firstColumn="0" w:lastColumn="0" w:oddVBand="0" w:evenVBand="0" w:oddHBand="0" w:evenHBand="0" w:firstRowFirstColumn="0" w:firstRowLastColumn="0" w:lastRowFirstColumn="0" w:lastRowLastColumn="0"/>
            </w:pPr>
            <w:r w:rsidRPr="0037448D">
              <w:t>Chronic obstructive pulmonary disease</w:t>
            </w:r>
          </w:p>
        </w:tc>
        <w:tc>
          <w:tcPr>
            <w:tcW w:w="1725" w:type="dxa"/>
            <w:noWrap/>
            <w:hideMark/>
          </w:tcPr>
          <w:p w:rsidR="000C0A41" w:rsidRPr="0037448D" w:rsidRDefault="000C0A41" w:rsidP="009434DE">
            <w:pPr>
              <w:jc w:val="center"/>
              <w:cnfStyle w:val="000000000000" w:firstRow="0" w:lastRow="0" w:firstColumn="0" w:lastColumn="0" w:oddVBand="0" w:evenVBand="0" w:oddHBand="0" w:evenHBand="0" w:firstRowFirstColumn="0" w:firstRowLastColumn="0" w:lastRowFirstColumn="0" w:lastRowLastColumn="0"/>
              <w:rPr>
                <w:b/>
                <w:bCs/>
              </w:rPr>
            </w:pPr>
            <w:r w:rsidRPr="0037448D">
              <w:rPr>
                <w:b/>
                <w:bCs/>
              </w:rPr>
              <w:t>√</w:t>
            </w:r>
          </w:p>
        </w:tc>
      </w:tr>
      <w:tr w:rsidR="000C0A41" w:rsidRPr="0037448D" w:rsidTr="009434D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22" w:type="dxa"/>
            <w:noWrap/>
            <w:hideMark/>
          </w:tcPr>
          <w:p w:rsidR="000C0A41" w:rsidRPr="0037448D" w:rsidRDefault="000C0A41" w:rsidP="0037448D">
            <w:r w:rsidRPr="0037448D">
              <w:t>H3z..00</w:t>
            </w:r>
          </w:p>
        </w:tc>
        <w:tc>
          <w:tcPr>
            <w:tcW w:w="5320" w:type="dxa"/>
            <w:noWrap/>
            <w:hideMark/>
          </w:tcPr>
          <w:p w:rsidR="000C0A41" w:rsidRPr="0037448D" w:rsidRDefault="000C0A41">
            <w:pPr>
              <w:cnfStyle w:val="000000100000" w:firstRow="0" w:lastRow="0" w:firstColumn="0" w:lastColumn="0" w:oddVBand="0" w:evenVBand="0" w:oddHBand="1" w:evenHBand="0" w:firstRowFirstColumn="0" w:firstRowLastColumn="0" w:lastRowFirstColumn="0" w:lastRowLastColumn="0"/>
            </w:pPr>
            <w:r w:rsidRPr="0037448D">
              <w:t>Chronic obstructive airways disease NOS</w:t>
            </w:r>
          </w:p>
        </w:tc>
        <w:tc>
          <w:tcPr>
            <w:tcW w:w="1725" w:type="dxa"/>
            <w:noWrap/>
            <w:hideMark/>
          </w:tcPr>
          <w:p w:rsidR="000C0A41" w:rsidRPr="0037448D" w:rsidRDefault="000C0A41" w:rsidP="009434DE">
            <w:pPr>
              <w:jc w:val="center"/>
              <w:cnfStyle w:val="000000100000" w:firstRow="0" w:lastRow="0" w:firstColumn="0" w:lastColumn="0" w:oddVBand="0" w:evenVBand="0" w:oddHBand="1" w:evenHBand="0" w:firstRowFirstColumn="0" w:firstRowLastColumn="0" w:lastRowFirstColumn="0" w:lastRowLastColumn="0"/>
              <w:rPr>
                <w:b/>
                <w:bCs/>
              </w:rPr>
            </w:pPr>
            <w:r w:rsidRPr="0037448D">
              <w:rPr>
                <w:b/>
                <w:bCs/>
              </w:rPr>
              <w:t>√</w:t>
            </w:r>
          </w:p>
        </w:tc>
      </w:tr>
      <w:tr w:rsidR="000C0A41" w:rsidRPr="0037448D" w:rsidTr="009434DE">
        <w:trPr>
          <w:trHeight w:val="300"/>
          <w:jc w:val="center"/>
        </w:trPr>
        <w:tc>
          <w:tcPr>
            <w:cnfStyle w:val="001000000000" w:firstRow="0" w:lastRow="0" w:firstColumn="1" w:lastColumn="0" w:oddVBand="0" w:evenVBand="0" w:oddHBand="0" w:evenHBand="0" w:firstRowFirstColumn="0" w:firstRowLastColumn="0" w:lastRowFirstColumn="0" w:lastRowLastColumn="0"/>
            <w:tcW w:w="2022" w:type="dxa"/>
            <w:noWrap/>
            <w:hideMark/>
          </w:tcPr>
          <w:p w:rsidR="000C0A41" w:rsidRPr="0037448D" w:rsidRDefault="000C0A41" w:rsidP="0037448D">
            <w:r w:rsidRPr="0037448D">
              <w:t>H38..00</w:t>
            </w:r>
          </w:p>
        </w:tc>
        <w:tc>
          <w:tcPr>
            <w:tcW w:w="5320" w:type="dxa"/>
            <w:noWrap/>
            <w:hideMark/>
          </w:tcPr>
          <w:p w:rsidR="000C0A41" w:rsidRPr="0037448D" w:rsidRDefault="000C0A41">
            <w:pPr>
              <w:cnfStyle w:val="000000000000" w:firstRow="0" w:lastRow="0" w:firstColumn="0" w:lastColumn="0" w:oddVBand="0" w:evenVBand="0" w:oddHBand="0" w:evenHBand="0" w:firstRowFirstColumn="0" w:firstRowLastColumn="0" w:lastRowFirstColumn="0" w:lastRowLastColumn="0"/>
            </w:pPr>
            <w:r w:rsidRPr="0037448D">
              <w:t>Severe chronic obstructive pulmonary disease</w:t>
            </w:r>
          </w:p>
        </w:tc>
        <w:tc>
          <w:tcPr>
            <w:tcW w:w="1725" w:type="dxa"/>
            <w:noWrap/>
            <w:hideMark/>
          </w:tcPr>
          <w:p w:rsidR="000C0A41" w:rsidRPr="0037448D" w:rsidRDefault="000C0A41" w:rsidP="009434DE">
            <w:pPr>
              <w:jc w:val="center"/>
              <w:cnfStyle w:val="000000000000" w:firstRow="0" w:lastRow="0" w:firstColumn="0" w:lastColumn="0" w:oddVBand="0" w:evenVBand="0" w:oddHBand="0" w:evenHBand="0" w:firstRowFirstColumn="0" w:firstRowLastColumn="0" w:lastRowFirstColumn="0" w:lastRowLastColumn="0"/>
              <w:rPr>
                <w:b/>
                <w:bCs/>
              </w:rPr>
            </w:pPr>
            <w:r w:rsidRPr="0037448D">
              <w:rPr>
                <w:b/>
                <w:bCs/>
              </w:rPr>
              <w:t>√</w:t>
            </w:r>
          </w:p>
        </w:tc>
      </w:tr>
      <w:tr w:rsidR="000C0A41" w:rsidRPr="0037448D" w:rsidTr="009434D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22" w:type="dxa"/>
            <w:noWrap/>
            <w:hideMark/>
          </w:tcPr>
          <w:p w:rsidR="000C0A41" w:rsidRPr="0037448D" w:rsidRDefault="000C0A41" w:rsidP="0037448D">
            <w:r w:rsidRPr="0037448D">
              <w:t>H37..00</w:t>
            </w:r>
          </w:p>
        </w:tc>
        <w:tc>
          <w:tcPr>
            <w:tcW w:w="5320" w:type="dxa"/>
            <w:noWrap/>
            <w:hideMark/>
          </w:tcPr>
          <w:p w:rsidR="000C0A41" w:rsidRPr="0037448D" w:rsidRDefault="000C0A41">
            <w:pPr>
              <w:cnfStyle w:val="000000100000" w:firstRow="0" w:lastRow="0" w:firstColumn="0" w:lastColumn="0" w:oddVBand="0" w:evenVBand="0" w:oddHBand="1" w:evenHBand="0" w:firstRowFirstColumn="0" w:firstRowLastColumn="0" w:lastRowFirstColumn="0" w:lastRowLastColumn="0"/>
            </w:pPr>
            <w:r w:rsidRPr="0037448D">
              <w:t>Moderate chronic obstructive pulmonary disease</w:t>
            </w:r>
          </w:p>
        </w:tc>
        <w:tc>
          <w:tcPr>
            <w:tcW w:w="1725" w:type="dxa"/>
            <w:noWrap/>
            <w:hideMark/>
          </w:tcPr>
          <w:p w:rsidR="000C0A41" w:rsidRPr="0037448D" w:rsidRDefault="000C0A41" w:rsidP="009434DE">
            <w:pPr>
              <w:jc w:val="center"/>
              <w:cnfStyle w:val="000000100000" w:firstRow="0" w:lastRow="0" w:firstColumn="0" w:lastColumn="0" w:oddVBand="0" w:evenVBand="0" w:oddHBand="1" w:evenHBand="0" w:firstRowFirstColumn="0" w:firstRowLastColumn="0" w:lastRowFirstColumn="0" w:lastRowLastColumn="0"/>
              <w:rPr>
                <w:b/>
                <w:bCs/>
              </w:rPr>
            </w:pPr>
            <w:r w:rsidRPr="0037448D">
              <w:rPr>
                <w:b/>
                <w:bCs/>
              </w:rPr>
              <w:t>√</w:t>
            </w:r>
          </w:p>
        </w:tc>
      </w:tr>
      <w:tr w:rsidR="000C0A41" w:rsidRPr="0037448D" w:rsidTr="009434DE">
        <w:trPr>
          <w:trHeight w:val="300"/>
          <w:jc w:val="center"/>
        </w:trPr>
        <w:tc>
          <w:tcPr>
            <w:cnfStyle w:val="001000000000" w:firstRow="0" w:lastRow="0" w:firstColumn="1" w:lastColumn="0" w:oddVBand="0" w:evenVBand="0" w:oddHBand="0" w:evenHBand="0" w:firstRowFirstColumn="0" w:firstRowLastColumn="0" w:lastRowFirstColumn="0" w:lastRowLastColumn="0"/>
            <w:tcW w:w="2022" w:type="dxa"/>
            <w:noWrap/>
            <w:hideMark/>
          </w:tcPr>
          <w:p w:rsidR="000C0A41" w:rsidRPr="0037448D" w:rsidRDefault="000C0A41" w:rsidP="0037448D">
            <w:r w:rsidRPr="0037448D">
              <w:t>H36..00</w:t>
            </w:r>
          </w:p>
        </w:tc>
        <w:tc>
          <w:tcPr>
            <w:tcW w:w="5320" w:type="dxa"/>
            <w:noWrap/>
            <w:hideMark/>
          </w:tcPr>
          <w:p w:rsidR="000C0A41" w:rsidRPr="0037448D" w:rsidRDefault="000C0A41">
            <w:pPr>
              <w:cnfStyle w:val="000000000000" w:firstRow="0" w:lastRow="0" w:firstColumn="0" w:lastColumn="0" w:oddVBand="0" w:evenVBand="0" w:oddHBand="0" w:evenHBand="0" w:firstRowFirstColumn="0" w:firstRowLastColumn="0" w:lastRowFirstColumn="0" w:lastRowLastColumn="0"/>
            </w:pPr>
            <w:r w:rsidRPr="0037448D">
              <w:t>Mild chronic obstructive pulmonary disease</w:t>
            </w:r>
          </w:p>
        </w:tc>
        <w:tc>
          <w:tcPr>
            <w:tcW w:w="1725" w:type="dxa"/>
            <w:noWrap/>
            <w:hideMark/>
          </w:tcPr>
          <w:p w:rsidR="000C0A41" w:rsidRPr="0037448D" w:rsidRDefault="000C0A41" w:rsidP="009434DE">
            <w:pPr>
              <w:jc w:val="center"/>
              <w:cnfStyle w:val="000000000000" w:firstRow="0" w:lastRow="0" w:firstColumn="0" w:lastColumn="0" w:oddVBand="0" w:evenVBand="0" w:oddHBand="0" w:evenHBand="0" w:firstRowFirstColumn="0" w:firstRowLastColumn="0" w:lastRowFirstColumn="0" w:lastRowLastColumn="0"/>
              <w:rPr>
                <w:b/>
                <w:bCs/>
              </w:rPr>
            </w:pPr>
            <w:r w:rsidRPr="0037448D">
              <w:rPr>
                <w:b/>
                <w:bCs/>
              </w:rPr>
              <w:t>√</w:t>
            </w:r>
          </w:p>
        </w:tc>
      </w:tr>
      <w:tr w:rsidR="000C0A41" w:rsidRPr="0037448D" w:rsidTr="009434D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22" w:type="dxa"/>
            <w:noWrap/>
            <w:hideMark/>
          </w:tcPr>
          <w:p w:rsidR="000C0A41" w:rsidRPr="0037448D" w:rsidRDefault="000C0A41" w:rsidP="0037448D">
            <w:r w:rsidRPr="0037448D">
              <w:t>H322.00</w:t>
            </w:r>
          </w:p>
        </w:tc>
        <w:tc>
          <w:tcPr>
            <w:tcW w:w="5320" w:type="dxa"/>
            <w:noWrap/>
            <w:hideMark/>
          </w:tcPr>
          <w:p w:rsidR="000C0A41" w:rsidRPr="0037448D" w:rsidRDefault="000C0A41">
            <w:pPr>
              <w:cnfStyle w:val="000000100000" w:firstRow="0" w:lastRow="0" w:firstColumn="0" w:lastColumn="0" w:oddVBand="0" w:evenVBand="0" w:oddHBand="1" w:evenHBand="0" w:firstRowFirstColumn="0" w:firstRowLastColumn="0" w:lastRowFirstColumn="0" w:lastRowLastColumn="0"/>
            </w:pPr>
            <w:r w:rsidRPr="0037448D">
              <w:t>Centrilobular emphysema</w:t>
            </w:r>
          </w:p>
        </w:tc>
        <w:tc>
          <w:tcPr>
            <w:tcW w:w="1725" w:type="dxa"/>
            <w:noWrap/>
            <w:hideMark/>
          </w:tcPr>
          <w:p w:rsidR="000C0A41" w:rsidRPr="0037448D" w:rsidRDefault="000C0A41" w:rsidP="009434DE">
            <w:pPr>
              <w:jc w:val="center"/>
              <w:cnfStyle w:val="000000100000" w:firstRow="0" w:lastRow="0" w:firstColumn="0" w:lastColumn="0" w:oddVBand="0" w:evenVBand="0" w:oddHBand="1" w:evenHBand="0" w:firstRowFirstColumn="0" w:firstRowLastColumn="0" w:lastRowFirstColumn="0" w:lastRowLastColumn="0"/>
              <w:rPr>
                <w:b/>
                <w:bCs/>
              </w:rPr>
            </w:pPr>
            <w:r w:rsidRPr="0037448D">
              <w:rPr>
                <w:b/>
                <w:bCs/>
              </w:rPr>
              <w:t>√</w:t>
            </w:r>
          </w:p>
        </w:tc>
      </w:tr>
      <w:tr w:rsidR="000C0A41" w:rsidRPr="0037448D" w:rsidTr="009434DE">
        <w:trPr>
          <w:trHeight w:val="300"/>
          <w:jc w:val="center"/>
        </w:trPr>
        <w:tc>
          <w:tcPr>
            <w:cnfStyle w:val="001000000000" w:firstRow="0" w:lastRow="0" w:firstColumn="1" w:lastColumn="0" w:oddVBand="0" w:evenVBand="0" w:oddHBand="0" w:evenHBand="0" w:firstRowFirstColumn="0" w:firstRowLastColumn="0" w:lastRowFirstColumn="0" w:lastRowLastColumn="0"/>
            <w:tcW w:w="2022" w:type="dxa"/>
            <w:noWrap/>
            <w:hideMark/>
          </w:tcPr>
          <w:p w:rsidR="000C0A41" w:rsidRPr="0037448D" w:rsidRDefault="000C0A41" w:rsidP="0037448D">
            <w:r w:rsidRPr="0037448D">
              <w:t>H3y..00</w:t>
            </w:r>
          </w:p>
        </w:tc>
        <w:tc>
          <w:tcPr>
            <w:tcW w:w="5320" w:type="dxa"/>
            <w:noWrap/>
            <w:hideMark/>
          </w:tcPr>
          <w:p w:rsidR="000C0A41" w:rsidRPr="0037448D" w:rsidRDefault="000C0A41">
            <w:pPr>
              <w:cnfStyle w:val="000000000000" w:firstRow="0" w:lastRow="0" w:firstColumn="0" w:lastColumn="0" w:oddVBand="0" w:evenVBand="0" w:oddHBand="0" w:evenHBand="0" w:firstRowFirstColumn="0" w:firstRowLastColumn="0" w:lastRowFirstColumn="0" w:lastRowLastColumn="0"/>
            </w:pPr>
            <w:r w:rsidRPr="0037448D">
              <w:t>Other specified chronic obstructive airways disease</w:t>
            </w:r>
          </w:p>
        </w:tc>
        <w:tc>
          <w:tcPr>
            <w:tcW w:w="1725" w:type="dxa"/>
            <w:noWrap/>
            <w:hideMark/>
          </w:tcPr>
          <w:p w:rsidR="000C0A41" w:rsidRPr="0037448D" w:rsidRDefault="000C0A41" w:rsidP="009434DE">
            <w:pPr>
              <w:jc w:val="center"/>
              <w:cnfStyle w:val="000000000000" w:firstRow="0" w:lastRow="0" w:firstColumn="0" w:lastColumn="0" w:oddVBand="0" w:evenVBand="0" w:oddHBand="0" w:evenHBand="0" w:firstRowFirstColumn="0" w:firstRowLastColumn="0" w:lastRowFirstColumn="0" w:lastRowLastColumn="0"/>
              <w:rPr>
                <w:b/>
                <w:bCs/>
              </w:rPr>
            </w:pPr>
            <w:r w:rsidRPr="0037448D">
              <w:rPr>
                <w:b/>
                <w:bCs/>
              </w:rPr>
              <w:t>√</w:t>
            </w:r>
          </w:p>
        </w:tc>
      </w:tr>
      <w:tr w:rsidR="000C0A41" w:rsidRPr="0037448D" w:rsidTr="009434D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22" w:type="dxa"/>
            <w:noWrap/>
            <w:hideMark/>
          </w:tcPr>
          <w:p w:rsidR="000C0A41" w:rsidRPr="0037448D" w:rsidRDefault="000C0A41" w:rsidP="0037448D">
            <w:r w:rsidRPr="0037448D">
              <w:t>H312100</w:t>
            </w:r>
          </w:p>
        </w:tc>
        <w:tc>
          <w:tcPr>
            <w:tcW w:w="5320" w:type="dxa"/>
            <w:noWrap/>
            <w:hideMark/>
          </w:tcPr>
          <w:p w:rsidR="000C0A41" w:rsidRPr="0037448D" w:rsidRDefault="000C0A41">
            <w:pPr>
              <w:cnfStyle w:val="000000100000" w:firstRow="0" w:lastRow="0" w:firstColumn="0" w:lastColumn="0" w:oddVBand="0" w:evenVBand="0" w:oddHBand="1" w:evenHBand="0" w:firstRowFirstColumn="0" w:firstRowLastColumn="0" w:lastRowFirstColumn="0" w:lastRowLastColumn="0"/>
            </w:pPr>
            <w:r w:rsidRPr="0037448D">
              <w:t>Emphysematous bronchitis</w:t>
            </w:r>
          </w:p>
        </w:tc>
        <w:tc>
          <w:tcPr>
            <w:tcW w:w="1725" w:type="dxa"/>
            <w:noWrap/>
            <w:hideMark/>
          </w:tcPr>
          <w:p w:rsidR="000C0A41" w:rsidRPr="0037448D" w:rsidRDefault="000C0A41" w:rsidP="009434DE">
            <w:pPr>
              <w:jc w:val="center"/>
              <w:cnfStyle w:val="000000100000" w:firstRow="0" w:lastRow="0" w:firstColumn="0" w:lastColumn="0" w:oddVBand="0" w:evenVBand="0" w:oddHBand="1" w:evenHBand="0" w:firstRowFirstColumn="0" w:firstRowLastColumn="0" w:lastRowFirstColumn="0" w:lastRowLastColumn="0"/>
              <w:rPr>
                <w:b/>
                <w:bCs/>
              </w:rPr>
            </w:pPr>
            <w:r w:rsidRPr="0037448D">
              <w:rPr>
                <w:b/>
                <w:bCs/>
              </w:rPr>
              <w:t>√</w:t>
            </w:r>
          </w:p>
        </w:tc>
      </w:tr>
      <w:tr w:rsidR="000C0A41" w:rsidRPr="0037448D" w:rsidTr="009434DE">
        <w:trPr>
          <w:trHeight w:val="300"/>
          <w:jc w:val="center"/>
        </w:trPr>
        <w:tc>
          <w:tcPr>
            <w:cnfStyle w:val="001000000000" w:firstRow="0" w:lastRow="0" w:firstColumn="1" w:lastColumn="0" w:oddVBand="0" w:evenVBand="0" w:oddHBand="0" w:evenHBand="0" w:firstRowFirstColumn="0" w:firstRowLastColumn="0" w:lastRowFirstColumn="0" w:lastRowLastColumn="0"/>
            <w:tcW w:w="2022" w:type="dxa"/>
            <w:noWrap/>
            <w:hideMark/>
          </w:tcPr>
          <w:p w:rsidR="000C0A41" w:rsidRPr="0037448D" w:rsidRDefault="000C0A41" w:rsidP="0037448D">
            <w:r w:rsidRPr="0037448D">
              <w:t>H320z00</w:t>
            </w:r>
          </w:p>
        </w:tc>
        <w:tc>
          <w:tcPr>
            <w:tcW w:w="5320" w:type="dxa"/>
            <w:noWrap/>
            <w:hideMark/>
          </w:tcPr>
          <w:p w:rsidR="000C0A41" w:rsidRPr="0037448D" w:rsidRDefault="000C0A41">
            <w:pPr>
              <w:cnfStyle w:val="000000000000" w:firstRow="0" w:lastRow="0" w:firstColumn="0" w:lastColumn="0" w:oddVBand="0" w:evenVBand="0" w:oddHBand="0" w:evenHBand="0" w:firstRowFirstColumn="0" w:firstRowLastColumn="0" w:lastRowFirstColumn="0" w:lastRowLastColumn="0"/>
            </w:pPr>
            <w:r w:rsidRPr="0037448D">
              <w:t>Chronic bullous emphysema NOS</w:t>
            </w:r>
          </w:p>
        </w:tc>
        <w:tc>
          <w:tcPr>
            <w:tcW w:w="1725" w:type="dxa"/>
            <w:noWrap/>
            <w:hideMark/>
          </w:tcPr>
          <w:p w:rsidR="000C0A41" w:rsidRPr="0037448D" w:rsidRDefault="000C0A41" w:rsidP="009434DE">
            <w:pPr>
              <w:jc w:val="center"/>
              <w:cnfStyle w:val="000000000000" w:firstRow="0" w:lastRow="0" w:firstColumn="0" w:lastColumn="0" w:oddVBand="0" w:evenVBand="0" w:oddHBand="0" w:evenHBand="0" w:firstRowFirstColumn="0" w:firstRowLastColumn="0" w:lastRowFirstColumn="0" w:lastRowLastColumn="0"/>
              <w:rPr>
                <w:b/>
                <w:bCs/>
              </w:rPr>
            </w:pPr>
            <w:r w:rsidRPr="0037448D">
              <w:rPr>
                <w:b/>
                <w:bCs/>
              </w:rPr>
              <w:t>√</w:t>
            </w:r>
          </w:p>
        </w:tc>
      </w:tr>
      <w:tr w:rsidR="000C0A41" w:rsidRPr="0037448D" w:rsidTr="009434D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22" w:type="dxa"/>
            <w:noWrap/>
            <w:hideMark/>
          </w:tcPr>
          <w:p w:rsidR="000C0A41" w:rsidRPr="0037448D" w:rsidRDefault="000C0A41" w:rsidP="0037448D">
            <w:r w:rsidRPr="0037448D">
              <w:t>H320.00</w:t>
            </w:r>
          </w:p>
        </w:tc>
        <w:tc>
          <w:tcPr>
            <w:tcW w:w="5320" w:type="dxa"/>
            <w:noWrap/>
            <w:hideMark/>
          </w:tcPr>
          <w:p w:rsidR="000C0A41" w:rsidRPr="0037448D" w:rsidRDefault="000C0A41">
            <w:pPr>
              <w:cnfStyle w:val="000000100000" w:firstRow="0" w:lastRow="0" w:firstColumn="0" w:lastColumn="0" w:oddVBand="0" w:evenVBand="0" w:oddHBand="1" w:evenHBand="0" w:firstRowFirstColumn="0" w:firstRowLastColumn="0" w:lastRowFirstColumn="0" w:lastRowLastColumn="0"/>
            </w:pPr>
            <w:r w:rsidRPr="0037448D">
              <w:t>Chronic bullous emphysema</w:t>
            </w:r>
          </w:p>
        </w:tc>
        <w:tc>
          <w:tcPr>
            <w:tcW w:w="1725" w:type="dxa"/>
            <w:noWrap/>
            <w:hideMark/>
          </w:tcPr>
          <w:p w:rsidR="000C0A41" w:rsidRPr="0037448D" w:rsidRDefault="000C0A41" w:rsidP="009434DE">
            <w:pPr>
              <w:jc w:val="center"/>
              <w:cnfStyle w:val="000000100000" w:firstRow="0" w:lastRow="0" w:firstColumn="0" w:lastColumn="0" w:oddVBand="0" w:evenVBand="0" w:oddHBand="1" w:evenHBand="0" w:firstRowFirstColumn="0" w:firstRowLastColumn="0" w:lastRowFirstColumn="0" w:lastRowLastColumn="0"/>
              <w:rPr>
                <w:b/>
                <w:bCs/>
              </w:rPr>
            </w:pPr>
            <w:r w:rsidRPr="0037448D">
              <w:rPr>
                <w:b/>
                <w:bCs/>
              </w:rPr>
              <w:t>√</w:t>
            </w:r>
          </w:p>
        </w:tc>
      </w:tr>
      <w:tr w:rsidR="000C0A41" w:rsidRPr="0037448D" w:rsidTr="009434DE">
        <w:trPr>
          <w:trHeight w:val="300"/>
          <w:jc w:val="center"/>
        </w:trPr>
        <w:tc>
          <w:tcPr>
            <w:cnfStyle w:val="001000000000" w:firstRow="0" w:lastRow="0" w:firstColumn="1" w:lastColumn="0" w:oddVBand="0" w:evenVBand="0" w:oddHBand="0" w:evenHBand="0" w:firstRowFirstColumn="0" w:firstRowLastColumn="0" w:lastRowFirstColumn="0" w:lastRowLastColumn="0"/>
            <w:tcW w:w="2022" w:type="dxa"/>
            <w:noWrap/>
            <w:hideMark/>
          </w:tcPr>
          <w:p w:rsidR="000C0A41" w:rsidRPr="0037448D" w:rsidRDefault="000C0A41" w:rsidP="0037448D">
            <w:r w:rsidRPr="0037448D">
              <w:t>H32z.00</w:t>
            </w:r>
          </w:p>
        </w:tc>
        <w:tc>
          <w:tcPr>
            <w:tcW w:w="5320" w:type="dxa"/>
            <w:noWrap/>
            <w:hideMark/>
          </w:tcPr>
          <w:p w:rsidR="000C0A41" w:rsidRPr="0037448D" w:rsidRDefault="000C0A41">
            <w:pPr>
              <w:cnfStyle w:val="000000000000" w:firstRow="0" w:lastRow="0" w:firstColumn="0" w:lastColumn="0" w:oddVBand="0" w:evenVBand="0" w:oddHBand="0" w:evenHBand="0" w:firstRowFirstColumn="0" w:firstRowLastColumn="0" w:lastRowFirstColumn="0" w:lastRowLastColumn="0"/>
            </w:pPr>
            <w:r w:rsidRPr="0037448D">
              <w:t>Emphysema NOS</w:t>
            </w:r>
          </w:p>
        </w:tc>
        <w:tc>
          <w:tcPr>
            <w:tcW w:w="1725" w:type="dxa"/>
            <w:noWrap/>
            <w:hideMark/>
          </w:tcPr>
          <w:p w:rsidR="000C0A41" w:rsidRPr="0037448D" w:rsidRDefault="000C0A41" w:rsidP="009434DE">
            <w:pPr>
              <w:jc w:val="center"/>
              <w:cnfStyle w:val="000000000000" w:firstRow="0" w:lastRow="0" w:firstColumn="0" w:lastColumn="0" w:oddVBand="0" w:evenVBand="0" w:oddHBand="0" w:evenHBand="0" w:firstRowFirstColumn="0" w:firstRowLastColumn="0" w:lastRowFirstColumn="0" w:lastRowLastColumn="0"/>
              <w:rPr>
                <w:b/>
                <w:bCs/>
              </w:rPr>
            </w:pPr>
            <w:r w:rsidRPr="0037448D">
              <w:rPr>
                <w:b/>
                <w:bCs/>
              </w:rPr>
              <w:t>√</w:t>
            </w:r>
          </w:p>
        </w:tc>
      </w:tr>
      <w:tr w:rsidR="000C0A41" w:rsidRPr="0037448D" w:rsidTr="009434D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22" w:type="dxa"/>
            <w:noWrap/>
            <w:hideMark/>
          </w:tcPr>
          <w:p w:rsidR="000C0A41" w:rsidRPr="0037448D" w:rsidRDefault="000C0A41" w:rsidP="0037448D">
            <w:r w:rsidRPr="0037448D">
              <w:t>H3z..11</w:t>
            </w:r>
          </w:p>
        </w:tc>
        <w:tc>
          <w:tcPr>
            <w:tcW w:w="5320" w:type="dxa"/>
            <w:noWrap/>
            <w:hideMark/>
          </w:tcPr>
          <w:p w:rsidR="000C0A41" w:rsidRPr="0037448D" w:rsidRDefault="000C0A41">
            <w:pPr>
              <w:cnfStyle w:val="000000100000" w:firstRow="0" w:lastRow="0" w:firstColumn="0" w:lastColumn="0" w:oddVBand="0" w:evenVBand="0" w:oddHBand="1" w:evenHBand="0" w:firstRowFirstColumn="0" w:firstRowLastColumn="0" w:lastRowFirstColumn="0" w:lastRowLastColumn="0"/>
            </w:pPr>
            <w:r w:rsidRPr="0037448D">
              <w:t>Chronic obstructive pulmonary disease NOS</w:t>
            </w:r>
          </w:p>
        </w:tc>
        <w:tc>
          <w:tcPr>
            <w:tcW w:w="1725" w:type="dxa"/>
            <w:noWrap/>
            <w:hideMark/>
          </w:tcPr>
          <w:p w:rsidR="000C0A41" w:rsidRPr="0037448D" w:rsidRDefault="000C0A41" w:rsidP="009434DE">
            <w:pPr>
              <w:jc w:val="center"/>
              <w:cnfStyle w:val="000000100000" w:firstRow="0" w:lastRow="0" w:firstColumn="0" w:lastColumn="0" w:oddVBand="0" w:evenVBand="0" w:oddHBand="1" w:evenHBand="0" w:firstRowFirstColumn="0" w:firstRowLastColumn="0" w:lastRowFirstColumn="0" w:lastRowLastColumn="0"/>
              <w:rPr>
                <w:b/>
                <w:bCs/>
              </w:rPr>
            </w:pPr>
            <w:r w:rsidRPr="0037448D">
              <w:rPr>
                <w:b/>
                <w:bCs/>
              </w:rPr>
              <w:t>√</w:t>
            </w:r>
          </w:p>
        </w:tc>
      </w:tr>
      <w:tr w:rsidR="000C0A41" w:rsidRPr="0037448D" w:rsidTr="009434DE">
        <w:trPr>
          <w:trHeight w:val="300"/>
          <w:jc w:val="center"/>
        </w:trPr>
        <w:tc>
          <w:tcPr>
            <w:cnfStyle w:val="001000000000" w:firstRow="0" w:lastRow="0" w:firstColumn="1" w:lastColumn="0" w:oddVBand="0" w:evenVBand="0" w:oddHBand="0" w:evenHBand="0" w:firstRowFirstColumn="0" w:firstRowLastColumn="0" w:lastRowFirstColumn="0" w:lastRowLastColumn="0"/>
            <w:tcW w:w="2022" w:type="dxa"/>
            <w:noWrap/>
            <w:hideMark/>
          </w:tcPr>
          <w:p w:rsidR="000C0A41" w:rsidRPr="0037448D" w:rsidRDefault="000C0A41" w:rsidP="0037448D">
            <w:r w:rsidRPr="0037448D">
              <w:t>H312z00</w:t>
            </w:r>
          </w:p>
        </w:tc>
        <w:tc>
          <w:tcPr>
            <w:tcW w:w="5320" w:type="dxa"/>
            <w:noWrap/>
            <w:hideMark/>
          </w:tcPr>
          <w:p w:rsidR="000C0A41" w:rsidRPr="0037448D" w:rsidRDefault="000C0A41">
            <w:pPr>
              <w:cnfStyle w:val="000000000000" w:firstRow="0" w:lastRow="0" w:firstColumn="0" w:lastColumn="0" w:oddVBand="0" w:evenVBand="0" w:oddHBand="0" w:evenHBand="0" w:firstRowFirstColumn="0" w:firstRowLastColumn="0" w:lastRowFirstColumn="0" w:lastRowLastColumn="0"/>
            </w:pPr>
            <w:r w:rsidRPr="0037448D">
              <w:t>Obstructive chronic bronchitis NOS</w:t>
            </w:r>
          </w:p>
        </w:tc>
        <w:tc>
          <w:tcPr>
            <w:tcW w:w="1725" w:type="dxa"/>
            <w:noWrap/>
            <w:hideMark/>
          </w:tcPr>
          <w:p w:rsidR="000C0A41" w:rsidRPr="0037448D" w:rsidRDefault="000C0A41" w:rsidP="009434DE">
            <w:pPr>
              <w:jc w:val="center"/>
              <w:cnfStyle w:val="000000000000" w:firstRow="0" w:lastRow="0" w:firstColumn="0" w:lastColumn="0" w:oddVBand="0" w:evenVBand="0" w:oddHBand="0" w:evenHBand="0" w:firstRowFirstColumn="0" w:firstRowLastColumn="0" w:lastRowFirstColumn="0" w:lastRowLastColumn="0"/>
              <w:rPr>
                <w:b/>
                <w:bCs/>
              </w:rPr>
            </w:pPr>
            <w:r w:rsidRPr="0037448D">
              <w:rPr>
                <w:b/>
                <w:bCs/>
              </w:rPr>
              <w:t>√</w:t>
            </w:r>
          </w:p>
        </w:tc>
      </w:tr>
      <w:tr w:rsidR="000C0A41" w:rsidRPr="0037448D" w:rsidTr="009434D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22" w:type="dxa"/>
            <w:noWrap/>
            <w:hideMark/>
          </w:tcPr>
          <w:p w:rsidR="000C0A41" w:rsidRPr="0037448D" w:rsidRDefault="000C0A41" w:rsidP="0037448D">
            <w:r w:rsidRPr="0037448D">
              <w:t>H39..00</w:t>
            </w:r>
          </w:p>
        </w:tc>
        <w:tc>
          <w:tcPr>
            <w:tcW w:w="5320" w:type="dxa"/>
            <w:noWrap/>
            <w:hideMark/>
          </w:tcPr>
          <w:p w:rsidR="000C0A41" w:rsidRPr="0037448D" w:rsidRDefault="000C0A41">
            <w:pPr>
              <w:cnfStyle w:val="000000100000" w:firstRow="0" w:lastRow="0" w:firstColumn="0" w:lastColumn="0" w:oddVBand="0" w:evenVBand="0" w:oddHBand="1" w:evenHBand="0" w:firstRowFirstColumn="0" w:firstRowLastColumn="0" w:lastRowFirstColumn="0" w:lastRowLastColumn="0"/>
            </w:pPr>
            <w:r w:rsidRPr="0037448D">
              <w:t>Very severe chronic obstructive pulmonary disease</w:t>
            </w:r>
          </w:p>
        </w:tc>
        <w:tc>
          <w:tcPr>
            <w:tcW w:w="1725" w:type="dxa"/>
            <w:noWrap/>
            <w:hideMark/>
          </w:tcPr>
          <w:p w:rsidR="000C0A41" w:rsidRPr="0037448D" w:rsidRDefault="000C0A41" w:rsidP="009434DE">
            <w:pPr>
              <w:jc w:val="center"/>
              <w:cnfStyle w:val="000000100000" w:firstRow="0" w:lastRow="0" w:firstColumn="0" w:lastColumn="0" w:oddVBand="0" w:evenVBand="0" w:oddHBand="1" w:evenHBand="0" w:firstRowFirstColumn="0" w:firstRowLastColumn="0" w:lastRowFirstColumn="0" w:lastRowLastColumn="0"/>
              <w:rPr>
                <w:b/>
                <w:bCs/>
              </w:rPr>
            </w:pPr>
            <w:r w:rsidRPr="0037448D">
              <w:rPr>
                <w:b/>
                <w:bCs/>
              </w:rPr>
              <w:t>√</w:t>
            </w:r>
          </w:p>
        </w:tc>
      </w:tr>
      <w:tr w:rsidR="000C0A41" w:rsidRPr="0037448D" w:rsidTr="009434DE">
        <w:trPr>
          <w:trHeight w:val="300"/>
          <w:jc w:val="center"/>
        </w:trPr>
        <w:tc>
          <w:tcPr>
            <w:cnfStyle w:val="001000000000" w:firstRow="0" w:lastRow="0" w:firstColumn="1" w:lastColumn="0" w:oddVBand="0" w:evenVBand="0" w:oddHBand="0" w:evenHBand="0" w:firstRowFirstColumn="0" w:firstRowLastColumn="0" w:lastRowFirstColumn="0" w:lastRowLastColumn="0"/>
            <w:tcW w:w="2022" w:type="dxa"/>
            <w:noWrap/>
            <w:hideMark/>
          </w:tcPr>
          <w:p w:rsidR="000C0A41" w:rsidRPr="0037448D" w:rsidRDefault="000C0A41" w:rsidP="0037448D">
            <w:r w:rsidRPr="0037448D">
              <w:t>H31..00</w:t>
            </w:r>
          </w:p>
        </w:tc>
        <w:tc>
          <w:tcPr>
            <w:tcW w:w="5320" w:type="dxa"/>
            <w:noWrap/>
            <w:hideMark/>
          </w:tcPr>
          <w:p w:rsidR="000C0A41" w:rsidRPr="0037448D" w:rsidRDefault="000C0A41">
            <w:pPr>
              <w:cnfStyle w:val="000000000000" w:firstRow="0" w:lastRow="0" w:firstColumn="0" w:lastColumn="0" w:oddVBand="0" w:evenVBand="0" w:oddHBand="0" w:evenHBand="0" w:firstRowFirstColumn="0" w:firstRowLastColumn="0" w:lastRowFirstColumn="0" w:lastRowLastColumn="0"/>
            </w:pPr>
            <w:r w:rsidRPr="0037448D">
              <w:t>Chronic bronchitis</w:t>
            </w:r>
          </w:p>
        </w:tc>
        <w:tc>
          <w:tcPr>
            <w:tcW w:w="1725" w:type="dxa"/>
            <w:noWrap/>
            <w:hideMark/>
          </w:tcPr>
          <w:p w:rsidR="000C0A41" w:rsidRPr="0037448D" w:rsidRDefault="000C0A41" w:rsidP="009434DE">
            <w:pPr>
              <w:jc w:val="center"/>
              <w:cnfStyle w:val="000000000000" w:firstRow="0" w:lastRow="0" w:firstColumn="0" w:lastColumn="0" w:oddVBand="0" w:evenVBand="0" w:oddHBand="0" w:evenHBand="0" w:firstRowFirstColumn="0" w:firstRowLastColumn="0" w:lastRowFirstColumn="0" w:lastRowLastColumn="0"/>
            </w:pPr>
          </w:p>
        </w:tc>
      </w:tr>
      <w:tr w:rsidR="000C0A41" w:rsidRPr="0037448D" w:rsidTr="009434D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22" w:type="dxa"/>
            <w:noWrap/>
            <w:hideMark/>
          </w:tcPr>
          <w:p w:rsidR="000C0A41" w:rsidRPr="0037448D" w:rsidRDefault="000C0A41" w:rsidP="0037448D">
            <w:r w:rsidRPr="0037448D">
              <w:t>H312000</w:t>
            </w:r>
          </w:p>
        </w:tc>
        <w:tc>
          <w:tcPr>
            <w:tcW w:w="5320" w:type="dxa"/>
            <w:noWrap/>
            <w:hideMark/>
          </w:tcPr>
          <w:p w:rsidR="000C0A41" w:rsidRPr="0037448D" w:rsidRDefault="000C0A41">
            <w:pPr>
              <w:cnfStyle w:val="000000100000" w:firstRow="0" w:lastRow="0" w:firstColumn="0" w:lastColumn="0" w:oddVBand="0" w:evenVBand="0" w:oddHBand="1" w:evenHBand="0" w:firstRowFirstColumn="0" w:firstRowLastColumn="0" w:lastRowFirstColumn="0" w:lastRowLastColumn="0"/>
            </w:pPr>
            <w:r w:rsidRPr="0037448D">
              <w:t>Chronic asthmatic bronchitis</w:t>
            </w:r>
          </w:p>
        </w:tc>
        <w:tc>
          <w:tcPr>
            <w:tcW w:w="1725" w:type="dxa"/>
            <w:noWrap/>
            <w:hideMark/>
          </w:tcPr>
          <w:p w:rsidR="000C0A41" w:rsidRPr="0037448D" w:rsidRDefault="000C0A41" w:rsidP="009434DE">
            <w:pPr>
              <w:jc w:val="center"/>
              <w:cnfStyle w:val="000000100000" w:firstRow="0" w:lastRow="0" w:firstColumn="0" w:lastColumn="0" w:oddVBand="0" w:evenVBand="0" w:oddHBand="1" w:evenHBand="0" w:firstRowFirstColumn="0" w:firstRowLastColumn="0" w:lastRowFirstColumn="0" w:lastRowLastColumn="0"/>
            </w:pPr>
          </w:p>
        </w:tc>
      </w:tr>
      <w:tr w:rsidR="000C0A41" w:rsidRPr="0037448D" w:rsidTr="009434DE">
        <w:trPr>
          <w:trHeight w:val="300"/>
          <w:jc w:val="center"/>
        </w:trPr>
        <w:tc>
          <w:tcPr>
            <w:cnfStyle w:val="001000000000" w:firstRow="0" w:lastRow="0" w:firstColumn="1" w:lastColumn="0" w:oddVBand="0" w:evenVBand="0" w:oddHBand="0" w:evenHBand="0" w:firstRowFirstColumn="0" w:firstRowLastColumn="0" w:lastRowFirstColumn="0" w:lastRowLastColumn="0"/>
            <w:tcW w:w="2022" w:type="dxa"/>
            <w:noWrap/>
            <w:hideMark/>
          </w:tcPr>
          <w:p w:rsidR="000C0A41" w:rsidRPr="0037448D" w:rsidRDefault="000C0A41" w:rsidP="0037448D">
            <w:r w:rsidRPr="0037448D">
              <w:t>H312011</w:t>
            </w:r>
          </w:p>
        </w:tc>
        <w:tc>
          <w:tcPr>
            <w:tcW w:w="5320" w:type="dxa"/>
            <w:noWrap/>
            <w:hideMark/>
          </w:tcPr>
          <w:p w:rsidR="000C0A41" w:rsidRPr="0037448D" w:rsidRDefault="000C0A41">
            <w:pPr>
              <w:cnfStyle w:val="000000000000" w:firstRow="0" w:lastRow="0" w:firstColumn="0" w:lastColumn="0" w:oddVBand="0" w:evenVBand="0" w:oddHBand="0" w:evenHBand="0" w:firstRowFirstColumn="0" w:firstRowLastColumn="0" w:lastRowFirstColumn="0" w:lastRowLastColumn="0"/>
            </w:pPr>
            <w:r w:rsidRPr="0037448D">
              <w:t>Chronic wheezy bronchitis</w:t>
            </w:r>
          </w:p>
        </w:tc>
        <w:tc>
          <w:tcPr>
            <w:tcW w:w="1725" w:type="dxa"/>
            <w:noWrap/>
            <w:hideMark/>
          </w:tcPr>
          <w:p w:rsidR="000C0A41" w:rsidRPr="0037448D" w:rsidRDefault="000C0A41" w:rsidP="009434DE">
            <w:pPr>
              <w:jc w:val="center"/>
              <w:cnfStyle w:val="000000000000" w:firstRow="0" w:lastRow="0" w:firstColumn="0" w:lastColumn="0" w:oddVBand="0" w:evenVBand="0" w:oddHBand="0" w:evenHBand="0" w:firstRowFirstColumn="0" w:firstRowLastColumn="0" w:lastRowFirstColumn="0" w:lastRowLastColumn="0"/>
            </w:pPr>
          </w:p>
        </w:tc>
      </w:tr>
      <w:tr w:rsidR="000C0A41" w:rsidRPr="0037448D" w:rsidTr="009434D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22" w:type="dxa"/>
            <w:noWrap/>
            <w:hideMark/>
          </w:tcPr>
          <w:p w:rsidR="000C0A41" w:rsidRPr="0037448D" w:rsidRDefault="000C0A41" w:rsidP="0037448D">
            <w:r w:rsidRPr="0037448D">
              <w:t>H311.00</w:t>
            </w:r>
          </w:p>
        </w:tc>
        <w:tc>
          <w:tcPr>
            <w:tcW w:w="5320" w:type="dxa"/>
            <w:noWrap/>
            <w:hideMark/>
          </w:tcPr>
          <w:p w:rsidR="000C0A41" w:rsidRPr="0037448D" w:rsidRDefault="000C0A41">
            <w:pPr>
              <w:cnfStyle w:val="000000100000" w:firstRow="0" w:lastRow="0" w:firstColumn="0" w:lastColumn="0" w:oddVBand="0" w:evenVBand="0" w:oddHBand="1" w:evenHBand="0" w:firstRowFirstColumn="0" w:firstRowLastColumn="0" w:lastRowFirstColumn="0" w:lastRowLastColumn="0"/>
            </w:pPr>
            <w:r w:rsidRPr="0037448D">
              <w:t>Mucopurulent chronic bronchitis</w:t>
            </w:r>
          </w:p>
        </w:tc>
        <w:tc>
          <w:tcPr>
            <w:tcW w:w="1725" w:type="dxa"/>
            <w:noWrap/>
            <w:hideMark/>
          </w:tcPr>
          <w:p w:rsidR="000C0A41" w:rsidRPr="0037448D" w:rsidRDefault="000C0A41" w:rsidP="009434DE">
            <w:pPr>
              <w:jc w:val="center"/>
              <w:cnfStyle w:val="000000100000" w:firstRow="0" w:lastRow="0" w:firstColumn="0" w:lastColumn="0" w:oddVBand="0" w:evenVBand="0" w:oddHBand="1" w:evenHBand="0" w:firstRowFirstColumn="0" w:firstRowLastColumn="0" w:lastRowFirstColumn="0" w:lastRowLastColumn="0"/>
            </w:pPr>
          </w:p>
        </w:tc>
      </w:tr>
      <w:tr w:rsidR="000C0A41" w:rsidRPr="0037448D" w:rsidTr="009434DE">
        <w:trPr>
          <w:trHeight w:val="300"/>
          <w:jc w:val="center"/>
        </w:trPr>
        <w:tc>
          <w:tcPr>
            <w:cnfStyle w:val="001000000000" w:firstRow="0" w:lastRow="0" w:firstColumn="1" w:lastColumn="0" w:oddVBand="0" w:evenVBand="0" w:oddHBand="0" w:evenHBand="0" w:firstRowFirstColumn="0" w:firstRowLastColumn="0" w:lastRowFirstColumn="0" w:lastRowLastColumn="0"/>
            <w:tcW w:w="2022" w:type="dxa"/>
            <w:noWrap/>
            <w:hideMark/>
          </w:tcPr>
          <w:p w:rsidR="000C0A41" w:rsidRPr="0037448D" w:rsidRDefault="000C0A41" w:rsidP="0037448D">
            <w:r w:rsidRPr="0037448D">
              <w:t>H31z.00</w:t>
            </w:r>
          </w:p>
        </w:tc>
        <w:tc>
          <w:tcPr>
            <w:tcW w:w="5320" w:type="dxa"/>
            <w:noWrap/>
            <w:hideMark/>
          </w:tcPr>
          <w:p w:rsidR="000C0A41" w:rsidRPr="0037448D" w:rsidRDefault="000C0A41">
            <w:pPr>
              <w:cnfStyle w:val="000000000000" w:firstRow="0" w:lastRow="0" w:firstColumn="0" w:lastColumn="0" w:oddVBand="0" w:evenVBand="0" w:oddHBand="0" w:evenHBand="0" w:firstRowFirstColumn="0" w:firstRowLastColumn="0" w:lastRowFirstColumn="0" w:lastRowLastColumn="0"/>
            </w:pPr>
            <w:r w:rsidRPr="0037448D">
              <w:t>Chronic bronchitis NOS</w:t>
            </w:r>
          </w:p>
        </w:tc>
        <w:tc>
          <w:tcPr>
            <w:tcW w:w="1725" w:type="dxa"/>
            <w:noWrap/>
            <w:hideMark/>
          </w:tcPr>
          <w:p w:rsidR="000C0A41" w:rsidRPr="0037448D" w:rsidRDefault="000C0A41" w:rsidP="009434DE">
            <w:pPr>
              <w:jc w:val="center"/>
              <w:cnfStyle w:val="000000000000" w:firstRow="0" w:lastRow="0" w:firstColumn="0" w:lastColumn="0" w:oddVBand="0" w:evenVBand="0" w:oddHBand="0" w:evenHBand="0" w:firstRowFirstColumn="0" w:firstRowLastColumn="0" w:lastRowFirstColumn="0" w:lastRowLastColumn="0"/>
            </w:pPr>
          </w:p>
        </w:tc>
      </w:tr>
      <w:tr w:rsidR="000C0A41" w:rsidRPr="0037448D" w:rsidTr="009434D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22" w:type="dxa"/>
            <w:noWrap/>
            <w:hideMark/>
          </w:tcPr>
          <w:p w:rsidR="000C0A41" w:rsidRPr="0037448D" w:rsidRDefault="000C0A41" w:rsidP="0037448D">
            <w:r w:rsidRPr="0037448D">
              <w:t>H310000</w:t>
            </w:r>
          </w:p>
        </w:tc>
        <w:tc>
          <w:tcPr>
            <w:tcW w:w="5320" w:type="dxa"/>
            <w:noWrap/>
            <w:hideMark/>
          </w:tcPr>
          <w:p w:rsidR="000C0A41" w:rsidRPr="0037448D" w:rsidRDefault="000C0A41">
            <w:pPr>
              <w:cnfStyle w:val="000000100000" w:firstRow="0" w:lastRow="0" w:firstColumn="0" w:lastColumn="0" w:oddVBand="0" w:evenVBand="0" w:oddHBand="1" w:evenHBand="0" w:firstRowFirstColumn="0" w:firstRowLastColumn="0" w:lastRowFirstColumn="0" w:lastRowLastColumn="0"/>
            </w:pPr>
            <w:r w:rsidRPr="0037448D">
              <w:t>Chronic catarrhal bronchitis</w:t>
            </w:r>
          </w:p>
        </w:tc>
        <w:tc>
          <w:tcPr>
            <w:tcW w:w="1725" w:type="dxa"/>
            <w:noWrap/>
            <w:hideMark/>
          </w:tcPr>
          <w:p w:rsidR="000C0A41" w:rsidRPr="0037448D" w:rsidRDefault="000C0A41" w:rsidP="009434DE">
            <w:pPr>
              <w:jc w:val="center"/>
              <w:cnfStyle w:val="000000100000" w:firstRow="0" w:lastRow="0" w:firstColumn="0" w:lastColumn="0" w:oddVBand="0" w:evenVBand="0" w:oddHBand="1" w:evenHBand="0" w:firstRowFirstColumn="0" w:firstRowLastColumn="0" w:lastRowFirstColumn="0" w:lastRowLastColumn="0"/>
            </w:pPr>
          </w:p>
        </w:tc>
      </w:tr>
      <w:tr w:rsidR="000C0A41" w:rsidRPr="0037448D" w:rsidTr="009434DE">
        <w:trPr>
          <w:trHeight w:val="300"/>
          <w:jc w:val="center"/>
        </w:trPr>
        <w:tc>
          <w:tcPr>
            <w:cnfStyle w:val="001000000000" w:firstRow="0" w:lastRow="0" w:firstColumn="1" w:lastColumn="0" w:oddVBand="0" w:evenVBand="0" w:oddHBand="0" w:evenHBand="0" w:firstRowFirstColumn="0" w:firstRowLastColumn="0" w:lastRowFirstColumn="0" w:lastRowLastColumn="0"/>
            <w:tcW w:w="2022" w:type="dxa"/>
            <w:noWrap/>
            <w:hideMark/>
          </w:tcPr>
          <w:p w:rsidR="000C0A41" w:rsidRPr="0037448D" w:rsidRDefault="000C0A41" w:rsidP="0037448D">
            <w:r w:rsidRPr="0037448D">
              <w:t>H32yz00</w:t>
            </w:r>
          </w:p>
        </w:tc>
        <w:tc>
          <w:tcPr>
            <w:tcW w:w="5320" w:type="dxa"/>
            <w:noWrap/>
            <w:hideMark/>
          </w:tcPr>
          <w:p w:rsidR="000C0A41" w:rsidRPr="0037448D" w:rsidRDefault="000C0A41">
            <w:pPr>
              <w:cnfStyle w:val="000000000000" w:firstRow="0" w:lastRow="0" w:firstColumn="0" w:lastColumn="0" w:oddVBand="0" w:evenVBand="0" w:oddHBand="0" w:evenHBand="0" w:firstRowFirstColumn="0" w:firstRowLastColumn="0" w:lastRowFirstColumn="0" w:lastRowLastColumn="0"/>
            </w:pPr>
            <w:r w:rsidRPr="0037448D">
              <w:t>Other emphysema NOS</w:t>
            </w:r>
          </w:p>
        </w:tc>
        <w:tc>
          <w:tcPr>
            <w:tcW w:w="1725" w:type="dxa"/>
            <w:noWrap/>
            <w:hideMark/>
          </w:tcPr>
          <w:p w:rsidR="000C0A41" w:rsidRPr="0037448D" w:rsidRDefault="000C0A41" w:rsidP="009434DE">
            <w:pPr>
              <w:jc w:val="center"/>
              <w:cnfStyle w:val="000000000000" w:firstRow="0" w:lastRow="0" w:firstColumn="0" w:lastColumn="0" w:oddVBand="0" w:evenVBand="0" w:oddHBand="0" w:evenHBand="0" w:firstRowFirstColumn="0" w:firstRowLastColumn="0" w:lastRowFirstColumn="0" w:lastRowLastColumn="0"/>
            </w:pPr>
          </w:p>
        </w:tc>
      </w:tr>
      <w:tr w:rsidR="000C0A41" w:rsidRPr="0037448D" w:rsidTr="009434D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22" w:type="dxa"/>
            <w:noWrap/>
            <w:hideMark/>
          </w:tcPr>
          <w:p w:rsidR="000C0A41" w:rsidRPr="0037448D" w:rsidRDefault="000C0A41" w:rsidP="0037448D">
            <w:r w:rsidRPr="0037448D">
              <w:t>H313.00</w:t>
            </w:r>
          </w:p>
        </w:tc>
        <w:tc>
          <w:tcPr>
            <w:tcW w:w="5320" w:type="dxa"/>
            <w:noWrap/>
            <w:hideMark/>
          </w:tcPr>
          <w:p w:rsidR="000C0A41" w:rsidRPr="0037448D" w:rsidRDefault="000C0A41">
            <w:pPr>
              <w:cnfStyle w:val="000000100000" w:firstRow="0" w:lastRow="0" w:firstColumn="0" w:lastColumn="0" w:oddVBand="0" w:evenVBand="0" w:oddHBand="1" w:evenHBand="0" w:firstRowFirstColumn="0" w:firstRowLastColumn="0" w:lastRowFirstColumn="0" w:lastRowLastColumn="0"/>
            </w:pPr>
            <w:r w:rsidRPr="0037448D">
              <w:t>Mixed simple and mucopurulent chronic bronchitis</w:t>
            </w:r>
          </w:p>
        </w:tc>
        <w:tc>
          <w:tcPr>
            <w:tcW w:w="1725" w:type="dxa"/>
            <w:noWrap/>
            <w:hideMark/>
          </w:tcPr>
          <w:p w:rsidR="000C0A41" w:rsidRPr="0037448D" w:rsidRDefault="000C0A41" w:rsidP="009434DE">
            <w:pPr>
              <w:jc w:val="center"/>
              <w:cnfStyle w:val="000000100000" w:firstRow="0" w:lastRow="0" w:firstColumn="0" w:lastColumn="0" w:oddVBand="0" w:evenVBand="0" w:oddHBand="1" w:evenHBand="0" w:firstRowFirstColumn="0" w:firstRowLastColumn="0" w:lastRowFirstColumn="0" w:lastRowLastColumn="0"/>
            </w:pPr>
          </w:p>
        </w:tc>
      </w:tr>
      <w:tr w:rsidR="000C0A41" w:rsidRPr="0037448D" w:rsidTr="009434DE">
        <w:trPr>
          <w:trHeight w:val="300"/>
          <w:jc w:val="center"/>
        </w:trPr>
        <w:tc>
          <w:tcPr>
            <w:cnfStyle w:val="001000000000" w:firstRow="0" w:lastRow="0" w:firstColumn="1" w:lastColumn="0" w:oddVBand="0" w:evenVBand="0" w:oddHBand="0" w:evenHBand="0" w:firstRowFirstColumn="0" w:firstRowLastColumn="0" w:lastRowFirstColumn="0" w:lastRowLastColumn="0"/>
            <w:tcW w:w="2022" w:type="dxa"/>
            <w:noWrap/>
            <w:hideMark/>
          </w:tcPr>
          <w:p w:rsidR="000C0A41" w:rsidRPr="0037448D" w:rsidRDefault="000C0A41" w:rsidP="0037448D">
            <w:r w:rsidRPr="0037448D">
              <w:t>H310.00</w:t>
            </w:r>
          </w:p>
        </w:tc>
        <w:tc>
          <w:tcPr>
            <w:tcW w:w="5320" w:type="dxa"/>
            <w:noWrap/>
            <w:hideMark/>
          </w:tcPr>
          <w:p w:rsidR="000C0A41" w:rsidRPr="0037448D" w:rsidRDefault="000C0A41">
            <w:pPr>
              <w:cnfStyle w:val="000000000000" w:firstRow="0" w:lastRow="0" w:firstColumn="0" w:lastColumn="0" w:oddVBand="0" w:evenVBand="0" w:oddHBand="0" w:evenHBand="0" w:firstRowFirstColumn="0" w:firstRowLastColumn="0" w:lastRowFirstColumn="0" w:lastRowLastColumn="0"/>
            </w:pPr>
            <w:r w:rsidRPr="0037448D">
              <w:t>Simple chronic bronchitis</w:t>
            </w:r>
          </w:p>
        </w:tc>
        <w:tc>
          <w:tcPr>
            <w:tcW w:w="1725" w:type="dxa"/>
            <w:noWrap/>
            <w:hideMark/>
          </w:tcPr>
          <w:p w:rsidR="000C0A41" w:rsidRPr="0037448D" w:rsidRDefault="000C0A41" w:rsidP="009434DE">
            <w:pPr>
              <w:jc w:val="center"/>
              <w:cnfStyle w:val="000000000000" w:firstRow="0" w:lastRow="0" w:firstColumn="0" w:lastColumn="0" w:oddVBand="0" w:evenVBand="0" w:oddHBand="0" w:evenHBand="0" w:firstRowFirstColumn="0" w:firstRowLastColumn="0" w:lastRowFirstColumn="0" w:lastRowLastColumn="0"/>
            </w:pPr>
          </w:p>
        </w:tc>
      </w:tr>
      <w:tr w:rsidR="000C0A41" w:rsidRPr="0037448D" w:rsidTr="009434D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22" w:type="dxa"/>
            <w:noWrap/>
            <w:hideMark/>
          </w:tcPr>
          <w:p w:rsidR="000C0A41" w:rsidRPr="0037448D" w:rsidRDefault="000C0A41" w:rsidP="0037448D">
            <w:r w:rsidRPr="0037448D">
              <w:t>H312300</w:t>
            </w:r>
          </w:p>
        </w:tc>
        <w:tc>
          <w:tcPr>
            <w:tcW w:w="5320" w:type="dxa"/>
            <w:noWrap/>
            <w:hideMark/>
          </w:tcPr>
          <w:p w:rsidR="000C0A41" w:rsidRPr="0037448D" w:rsidRDefault="000C0A41">
            <w:pPr>
              <w:cnfStyle w:val="000000100000" w:firstRow="0" w:lastRow="0" w:firstColumn="0" w:lastColumn="0" w:oddVBand="0" w:evenVBand="0" w:oddHBand="1" w:evenHBand="0" w:firstRowFirstColumn="0" w:firstRowLastColumn="0" w:lastRowFirstColumn="0" w:lastRowLastColumn="0"/>
            </w:pPr>
            <w:r w:rsidRPr="0037448D">
              <w:t>Bronchiolitis obliterans</w:t>
            </w:r>
          </w:p>
        </w:tc>
        <w:tc>
          <w:tcPr>
            <w:tcW w:w="1725" w:type="dxa"/>
            <w:noWrap/>
            <w:hideMark/>
          </w:tcPr>
          <w:p w:rsidR="000C0A41" w:rsidRPr="0037448D" w:rsidRDefault="000C0A41" w:rsidP="009434DE">
            <w:pPr>
              <w:jc w:val="center"/>
              <w:cnfStyle w:val="000000100000" w:firstRow="0" w:lastRow="0" w:firstColumn="0" w:lastColumn="0" w:oddVBand="0" w:evenVBand="0" w:oddHBand="1" w:evenHBand="0" w:firstRowFirstColumn="0" w:firstRowLastColumn="0" w:lastRowFirstColumn="0" w:lastRowLastColumn="0"/>
            </w:pPr>
          </w:p>
        </w:tc>
      </w:tr>
      <w:tr w:rsidR="000C0A41" w:rsidRPr="0037448D" w:rsidTr="009434DE">
        <w:trPr>
          <w:trHeight w:val="300"/>
          <w:jc w:val="center"/>
        </w:trPr>
        <w:tc>
          <w:tcPr>
            <w:cnfStyle w:val="001000000000" w:firstRow="0" w:lastRow="0" w:firstColumn="1" w:lastColumn="0" w:oddVBand="0" w:evenVBand="0" w:oddHBand="0" w:evenHBand="0" w:firstRowFirstColumn="0" w:firstRowLastColumn="0" w:lastRowFirstColumn="0" w:lastRowLastColumn="0"/>
            <w:tcW w:w="2022" w:type="dxa"/>
            <w:noWrap/>
            <w:hideMark/>
          </w:tcPr>
          <w:p w:rsidR="000C0A41" w:rsidRPr="0037448D" w:rsidRDefault="000C0A41" w:rsidP="0037448D">
            <w:r w:rsidRPr="0037448D">
              <w:t>H312.00</w:t>
            </w:r>
          </w:p>
        </w:tc>
        <w:tc>
          <w:tcPr>
            <w:tcW w:w="5320" w:type="dxa"/>
            <w:noWrap/>
            <w:hideMark/>
          </w:tcPr>
          <w:p w:rsidR="000C0A41" w:rsidRPr="0037448D" w:rsidRDefault="000C0A41">
            <w:pPr>
              <w:cnfStyle w:val="000000000000" w:firstRow="0" w:lastRow="0" w:firstColumn="0" w:lastColumn="0" w:oddVBand="0" w:evenVBand="0" w:oddHBand="0" w:evenHBand="0" w:firstRowFirstColumn="0" w:firstRowLastColumn="0" w:lastRowFirstColumn="0" w:lastRowLastColumn="0"/>
            </w:pPr>
            <w:r w:rsidRPr="0037448D">
              <w:t>Obstructive chronic bronchitis</w:t>
            </w:r>
          </w:p>
        </w:tc>
        <w:tc>
          <w:tcPr>
            <w:tcW w:w="1725" w:type="dxa"/>
            <w:noWrap/>
            <w:hideMark/>
          </w:tcPr>
          <w:p w:rsidR="000C0A41" w:rsidRPr="0037448D" w:rsidRDefault="000C0A41" w:rsidP="009434DE">
            <w:pPr>
              <w:jc w:val="center"/>
              <w:cnfStyle w:val="000000000000" w:firstRow="0" w:lastRow="0" w:firstColumn="0" w:lastColumn="0" w:oddVBand="0" w:evenVBand="0" w:oddHBand="0" w:evenHBand="0" w:firstRowFirstColumn="0" w:firstRowLastColumn="0" w:lastRowFirstColumn="0" w:lastRowLastColumn="0"/>
            </w:pPr>
          </w:p>
        </w:tc>
      </w:tr>
      <w:tr w:rsidR="000C0A41" w:rsidRPr="0037448D" w:rsidTr="009434D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22" w:type="dxa"/>
            <w:noWrap/>
            <w:hideMark/>
          </w:tcPr>
          <w:p w:rsidR="000C0A41" w:rsidRPr="0037448D" w:rsidRDefault="000C0A41" w:rsidP="0037448D">
            <w:r w:rsidRPr="0037448D">
              <w:t>H311100</w:t>
            </w:r>
          </w:p>
        </w:tc>
        <w:tc>
          <w:tcPr>
            <w:tcW w:w="5320" w:type="dxa"/>
            <w:noWrap/>
            <w:hideMark/>
          </w:tcPr>
          <w:p w:rsidR="000C0A41" w:rsidRPr="0037448D" w:rsidRDefault="000C0A41">
            <w:pPr>
              <w:cnfStyle w:val="000000100000" w:firstRow="0" w:lastRow="0" w:firstColumn="0" w:lastColumn="0" w:oddVBand="0" w:evenVBand="0" w:oddHBand="1" w:evenHBand="0" w:firstRowFirstColumn="0" w:firstRowLastColumn="0" w:lastRowFirstColumn="0" w:lastRowLastColumn="0"/>
            </w:pPr>
            <w:r w:rsidRPr="0037448D">
              <w:t>Fetid chronic bronchitis</w:t>
            </w:r>
          </w:p>
        </w:tc>
        <w:tc>
          <w:tcPr>
            <w:tcW w:w="1725" w:type="dxa"/>
            <w:noWrap/>
            <w:hideMark/>
          </w:tcPr>
          <w:p w:rsidR="000C0A41" w:rsidRPr="0037448D" w:rsidRDefault="000C0A41" w:rsidP="009434DE">
            <w:pPr>
              <w:jc w:val="center"/>
              <w:cnfStyle w:val="000000100000" w:firstRow="0" w:lastRow="0" w:firstColumn="0" w:lastColumn="0" w:oddVBand="0" w:evenVBand="0" w:oddHBand="1" w:evenHBand="0" w:firstRowFirstColumn="0" w:firstRowLastColumn="0" w:lastRowFirstColumn="0" w:lastRowLastColumn="0"/>
            </w:pPr>
          </w:p>
        </w:tc>
      </w:tr>
      <w:tr w:rsidR="000C0A41" w:rsidRPr="0037448D" w:rsidTr="009434DE">
        <w:trPr>
          <w:trHeight w:val="300"/>
          <w:jc w:val="center"/>
        </w:trPr>
        <w:tc>
          <w:tcPr>
            <w:cnfStyle w:val="001000000000" w:firstRow="0" w:lastRow="0" w:firstColumn="1" w:lastColumn="0" w:oddVBand="0" w:evenVBand="0" w:oddHBand="0" w:evenHBand="0" w:firstRowFirstColumn="0" w:firstRowLastColumn="0" w:lastRowFirstColumn="0" w:lastRowLastColumn="0"/>
            <w:tcW w:w="2022" w:type="dxa"/>
            <w:noWrap/>
            <w:hideMark/>
          </w:tcPr>
          <w:p w:rsidR="000C0A41" w:rsidRPr="0037448D" w:rsidRDefault="000C0A41" w:rsidP="0037448D">
            <w:r w:rsidRPr="0037448D">
              <w:t>H311000</w:t>
            </w:r>
          </w:p>
        </w:tc>
        <w:tc>
          <w:tcPr>
            <w:tcW w:w="5320" w:type="dxa"/>
            <w:noWrap/>
            <w:hideMark/>
          </w:tcPr>
          <w:p w:rsidR="000C0A41" w:rsidRPr="0037448D" w:rsidRDefault="000C0A41">
            <w:pPr>
              <w:cnfStyle w:val="000000000000" w:firstRow="0" w:lastRow="0" w:firstColumn="0" w:lastColumn="0" w:oddVBand="0" w:evenVBand="0" w:oddHBand="0" w:evenHBand="0" w:firstRowFirstColumn="0" w:firstRowLastColumn="0" w:lastRowFirstColumn="0" w:lastRowLastColumn="0"/>
            </w:pPr>
            <w:r w:rsidRPr="0037448D">
              <w:t>Purulent chronic bronchitis</w:t>
            </w:r>
          </w:p>
        </w:tc>
        <w:tc>
          <w:tcPr>
            <w:tcW w:w="1725" w:type="dxa"/>
            <w:noWrap/>
            <w:hideMark/>
          </w:tcPr>
          <w:p w:rsidR="000C0A41" w:rsidRPr="0037448D" w:rsidRDefault="000C0A41" w:rsidP="009434DE">
            <w:pPr>
              <w:jc w:val="center"/>
              <w:cnfStyle w:val="000000000000" w:firstRow="0" w:lastRow="0" w:firstColumn="0" w:lastColumn="0" w:oddVBand="0" w:evenVBand="0" w:oddHBand="0" w:evenHBand="0" w:firstRowFirstColumn="0" w:firstRowLastColumn="0" w:lastRowFirstColumn="0" w:lastRowLastColumn="0"/>
            </w:pPr>
          </w:p>
        </w:tc>
      </w:tr>
      <w:tr w:rsidR="000C0A41" w:rsidRPr="0037448D" w:rsidTr="009434D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22" w:type="dxa"/>
            <w:noWrap/>
            <w:hideMark/>
          </w:tcPr>
          <w:p w:rsidR="000C0A41" w:rsidRPr="0037448D" w:rsidRDefault="000C0A41" w:rsidP="0037448D">
            <w:r w:rsidRPr="0037448D">
              <w:t>H32y.00</w:t>
            </w:r>
          </w:p>
        </w:tc>
        <w:tc>
          <w:tcPr>
            <w:tcW w:w="5320" w:type="dxa"/>
            <w:noWrap/>
            <w:hideMark/>
          </w:tcPr>
          <w:p w:rsidR="000C0A41" w:rsidRPr="0037448D" w:rsidRDefault="000C0A41">
            <w:pPr>
              <w:cnfStyle w:val="000000100000" w:firstRow="0" w:lastRow="0" w:firstColumn="0" w:lastColumn="0" w:oddVBand="0" w:evenVBand="0" w:oddHBand="1" w:evenHBand="0" w:firstRowFirstColumn="0" w:firstRowLastColumn="0" w:lastRowFirstColumn="0" w:lastRowLastColumn="0"/>
            </w:pPr>
            <w:r w:rsidRPr="0037448D">
              <w:t>Other emphysema</w:t>
            </w:r>
          </w:p>
        </w:tc>
        <w:tc>
          <w:tcPr>
            <w:tcW w:w="1725" w:type="dxa"/>
            <w:noWrap/>
            <w:hideMark/>
          </w:tcPr>
          <w:p w:rsidR="000C0A41" w:rsidRPr="0037448D" w:rsidRDefault="000C0A41" w:rsidP="009434DE">
            <w:pPr>
              <w:jc w:val="center"/>
              <w:cnfStyle w:val="000000100000" w:firstRow="0" w:lastRow="0" w:firstColumn="0" w:lastColumn="0" w:oddVBand="0" w:evenVBand="0" w:oddHBand="1" w:evenHBand="0" w:firstRowFirstColumn="0" w:firstRowLastColumn="0" w:lastRowFirstColumn="0" w:lastRowLastColumn="0"/>
            </w:pPr>
          </w:p>
        </w:tc>
      </w:tr>
      <w:tr w:rsidR="000C0A41" w:rsidRPr="0037448D" w:rsidTr="009434DE">
        <w:trPr>
          <w:trHeight w:val="300"/>
          <w:jc w:val="center"/>
        </w:trPr>
        <w:tc>
          <w:tcPr>
            <w:cnfStyle w:val="001000000000" w:firstRow="0" w:lastRow="0" w:firstColumn="1" w:lastColumn="0" w:oddVBand="0" w:evenVBand="0" w:oddHBand="0" w:evenHBand="0" w:firstRowFirstColumn="0" w:firstRowLastColumn="0" w:lastRowFirstColumn="0" w:lastRowLastColumn="0"/>
            <w:tcW w:w="2022" w:type="dxa"/>
            <w:noWrap/>
            <w:hideMark/>
          </w:tcPr>
          <w:p w:rsidR="000C0A41" w:rsidRPr="0037448D" w:rsidRDefault="000C0A41" w:rsidP="0037448D">
            <w:r w:rsidRPr="0037448D">
              <w:t>H31y100</w:t>
            </w:r>
          </w:p>
        </w:tc>
        <w:tc>
          <w:tcPr>
            <w:tcW w:w="5320" w:type="dxa"/>
            <w:noWrap/>
            <w:hideMark/>
          </w:tcPr>
          <w:p w:rsidR="000C0A41" w:rsidRPr="0037448D" w:rsidRDefault="000C0A41">
            <w:pPr>
              <w:cnfStyle w:val="000000000000" w:firstRow="0" w:lastRow="0" w:firstColumn="0" w:lastColumn="0" w:oddVBand="0" w:evenVBand="0" w:oddHBand="0" w:evenHBand="0" w:firstRowFirstColumn="0" w:firstRowLastColumn="0" w:lastRowFirstColumn="0" w:lastRowLastColumn="0"/>
            </w:pPr>
            <w:r w:rsidRPr="0037448D">
              <w:t>Chronic tracheobronchitis</w:t>
            </w:r>
          </w:p>
        </w:tc>
        <w:tc>
          <w:tcPr>
            <w:tcW w:w="1725" w:type="dxa"/>
            <w:noWrap/>
            <w:hideMark/>
          </w:tcPr>
          <w:p w:rsidR="000C0A41" w:rsidRPr="0037448D" w:rsidRDefault="000C0A41" w:rsidP="009434DE">
            <w:pPr>
              <w:jc w:val="center"/>
              <w:cnfStyle w:val="000000000000" w:firstRow="0" w:lastRow="0" w:firstColumn="0" w:lastColumn="0" w:oddVBand="0" w:evenVBand="0" w:oddHBand="0" w:evenHBand="0" w:firstRowFirstColumn="0" w:firstRowLastColumn="0" w:lastRowFirstColumn="0" w:lastRowLastColumn="0"/>
            </w:pPr>
          </w:p>
        </w:tc>
      </w:tr>
      <w:tr w:rsidR="000C0A41" w:rsidRPr="0037448D" w:rsidTr="009434D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22" w:type="dxa"/>
            <w:noWrap/>
            <w:hideMark/>
          </w:tcPr>
          <w:p w:rsidR="000C0A41" w:rsidRPr="0037448D" w:rsidRDefault="000C0A41" w:rsidP="0037448D">
            <w:r w:rsidRPr="0037448D">
              <w:lastRenderedPageBreak/>
              <w:t>H321.00</w:t>
            </w:r>
          </w:p>
        </w:tc>
        <w:tc>
          <w:tcPr>
            <w:tcW w:w="5320" w:type="dxa"/>
            <w:noWrap/>
            <w:hideMark/>
          </w:tcPr>
          <w:p w:rsidR="000C0A41" w:rsidRPr="0037448D" w:rsidRDefault="000C0A41">
            <w:pPr>
              <w:cnfStyle w:val="000000100000" w:firstRow="0" w:lastRow="0" w:firstColumn="0" w:lastColumn="0" w:oddVBand="0" w:evenVBand="0" w:oddHBand="1" w:evenHBand="0" w:firstRowFirstColumn="0" w:firstRowLastColumn="0" w:lastRowFirstColumn="0" w:lastRowLastColumn="0"/>
            </w:pPr>
            <w:r w:rsidRPr="0037448D">
              <w:t>Panlobular emphysema</w:t>
            </w:r>
          </w:p>
        </w:tc>
        <w:tc>
          <w:tcPr>
            <w:tcW w:w="1725" w:type="dxa"/>
            <w:noWrap/>
            <w:hideMark/>
          </w:tcPr>
          <w:p w:rsidR="000C0A41" w:rsidRPr="0037448D" w:rsidRDefault="000C0A41" w:rsidP="009434DE">
            <w:pPr>
              <w:jc w:val="center"/>
              <w:cnfStyle w:val="000000100000" w:firstRow="0" w:lastRow="0" w:firstColumn="0" w:lastColumn="0" w:oddVBand="0" w:evenVBand="0" w:oddHBand="1" w:evenHBand="0" w:firstRowFirstColumn="0" w:firstRowLastColumn="0" w:lastRowFirstColumn="0" w:lastRowLastColumn="0"/>
            </w:pPr>
          </w:p>
        </w:tc>
      </w:tr>
      <w:tr w:rsidR="000C0A41" w:rsidRPr="0037448D" w:rsidTr="009434DE">
        <w:trPr>
          <w:trHeight w:val="300"/>
          <w:jc w:val="center"/>
        </w:trPr>
        <w:tc>
          <w:tcPr>
            <w:cnfStyle w:val="001000000000" w:firstRow="0" w:lastRow="0" w:firstColumn="1" w:lastColumn="0" w:oddVBand="0" w:evenVBand="0" w:oddHBand="0" w:evenHBand="0" w:firstRowFirstColumn="0" w:firstRowLastColumn="0" w:lastRowFirstColumn="0" w:lastRowLastColumn="0"/>
            <w:tcW w:w="2022" w:type="dxa"/>
            <w:noWrap/>
            <w:hideMark/>
          </w:tcPr>
          <w:p w:rsidR="000C0A41" w:rsidRPr="0037448D" w:rsidRDefault="000C0A41" w:rsidP="0037448D">
            <w:r w:rsidRPr="0037448D">
              <w:t>H320000</w:t>
            </w:r>
          </w:p>
        </w:tc>
        <w:tc>
          <w:tcPr>
            <w:tcW w:w="5320" w:type="dxa"/>
            <w:noWrap/>
            <w:hideMark/>
          </w:tcPr>
          <w:p w:rsidR="000C0A41" w:rsidRPr="0037448D" w:rsidRDefault="000C0A41">
            <w:pPr>
              <w:cnfStyle w:val="000000000000" w:firstRow="0" w:lastRow="0" w:firstColumn="0" w:lastColumn="0" w:oddVBand="0" w:evenVBand="0" w:oddHBand="0" w:evenHBand="0" w:firstRowFirstColumn="0" w:firstRowLastColumn="0" w:lastRowFirstColumn="0" w:lastRowLastColumn="0"/>
            </w:pPr>
            <w:r w:rsidRPr="0037448D">
              <w:t>Segmental bullous emphysema</w:t>
            </w:r>
          </w:p>
        </w:tc>
        <w:tc>
          <w:tcPr>
            <w:tcW w:w="1725" w:type="dxa"/>
            <w:noWrap/>
            <w:hideMark/>
          </w:tcPr>
          <w:p w:rsidR="000C0A41" w:rsidRPr="0037448D" w:rsidRDefault="000C0A41" w:rsidP="009434DE">
            <w:pPr>
              <w:jc w:val="center"/>
              <w:cnfStyle w:val="000000000000" w:firstRow="0" w:lastRow="0" w:firstColumn="0" w:lastColumn="0" w:oddVBand="0" w:evenVBand="0" w:oddHBand="0" w:evenHBand="0" w:firstRowFirstColumn="0" w:firstRowLastColumn="0" w:lastRowFirstColumn="0" w:lastRowLastColumn="0"/>
            </w:pPr>
          </w:p>
        </w:tc>
      </w:tr>
      <w:tr w:rsidR="000C0A41" w:rsidRPr="0037448D" w:rsidTr="009434D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22" w:type="dxa"/>
            <w:noWrap/>
            <w:hideMark/>
          </w:tcPr>
          <w:p w:rsidR="000C0A41" w:rsidRPr="0037448D" w:rsidRDefault="000C0A41" w:rsidP="0037448D">
            <w:r w:rsidRPr="0037448D">
              <w:t>H32y111</w:t>
            </w:r>
          </w:p>
        </w:tc>
        <w:tc>
          <w:tcPr>
            <w:tcW w:w="5320" w:type="dxa"/>
            <w:noWrap/>
            <w:hideMark/>
          </w:tcPr>
          <w:p w:rsidR="000C0A41" w:rsidRPr="0037448D" w:rsidRDefault="000C0A41">
            <w:pPr>
              <w:cnfStyle w:val="000000100000" w:firstRow="0" w:lastRow="0" w:firstColumn="0" w:lastColumn="0" w:oddVBand="0" w:evenVBand="0" w:oddHBand="1" w:evenHBand="0" w:firstRowFirstColumn="0" w:firstRowLastColumn="0" w:lastRowFirstColumn="0" w:lastRowLastColumn="0"/>
            </w:pPr>
            <w:r w:rsidRPr="0037448D">
              <w:t>Acute interstitial emphysema</w:t>
            </w:r>
          </w:p>
        </w:tc>
        <w:tc>
          <w:tcPr>
            <w:tcW w:w="1725" w:type="dxa"/>
            <w:noWrap/>
            <w:hideMark/>
          </w:tcPr>
          <w:p w:rsidR="000C0A41" w:rsidRPr="0037448D" w:rsidRDefault="000C0A41" w:rsidP="009434DE">
            <w:pPr>
              <w:jc w:val="center"/>
              <w:cnfStyle w:val="000000100000" w:firstRow="0" w:lastRow="0" w:firstColumn="0" w:lastColumn="0" w:oddVBand="0" w:evenVBand="0" w:oddHBand="1" w:evenHBand="0" w:firstRowFirstColumn="0" w:firstRowLastColumn="0" w:lastRowFirstColumn="0" w:lastRowLastColumn="0"/>
            </w:pPr>
          </w:p>
        </w:tc>
      </w:tr>
      <w:tr w:rsidR="000C0A41" w:rsidRPr="0037448D" w:rsidTr="009434DE">
        <w:trPr>
          <w:trHeight w:val="300"/>
          <w:jc w:val="center"/>
        </w:trPr>
        <w:tc>
          <w:tcPr>
            <w:cnfStyle w:val="001000000000" w:firstRow="0" w:lastRow="0" w:firstColumn="1" w:lastColumn="0" w:oddVBand="0" w:evenVBand="0" w:oddHBand="0" w:evenHBand="0" w:firstRowFirstColumn="0" w:firstRowLastColumn="0" w:lastRowFirstColumn="0" w:lastRowLastColumn="0"/>
            <w:tcW w:w="2022" w:type="dxa"/>
            <w:noWrap/>
            <w:hideMark/>
          </w:tcPr>
          <w:p w:rsidR="000C0A41" w:rsidRPr="0037448D" w:rsidRDefault="000C0A41" w:rsidP="0037448D">
            <w:r w:rsidRPr="0037448D">
              <w:t>H320200</w:t>
            </w:r>
          </w:p>
        </w:tc>
        <w:tc>
          <w:tcPr>
            <w:tcW w:w="5320" w:type="dxa"/>
            <w:noWrap/>
            <w:hideMark/>
          </w:tcPr>
          <w:p w:rsidR="000C0A41" w:rsidRPr="0037448D" w:rsidRDefault="000C0A41">
            <w:pPr>
              <w:cnfStyle w:val="000000000000" w:firstRow="0" w:lastRow="0" w:firstColumn="0" w:lastColumn="0" w:oddVBand="0" w:evenVBand="0" w:oddHBand="0" w:evenHBand="0" w:firstRowFirstColumn="0" w:firstRowLastColumn="0" w:lastRowFirstColumn="0" w:lastRowLastColumn="0"/>
            </w:pPr>
            <w:r w:rsidRPr="0037448D">
              <w:t>Giant bullous emphysema</w:t>
            </w:r>
          </w:p>
        </w:tc>
        <w:tc>
          <w:tcPr>
            <w:tcW w:w="1725" w:type="dxa"/>
            <w:noWrap/>
            <w:hideMark/>
          </w:tcPr>
          <w:p w:rsidR="000C0A41" w:rsidRPr="0037448D" w:rsidRDefault="000C0A41" w:rsidP="009434DE">
            <w:pPr>
              <w:jc w:val="center"/>
              <w:cnfStyle w:val="000000000000" w:firstRow="0" w:lastRow="0" w:firstColumn="0" w:lastColumn="0" w:oddVBand="0" w:evenVBand="0" w:oddHBand="0" w:evenHBand="0" w:firstRowFirstColumn="0" w:firstRowLastColumn="0" w:lastRowFirstColumn="0" w:lastRowLastColumn="0"/>
            </w:pPr>
          </w:p>
        </w:tc>
      </w:tr>
      <w:tr w:rsidR="000C0A41" w:rsidRPr="0037448D" w:rsidTr="009434D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22" w:type="dxa"/>
            <w:noWrap/>
            <w:hideMark/>
          </w:tcPr>
          <w:p w:rsidR="000C0A41" w:rsidRPr="0037448D" w:rsidRDefault="000C0A41" w:rsidP="0037448D">
            <w:r w:rsidRPr="0037448D">
              <w:t>H310z00</w:t>
            </w:r>
          </w:p>
        </w:tc>
        <w:tc>
          <w:tcPr>
            <w:tcW w:w="5320" w:type="dxa"/>
            <w:noWrap/>
            <w:hideMark/>
          </w:tcPr>
          <w:p w:rsidR="000C0A41" w:rsidRPr="0037448D" w:rsidRDefault="000C0A41">
            <w:pPr>
              <w:cnfStyle w:val="000000100000" w:firstRow="0" w:lastRow="0" w:firstColumn="0" w:lastColumn="0" w:oddVBand="0" w:evenVBand="0" w:oddHBand="1" w:evenHBand="0" w:firstRowFirstColumn="0" w:firstRowLastColumn="0" w:lastRowFirstColumn="0" w:lastRowLastColumn="0"/>
            </w:pPr>
            <w:r w:rsidRPr="0037448D">
              <w:t>Simple chronic bronchitis NOS</w:t>
            </w:r>
          </w:p>
        </w:tc>
        <w:tc>
          <w:tcPr>
            <w:tcW w:w="1725" w:type="dxa"/>
            <w:noWrap/>
            <w:hideMark/>
          </w:tcPr>
          <w:p w:rsidR="000C0A41" w:rsidRPr="0037448D" w:rsidRDefault="000C0A41" w:rsidP="009434DE">
            <w:pPr>
              <w:jc w:val="center"/>
              <w:cnfStyle w:val="000000100000" w:firstRow="0" w:lastRow="0" w:firstColumn="0" w:lastColumn="0" w:oddVBand="0" w:evenVBand="0" w:oddHBand="1" w:evenHBand="0" w:firstRowFirstColumn="0" w:firstRowLastColumn="0" w:lastRowFirstColumn="0" w:lastRowLastColumn="0"/>
            </w:pPr>
          </w:p>
        </w:tc>
      </w:tr>
      <w:tr w:rsidR="000C0A41" w:rsidRPr="0037448D" w:rsidTr="009434DE">
        <w:trPr>
          <w:trHeight w:val="300"/>
          <w:jc w:val="center"/>
        </w:trPr>
        <w:tc>
          <w:tcPr>
            <w:cnfStyle w:val="001000000000" w:firstRow="0" w:lastRow="0" w:firstColumn="1" w:lastColumn="0" w:oddVBand="0" w:evenVBand="0" w:oddHBand="0" w:evenHBand="0" w:firstRowFirstColumn="0" w:firstRowLastColumn="0" w:lastRowFirstColumn="0" w:lastRowLastColumn="0"/>
            <w:tcW w:w="2022" w:type="dxa"/>
            <w:noWrap/>
            <w:hideMark/>
          </w:tcPr>
          <w:p w:rsidR="000C0A41" w:rsidRPr="0037448D" w:rsidRDefault="000C0A41" w:rsidP="0037448D">
            <w:r w:rsidRPr="0037448D">
              <w:t>H311z00</w:t>
            </w:r>
          </w:p>
        </w:tc>
        <w:tc>
          <w:tcPr>
            <w:tcW w:w="5320" w:type="dxa"/>
            <w:noWrap/>
            <w:hideMark/>
          </w:tcPr>
          <w:p w:rsidR="000C0A41" w:rsidRPr="0037448D" w:rsidRDefault="000C0A41">
            <w:pPr>
              <w:cnfStyle w:val="000000000000" w:firstRow="0" w:lastRow="0" w:firstColumn="0" w:lastColumn="0" w:oddVBand="0" w:evenVBand="0" w:oddHBand="0" w:evenHBand="0" w:firstRowFirstColumn="0" w:firstRowLastColumn="0" w:lastRowFirstColumn="0" w:lastRowLastColumn="0"/>
            </w:pPr>
            <w:r w:rsidRPr="0037448D">
              <w:t>Mucopurulent chronic bronchitis NOS</w:t>
            </w:r>
          </w:p>
        </w:tc>
        <w:tc>
          <w:tcPr>
            <w:tcW w:w="1725" w:type="dxa"/>
            <w:noWrap/>
            <w:hideMark/>
          </w:tcPr>
          <w:p w:rsidR="000C0A41" w:rsidRPr="0037448D" w:rsidRDefault="000C0A41" w:rsidP="009434DE">
            <w:pPr>
              <w:jc w:val="center"/>
              <w:cnfStyle w:val="000000000000" w:firstRow="0" w:lastRow="0" w:firstColumn="0" w:lastColumn="0" w:oddVBand="0" w:evenVBand="0" w:oddHBand="0" w:evenHBand="0" w:firstRowFirstColumn="0" w:firstRowLastColumn="0" w:lastRowFirstColumn="0" w:lastRowLastColumn="0"/>
            </w:pPr>
          </w:p>
        </w:tc>
      </w:tr>
      <w:tr w:rsidR="000C0A41" w:rsidRPr="0037448D" w:rsidTr="009434D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22" w:type="dxa"/>
            <w:noWrap/>
            <w:hideMark/>
          </w:tcPr>
          <w:p w:rsidR="000C0A41" w:rsidRPr="0037448D" w:rsidRDefault="000C0A41" w:rsidP="0037448D">
            <w:r w:rsidRPr="0037448D">
              <w:t>H32y200</w:t>
            </w:r>
          </w:p>
        </w:tc>
        <w:tc>
          <w:tcPr>
            <w:tcW w:w="5320" w:type="dxa"/>
            <w:noWrap/>
            <w:hideMark/>
          </w:tcPr>
          <w:p w:rsidR="000C0A41" w:rsidRPr="0037448D" w:rsidRDefault="000C0A41">
            <w:pPr>
              <w:cnfStyle w:val="000000100000" w:firstRow="0" w:lastRow="0" w:firstColumn="0" w:lastColumn="0" w:oddVBand="0" w:evenVBand="0" w:oddHBand="1" w:evenHBand="0" w:firstRowFirstColumn="0" w:firstRowLastColumn="0" w:lastRowFirstColumn="0" w:lastRowLastColumn="0"/>
            </w:pPr>
            <w:r w:rsidRPr="0037448D">
              <w:t>MacLeod's unilateral emphysema</w:t>
            </w:r>
          </w:p>
        </w:tc>
        <w:tc>
          <w:tcPr>
            <w:tcW w:w="1725" w:type="dxa"/>
            <w:noWrap/>
            <w:hideMark/>
          </w:tcPr>
          <w:p w:rsidR="000C0A41" w:rsidRPr="0037448D" w:rsidRDefault="000C0A41" w:rsidP="009434DE">
            <w:pPr>
              <w:jc w:val="center"/>
              <w:cnfStyle w:val="000000100000" w:firstRow="0" w:lastRow="0" w:firstColumn="0" w:lastColumn="0" w:oddVBand="0" w:evenVBand="0" w:oddHBand="1" w:evenHBand="0" w:firstRowFirstColumn="0" w:firstRowLastColumn="0" w:lastRowFirstColumn="0" w:lastRowLastColumn="0"/>
            </w:pPr>
          </w:p>
        </w:tc>
      </w:tr>
      <w:tr w:rsidR="000C0A41" w:rsidRPr="0037448D" w:rsidTr="009434DE">
        <w:trPr>
          <w:trHeight w:val="300"/>
          <w:jc w:val="center"/>
        </w:trPr>
        <w:tc>
          <w:tcPr>
            <w:cnfStyle w:val="001000000000" w:firstRow="0" w:lastRow="0" w:firstColumn="1" w:lastColumn="0" w:oddVBand="0" w:evenVBand="0" w:oddHBand="0" w:evenHBand="0" w:firstRowFirstColumn="0" w:firstRowLastColumn="0" w:lastRowFirstColumn="0" w:lastRowLastColumn="0"/>
            <w:tcW w:w="2022" w:type="dxa"/>
            <w:noWrap/>
            <w:hideMark/>
          </w:tcPr>
          <w:p w:rsidR="000C0A41" w:rsidRPr="0037448D" w:rsidRDefault="000C0A41" w:rsidP="0037448D">
            <w:r w:rsidRPr="0037448D">
              <w:t>H31y.00</w:t>
            </w:r>
          </w:p>
        </w:tc>
        <w:tc>
          <w:tcPr>
            <w:tcW w:w="5320" w:type="dxa"/>
            <w:noWrap/>
            <w:hideMark/>
          </w:tcPr>
          <w:p w:rsidR="000C0A41" w:rsidRPr="0037448D" w:rsidRDefault="000C0A41">
            <w:pPr>
              <w:cnfStyle w:val="000000000000" w:firstRow="0" w:lastRow="0" w:firstColumn="0" w:lastColumn="0" w:oddVBand="0" w:evenVBand="0" w:oddHBand="0" w:evenHBand="0" w:firstRowFirstColumn="0" w:firstRowLastColumn="0" w:lastRowFirstColumn="0" w:lastRowLastColumn="0"/>
            </w:pPr>
            <w:r w:rsidRPr="0037448D">
              <w:t>Other chronic bronchitis</w:t>
            </w:r>
          </w:p>
        </w:tc>
        <w:tc>
          <w:tcPr>
            <w:tcW w:w="1725" w:type="dxa"/>
            <w:noWrap/>
            <w:hideMark/>
          </w:tcPr>
          <w:p w:rsidR="000C0A41" w:rsidRPr="0037448D" w:rsidRDefault="000C0A41" w:rsidP="009434DE">
            <w:pPr>
              <w:jc w:val="center"/>
              <w:cnfStyle w:val="000000000000" w:firstRow="0" w:lastRow="0" w:firstColumn="0" w:lastColumn="0" w:oddVBand="0" w:evenVBand="0" w:oddHBand="0" w:evenHBand="0" w:firstRowFirstColumn="0" w:firstRowLastColumn="0" w:lastRowFirstColumn="0" w:lastRowLastColumn="0"/>
            </w:pPr>
          </w:p>
        </w:tc>
      </w:tr>
      <w:tr w:rsidR="000C0A41" w:rsidRPr="0037448D" w:rsidTr="009434D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22" w:type="dxa"/>
            <w:noWrap/>
            <w:hideMark/>
          </w:tcPr>
          <w:p w:rsidR="000C0A41" w:rsidRPr="0037448D" w:rsidRDefault="000C0A41" w:rsidP="0037448D">
            <w:r w:rsidRPr="0037448D">
              <w:t>H3y..11</w:t>
            </w:r>
          </w:p>
        </w:tc>
        <w:tc>
          <w:tcPr>
            <w:tcW w:w="5320" w:type="dxa"/>
            <w:noWrap/>
            <w:hideMark/>
          </w:tcPr>
          <w:p w:rsidR="000C0A41" w:rsidRPr="0037448D" w:rsidRDefault="000C0A41">
            <w:pPr>
              <w:cnfStyle w:val="000000100000" w:firstRow="0" w:lastRow="0" w:firstColumn="0" w:lastColumn="0" w:oddVBand="0" w:evenVBand="0" w:oddHBand="1" w:evenHBand="0" w:firstRowFirstColumn="0" w:firstRowLastColumn="0" w:lastRowFirstColumn="0" w:lastRowLastColumn="0"/>
            </w:pPr>
            <w:r w:rsidRPr="0037448D">
              <w:t>Other specified chronic obstructive pulmonary disease</w:t>
            </w:r>
          </w:p>
        </w:tc>
        <w:tc>
          <w:tcPr>
            <w:tcW w:w="1725" w:type="dxa"/>
            <w:noWrap/>
            <w:hideMark/>
          </w:tcPr>
          <w:p w:rsidR="000C0A41" w:rsidRPr="0037448D" w:rsidRDefault="000C0A41" w:rsidP="009434DE">
            <w:pPr>
              <w:jc w:val="center"/>
              <w:cnfStyle w:val="000000100000" w:firstRow="0" w:lastRow="0" w:firstColumn="0" w:lastColumn="0" w:oddVBand="0" w:evenVBand="0" w:oddHBand="1" w:evenHBand="0" w:firstRowFirstColumn="0" w:firstRowLastColumn="0" w:lastRowFirstColumn="0" w:lastRowLastColumn="0"/>
            </w:pPr>
          </w:p>
        </w:tc>
      </w:tr>
      <w:tr w:rsidR="000C0A41" w:rsidRPr="0037448D" w:rsidTr="009434DE">
        <w:trPr>
          <w:trHeight w:val="300"/>
          <w:jc w:val="center"/>
        </w:trPr>
        <w:tc>
          <w:tcPr>
            <w:cnfStyle w:val="001000000000" w:firstRow="0" w:lastRow="0" w:firstColumn="1" w:lastColumn="0" w:oddVBand="0" w:evenVBand="0" w:oddHBand="0" w:evenHBand="0" w:firstRowFirstColumn="0" w:firstRowLastColumn="0" w:lastRowFirstColumn="0" w:lastRowLastColumn="0"/>
            <w:tcW w:w="2022" w:type="dxa"/>
            <w:noWrap/>
            <w:hideMark/>
          </w:tcPr>
          <w:p w:rsidR="000C0A41" w:rsidRPr="0037448D" w:rsidRDefault="000C0A41" w:rsidP="0037448D">
            <w:r w:rsidRPr="0037448D">
              <w:t>H31yz00</w:t>
            </w:r>
          </w:p>
        </w:tc>
        <w:tc>
          <w:tcPr>
            <w:tcW w:w="5320" w:type="dxa"/>
            <w:noWrap/>
            <w:hideMark/>
          </w:tcPr>
          <w:p w:rsidR="000C0A41" w:rsidRPr="0037448D" w:rsidRDefault="000C0A41">
            <w:pPr>
              <w:cnfStyle w:val="000000000000" w:firstRow="0" w:lastRow="0" w:firstColumn="0" w:lastColumn="0" w:oddVBand="0" w:evenVBand="0" w:oddHBand="0" w:evenHBand="0" w:firstRowFirstColumn="0" w:firstRowLastColumn="0" w:lastRowFirstColumn="0" w:lastRowLastColumn="0"/>
            </w:pPr>
            <w:r w:rsidRPr="0037448D">
              <w:t>Other chronic bronchitis NOS</w:t>
            </w:r>
          </w:p>
        </w:tc>
        <w:tc>
          <w:tcPr>
            <w:tcW w:w="1725" w:type="dxa"/>
            <w:noWrap/>
            <w:hideMark/>
          </w:tcPr>
          <w:p w:rsidR="000C0A41" w:rsidRPr="0037448D" w:rsidRDefault="000C0A41" w:rsidP="009434DE">
            <w:pPr>
              <w:jc w:val="center"/>
              <w:cnfStyle w:val="000000000000" w:firstRow="0" w:lastRow="0" w:firstColumn="0" w:lastColumn="0" w:oddVBand="0" w:evenVBand="0" w:oddHBand="0" w:evenHBand="0" w:firstRowFirstColumn="0" w:firstRowLastColumn="0" w:lastRowFirstColumn="0" w:lastRowLastColumn="0"/>
            </w:pPr>
          </w:p>
        </w:tc>
      </w:tr>
      <w:tr w:rsidR="000C0A41" w:rsidRPr="0037448D" w:rsidTr="009434D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22" w:type="dxa"/>
            <w:noWrap/>
            <w:hideMark/>
          </w:tcPr>
          <w:p w:rsidR="000C0A41" w:rsidRPr="0037448D" w:rsidRDefault="000C0A41" w:rsidP="0037448D">
            <w:r w:rsidRPr="0037448D">
              <w:t>H320100</w:t>
            </w:r>
          </w:p>
        </w:tc>
        <w:tc>
          <w:tcPr>
            <w:tcW w:w="5320" w:type="dxa"/>
            <w:noWrap/>
            <w:hideMark/>
          </w:tcPr>
          <w:p w:rsidR="000C0A41" w:rsidRPr="0037448D" w:rsidRDefault="000C0A41">
            <w:pPr>
              <w:cnfStyle w:val="000000100000" w:firstRow="0" w:lastRow="0" w:firstColumn="0" w:lastColumn="0" w:oddVBand="0" w:evenVBand="0" w:oddHBand="1" w:evenHBand="0" w:firstRowFirstColumn="0" w:firstRowLastColumn="0" w:lastRowFirstColumn="0" w:lastRowLastColumn="0"/>
            </w:pPr>
            <w:r w:rsidRPr="0037448D">
              <w:t>Zonal bullous emphysema</w:t>
            </w:r>
          </w:p>
        </w:tc>
        <w:tc>
          <w:tcPr>
            <w:tcW w:w="1725" w:type="dxa"/>
            <w:noWrap/>
            <w:hideMark/>
          </w:tcPr>
          <w:p w:rsidR="000C0A41" w:rsidRPr="0037448D" w:rsidRDefault="000C0A41" w:rsidP="009434DE">
            <w:pPr>
              <w:jc w:val="center"/>
              <w:cnfStyle w:val="000000100000" w:firstRow="0" w:lastRow="0" w:firstColumn="0" w:lastColumn="0" w:oddVBand="0" w:evenVBand="0" w:oddHBand="1" w:evenHBand="0" w:firstRowFirstColumn="0" w:firstRowLastColumn="0" w:lastRowFirstColumn="0" w:lastRowLastColumn="0"/>
            </w:pPr>
          </w:p>
        </w:tc>
      </w:tr>
      <w:tr w:rsidR="000C0A41" w:rsidRPr="0037448D" w:rsidTr="009434DE">
        <w:trPr>
          <w:trHeight w:val="300"/>
          <w:jc w:val="center"/>
        </w:trPr>
        <w:tc>
          <w:tcPr>
            <w:cnfStyle w:val="001000000000" w:firstRow="0" w:lastRow="0" w:firstColumn="1" w:lastColumn="0" w:oddVBand="0" w:evenVBand="0" w:oddHBand="0" w:evenHBand="0" w:firstRowFirstColumn="0" w:firstRowLastColumn="0" w:lastRowFirstColumn="0" w:lastRowLastColumn="0"/>
            <w:tcW w:w="2022" w:type="dxa"/>
            <w:noWrap/>
            <w:hideMark/>
          </w:tcPr>
          <w:p w:rsidR="000C0A41" w:rsidRPr="0037448D" w:rsidRDefault="000C0A41" w:rsidP="0037448D">
            <w:r w:rsidRPr="0037448D">
              <w:t>H32y100</w:t>
            </w:r>
          </w:p>
        </w:tc>
        <w:tc>
          <w:tcPr>
            <w:tcW w:w="5320" w:type="dxa"/>
            <w:noWrap/>
            <w:hideMark/>
          </w:tcPr>
          <w:p w:rsidR="000C0A41" w:rsidRPr="0037448D" w:rsidRDefault="000C0A41">
            <w:pPr>
              <w:cnfStyle w:val="000000000000" w:firstRow="0" w:lastRow="0" w:firstColumn="0" w:lastColumn="0" w:oddVBand="0" w:evenVBand="0" w:oddHBand="0" w:evenHBand="0" w:firstRowFirstColumn="0" w:firstRowLastColumn="0" w:lastRowFirstColumn="0" w:lastRowLastColumn="0"/>
            </w:pPr>
            <w:r w:rsidRPr="0037448D">
              <w:t>Atrophic (senile) emphysema</w:t>
            </w:r>
          </w:p>
        </w:tc>
        <w:tc>
          <w:tcPr>
            <w:tcW w:w="1725" w:type="dxa"/>
            <w:noWrap/>
            <w:hideMark/>
          </w:tcPr>
          <w:p w:rsidR="000C0A41" w:rsidRPr="0037448D" w:rsidRDefault="000C0A41" w:rsidP="009434DE">
            <w:pPr>
              <w:jc w:val="center"/>
              <w:cnfStyle w:val="000000000000" w:firstRow="0" w:lastRow="0" w:firstColumn="0" w:lastColumn="0" w:oddVBand="0" w:evenVBand="0" w:oddHBand="0" w:evenHBand="0" w:firstRowFirstColumn="0" w:firstRowLastColumn="0" w:lastRowFirstColumn="0" w:lastRowLastColumn="0"/>
            </w:pPr>
          </w:p>
        </w:tc>
      </w:tr>
      <w:tr w:rsidR="000C0A41" w:rsidRPr="0037448D" w:rsidTr="009434D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22" w:type="dxa"/>
            <w:noWrap/>
            <w:hideMark/>
          </w:tcPr>
          <w:p w:rsidR="000C0A41" w:rsidRPr="0037448D" w:rsidRDefault="000C0A41" w:rsidP="0037448D">
            <w:r w:rsidRPr="0037448D">
              <w:t>H32y000</w:t>
            </w:r>
          </w:p>
        </w:tc>
        <w:tc>
          <w:tcPr>
            <w:tcW w:w="5320" w:type="dxa"/>
            <w:noWrap/>
            <w:hideMark/>
          </w:tcPr>
          <w:p w:rsidR="000C0A41" w:rsidRPr="0037448D" w:rsidRDefault="000C0A41">
            <w:pPr>
              <w:cnfStyle w:val="000000100000" w:firstRow="0" w:lastRow="0" w:firstColumn="0" w:lastColumn="0" w:oddVBand="0" w:evenVBand="0" w:oddHBand="1" w:evenHBand="0" w:firstRowFirstColumn="0" w:firstRowLastColumn="0" w:lastRowFirstColumn="0" w:lastRowLastColumn="0"/>
            </w:pPr>
            <w:r w:rsidRPr="0037448D">
              <w:t>Acute vesicular emphysema</w:t>
            </w:r>
          </w:p>
        </w:tc>
        <w:tc>
          <w:tcPr>
            <w:tcW w:w="1725" w:type="dxa"/>
            <w:noWrap/>
            <w:hideMark/>
          </w:tcPr>
          <w:p w:rsidR="000C0A41" w:rsidRPr="0037448D" w:rsidRDefault="000C0A41" w:rsidP="009434DE">
            <w:pPr>
              <w:jc w:val="center"/>
              <w:cnfStyle w:val="000000100000" w:firstRow="0" w:lastRow="0" w:firstColumn="0" w:lastColumn="0" w:oddVBand="0" w:evenVBand="0" w:oddHBand="1" w:evenHBand="0" w:firstRowFirstColumn="0" w:firstRowLastColumn="0" w:lastRowFirstColumn="0" w:lastRowLastColumn="0"/>
            </w:pPr>
          </w:p>
        </w:tc>
      </w:tr>
      <w:tr w:rsidR="000C0A41" w:rsidRPr="0037448D" w:rsidTr="009434DE">
        <w:trPr>
          <w:trHeight w:val="300"/>
          <w:jc w:val="center"/>
        </w:trPr>
        <w:tc>
          <w:tcPr>
            <w:cnfStyle w:val="001000000000" w:firstRow="0" w:lastRow="0" w:firstColumn="1" w:lastColumn="0" w:oddVBand="0" w:evenVBand="0" w:oddHBand="0" w:evenHBand="0" w:firstRowFirstColumn="0" w:firstRowLastColumn="0" w:lastRowFirstColumn="0" w:lastRowLastColumn="0"/>
            <w:tcW w:w="2022" w:type="dxa"/>
            <w:noWrap/>
            <w:hideMark/>
          </w:tcPr>
          <w:p w:rsidR="000C0A41" w:rsidRPr="0037448D" w:rsidRDefault="000C0A41" w:rsidP="0037448D">
            <w:r w:rsidRPr="0037448D">
              <w:t>H320300</w:t>
            </w:r>
          </w:p>
        </w:tc>
        <w:tc>
          <w:tcPr>
            <w:tcW w:w="5320" w:type="dxa"/>
            <w:noWrap/>
            <w:hideMark/>
          </w:tcPr>
          <w:p w:rsidR="000C0A41" w:rsidRPr="0037448D" w:rsidRDefault="000C0A41">
            <w:pPr>
              <w:cnfStyle w:val="000000000000" w:firstRow="0" w:lastRow="0" w:firstColumn="0" w:lastColumn="0" w:oddVBand="0" w:evenVBand="0" w:oddHBand="0" w:evenHBand="0" w:firstRowFirstColumn="0" w:firstRowLastColumn="0" w:lastRowFirstColumn="0" w:lastRowLastColumn="0"/>
            </w:pPr>
            <w:r w:rsidRPr="0037448D">
              <w:t>Bullous emphysema with collapse</w:t>
            </w:r>
          </w:p>
        </w:tc>
        <w:tc>
          <w:tcPr>
            <w:tcW w:w="1725" w:type="dxa"/>
            <w:noWrap/>
            <w:hideMark/>
          </w:tcPr>
          <w:p w:rsidR="000C0A41" w:rsidRPr="0037448D" w:rsidRDefault="000C0A41" w:rsidP="009434DE">
            <w:pPr>
              <w:jc w:val="center"/>
              <w:cnfStyle w:val="000000000000" w:firstRow="0" w:lastRow="0" w:firstColumn="0" w:lastColumn="0" w:oddVBand="0" w:evenVBand="0" w:oddHBand="0" w:evenHBand="0" w:firstRowFirstColumn="0" w:firstRowLastColumn="0" w:lastRowFirstColumn="0" w:lastRowLastColumn="0"/>
            </w:pPr>
          </w:p>
        </w:tc>
      </w:tr>
      <w:tr w:rsidR="000C0A41" w:rsidRPr="0037448D" w:rsidTr="009434D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22" w:type="dxa"/>
            <w:noWrap/>
            <w:hideMark/>
          </w:tcPr>
          <w:p w:rsidR="000C0A41" w:rsidRPr="0037448D" w:rsidRDefault="000C0A41" w:rsidP="0037448D">
            <w:r w:rsidRPr="0037448D">
              <w:t>H320311</w:t>
            </w:r>
          </w:p>
        </w:tc>
        <w:tc>
          <w:tcPr>
            <w:tcW w:w="5320" w:type="dxa"/>
            <w:noWrap/>
            <w:hideMark/>
          </w:tcPr>
          <w:p w:rsidR="000C0A41" w:rsidRPr="0037448D" w:rsidRDefault="000C0A41">
            <w:pPr>
              <w:cnfStyle w:val="000000100000" w:firstRow="0" w:lastRow="0" w:firstColumn="0" w:lastColumn="0" w:oddVBand="0" w:evenVBand="0" w:oddHBand="1" w:evenHBand="0" w:firstRowFirstColumn="0" w:firstRowLastColumn="0" w:lastRowFirstColumn="0" w:lastRowLastColumn="0"/>
            </w:pPr>
            <w:r w:rsidRPr="0037448D">
              <w:t>Tension pneumatocoele</w:t>
            </w:r>
          </w:p>
        </w:tc>
        <w:tc>
          <w:tcPr>
            <w:tcW w:w="1725" w:type="dxa"/>
            <w:noWrap/>
            <w:hideMark/>
          </w:tcPr>
          <w:p w:rsidR="000C0A41" w:rsidRPr="0037448D" w:rsidRDefault="000C0A41" w:rsidP="009434DE">
            <w:pPr>
              <w:jc w:val="center"/>
              <w:cnfStyle w:val="000000100000" w:firstRow="0" w:lastRow="0" w:firstColumn="0" w:lastColumn="0" w:oddVBand="0" w:evenVBand="0" w:oddHBand="1" w:evenHBand="0" w:firstRowFirstColumn="0" w:firstRowLastColumn="0" w:lastRowFirstColumn="0" w:lastRowLastColumn="0"/>
            </w:pPr>
          </w:p>
        </w:tc>
      </w:tr>
      <w:tr w:rsidR="000C0A41" w:rsidRPr="0037448D" w:rsidTr="009434DE">
        <w:trPr>
          <w:trHeight w:val="300"/>
          <w:jc w:val="center"/>
        </w:trPr>
        <w:tc>
          <w:tcPr>
            <w:cnfStyle w:val="001000000000" w:firstRow="0" w:lastRow="0" w:firstColumn="1" w:lastColumn="0" w:oddVBand="0" w:evenVBand="0" w:oddHBand="0" w:evenHBand="0" w:firstRowFirstColumn="0" w:firstRowLastColumn="0" w:lastRowFirstColumn="0" w:lastRowLastColumn="0"/>
            <w:tcW w:w="2022" w:type="dxa"/>
            <w:noWrap/>
            <w:hideMark/>
          </w:tcPr>
          <w:p w:rsidR="000C0A41" w:rsidRPr="0037448D" w:rsidRDefault="000C0A41" w:rsidP="0037448D">
            <w:r w:rsidRPr="0037448D">
              <w:t>H3A..00</w:t>
            </w:r>
          </w:p>
        </w:tc>
        <w:tc>
          <w:tcPr>
            <w:tcW w:w="5320" w:type="dxa"/>
            <w:noWrap/>
            <w:hideMark/>
          </w:tcPr>
          <w:p w:rsidR="000C0A41" w:rsidRPr="0037448D" w:rsidRDefault="000C0A41">
            <w:pPr>
              <w:cnfStyle w:val="000000000000" w:firstRow="0" w:lastRow="0" w:firstColumn="0" w:lastColumn="0" w:oddVBand="0" w:evenVBand="0" w:oddHBand="0" w:evenHBand="0" w:firstRowFirstColumn="0" w:firstRowLastColumn="0" w:lastRowFirstColumn="0" w:lastRowLastColumn="0"/>
            </w:pPr>
            <w:r w:rsidRPr="0037448D">
              <w:t>End stage chronic obstructive airways disease</w:t>
            </w:r>
          </w:p>
        </w:tc>
        <w:tc>
          <w:tcPr>
            <w:tcW w:w="1725" w:type="dxa"/>
            <w:noWrap/>
            <w:hideMark/>
          </w:tcPr>
          <w:p w:rsidR="000C0A41" w:rsidRPr="0037448D" w:rsidRDefault="000C0A41" w:rsidP="009434DE">
            <w:pPr>
              <w:jc w:val="center"/>
              <w:cnfStyle w:val="000000000000" w:firstRow="0" w:lastRow="0" w:firstColumn="0" w:lastColumn="0" w:oddVBand="0" w:evenVBand="0" w:oddHBand="0" w:evenHBand="0" w:firstRowFirstColumn="0" w:firstRowLastColumn="0" w:lastRowFirstColumn="0" w:lastRowLastColumn="0"/>
            </w:pPr>
          </w:p>
        </w:tc>
      </w:tr>
      <w:tr w:rsidR="000C0A41" w:rsidRPr="0037448D" w:rsidTr="009434D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22" w:type="dxa"/>
            <w:noWrap/>
            <w:hideMark/>
          </w:tcPr>
          <w:p w:rsidR="000C0A41" w:rsidRPr="0037448D" w:rsidRDefault="000C0A41" w:rsidP="0037448D">
            <w:r w:rsidRPr="0037448D">
              <w:t>H583200</w:t>
            </w:r>
          </w:p>
        </w:tc>
        <w:tc>
          <w:tcPr>
            <w:tcW w:w="5320" w:type="dxa"/>
            <w:noWrap/>
            <w:hideMark/>
          </w:tcPr>
          <w:p w:rsidR="000C0A41" w:rsidRPr="0037448D" w:rsidRDefault="000C0A41">
            <w:pPr>
              <w:cnfStyle w:val="000000100000" w:firstRow="0" w:lastRow="0" w:firstColumn="0" w:lastColumn="0" w:oddVBand="0" w:evenVBand="0" w:oddHBand="1" w:evenHBand="0" w:firstRowFirstColumn="0" w:firstRowLastColumn="0" w:lastRowFirstColumn="0" w:lastRowLastColumn="0"/>
            </w:pPr>
            <w:r w:rsidRPr="0037448D">
              <w:t>Eosinophilic bronchitis</w:t>
            </w:r>
          </w:p>
        </w:tc>
        <w:tc>
          <w:tcPr>
            <w:tcW w:w="1725" w:type="dxa"/>
            <w:noWrap/>
            <w:hideMark/>
          </w:tcPr>
          <w:p w:rsidR="000C0A41" w:rsidRPr="0037448D" w:rsidRDefault="000C0A41" w:rsidP="009434DE">
            <w:pPr>
              <w:jc w:val="center"/>
              <w:cnfStyle w:val="000000100000" w:firstRow="0" w:lastRow="0" w:firstColumn="0" w:lastColumn="0" w:oddVBand="0" w:evenVBand="0" w:oddHBand="1" w:evenHBand="0" w:firstRowFirstColumn="0" w:firstRowLastColumn="0" w:lastRowFirstColumn="0" w:lastRowLastColumn="0"/>
            </w:pPr>
          </w:p>
        </w:tc>
      </w:tr>
    </w:tbl>
    <w:p w:rsidR="000C0A41" w:rsidRDefault="000C0A41" w:rsidP="0037448D"/>
    <w:p w:rsidR="000C0A41" w:rsidRDefault="000C0A41" w:rsidP="0037448D">
      <w:r>
        <w:t xml:space="preserve">To determine the extent of undiagnosed (but diagnosable) COPD we then developed a diagnostic algorithm using the criteria shown in row 5 of </w:t>
      </w:r>
      <w:r>
        <w:fldChar w:fldCharType="begin"/>
      </w:r>
      <w:r>
        <w:instrText xml:space="preserve"> REF _Ref457484692 \h </w:instrText>
      </w:r>
      <w:r>
        <w:fldChar w:fldCharType="separate"/>
      </w:r>
      <w:r>
        <w:t xml:space="preserve">Table </w:t>
      </w:r>
      <w:r>
        <w:rPr>
          <w:noProof/>
        </w:rPr>
        <w:t>7</w:t>
      </w:r>
      <w:r>
        <w:t>: t</w:t>
      </w:r>
      <w:r w:rsidRPr="00BF2714">
        <w:t>he positive predictive value (PPV) and proportion of patients diagnosed with chronic obstructive pulmonary disease (COPD) within each algorithm</w:t>
      </w:r>
      <w:r>
        <w:fldChar w:fldCharType="end"/>
      </w:r>
      <w:r>
        <w:t xml:space="preserve">. For “diagnosis” via the algorithm, patients had two or more codes for sputum, breathlessness, or cough, plus two or more prescriptions for a possible COPD therapy (see </w:t>
      </w:r>
      <w:r>
        <w:fldChar w:fldCharType="begin"/>
      </w:r>
      <w:r>
        <w:instrText xml:space="preserve"> REF _Ref457481171 \r \h </w:instrText>
      </w:r>
      <w:r>
        <w:fldChar w:fldCharType="separate"/>
      </w:r>
      <w:r>
        <w:t>7.1</w:t>
      </w:r>
      <w:r>
        <w:fldChar w:fldCharType="end"/>
      </w:r>
      <w:r>
        <w:t xml:space="preserve"> </w:t>
      </w:r>
      <w:r>
        <w:fldChar w:fldCharType="begin"/>
      </w:r>
      <w:r>
        <w:instrText xml:space="preserve"> REF _Ref457481171 \h </w:instrText>
      </w:r>
      <w:r>
        <w:fldChar w:fldCharType="separate"/>
      </w:r>
      <w:r>
        <w:t>CPRD m</w:t>
      </w:r>
      <w:r w:rsidRPr="003E1973">
        <w:t>edcodes</w:t>
      </w:r>
      <w:r>
        <w:t xml:space="preserve"> and drug codes</w:t>
      </w:r>
      <w:r>
        <w:fldChar w:fldCharType="end"/>
      </w:r>
      <w:r>
        <w:t>), and a smoking history</w:t>
      </w:r>
      <w:r w:rsidRPr="007F36ED">
        <w:t xml:space="preserve">. </w:t>
      </w:r>
    </w:p>
    <w:p w:rsidR="000C0A41" w:rsidRDefault="000C0A41" w:rsidP="00643838"/>
    <w:p w:rsidR="000C0A41" w:rsidRPr="00DA2CF9" w:rsidRDefault="000C0A41" w:rsidP="00B12E59">
      <w:pPr>
        <w:pStyle w:val="Heading3"/>
      </w:pPr>
      <w:bookmarkStart w:id="35" w:name="_Ref436838738"/>
      <w:bookmarkStart w:id="36" w:name="_Toc458185261"/>
      <w:r>
        <w:t>CPRD r</w:t>
      </w:r>
      <w:r w:rsidRPr="00DA2CF9">
        <w:t>isk factors</w:t>
      </w:r>
      <w:bookmarkEnd w:id="36"/>
    </w:p>
    <w:p w:rsidR="000C0A41" w:rsidRDefault="000C0A41" w:rsidP="00C25820">
      <w:r>
        <w:t>We used the literature review described in the Background to extract CPRD data on risk factors. There were two main reasons why some risk factors from the literature were not used in the final model. Firstly, the data was not available in CPRD. For example, data on educational level, occupational class and socioeconomic status is very poorly recorded. The occupational classification for which Read codes are available is from a 1986 Office for National Statistics classification so is outdated. Physical activity is also poorly recorded, although this is improving because of the dissemination of the GP Physical Activity Questionnaire (GPPAQ),</w:t>
      </w:r>
      <w:r>
        <w:rPr>
          <w:noProof/>
        </w:rPr>
        <w:t>[72]</w:t>
      </w:r>
      <w:r>
        <w:t xml:space="preserve"> and the capture of GPPAQ data at the time of NHS Health Checks in particular. CPRD links most patients’ data to Index of Multiple Deprivation (IMD) data based on postcode. Secondly, to produce local estimates we use “joint distributions”- cross tabulations which distribute data on each risk factor across the data for all other risk factors- of local risk factor data to which we apply the CPRD prevalence estimates for the same distributions. Hence we can only use in the final regression model variables which are also available locally. This may cause model performance to deteriorate. We evaluated the extent of this by comparing Receiver Operating Characteristic (ROC) curves for the two models.</w:t>
      </w:r>
    </w:p>
    <w:p w:rsidR="000C0A41" w:rsidRDefault="000C0A41" w:rsidP="00B12E59">
      <w:pPr>
        <w:spacing w:before="100" w:beforeAutospacing="1" w:after="100" w:afterAutospacing="1"/>
      </w:pPr>
    </w:p>
    <w:p w:rsidR="000C0A41" w:rsidRDefault="000C0A41" w:rsidP="00BB39DD">
      <w:r w:rsidRPr="00203155">
        <w:t xml:space="preserve">Risk factor data were extracted by a defined Read code lists. These are created by searching for relevant Read version 2 5-byte codes using either CPRD’s own code browser or using the “NHS browser” maintained by the Health &amp; Social Care information Centre (HSCIC). We used the NHS browser to create code lists for smoking by searching relevant read terms or going down the hierarchy of relevant read codes. Social class was defined using the Index of Multiple Deprivation (IMD) </w:t>
      </w:r>
      <w:r w:rsidRPr="00203155">
        <w:lastRenderedPageBreak/>
        <w:t>deprivation score of the postcode of patients’ general practice.</w:t>
      </w:r>
      <w:r>
        <w:t xml:space="preserve"> This linkage is only availalble in about 50% of CPRD practices and patients.</w:t>
      </w:r>
    </w:p>
    <w:p w:rsidR="000C0A41" w:rsidRDefault="000C0A41" w:rsidP="00BB39DD">
      <w:pPr>
        <w:pStyle w:val="Heading3"/>
      </w:pPr>
      <w:bookmarkStart w:id="37" w:name="_Toc458185262"/>
      <w:r>
        <w:t>CPRD d</w:t>
      </w:r>
      <w:r w:rsidRPr="00DA2CF9">
        <w:t>escriptive analyses</w:t>
      </w:r>
      <w:bookmarkEnd w:id="37"/>
    </w:p>
    <w:p w:rsidR="000C0A41" w:rsidRDefault="000C0A41" w:rsidP="00BB39DD">
      <w:r w:rsidRPr="00DA2CF9">
        <w:t>We performed a number of descriptive analyses on the patient-level dataset including demographics, risk factor breakdowns and categories.</w:t>
      </w:r>
    </w:p>
    <w:p w:rsidR="000C0A41" w:rsidRPr="00C45AAD" w:rsidRDefault="000C0A41" w:rsidP="00BB39DD">
      <w:pPr>
        <w:pStyle w:val="Heading3"/>
      </w:pPr>
      <w:bookmarkStart w:id="38" w:name="_Toc428206427"/>
      <w:bookmarkStart w:id="39" w:name="_Toc434590963"/>
      <w:bookmarkStart w:id="40" w:name="_Toc458185263"/>
      <w:r>
        <w:t>CPRD r</w:t>
      </w:r>
      <w:r w:rsidRPr="00C45AAD">
        <w:t>egression modelling</w:t>
      </w:r>
      <w:bookmarkEnd w:id="38"/>
      <w:bookmarkEnd w:id="39"/>
      <w:bookmarkEnd w:id="40"/>
    </w:p>
    <w:p w:rsidR="000C0A41" w:rsidRDefault="000C0A41" w:rsidP="00BB39DD">
      <w:r>
        <w:t>We fitted uni-variate then multivariate logistic regression models for non-specific and radicular back pain as described in previous publications, to produce odds ratios (ORs) and regression coefficients.</w:t>
      </w:r>
      <w:r>
        <w:rPr>
          <w:noProof/>
        </w:rPr>
        <w:t>[2]</w:t>
      </w:r>
      <w:r>
        <w:t xml:space="preserve"> A </w:t>
      </w:r>
      <w:r w:rsidRPr="00527E7A">
        <w:t xml:space="preserve">range of multivariate regression models </w:t>
      </w:r>
      <w:r>
        <w:t xml:space="preserve">were </w:t>
      </w:r>
      <w:r w:rsidRPr="00527E7A">
        <w:t>fitted in order to obtain the best performing. We included one additional variable a</w:t>
      </w:r>
      <w:r>
        <w:t>t a time to observe the effects.</w:t>
      </w:r>
    </w:p>
    <w:p w:rsidR="000C0A41" w:rsidRDefault="000C0A41" w:rsidP="00821D37">
      <w:pPr>
        <w:pStyle w:val="Heading3"/>
        <w:contextualSpacing w:val="0"/>
      </w:pPr>
      <w:bookmarkStart w:id="41" w:name="_Toc456887560"/>
      <w:bookmarkStart w:id="42" w:name="_Toc458185264"/>
      <w:bookmarkEnd w:id="35"/>
      <w:r>
        <w:t>Interactions</w:t>
      </w:r>
      <w:bookmarkEnd w:id="41"/>
      <w:bookmarkEnd w:id="42"/>
    </w:p>
    <w:p w:rsidR="000C0A41" w:rsidRDefault="000C0A41" w:rsidP="00821D37">
      <w:pPr>
        <w:rPr>
          <w:rFonts w:cstheme="minorHAnsi"/>
          <w:bCs/>
          <w:color w:val="000000"/>
        </w:rPr>
      </w:pPr>
      <w:r w:rsidRPr="00135B17">
        <w:rPr>
          <w:rFonts w:cstheme="minorHAnsi"/>
          <w:bCs/>
          <w:color w:val="000000"/>
        </w:rPr>
        <w:t>There is an interaction between the effects of two exposures if the effect of one exposure varies according to the level of the other exposure.</w:t>
      </w:r>
      <w:r>
        <w:rPr>
          <w:rFonts w:cstheme="minorHAnsi"/>
          <w:bCs/>
          <w:noProof/>
          <w:color w:val="000000"/>
        </w:rPr>
        <w:t>[73]</w:t>
      </w:r>
      <w:r w:rsidRPr="00135B17">
        <w:rPr>
          <w:rFonts w:cstheme="minorHAnsi"/>
          <w:bCs/>
          <w:color w:val="000000"/>
        </w:rPr>
        <w:t xml:space="preserve"> For example,</w:t>
      </w:r>
      <w:r>
        <w:rPr>
          <w:rFonts w:cstheme="minorHAnsi"/>
          <w:bCs/>
          <w:color w:val="000000"/>
        </w:rPr>
        <w:t xml:space="preserve"> there might be an interaction between the back pain risk factors of education level and social class. </w:t>
      </w:r>
      <w:r w:rsidRPr="00135B17">
        <w:rPr>
          <w:rFonts w:cstheme="minorHAnsi"/>
          <w:bCs/>
          <w:color w:val="000000"/>
        </w:rPr>
        <w:t xml:space="preserve">An alternative term for interaction is effect modification. In this example, we can think of this as </w:t>
      </w:r>
      <w:r>
        <w:rPr>
          <w:rFonts w:cstheme="minorHAnsi"/>
          <w:bCs/>
          <w:color w:val="000000"/>
        </w:rPr>
        <w:t xml:space="preserve">educational level </w:t>
      </w:r>
      <w:r w:rsidRPr="00135B17">
        <w:rPr>
          <w:rFonts w:cstheme="minorHAnsi"/>
          <w:bCs/>
          <w:color w:val="000000"/>
        </w:rPr>
        <w:t xml:space="preserve">modifying the effect of </w:t>
      </w:r>
      <w:r>
        <w:rPr>
          <w:rFonts w:cstheme="minorHAnsi"/>
          <w:bCs/>
          <w:color w:val="000000"/>
        </w:rPr>
        <w:t>social class.</w:t>
      </w:r>
      <w:r w:rsidRPr="00135B17">
        <w:rPr>
          <w:rFonts w:cstheme="minorHAnsi"/>
          <w:bCs/>
          <w:color w:val="000000"/>
        </w:rPr>
        <w:t xml:space="preserve"> The most flexible approach to examine interactions is to use regression models, but when using Mantel-Haenszel methods to control for confounding an alternative is to use a χ2 test for effect modification, commonly called a test of heterogeneity. Interaction, effect modification and heterogeneity are three different ways of describing the same thing. Log likelihoods are compared in the two models excluding and including the interaction parameters to test the null hypothesis that there is no interaction between selected variables</w:t>
      </w:r>
      <w:r>
        <w:rPr>
          <w:rFonts w:cstheme="minorHAnsi"/>
          <w:bCs/>
          <w:color w:val="000000"/>
        </w:rPr>
        <w:t>.</w:t>
      </w:r>
    </w:p>
    <w:p w:rsidR="000C0A41" w:rsidRPr="00C45AAD" w:rsidRDefault="000C0A41" w:rsidP="00821D37">
      <w:pPr>
        <w:pStyle w:val="Heading3"/>
        <w:contextualSpacing w:val="0"/>
      </w:pPr>
      <w:bookmarkStart w:id="43" w:name="_Toc428206428"/>
      <w:bookmarkStart w:id="44" w:name="_Toc434590964"/>
      <w:bookmarkStart w:id="45" w:name="_Toc456887561"/>
      <w:bookmarkStart w:id="46" w:name="_Toc458185265"/>
      <w:r w:rsidRPr="00C45AAD">
        <w:t>Internal validation</w:t>
      </w:r>
      <w:bookmarkEnd w:id="43"/>
      <w:bookmarkEnd w:id="44"/>
      <w:bookmarkEnd w:id="45"/>
      <w:bookmarkEnd w:id="46"/>
    </w:p>
    <w:p w:rsidR="000C0A41" w:rsidRDefault="000C0A41" w:rsidP="00821D37">
      <w:r w:rsidRPr="00DB0BB8">
        <w:rPr>
          <w:rFonts w:cstheme="minorHAnsi"/>
          <w:bCs/>
        </w:rPr>
        <w:t xml:space="preserve">We fitted a range of multivariate logistic regression models in order to obtain the best performing. We included one additional variable at a time to observe the effects. </w:t>
      </w:r>
      <w:r w:rsidRPr="00DB0BB8">
        <w:t xml:space="preserve">In order to obtain the most parsimonious models we then applied stepwise backward and forward variable selection using the </w:t>
      </w:r>
      <w:r w:rsidRPr="00DB0BB8">
        <w:rPr>
          <w:i/>
        </w:rPr>
        <w:t>stepwise</w:t>
      </w:r>
      <w:r w:rsidRPr="00DB0BB8">
        <w:t xml:space="preserve"> command in Stata. Finally, we internally validated the models by generating receiver operating characteristic (ROC) curves, by using </w:t>
      </w:r>
      <w:r>
        <w:t xml:space="preserve">the </w:t>
      </w:r>
      <w:r w:rsidRPr="00FE1B6D">
        <w:rPr>
          <w:b/>
          <w:i/>
        </w:rPr>
        <w:t>predict</w:t>
      </w:r>
      <w:r>
        <w:t xml:space="preserve"> regression post-estimation command to generate for each respondent the probability of having PAD using the derived odds ratios (ORs), and by using these probabilities to examine sensitivity and specificity. </w:t>
      </w:r>
    </w:p>
    <w:p w:rsidR="000C0A41" w:rsidRPr="00644183" w:rsidRDefault="000C0A41" w:rsidP="00821D37">
      <w:pPr>
        <w:rPr>
          <w:rFonts w:cstheme="minorHAnsi"/>
          <w:bCs/>
          <w:color w:val="000000"/>
        </w:rPr>
      </w:pPr>
    </w:p>
    <w:p w:rsidR="000C0A41" w:rsidRDefault="000C0A41" w:rsidP="00821D37">
      <w:pPr>
        <w:rPr>
          <w:rFonts w:cstheme="minorHAnsi"/>
          <w:bCs/>
          <w:color w:val="000000"/>
        </w:rPr>
      </w:pPr>
      <w:r>
        <w:rPr>
          <w:rFonts w:cstheme="minorHAnsi"/>
          <w:bCs/>
          <w:color w:val="000000"/>
        </w:rPr>
        <w:t>All statistical analysis was carried out in Stata SE14 or MP14.</w:t>
      </w:r>
    </w:p>
    <w:p w:rsidR="000C0A41" w:rsidRPr="0097048A" w:rsidRDefault="000C0A41" w:rsidP="00821D37">
      <w:pPr>
        <w:pStyle w:val="Heading2"/>
        <w:contextualSpacing w:val="0"/>
      </w:pPr>
      <w:bookmarkStart w:id="47" w:name="_Toc456887562"/>
      <w:bookmarkStart w:id="48" w:name="_Toc458185266"/>
      <w:r w:rsidRPr="0097048A">
        <w:t>Local prevalence estimates</w:t>
      </w:r>
      <w:bookmarkEnd w:id="47"/>
      <w:bookmarkEnd w:id="48"/>
    </w:p>
    <w:p w:rsidR="000C0A41" w:rsidRDefault="000C0A41" w:rsidP="00821D37">
      <w:bookmarkStart w:id="49" w:name="_Toc448482671"/>
      <w:r>
        <w:t xml:space="preserve">Derived ORs (or rather, regression coefficients) are used to estimate prevalence in small population subgroups. Local population breakdowns for each risk factor are used, where these are available. ICL has a wide range of small population risk factor prevalence breakdowns, including age, sex, deprivation, smoking, ethnicity, cardiovascular diseases and other disease conditions. The local model uses locally available data. </w:t>
      </w:r>
    </w:p>
    <w:p w:rsidR="000C0A41" w:rsidRDefault="000C0A41" w:rsidP="00821D37">
      <w:r>
        <w:t>The “local” model includes only those variables that are available at local population level i.e. age, sex, socioeconomic status, BMI, smoking status, depression and other disease conditions. The steps in applying the prevalence estimates are as follows and in the equations below:</w:t>
      </w:r>
    </w:p>
    <w:p w:rsidR="000C0A41" w:rsidRDefault="000C0A41" w:rsidP="00821D37">
      <w:pPr>
        <w:spacing w:before="120"/>
        <w:ind w:left="425"/>
      </w:pPr>
      <w:r>
        <w:t>•  Use the regression coefficients to generate log odds (since they are from a logistic regression model) for each risk factor subcategory</w:t>
      </w:r>
    </w:p>
    <w:p w:rsidR="000C0A41" w:rsidRDefault="000C0A41" w:rsidP="00821D37">
      <w:pPr>
        <w:spacing w:before="120"/>
        <w:ind w:left="425"/>
      </w:pPr>
      <w:r>
        <w:t>•  Generate a similar table of odds by exponentiation</w:t>
      </w:r>
    </w:p>
    <w:p w:rsidR="000C0A41" w:rsidRDefault="000C0A41" w:rsidP="00821D37">
      <w:pPr>
        <w:spacing w:before="120"/>
        <w:ind w:left="425"/>
      </w:pPr>
      <w:r>
        <w:t>•  Generate a similar table of prevalence in each risk factor subcategory using the epidemiologic formula</w:t>
      </w:r>
    </w:p>
    <w:p w:rsidR="000C0A41" w:rsidRDefault="000C0A41" w:rsidP="00821D37">
      <w:pPr>
        <w:spacing w:before="120"/>
        <w:ind w:left="425"/>
      </w:pPr>
      <w:r>
        <w:t xml:space="preserve">•  Produce a matching table of small population subcategories. If there are no corresponding local data with a sufficiently granular breakdown e.g. ethnicity by age by sex, this requires deciding how each risk factor should be attributed across other risk factor categories, with evenly as the </w:t>
      </w:r>
      <w:r>
        <w:lastRenderedPageBreak/>
        <w:t>default. For example, we used the national age/sex/ethnicity breakdown from the Census and age/smoking breakdowns from the HSfE to attribute this data at small population levels. The actual breakdown will be somewhat different and needs to be borne in mind as another source of potential error.</w:t>
      </w:r>
    </w:p>
    <w:p w:rsidR="000C0A41" w:rsidRDefault="000C0A41" w:rsidP="00821D37">
      <w:pPr>
        <w:spacing w:before="120"/>
        <w:ind w:left="425"/>
      </w:pPr>
      <w:r>
        <w:t>•  Multiply the population cells by the corresponding prevalence to estimate the number of people in each cell with the disease</w:t>
      </w:r>
    </w:p>
    <w:p w:rsidR="000C0A41" w:rsidRDefault="000C0A41" w:rsidP="00821D37"/>
    <w:p w:rsidR="000C0A41" w:rsidRDefault="000C0A41" w:rsidP="00821D37">
      <w:r>
        <w:t>In mathematical notation:</w:t>
      </w:r>
    </w:p>
    <w:p w:rsidR="000C0A41" w:rsidRDefault="000C0A41" w:rsidP="00821D37">
      <w:pPr>
        <w:jc w:val="center"/>
      </w:pPr>
      <w:r>
        <w:t xml:space="preserve">Predicted log odds of prevalence = </w:t>
      </w:r>
      <w:r w:rsidRPr="00967E53">
        <w:rPr>
          <w:i/>
        </w:rPr>
        <w:t>b</w:t>
      </w:r>
      <w:r w:rsidRPr="00967E53">
        <w:rPr>
          <w:i/>
          <w:vertAlign w:val="subscript"/>
        </w:rPr>
        <w:t xml:space="preserve">0  </w:t>
      </w:r>
      <w:r w:rsidRPr="00967E53">
        <w:t>+</w:t>
      </w:r>
      <w:r w:rsidRPr="00967E53">
        <w:rPr>
          <w:i/>
        </w:rPr>
        <w:t xml:space="preserve">  b</w:t>
      </w:r>
      <w:r w:rsidRPr="00967E53">
        <w:rPr>
          <w:i/>
          <w:vertAlign w:val="subscript"/>
        </w:rPr>
        <w:t>1</w:t>
      </w:r>
      <w:r w:rsidRPr="00967E53">
        <w:rPr>
          <w:i/>
        </w:rPr>
        <w:t>x</w:t>
      </w:r>
      <w:r w:rsidRPr="00967E53">
        <w:rPr>
          <w:i/>
          <w:vertAlign w:val="subscript"/>
        </w:rPr>
        <w:t xml:space="preserve">1i </w:t>
      </w:r>
      <w:r w:rsidRPr="00967E53">
        <w:t xml:space="preserve">+ </w:t>
      </w:r>
      <w:r w:rsidRPr="00967E53">
        <w:rPr>
          <w:i/>
        </w:rPr>
        <w:t xml:space="preserve"> b</w:t>
      </w:r>
      <w:r w:rsidRPr="00967E53">
        <w:rPr>
          <w:i/>
          <w:vertAlign w:val="subscript"/>
        </w:rPr>
        <w:t>2</w:t>
      </w:r>
      <w:r w:rsidRPr="00967E53">
        <w:rPr>
          <w:i/>
        </w:rPr>
        <w:t>x</w:t>
      </w:r>
      <w:r w:rsidRPr="00967E53">
        <w:rPr>
          <w:i/>
          <w:vertAlign w:val="subscript"/>
        </w:rPr>
        <w:t xml:space="preserve">2 i </w:t>
      </w:r>
      <w:r w:rsidRPr="00967E53">
        <w:t>+</w:t>
      </w:r>
      <w:r w:rsidRPr="00967E53">
        <w:rPr>
          <w:i/>
        </w:rPr>
        <w:t xml:space="preserve">  b</w:t>
      </w:r>
      <w:r w:rsidRPr="00967E53">
        <w:rPr>
          <w:i/>
          <w:vertAlign w:val="subscript"/>
        </w:rPr>
        <w:t>3</w:t>
      </w:r>
      <w:r w:rsidRPr="00967E53">
        <w:rPr>
          <w:i/>
        </w:rPr>
        <w:t>x</w:t>
      </w:r>
      <w:r w:rsidRPr="00967E53">
        <w:rPr>
          <w:i/>
          <w:vertAlign w:val="subscript"/>
        </w:rPr>
        <w:t xml:space="preserve">3 i </w:t>
      </w:r>
      <w:r w:rsidRPr="00967E53">
        <w:t xml:space="preserve">+ </w:t>
      </w:r>
      <w:r w:rsidRPr="00967E53">
        <w:rPr>
          <w:i/>
        </w:rPr>
        <w:t xml:space="preserve"> b</w:t>
      </w:r>
      <w:r w:rsidRPr="00967E53">
        <w:rPr>
          <w:i/>
          <w:vertAlign w:val="subscript"/>
        </w:rPr>
        <w:t>4</w:t>
      </w:r>
      <w:r w:rsidRPr="00967E53">
        <w:rPr>
          <w:i/>
        </w:rPr>
        <w:t>x</w:t>
      </w:r>
      <w:r w:rsidRPr="00967E53">
        <w:rPr>
          <w:i/>
          <w:vertAlign w:val="subscript"/>
        </w:rPr>
        <w:t>4 I</w:t>
      </w:r>
    </w:p>
    <w:p w:rsidR="000C0A41" w:rsidRDefault="000C0A41" w:rsidP="00821D37">
      <w:pPr>
        <w:jc w:val="center"/>
      </w:pPr>
      <w:r>
        <w:t xml:space="preserve">where </w:t>
      </w:r>
      <w:r w:rsidRPr="0097048A">
        <w:rPr>
          <w:i/>
        </w:rPr>
        <w:t>b</w:t>
      </w:r>
      <w:r w:rsidRPr="0097048A">
        <w:rPr>
          <w:i/>
          <w:vertAlign w:val="subscript"/>
        </w:rPr>
        <w:t>0</w:t>
      </w:r>
      <w:r>
        <w:t xml:space="preserve">  = regression constant,  </w:t>
      </w:r>
      <w:r w:rsidRPr="00967E53">
        <w:rPr>
          <w:i/>
        </w:rPr>
        <w:t>b</w:t>
      </w:r>
      <w:r w:rsidRPr="00967E53">
        <w:rPr>
          <w:i/>
          <w:vertAlign w:val="subscript"/>
        </w:rPr>
        <w:t>1,</w:t>
      </w:r>
      <w:r w:rsidRPr="00967E53">
        <w:rPr>
          <w:i/>
        </w:rPr>
        <w:t xml:space="preserve"> b</w:t>
      </w:r>
      <w:r w:rsidRPr="00967E53">
        <w:rPr>
          <w:i/>
          <w:vertAlign w:val="subscript"/>
        </w:rPr>
        <w:t xml:space="preserve">2, </w:t>
      </w:r>
      <w:r w:rsidRPr="00967E53">
        <w:rPr>
          <w:i/>
        </w:rPr>
        <w:t xml:space="preserve"> b</w:t>
      </w:r>
      <w:r w:rsidRPr="00967E53">
        <w:rPr>
          <w:i/>
          <w:vertAlign w:val="subscript"/>
        </w:rPr>
        <w:t xml:space="preserve">3, </w:t>
      </w:r>
      <w:r w:rsidRPr="00967E53">
        <w:rPr>
          <w:i/>
        </w:rPr>
        <w:t>b</w:t>
      </w:r>
      <w:r w:rsidRPr="00967E53">
        <w:rPr>
          <w:i/>
          <w:vertAlign w:val="subscript"/>
        </w:rPr>
        <w:t>4</w:t>
      </w:r>
      <w:r>
        <w:t>= other regression coefficients</w:t>
      </w:r>
    </w:p>
    <w:p w:rsidR="000C0A41" w:rsidRPr="0097048A" w:rsidRDefault="000C0A41" w:rsidP="00821D37">
      <w:pPr>
        <w:jc w:val="center"/>
        <w:rPr>
          <w:b/>
          <w:i/>
        </w:rPr>
      </w:pPr>
      <w:r w:rsidRPr="00967E53">
        <w:rPr>
          <w:i/>
        </w:rPr>
        <w:t>x</w:t>
      </w:r>
      <w:r w:rsidRPr="00967E53">
        <w:rPr>
          <w:i/>
          <w:vertAlign w:val="subscript"/>
        </w:rPr>
        <w:t xml:space="preserve"> 1 i, </w:t>
      </w:r>
      <w:r w:rsidRPr="00967E53">
        <w:rPr>
          <w:i/>
        </w:rPr>
        <w:t>x</w:t>
      </w:r>
      <w:r w:rsidRPr="00967E53">
        <w:rPr>
          <w:i/>
          <w:vertAlign w:val="subscript"/>
        </w:rPr>
        <w:t xml:space="preserve">2 i, </w:t>
      </w:r>
      <w:r w:rsidRPr="00967E53">
        <w:rPr>
          <w:i/>
        </w:rPr>
        <w:t>x</w:t>
      </w:r>
      <w:r w:rsidRPr="00967E53">
        <w:rPr>
          <w:i/>
          <w:vertAlign w:val="subscript"/>
        </w:rPr>
        <w:t xml:space="preserve">3 i, </w:t>
      </w:r>
      <w:r w:rsidRPr="00967E53">
        <w:rPr>
          <w:i/>
        </w:rPr>
        <w:t>x</w:t>
      </w:r>
      <w:r w:rsidRPr="00967E53">
        <w:rPr>
          <w:i/>
          <w:vertAlign w:val="subscript"/>
        </w:rPr>
        <w:t>4 i</w:t>
      </w:r>
      <w:r w:rsidRPr="00967E53">
        <w:t xml:space="preserve"> </w:t>
      </w:r>
      <w:r>
        <w:t xml:space="preserve">= value of risk factors for individual </w:t>
      </w:r>
      <w:r w:rsidRPr="0097048A">
        <w:rPr>
          <w:b/>
          <w:i/>
        </w:rPr>
        <w:t>i</w:t>
      </w:r>
    </w:p>
    <w:p w:rsidR="000C0A41" w:rsidRDefault="000C0A41" w:rsidP="00821D37"/>
    <w:p w:rsidR="000C0A41" w:rsidRDefault="000C0A41" w:rsidP="00821D37">
      <w:r>
        <w:t>(NB since all the variables are binary variables, x =1 if specified risk factor is present, x=0 if it is absent). Predicted log odds of prevalence for a community of n individuals is derived by averaging over the values for all individuals included in the community:</w:t>
      </w:r>
    </w:p>
    <w:p w:rsidR="000C0A41" w:rsidRDefault="000C0A41" w:rsidP="00821D37">
      <w:pPr>
        <w:jc w:val="center"/>
      </w:pPr>
      <w:r>
        <w:t>Predicted log odds of prevalence in community of n individuals:</w:t>
      </w:r>
    </w:p>
    <w:p w:rsidR="000C0A41" w:rsidRPr="00967E53" w:rsidRDefault="000C0A41" w:rsidP="00821D37">
      <w:pPr>
        <w:jc w:val="center"/>
        <w:rPr>
          <w:i/>
          <w:vertAlign w:val="subscript"/>
        </w:rPr>
      </w:pPr>
      <w:r>
        <w:t xml:space="preserve">= </w:t>
      </w:r>
      <w:r w:rsidRPr="00967E53">
        <w:t>1/</w:t>
      </w:r>
      <w:r w:rsidRPr="00967E53">
        <w:rPr>
          <w:i/>
        </w:rPr>
        <w:t>n</w:t>
      </w:r>
      <w:r w:rsidRPr="00967E53">
        <w:t xml:space="preserve"> ∑</w:t>
      </w:r>
      <w:r w:rsidRPr="00967E53">
        <w:rPr>
          <w:vertAlign w:val="subscript"/>
        </w:rPr>
        <w:t>i=1</w:t>
      </w:r>
      <w:r w:rsidRPr="00967E53">
        <w:rPr>
          <w:vertAlign w:val="superscript"/>
        </w:rPr>
        <w:t>n</w:t>
      </w:r>
      <w:r w:rsidRPr="00967E53">
        <w:t xml:space="preserve"> (</w:t>
      </w:r>
      <w:r w:rsidRPr="00967E53">
        <w:rPr>
          <w:i/>
        </w:rPr>
        <w:t>b</w:t>
      </w:r>
      <w:r w:rsidRPr="00967E53">
        <w:rPr>
          <w:i/>
          <w:vertAlign w:val="subscript"/>
        </w:rPr>
        <w:t xml:space="preserve">0  </w:t>
      </w:r>
      <w:r w:rsidRPr="00967E53">
        <w:t>+</w:t>
      </w:r>
      <w:r w:rsidRPr="00967E53">
        <w:rPr>
          <w:i/>
        </w:rPr>
        <w:t xml:space="preserve">  b</w:t>
      </w:r>
      <w:r w:rsidRPr="00967E53">
        <w:rPr>
          <w:i/>
          <w:vertAlign w:val="subscript"/>
        </w:rPr>
        <w:t>1</w:t>
      </w:r>
      <w:r w:rsidRPr="00967E53">
        <w:rPr>
          <w:i/>
        </w:rPr>
        <w:t>x</w:t>
      </w:r>
      <w:r w:rsidRPr="00967E53">
        <w:rPr>
          <w:i/>
          <w:vertAlign w:val="subscript"/>
        </w:rPr>
        <w:t xml:space="preserve">1i </w:t>
      </w:r>
      <w:r w:rsidRPr="00967E53">
        <w:t xml:space="preserve">+ </w:t>
      </w:r>
      <w:r w:rsidRPr="00967E53">
        <w:rPr>
          <w:i/>
        </w:rPr>
        <w:t xml:space="preserve"> b</w:t>
      </w:r>
      <w:r w:rsidRPr="00967E53">
        <w:rPr>
          <w:i/>
          <w:vertAlign w:val="subscript"/>
        </w:rPr>
        <w:t>2</w:t>
      </w:r>
      <w:r w:rsidRPr="00967E53">
        <w:rPr>
          <w:i/>
        </w:rPr>
        <w:t>x</w:t>
      </w:r>
      <w:r w:rsidRPr="00967E53">
        <w:rPr>
          <w:i/>
          <w:vertAlign w:val="subscript"/>
        </w:rPr>
        <w:t xml:space="preserve">2 i </w:t>
      </w:r>
      <w:r w:rsidRPr="00967E53">
        <w:t>+</w:t>
      </w:r>
      <w:r w:rsidRPr="00967E53">
        <w:rPr>
          <w:i/>
        </w:rPr>
        <w:t xml:space="preserve">  b</w:t>
      </w:r>
      <w:r w:rsidRPr="00967E53">
        <w:rPr>
          <w:i/>
          <w:vertAlign w:val="subscript"/>
        </w:rPr>
        <w:t>3</w:t>
      </w:r>
      <w:r w:rsidRPr="00967E53">
        <w:rPr>
          <w:i/>
        </w:rPr>
        <w:t>x</w:t>
      </w:r>
      <w:r w:rsidRPr="00967E53">
        <w:rPr>
          <w:i/>
          <w:vertAlign w:val="subscript"/>
        </w:rPr>
        <w:t xml:space="preserve">3 i </w:t>
      </w:r>
      <w:r w:rsidRPr="00967E53">
        <w:t xml:space="preserve">+ </w:t>
      </w:r>
      <w:r w:rsidRPr="00967E53">
        <w:rPr>
          <w:i/>
        </w:rPr>
        <w:t xml:space="preserve"> b</w:t>
      </w:r>
      <w:r w:rsidRPr="00967E53">
        <w:rPr>
          <w:i/>
          <w:vertAlign w:val="subscript"/>
        </w:rPr>
        <w:t>4</w:t>
      </w:r>
      <w:r w:rsidRPr="00967E53">
        <w:rPr>
          <w:i/>
        </w:rPr>
        <w:t>x</w:t>
      </w:r>
      <w:r w:rsidRPr="00967E53">
        <w:rPr>
          <w:i/>
          <w:vertAlign w:val="subscript"/>
        </w:rPr>
        <w:t>4 i</w:t>
      </w:r>
      <w:r w:rsidRPr="00967E53">
        <w:rPr>
          <w:i/>
        </w:rPr>
        <w:t>)</w:t>
      </w:r>
    </w:p>
    <w:p w:rsidR="000C0A41" w:rsidRPr="00967E53" w:rsidRDefault="000C0A41" w:rsidP="00821D37">
      <w:pPr>
        <w:jc w:val="center"/>
        <w:rPr>
          <w:i/>
          <w:vertAlign w:val="subscript"/>
        </w:rPr>
      </w:pPr>
      <w:r w:rsidRPr="00967E53">
        <w:t>=</w:t>
      </w:r>
      <w:r w:rsidRPr="00967E53">
        <w:rPr>
          <w:i/>
        </w:rPr>
        <w:t xml:space="preserve"> b</w:t>
      </w:r>
      <w:r w:rsidRPr="00967E53">
        <w:rPr>
          <w:i/>
          <w:vertAlign w:val="subscript"/>
        </w:rPr>
        <w:t xml:space="preserve">0 </w:t>
      </w:r>
      <w:r w:rsidRPr="00967E53">
        <w:rPr>
          <w:i/>
        </w:rPr>
        <w:t xml:space="preserve"> </w:t>
      </w:r>
      <w:r w:rsidRPr="00967E53">
        <w:t xml:space="preserve">+ </w:t>
      </w:r>
      <w:r w:rsidRPr="00967E53">
        <w:rPr>
          <w:i/>
        </w:rPr>
        <w:t>b</w:t>
      </w:r>
      <w:r w:rsidRPr="00967E53">
        <w:rPr>
          <w:i/>
          <w:vertAlign w:val="subscript"/>
        </w:rPr>
        <w:t>1</w:t>
      </w:r>
      <w:r w:rsidRPr="00967E53">
        <w:rPr>
          <w:i/>
        </w:rPr>
        <w:t>p</w:t>
      </w:r>
      <w:r w:rsidRPr="00967E53">
        <w:rPr>
          <w:i/>
          <w:vertAlign w:val="subscript"/>
        </w:rPr>
        <w:t xml:space="preserve">1 </w:t>
      </w:r>
      <w:r w:rsidRPr="00967E53">
        <w:t xml:space="preserve">+ </w:t>
      </w:r>
      <w:r w:rsidRPr="00967E53">
        <w:rPr>
          <w:i/>
        </w:rPr>
        <w:t xml:space="preserve"> b</w:t>
      </w:r>
      <w:r w:rsidRPr="00967E53">
        <w:rPr>
          <w:i/>
          <w:vertAlign w:val="subscript"/>
        </w:rPr>
        <w:t>2</w:t>
      </w:r>
      <w:r w:rsidRPr="00967E53">
        <w:rPr>
          <w:i/>
        </w:rPr>
        <w:t>p</w:t>
      </w:r>
      <w:r w:rsidRPr="00967E53">
        <w:rPr>
          <w:i/>
          <w:vertAlign w:val="subscript"/>
        </w:rPr>
        <w:t xml:space="preserve">2 </w:t>
      </w:r>
      <w:r w:rsidRPr="00967E53">
        <w:t>+</w:t>
      </w:r>
      <w:r w:rsidRPr="00967E53">
        <w:rPr>
          <w:i/>
        </w:rPr>
        <w:t xml:space="preserve">  b</w:t>
      </w:r>
      <w:r w:rsidRPr="00967E53">
        <w:rPr>
          <w:i/>
          <w:vertAlign w:val="subscript"/>
        </w:rPr>
        <w:t>3</w:t>
      </w:r>
      <w:r w:rsidRPr="00967E53">
        <w:rPr>
          <w:i/>
        </w:rPr>
        <w:t>p</w:t>
      </w:r>
      <w:r w:rsidRPr="00967E53">
        <w:rPr>
          <w:i/>
          <w:vertAlign w:val="subscript"/>
        </w:rPr>
        <w:t xml:space="preserve">3 </w:t>
      </w:r>
      <w:r w:rsidRPr="00967E53">
        <w:t xml:space="preserve">+ </w:t>
      </w:r>
      <w:r w:rsidRPr="00967E53">
        <w:rPr>
          <w:i/>
        </w:rPr>
        <w:t xml:space="preserve"> b</w:t>
      </w:r>
      <w:r w:rsidRPr="00967E53">
        <w:rPr>
          <w:i/>
          <w:vertAlign w:val="subscript"/>
        </w:rPr>
        <w:t>4p</w:t>
      </w:r>
      <w:r w:rsidRPr="00967E53">
        <w:rPr>
          <w:i/>
        </w:rPr>
        <w:t>p</w:t>
      </w:r>
      <w:r w:rsidRPr="00967E53">
        <w:rPr>
          <w:i/>
          <w:vertAlign w:val="subscript"/>
        </w:rPr>
        <w:t>4</w:t>
      </w:r>
    </w:p>
    <w:p w:rsidR="000C0A41" w:rsidRDefault="000C0A41" w:rsidP="00821D37">
      <w:pPr>
        <w:jc w:val="center"/>
      </w:pPr>
      <w:r>
        <w:t>where p1 , p2, p3, p4=proportion of individuals in the community with characteristic x1 , x2 , x3 , x4 . (i.e. proportion with x.=1 rather than x.=0 as in the remainder).</w:t>
      </w:r>
    </w:p>
    <w:p w:rsidR="000C0A41" w:rsidRDefault="000C0A41" w:rsidP="00821D37"/>
    <w:p w:rsidR="000C0A41" w:rsidRDefault="000C0A41" w:rsidP="00821D37">
      <w:r>
        <w:t>The predicted prevalence for an individual is derived from their predictive log odds using:</w:t>
      </w:r>
    </w:p>
    <w:p w:rsidR="000C0A41" w:rsidRPr="00E9036E" w:rsidRDefault="000C0A41" w:rsidP="00821D37">
      <w:pPr>
        <w:jc w:val="center"/>
        <w:rPr>
          <w:lang w:val="fr-FR"/>
        </w:rPr>
      </w:pPr>
      <w:r w:rsidRPr="00E9036E">
        <w:rPr>
          <w:lang w:val="fr-FR"/>
        </w:rPr>
        <w:t>prevalence = exp(log odds)/[1+exp(log odds)]</w:t>
      </w:r>
    </w:p>
    <w:p w:rsidR="000C0A41" w:rsidRPr="00967E53" w:rsidRDefault="000C0A41" w:rsidP="00821D37">
      <w:pPr>
        <w:jc w:val="center"/>
        <w:rPr>
          <w:i/>
        </w:rPr>
      </w:pPr>
      <w:r>
        <w:t>=</w:t>
      </w:r>
      <w:r w:rsidRPr="0097048A">
        <w:rPr>
          <w:i/>
        </w:rPr>
        <w:t xml:space="preserve"> </w:t>
      </w:r>
      <w:r w:rsidRPr="00967E53">
        <w:rPr>
          <w:i/>
        </w:rPr>
        <w:t>exp</w:t>
      </w:r>
      <w:r w:rsidRPr="00967E53">
        <w:t>(</w:t>
      </w:r>
      <w:r w:rsidRPr="00967E53">
        <w:rPr>
          <w:i/>
        </w:rPr>
        <w:t>b</w:t>
      </w:r>
      <w:r w:rsidRPr="00967E53">
        <w:rPr>
          <w:i/>
          <w:vertAlign w:val="subscript"/>
        </w:rPr>
        <w:t xml:space="preserve">0  </w:t>
      </w:r>
      <w:r w:rsidRPr="00967E53">
        <w:t>+</w:t>
      </w:r>
      <w:r w:rsidRPr="00967E53">
        <w:rPr>
          <w:i/>
        </w:rPr>
        <w:t xml:space="preserve">  b</w:t>
      </w:r>
      <w:r w:rsidRPr="00967E53">
        <w:rPr>
          <w:i/>
          <w:vertAlign w:val="subscript"/>
        </w:rPr>
        <w:t>1</w:t>
      </w:r>
      <w:r w:rsidRPr="00967E53">
        <w:rPr>
          <w:i/>
        </w:rPr>
        <w:t>x</w:t>
      </w:r>
      <w:r w:rsidRPr="00967E53">
        <w:rPr>
          <w:i/>
          <w:vertAlign w:val="subscript"/>
        </w:rPr>
        <w:t xml:space="preserve">1i </w:t>
      </w:r>
      <w:r w:rsidRPr="00967E53">
        <w:t xml:space="preserve">+ </w:t>
      </w:r>
      <w:r w:rsidRPr="00967E53">
        <w:rPr>
          <w:i/>
        </w:rPr>
        <w:t xml:space="preserve"> b</w:t>
      </w:r>
      <w:r w:rsidRPr="00967E53">
        <w:rPr>
          <w:i/>
          <w:vertAlign w:val="subscript"/>
        </w:rPr>
        <w:t>2</w:t>
      </w:r>
      <w:r w:rsidRPr="00967E53">
        <w:rPr>
          <w:i/>
        </w:rPr>
        <w:t>x</w:t>
      </w:r>
      <w:r w:rsidRPr="00967E53">
        <w:rPr>
          <w:i/>
          <w:vertAlign w:val="subscript"/>
        </w:rPr>
        <w:t xml:space="preserve">2 i </w:t>
      </w:r>
      <w:r w:rsidRPr="00967E53">
        <w:t>+</w:t>
      </w:r>
      <w:r w:rsidRPr="00967E53">
        <w:rPr>
          <w:i/>
        </w:rPr>
        <w:t xml:space="preserve">  b</w:t>
      </w:r>
      <w:r w:rsidRPr="00967E53">
        <w:rPr>
          <w:i/>
          <w:vertAlign w:val="subscript"/>
        </w:rPr>
        <w:t>3</w:t>
      </w:r>
      <w:r w:rsidRPr="00967E53">
        <w:rPr>
          <w:i/>
        </w:rPr>
        <w:t>x</w:t>
      </w:r>
      <w:r w:rsidRPr="00967E53">
        <w:rPr>
          <w:i/>
          <w:vertAlign w:val="subscript"/>
        </w:rPr>
        <w:t xml:space="preserve">3 i </w:t>
      </w:r>
      <w:r w:rsidRPr="00967E53">
        <w:t xml:space="preserve">+ </w:t>
      </w:r>
      <w:r w:rsidRPr="00967E53">
        <w:rPr>
          <w:i/>
        </w:rPr>
        <w:t xml:space="preserve"> b</w:t>
      </w:r>
      <w:r w:rsidRPr="00967E53">
        <w:rPr>
          <w:i/>
          <w:vertAlign w:val="subscript"/>
        </w:rPr>
        <w:t>4</w:t>
      </w:r>
      <w:r w:rsidRPr="00967E53">
        <w:rPr>
          <w:i/>
        </w:rPr>
        <w:t>x</w:t>
      </w:r>
      <w:r w:rsidRPr="00967E53">
        <w:rPr>
          <w:i/>
          <w:vertAlign w:val="subscript"/>
        </w:rPr>
        <w:t>4 i</w:t>
      </w:r>
      <w:r>
        <w:rPr>
          <w:i/>
        </w:rPr>
        <w:t>)</w:t>
      </w:r>
      <w:r w:rsidRPr="00967E53">
        <w:rPr>
          <w:i/>
        </w:rPr>
        <w:t>/[1+</w:t>
      </w:r>
      <w:r w:rsidRPr="00967E53">
        <w:t xml:space="preserve"> </w:t>
      </w:r>
      <w:r w:rsidRPr="00967E53">
        <w:rPr>
          <w:i/>
        </w:rPr>
        <w:t>exp</w:t>
      </w:r>
      <w:r w:rsidRPr="00967E53">
        <w:t>(</w:t>
      </w:r>
      <w:r w:rsidRPr="00967E53">
        <w:rPr>
          <w:i/>
        </w:rPr>
        <w:t>b</w:t>
      </w:r>
      <w:r w:rsidRPr="00967E53">
        <w:rPr>
          <w:i/>
          <w:vertAlign w:val="subscript"/>
        </w:rPr>
        <w:t xml:space="preserve">0  </w:t>
      </w:r>
      <w:r w:rsidRPr="00967E53">
        <w:t>+</w:t>
      </w:r>
      <w:r w:rsidRPr="00967E53">
        <w:rPr>
          <w:i/>
        </w:rPr>
        <w:t xml:space="preserve">  b</w:t>
      </w:r>
      <w:r w:rsidRPr="00967E53">
        <w:rPr>
          <w:i/>
          <w:vertAlign w:val="subscript"/>
        </w:rPr>
        <w:t>1</w:t>
      </w:r>
      <w:r w:rsidRPr="00967E53">
        <w:rPr>
          <w:i/>
        </w:rPr>
        <w:t>x</w:t>
      </w:r>
      <w:r w:rsidRPr="00967E53">
        <w:rPr>
          <w:i/>
          <w:vertAlign w:val="subscript"/>
        </w:rPr>
        <w:t xml:space="preserve">1i </w:t>
      </w:r>
      <w:r w:rsidRPr="00967E53">
        <w:t xml:space="preserve">+ </w:t>
      </w:r>
      <w:r w:rsidRPr="00967E53">
        <w:rPr>
          <w:i/>
        </w:rPr>
        <w:t xml:space="preserve"> b</w:t>
      </w:r>
      <w:r w:rsidRPr="00967E53">
        <w:rPr>
          <w:i/>
          <w:vertAlign w:val="subscript"/>
        </w:rPr>
        <w:t>2</w:t>
      </w:r>
      <w:r w:rsidRPr="00967E53">
        <w:rPr>
          <w:i/>
        </w:rPr>
        <w:t>x</w:t>
      </w:r>
      <w:r w:rsidRPr="00967E53">
        <w:rPr>
          <w:i/>
          <w:vertAlign w:val="subscript"/>
        </w:rPr>
        <w:t xml:space="preserve">2 i </w:t>
      </w:r>
      <w:r w:rsidRPr="00967E53">
        <w:t>+</w:t>
      </w:r>
      <w:r w:rsidRPr="00967E53">
        <w:rPr>
          <w:i/>
        </w:rPr>
        <w:t xml:space="preserve">  b</w:t>
      </w:r>
      <w:r w:rsidRPr="00967E53">
        <w:rPr>
          <w:i/>
          <w:vertAlign w:val="subscript"/>
        </w:rPr>
        <w:t>3</w:t>
      </w:r>
      <w:r w:rsidRPr="00967E53">
        <w:rPr>
          <w:i/>
        </w:rPr>
        <w:t>x</w:t>
      </w:r>
      <w:r w:rsidRPr="00967E53">
        <w:rPr>
          <w:i/>
          <w:vertAlign w:val="subscript"/>
        </w:rPr>
        <w:t xml:space="preserve">3 i </w:t>
      </w:r>
      <w:r w:rsidRPr="00967E53">
        <w:t xml:space="preserve">+ </w:t>
      </w:r>
      <w:r w:rsidRPr="00967E53">
        <w:rPr>
          <w:i/>
        </w:rPr>
        <w:t xml:space="preserve"> b</w:t>
      </w:r>
      <w:r w:rsidRPr="00967E53">
        <w:rPr>
          <w:i/>
          <w:vertAlign w:val="subscript"/>
        </w:rPr>
        <w:t>4</w:t>
      </w:r>
      <w:r w:rsidRPr="00967E53">
        <w:rPr>
          <w:i/>
        </w:rPr>
        <w:t>x</w:t>
      </w:r>
      <w:r w:rsidRPr="00967E53">
        <w:rPr>
          <w:i/>
          <w:vertAlign w:val="subscript"/>
        </w:rPr>
        <w:t>4 i</w:t>
      </w:r>
      <w:r w:rsidRPr="00967E53">
        <w:rPr>
          <w:i/>
        </w:rPr>
        <w:t>)]</w:t>
      </w:r>
    </w:p>
    <w:p w:rsidR="000C0A41" w:rsidRDefault="000C0A41" w:rsidP="00821D37">
      <w:pPr>
        <w:jc w:val="center"/>
      </w:pPr>
      <w:r>
        <w:t>Predicted prevalence in community of n individuals:</w:t>
      </w:r>
    </w:p>
    <w:p w:rsidR="000C0A41" w:rsidRPr="00E5068E" w:rsidRDefault="000C0A41" w:rsidP="00821D37">
      <w:pPr>
        <w:rPr>
          <w:i/>
        </w:rPr>
      </w:pPr>
      <w:r w:rsidRPr="00E5068E">
        <w:rPr>
          <w:i/>
        </w:rPr>
        <w:t>= 1/n ∑i=1n</w:t>
      </w:r>
      <w:r>
        <w:rPr>
          <w:i/>
        </w:rPr>
        <w:t>[</w:t>
      </w:r>
      <w:r w:rsidRPr="00E5068E">
        <w:rPr>
          <w:i/>
        </w:rPr>
        <w:t>exp(b0 +b1x1i +b2x2 i +b3x3 i +b4x4 i)/[1+ exp(b0  +b1x1i +b2x2 i +b3x3 i +b4x4 i)]</w:t>
      </w:r>
      <w:r>
        <w:rPr>
          <w:i/>
        </w:rPr>
        <w:t>]</w:t>
      </w:r>
    </w:p>
    <w:p w:rsidR="000C0A41" w:rsidRDefault="000C0A41" w:rsidP="00821D37"/>
    <w:p w:rsidR="000C0A41" w:rsidRDefault="000C0A41" w:rsidP="00821D37">
      <w:r>
        <w:t>Unfortunately, the equation above does not simplify to a linear combination of the predictor variables (in the way the mean log odds does). The average/overall prevalence is not the same as the prevalence for a person with “average” risk factors. So, for instance, it cannot be found by taking exp(log odds)/[1+ exp(log odds)] of the average log odds. There is no linear relationship with the regression coefficients, and with proportions of population with specified risk factors.</w:t>
      </w:r>
    </w:p>
    <w:p w:rsidR="000C0A41" w:rsidRDefault="000C0A41" w:rsidP="00821D37"/>
    <w:p w:rsidR="000C0A41" w:rsidRDefault="000C0A41" w:rsidP="00821D37">
      <w:r>
        <w:t>In order to find a synthetic estimate of prevalence, ideally we need to know the joint distributions of the included risk factors in the relevant population (the population on which are synthetic estimates are required). Ideally, we would know how many people in the population have each specific combination of risk factors. In practice, it might be good enough to know the distribution of some risk factors individually, rather than in combination. For instance, we might know what proportion of the population are smokers, and what proportion are ex-smokers, but not how many smokers we have by age and sex. In this situation, we have assumed that the same proportion of all ages and both genders are smokers and ex-smokers. Even if this is not exactly correct, then the synthetic estimate of prevalence may still be a reasonably accurate estimate (assuming that the smoking distribution does not vary too much by age, sex and other included risk factors). This is considered a good enough approach, and the best possible based on the information currently available in many cases.</w:t>
      </w:r>
    </w:p>
    <w:p w:rsidR="000C0A41" w:rsidRDefault="000C0A41" w:rsidP="00821D37"/>
    <w:p w:rsidR="000C0A41" w:rsidRDefault="000C0A41" w:rsidP="00821D37">
      <w:r>
        <w:t xml:space="preserve">In practice, we know the population distributions by age and sex, therefore we do not need to make the assumption that the proportion of males is the same for each age group. We use the more precise method of using the actual proportions of males in each age group. From the ELSA longitudinal survey we also know that older people/ older females in particular are generally less educated (on the basis of qualifications held). Therefore we apply the proportions with any educational qualifications according to age and sex group. </w:t>
      </w:r>
    </w:p>
    <w:p w:rsidR="000C0A41" w:rsidRDefault="000C0A41" w:rsidP="00821D37"/>
    <w:p w:rsidR="000C0A41" w:rsidRDefault="000C0A41" w:rsidP="00821D37">
      <w:r>
        <w:t xml:space="preserve">For other risk factors, we do not know whether these risk factors are more or less common in males than in females, nor according to age group, nor educational status i.e. we do not know their distributions in combination with any of the other risk factors included in the model. Therefore we make the assumption that the distribution of all other risk factors (apart from afore-mentioned age, sex and educational status), is equal across all other risk factors. This makes the calculations somewhat easier, even though this assumption might make for slightly less accurate estimates, the loss of accuracy is not thought to be great. </w:t>
      </w:r>
    </w:p>
    <w:p w:rsidR="000C0A41" w:rsidRDefault="000C0A41" w:rsidP="00821D37"/>
    <w:p w:rsidR="000C0A41" w:rsidRDefault="000C0A41" w:rsidP="00821D37">
      <w:r>
        <w:t>In order to find the estimated prevalence for each population, it is necessary to calculate the synthetic prevalence of risk factors for each possible combination of risk factor (as included in the chosen disease-specific logistic regression model). The estimated prevalence for a population is then the weighted average of the prevalence estimates for each combination of risk factors, according to the estimated number of people with each risk factor combination in the population (the population on which synthetic estimates are sought). These calculations can be carried out in Excel (using VBA code to link prevalence and risk factor spreadsheets with formulae in a workbook) or in Stata software to produce confidence intervals as well as the estimates.</w:t>
      </w:r>
    </w:p>
    <w:p w:rsidR="000C0A41" w:rsidRDefault="000C0A41" w:rsidP="00821D37"/>
    <w:p w:rsidR="000C0A41" w:rsidRDefault="000C0A41" w:rsidP="00821D37">
      <w:r>
        <w:t xml:space="preserve">We have developed two methods for producing small population estimates and associated CIs  in Stata software. One uses a bootstrapping method to produce repeated samples (Method 1), the other (Method 2) uses inverse </w:t>
      </w:r>
      <w:r w:rsidRPr="00641B80">
        <w:t>probability weights</w:t>
      </w:r>
      <w:r>
        <w:t xml:space="preserve">. Both methods produce CIs for the estimates, </w:t>
      </w:r>
      <w:r w:rsidRPr="00A919C2">
        <w:rPr>
          <w:u w:val="single"/>
        </w:rPr>
        <w:t>which are derived from the variance in the logistic model, not the local populations</w:t>
      </w:r>
      <w:r>
        <w:t xml:space="preserve">. It would have been useful to compare the results of both methods, but because of the short timeframe for this project we only used </w:t>
      </w:r>
      <w:r w:rsidRPr="00623443">
        <w:t>Method 2: Logistic regression and inverse probability weights</w:t>
      </w:r>
      <w:r>
        <w:t>.</w:t>
      </w:r>
    </w:p>
    <w:p w:rsidR="000C0A41" w:rsidRPr="00641B80" w:rsidRDefault="000C0A41" w:rsidP="00821D37">
      <w:pPr>
        <w:pStyle w:val="Heading3"/>
        <w:contextualSpacing w:val="0"/>
      </w:pPr>
      <w:bookmarkStart w:id="50" w:name="_Toc448482669"/>
      <w:bookmarkStart w:id="51" w:name="_Toc456599813"/>
      <w:bookmarkStart w:id="52" w:name="_Toc456702093"/>
      <w:bookmarkStart w:id="53" w:name="_Toc456887563"/>
      <w:bookmarkStart w:id="54" w:name="_Toc458185267"/>
      <w:r w:rsidRPr="00641B80">
        <w:t>Method 1: bootstrapping procedure</w:t>
      </w:r>
      <w:r>
        <w:t xml:space="preserve"> to produce repeated samples</w:t>
      </w:r>
      <w:bookmarkEnd w:id="50"/>
      <w:bookmarkEnd w:id="51"/>
      <w:bookmarkEnd w:id="52"/>
      <w:bookmarkEnd w:id="53"/>
      <w:bookmarkEnd w:id="54"/>
    </w:p>
    <w:p w:rsidR="000C0A41" w:rsidRDefault="000C0A41" w:rsidP="00821D37">
      <w:r>
        <w:t>The detailed methods of the Stata code we developed and used is included in Annex 1: synthetic estimation using Stata. In summary, within Stata, a new set of variables is created, one for each combination of these risk factors pertinent to the logistic regression model for the chosen disease. With our dataset set up in this way, we can now use Stata’s “predict” command to give us the predicted log odds. Then we find the weighted average of these, averaged across all possible combinations of risk factors, using the weights calculated as above (stored in variable named xyz). The weighted average can be found using the “collapse” command as follows, which results in one line of data per practice or MLSOA (using the population identifier as the by variable) in Stata.</w:t>
      </w:r>
    </w:p>
    <w:p w:rsidR="000C0A41" w:rsidRDefault="000C0A41" w:rsidP="00821D37"/>
    <w:p w:rsidR="000C0A41" w:rsidRPr="00AF3B2B" w:rsidRDefault="000C0A41" w:rsidP="00821D37">
      <w:pPr>
        <w:rPr>
          <w:rFonts w:eastAsia="SimSun"/>
        </w:rPr>
      </w:pPr>
      <w:r w:rsidRPr="00AF3B2B">
        <w:rPr>
          <w:rFonts w:eastAsia="SimSun"/>
        </w:rPr>
        <w:t>We calculated in Stata CIs for prevalence estimates using a “bootstrap” procedure. There is uncertainty in these synthetic estimates of prevalence based on the imprecision not in the more usual  sample of people from the population (since the estimates are not a sample but are externally applied), but in the estimated coefficients from the logistic regression equations. A bootstrap procedure can be used to construct confidence intervals on these synthetic estimates of prevalence, based on the imprecision in these logistic regression coefficients.</w:t>
      </w:r>
    </w:p>
    <w:p w:rsidR="000C0A41" w:rsidRPr="00AF3B2B" w:rsidRDefault="000C0A41" w:rsidP="00821D37">
      <w:pPr>
        <w:rPr>
          <w:rFonts w:eastAsia="SimSun"/>
        </w:rPr>
      </w:pPr>
    </w:p>
    <w:p w:rsidR="000C0A41" w:rsidRPr="00AF3B2B" w:rsidRDefault="000C0A41" w:rsidP="00821D37">
      <w:pPr>
        <w:rPr>
          <w:rFonts w:eastAsia="SimSun"/>
        </w:rPr>
      </w:pPr>
      <w:r w:rsidRPr="00AF3B2B">
        <w:rPr>
          <w:rFonts w:eastAsia="SimSun"/>
        </w:rPr>
        <w:t>The philosophy underlying the bootstrap procedure is to consider that the people included in the data set used to derive the logistic regression equation represent the whole population of possible people. However, the whole population is effectively considered to contain thousands of copies of each of these people. Bootstrap samples are taken randomly from our initial populations (the subsets of the CPRD population that has complete data on appropriate risk factors). Logistic regression of the same risk factors can then be applied to this boot strap sample, i.e. we rerun the logistic regression that gave us our chosen predictive model. However, we get slightly different regression coefficients, because of the modified sample. Prevalence estimates are then derived for each combination of risk factors, based on these new regression equations.</w:t>
      </w:r>
    </w:p>
    <w:p w:rsidR="000C0A41" w:rsidRPr="00AF3B2B" w:rsidRDefault="000C0A41" w:rsidP="00821D37">
      <w:pPr>
        <w:rPr>
          <w:rFonts w:eastAsia="SimSun"/>
        </w:rPr>
      </w:pPr>
    </w:p>
    <w:p w:rsidR="000C0A41" w:rsidRPr="00AF3B2B" w:rsidRDefault="000C0A41" w:rsidP="00821D37">
      <w:pPr>
        <w:rPr>
          <w:rFonts w:eastAsia="SimSun"/>
        </w:rPr>
      </w:pPr>
      <w:r w:rsidRPr="00AF3B2B">
        <w:rPr>
          <w:rFonts w:eastAsia="SimSun"/>
        </w:rPr>
        <w:lastRenderedPageBreak/>
        <w:t>This process is repeated 1,000 times, to find 1,000 different boot strap samples, by random sampling processes, and to then fit logistic regression equations on each. The prevalence estimates are calculated for each combination of risk factors, for each of these 1,000 boot strap samples. For each small population, a synthetic estimate is calculated for each boot strap sample, by appropriately weighting the prevalence estimates on each combination of risk factors (with the same weights as described above which reflect the anticipated prevalence of each combination of risk factors in the population). From these 1,000 synthetic estimates of prevalence of each population, a 95% confidence interval is calculated as the 2.5th to 97.5th centiles. Given that the estimates are distributed normally, these are taken to be mean +/- 1.96 SD (taking mean and SD of the 1,000 boot strap synthetic prevalence estimates for each specified region).</w:t>
      </w:r>
    </w:p>
    <w:p w:rsidR="000C0A41" w:rsidRDefault="000C0A41" w:rsidP="00821D37">
      <w:pPr>
        <w:pStyle w:val="Heading3"/>
        <w:contextualSpacing w:val="0"/>
      </w:pPr>
      <w:bookmarkStart w:id="55" w:name="_Toc448482670"/>
      <w:bookmarkStart w:id="56" w:name="_Toc456599814"/>
      <w:bookmarkStart w:id="57" w:name="_Toc456702094"/>
      <w:bookmarkStart w:id="58" w:name="_Toc456887564"/>
      <w:bookmarkStart w:id="59" w:name="_Toc458185268"/>
      <w:r>
        <w:t xml:space="preserve">Method 2: Logistic regression </w:t>
      </w:r>
      <w:r w:rsidRPr="0043672E">
        <w:t xml:space="preserve">and </w:t>
      </w:r>
      <w:r>
        <w:t xml:space="preserve">inverse </w:t>
      </w:r>
      <w:r w:rsidRPr="0043672E">
        <w:t>probability weights</w:t>
      </w:r>
      <w:bookmarkEnd w:id="55"/>
      <w:bookmarkEnd w:id="56"/>
      <w:bookmarkEnd w:id="57"/>
      <w:bookmarkEnd w:id="58"/>
      <w:bookmarkEnd w:id="59"/>
    </w:p>
    <w:p w:rsidR="000C0A41" w:rsidRDefault="000C0A41" w:rsidP="00821D37">
      <w:r w:rsidRPr="0004169B">
        <w:t xml:space="preserve">Inverse probability weighting methods are used to standardise from a sampled population to a target population. They are usually defined as a function of a panel of one or more sampling-probability predictor variables. For each combination of the predictor variables, the sampling probability weight is the ratio of the frequency of that combination in the target population to the frequency of that combination in the sampled population. Inverse probability weighting is therefore a generalization of direct standardization. In Stata, it is implemented by using a </w:t>
      </w:r>
      <w:r w:rsidRPr="00B80931">
        <w:rPr>
          <w:rFonts w:cs="Courier New"/>
          <w:i/>
        </w:rPr>
        <w:t>pweight</w:t>
      </w:r>
      <w:r>
        <w:rPr>
          <w:rFonts w:ascii="Courier New" w:hAnsi="Courier New" w:cs="Courier New"/>
        </w:rPr>
        <w:t xml:space="preserve"> </w:t>
      </w:r>
      <w:r w:rsidRPr="0004169B">
        <w:t>qualifier on an estimation command. This normally implies the use of a Huber variance formula to generate the confidence limits.</w:t>
      </w:r>
    </w:p>
    <w:p w:rsidR="000C0A41" w:rsidRDefault="000C0A41" w:rsidP="00821D37"/>
    <w:p w:rsidR="000C0A41" w:rsidRDefault="000C0A41" w:rsidP="00821D37">
      <w:r w:rsidRPr="0004169B">
        <w:t>In a population case-control study, our sampled population is an exhaustive list of disease cases, plus a random sample of controls without the disease, with a known sampling fraction. The sampling probability weights are inversely proportional to the sampling fraction for each sub-population. For cases, the sampling probability weight is 1. And, for controls, the sampling probability weight is the reciprocal of the sampling fraction. (So, if the sampling fraction is 1/8, then controls are weighted upwards by a factor of 8.) These sampling-probability weights are used in logistic regression models. Predicted disease probabilities from these models will then be unbiased, if the model is correctly specified.</w:t>
      </w:r>
    </w:p>
    <w:p w:rsidR="000C0A41" w:rsidRPr="0004169B" w:rsidRDefault="000C0A41" w:rsidP="00821D37"/>
    <w:p w:rsidR="000C0A41" w:rsidRDefault="000C0A41" w:rsidP="00821D37">
      <w:r>
        <w:t>Similarly to Method 1 w</w:t>
      </w:r>
      <w:r w:rsidRPr="00A33516">
        <w:t>e estimated population parameters for logistic regression models</w:t>
      </w:r>
      <w:r>
        <w:t xml:space="preserve">. </w:t>
      </w:r>
      <w:r w:rsidRPr="00A33516">
        <w:t xml:space="preserve">The risk factors in the model fell into </w:t>
      </w:r>
      <w:r>
        <w:t>two</w:t>
      </w:r>
      <w:r w:rsidRPr="00A33516">
        <w:t xml:space="preserve"> classes, namely always-present risk factors and sometimes-missing risk factors. The always-present risk factors were gender (Male or Female), age group (18-44, 45-64, 65-74 and 75+), ethnicity (White, Mixed, Black, Asian or Other, imputed to White if not known). The sometimes-missing risk factors were practice index of multiple deprivation (IMD) quintile (1, 2, 3, 4 or 5), smoking status (Non-smoker, Ex-smoker or Smoker), alcohol units per week category (None, (0,14], (14,42] or &gt;42), and body mass index in kilos/square metre (BMI) category ((0, 18.5], (18.5,25], (25,30] or &gt;30).</w:t>
      </w:r>
    </w:p>
    <w:p w:rsidR="000C0A41" w:rsidRDefault="000C0A41" w:rsidP="00821D37"/>
    <w:p w:rsidR="000C0A41" w:rsidRDefault="000C0A41" w:rsidP="00821D37">
      <w:r w:rsidRPr="00A33516">
        <w:t xml:space="preserve">We fitted </w:t>
      </w:r>
      <w:r>
        <w:t>the</w:t>
      </w:r>
      <w:r w:rsidRPr="00A33516">
        <w:t xml:space="preserve"> logistic regression model, using Huber variances and sampling-probability weights. The parameters were a baseline odds for each of the 2x4=8 combinations of gender and age group, an odds ratio for each ethnicity except White, an odds ratio for each IMD quintile except the first, an odds ratio for each smoking status except Non-smoker, an odds ratio for each alcohol consumption category except Zero units, and an odds ratio for each BMI category except (18.5,25] kilos per square metre. The sampling-probability weights used</w:t>
      </w:r>
      <w:r>
        <w:t xml:space="preserve"> were equal to the products of two</w:t>
      </w:r>
      <w:r w:rsidRPr="00A33516">
        <w:t xml:space="preserve"> sets of component sampling-probability weights. The first set of component weights standardised by case status from the case-control study sample to the denominator population from which the cases and controls were sampled, and were equal to 1 for RA cases (assumed to be sampled exhaustively from the cases in the CPRD denominator population), and equal in the controls to the reciprocal of the sampling fraction of the controls as a fraction of the non-cases in the CPRD denominator population (equal to 27.211693).</w:t>
      </w:r>
    </w:p>
    <w:p w:rsidR="000C0A41" w:rsidRDefault="000C0A41" w:rsidP="00821D37"/>
    <w:p w:rsidR="000C0A41" w:rsidRDefault="000C0A41" w:rsidP="00821D37">
      <w:r w:rsidRPr="0004169B">
        <w:lastRenderedPageBreak/>
        <w:t xml:space="preserve">We also use inverse probability weights to correct for missing values as an easy-to-use alternative to multiple imputation. We then define the inverse probability weights using a completeness-propensity score. We have a panel of variables </w:t>
      </w:r>
      <w:r w:rsidRPr="00623443">
        <w:rPr>
          <w:i/>
        </w:rPr>
        <w:t>V1…VK</w:t>
      </w:r>
      <w:r w:rsidRPr="0004169B">
        <w:t xml:space="preserve"> that are always present (such as age and gender), and a panel of variables </w:t>
      </w:r>
      <w:r w:rsidRPr="00623443">
        <w:rPr>
          <w:i/>
        </w:rPr>
        <w:t>U1…UJ</w:t>
      </w:r>
      <w:r w:rsidRPr="0004169B">
        <w:t xml:space="preserve"> that are sometimes missing. Let C (for completeness) be the binary indicator variable indicating that all the variables </w:t>
      </w:r>
      <w:r w:rsidRPr="00623443">
        <w:rPr>
          <w:i/>
        </w:rPr>
        <w:t>U1…UJ</w:t>
      </w:r>
      <w:r w:rsidRPr="0004169B">
        <w:t xml:space="preserve"> are present. We then use a logistic regression model, regressing C with respect to the always-complete variables </w:t>
      </w:r>
      <w:r w:rsidRPr="00623443">
        <w:rPr>
          <w:i/>
        </w:rPr>
        <w:t>V1…VK</w:t>
      </w:r>
      <w:r w:rsidRPr="0004169B">
        <w:t xml:space="preserve">. The completeness-propensity score is defined as the predicted completeness probability for each individual, under that regression model. The inverse-probability weight, for each individual with a complete set of data </w:t>
      </w:r>
      <w:r w:rsidRPr="00623443">
        <w:rPr>
          <w:i/>
        </w:rPr>
        <w:t>U1…UJ</w:t>
      </w:r>
      <w:r w:rsidRPr="0004169B">
        <w:t>, is then the reciprocal of that individual’s completeness-propensity score. Therefore, individuals with a high probability of having complete data (like elderly females) are weighted downwards. And individuals with a low probability of completeness (like young males) are weighted upwards. These inverse-probability weights can then be used in further regression models, such as a logistic regression model to predict disease.</w:t>
      </w:r>
    </w:p>
    <w:p w:rsidR="000C0A41" w:rsidRDefault="000C0A41" w:rsidP="00821D37"/>
    <w:p w:rsidR="000C0A41" w:rsidRDefault="000C0A41" w:rsidP="00821D37">
      <w:r>
        <w:t xml:space="preserve">Therefore, the </w:t>
      </w:r>
      <w:r w:rsidRPr="00A33516">
        <w:t>second set of component weights were computed to standardise the sample of cases and controls with all risk factors present to the total sample of cases and controls by gender, age group and ethnicity, and were derived as inverse probabilities of presence of the full set of risk factors (completeness) from a logistic regression model with completeness as the outcome, fitted to the cases and controls, using the first set of sampling-probability weights to standardise by case status, and whose parameters were a baseline odds for each of the 8 combinations of gender and age group and an odds ratio for each non-white ethnic category. The product weights therefore were computed to standardise the odds and odds ratios from the sample of cases and controls with all risk factors present (272,369 subjects out of a total of 101,870 cases and 440,293 sampled controls) to the total denominator population of subjects aged at or above 18 years, with or without RA, on their birthdays in 2015 (13,864,783 subjects). We also fitted logistic regression models of RA status with respect to the 8 combinations of gender and age only, using only the first set of sampling probability weights to standardise by RA status, in order to estimate odds (and thereby prevalence) of RA for each combination of gender and age group in the CPRD population at large.</w:t>
      </w:r>
    </w:p>
    <w:p w:rsidR="000C0A41" w:rsidRDefault="000C0A41" w:rsidP="00821D37"/>
    <w:p w:rsidR="000C0A41" w:rsidRDefault="000C0A41" w:rsidP="00821D37">
      <w:r w:rsidRPr="00A33516">
        <w:t xml:space="preserve">Having estimated the regression model parameters, we used these for out-of-sample prediction of RA prevalence, using the </w:t>
      </w:r>
      <w:r w:rsidRPr="00B80931">
        <w:rPr>
          <w:rFonts w:ascii="Courier New" w:hAnsi="Courier New" w:cs="Courier New"/>
          <w:i/>
        </w:rPr>
        <w:t>margprev</w:t>
      </w:r>
      <w:r w:rsidRPr="00A33516">
        <w:t xml:space="preserve"> add-on Stata package </w:t>
      </w:r>
      <w:r>
        <w:rPr>
          <w:noProof/>
        </w:rPr>
        <w:t>[74 ,75]</w:t>
      </w:r>
      <w:r w:rsidRPr="00A33516">
        <w:t>. These predicted prevalence</w:t>
      </w:r>
      <w:r>
        <w:t xml:space="preserve"> estimates</w:t>
      </w:r>
      <w:r w:rsidRPr="00A33516">
        <w:t xml:space="preserve"> were for the sub-populations of patients for 7,692 practices, for 204 clinical care groups (CCGs), and for 6,755 </w:t>
      </w:r>
      <w:r>
        <w:t xml:space="preserve">MSOAs, for </w:t>
      </w:r>
      <w:r w:rsidRPr="00A33516">
        <w:t xml:space="preserve">which information was available on the marginal frequencies of the </w:t>
      </w:r>
      <w:r>
        <w:t>seven</w:t>
      </w:r>
      <w:r w:rsidRPr="00A33516">
        <w:t xml:space="preserve"> risk factors in the model. W</w:t>
      </w:r>
      <w:r>
        <w:t>e computed estimated prevalence</w:t>
      </w:r>
      <w:r w:rsidRPr="00A33516">
        <w:t xml:space="preserve">  assuming that, within each sub-population, the </w:t>
      </w:r>
      <w:r>
        <w:t xml:space="preserve">seven </w:t>
      </w:r>
      <w:r w:rsidRPr="00A33516">
        <w:t xml:space="preserve">risk factors were mutually statistically independent, implying that we could give each possible combination of the </w:t>
      </w:r>
      <w:r w:rsidRPr="00641B80">
        <w:t xml:space="preserve">seven </w:t>
      </w:r>
      <w:r w:rsidRPr="00A33516">
        <w:t>risk factors a sampling-probability weight proportional to the product of the proportions of subjects with each of the appropriate risk-factor values. Therefore, for each subpopulation, we had 2x4x5x5x3x4x4=9600 combinations of risk factor values, with proportions of subjects calculated assuming statistical independence, and estimated the expected subpopulation prevalence of RA accordingly. The assumption of statistical independence of risk factors is probably not literally true, but might be expected to give prevalence estimates that are not vastly in error if the effects of the risk factors are not too non-additive.</w:t>
      </w:r>
      <w:r>
        <w:t xml:space="preserve"> We have not internally or externally validated this method yet.</w:t>
      </w:r>
    </w:p>
    <w:p w:rsidR="000C0A41" w:rsidRDefault="000C0A41" w:rsidP="00821D37"/>
    <w:p w:rsidR="000C0A41" w:rsidRDefault="000C0A41" w:rsidP="00821D37">
      <w:pPr>
        <w:rPr>
          <w:noProof/>
        </w:rPr>
      </w:pPr>
      <w:r>
        <w:t>We have used m</w:t>
      </w:r>
      <w:r w:rsidRPr="00EB7903">
        <w:t>ethod 2</w:t>
      </w:r>
      <w:r>
        <w:t>, l</w:t>
      </w:r>
      <w:r w:rsidRPr="00EB7903">
        <w:t>ogistic regression and inverse probability weights</w:t>
      </w:r>
      <w:r>
        <w:t xml:space="preserve"> for these models because of the large number of variables in most of the models. This required us to produce Stata datasets of local risk factor data which have one observation for every permutation of all the risk factors for every practice, which generated very large files (up to 60 GB). We were able to process these using Stata/MP, the</w:t>
      </w:r>
      <w:r w:rsidRPr="00EB7903">
        <w:t xml:space="preserve"> fastest and largest version of Stata. On dual-core chips, Stata/MP runs 40% faster overall and 72% faster on time-consuming estimation commands. </w:t>
      </w:r>
      <w:r>
        <w:t xml:space="preserve">It can handle a maximum number of </w:t>
      </w:r>
      <w:r w:rsidRPr="00AA0289">
        <w:t>32,767</w:t>
      </w:r>
      <w:r>
        <w:t xml:space="preserve"> variables and 20 billion observations. Some of the datasets we used included over one billion </w:t>
      </w:r>
      <w:r>
        <w:lastRenderedPageBreak/>
        <w:t>observations.</w:t>
      </w:r>
      <w:r>
        <w:tab/>
        <w:t xml:space="preserve">Processing was carried out on a multicore server. It would not have been possible to run the </w:t>
      </w:r>
      <w:r w:rsidRPr="00AA0289">
        <w:t>bootstrapping procedure to produce repeated samples</w:t>
      </w:r>
      <w:r>
        <w:t xml:space="preserve"> which requires fitting a logistic model 1,000 times for each practice.</w:t>
      </w:r>
    </w:p>
    <w:p w:rsidR="000C0A41" w:rsidRPr="00AF3B2B" w:rsidRDefault="000C0A41" w:rsidP="00821D37">
      <w:pPr>
        <w:pStyle w:val="Heading2"/>
        <w:contextualSpacing w:val="0"/>
      </w:pPr>
      <w:bookmarkStart w:id="60" w:name="_Toc456887565"/>
      <w:bookmarkStart w:id="61" w:name="_Toc458185269"/>
      <w:r w:rsidRPr="00AF3B2B">
        <w:t>Validation of local estimates</w:t>
      </w:r>
      <w:bookmarkEnd w:id="49"/>
      <w:bookmarkEnd w:id="60"/>
      <w:bookmarkEnd w:id="61"/>
    </w:p>
    <w:p w:rsidR="000C0A41" w:rsidRDefault="000C0A41" w:rsidP="00821D37">
      <w:pPr>
        <w:pStyle w:val="Heading3"/>
        <w:contextualSpacing w:val="0"/>
      </w:pPr>
      <w:bookmarkStart w:id="62" w:name="_Toc456887566"/>
      <w:bookmarkStart w:id="63" w:name="_Toc458185270"/>
      <w:r>
        <w:t>Internal validation</w:t>
      </w:r>
      <w:bookmarkEnd w:id="62"/>
      <w:bookmarkEnd w:id="63"/>
    </w:p>
    <w:p w:rsidR="000C0A41" w:rsidRDefault="000C0A41" w:rsidP="00821D37">
      <w:pPr>
        <w:rPr>
          <w:rFonts w:eastAsia="SimSun"/>
          <w:bCs/>
        </w:rPr>
      </w:pPr>
      <w:r>
        <w:rPr>
          <w:rFonts w:eastAsia="SimSun"/>
        </w:rPr>
        <w:t xml:space="preserve">In addition to the internal and external validation of the regression models, </w:t>
      </w:r>
      <w:r w:rsidRPr="00AF3B2B">
        <w:rPr>
          <w:rFonts w:eastAsia="SimSun"/>
        </w:rPr>
        <w:t>The local estimates can also be validated by aggregating them to the lowest geography available in t</w:t>
      </w:r>
      <w:r>
        <w:rPr>
          <w:rFonts w:eastAsia="SimSun"/>
        </w:rPr>
        <w:t>he raw data and comparing them, a form of internal validation. These and external validations are shown in the Results. As noted above, w</w:t>
      </w:r>
      <w:r w:rsidRPr="00AF3B2B">
        <w:rPr>
          <w:rFonts w:eastAsia="SimSun"/>
        </w:rPr>
        <w:t xml:space="preserve">e have over time increased the number of variables used in the local models as more local data has become available. However as more variables are added we need to take </w:t>
      </w:r>
      <w:r w:rsidRPr="00AF3B2B">
        <w:rPr>
          <w:rFonts w:eastAsia="SimSun"/>
          <w:bCs/>
        </w:rPr>
        <w:t>account of the joint effects of multiple risk factors, i.e. it assumes they operate independently. Estimation of the joint effects of multiple risk factors is complex for several reasons. In particular, some of the effects of more distal risk factors are mediated through intermediate factors.</w:t>
      </w:r>
      <w:r>
        <w:rPr>
          <w:rFonts w:eastAsia="SimSun"/>
          <w:bCs/>
        </w:rPr>
        <w:t xml:space="preserve"> We have acknowledged this by creating specific joint distributions for variables where this is known e.g. age and educational level, as older age groups are less likely to have tertiary education.</w:t>
      </w:r>
    </w:p>
    <w:p w:rsidR="000C0A41" w:rsidRDefault="000C0A41" w:rsidP="00821D37">
      <w:pPr>
        <w:pStyle w:val="Heading3"/>
        <w:contextualSpacing w:val="0"/>
      </w:pPr>
      <w:bookmarkStart w:id="64" w:name="_Toc456887567"/>
      <w:bookmarkStart w:id="65" w:name="_Toc458185271"/>
      <w:r>
        <w:t>External validation</w:t>
      </w:r>
      <w:bookmarkEnd w:id="64"/>
      <w:bookmarkEnd w:id="65"/>
    </w:p>
    <w:p w:rsidR="000C0A41" w:rsidRPr="00AF3B2B" w:rsidRDefault="000C0A41" w:rsidP="00821D37">
      <w:pPr>
        <w:rPr>
          <w:rFonts w:eastAsia="SimSun"/>
          <w:bCs/>
        </w:rPr>
      </w:pPr>
      <w:r>
        <w:rPr>
          <w:rFonts w:eastAsia="SimSun"/>
          <w:bCs/>
        </w:rPr>
        <w:t>Because of the short timeframe for this project we have not had time to externally validate the local estimates using other similar datasets. However there are Quality &amp; Outcomes Framework (QOF) disease registers</w:t>
      </w:r>
      <w:r>
        <w:rPr>
          <w:rFonts w:eastAsia="SimSun"/>
          <w:bCs/>
          <w:noProof/>
        </w:rPr>
        <w:t>[76]</w:t>
      </w:r>
      <w:r>
        <w:rPr>
          <w:rFonts w:eastAsia="SimSun"/>
          <w:bCs/>
        </w:rPr>
        <w:t xml:space="preserve"> for all the models we produced here. We have experience in comparing QOF-registered prevalence and estimated prevalence right down to practice level using spatial analyses.</w:t>
      </w:r>
      <w:r>
        <w:rPr>
          <w:rFonts w:eastAsia="SimSun"/>
          <w:bCs/>
          <w:noProof/>
        </w:rPr>
        <w:t>[77]</w:t>
      </w:r>
      <w:r>
        <w:rPr>
          <w:rFonts w:eastAsia="SimSun"/>
          <w:bCs/>
        </w:rPr>
        <w:t xml:space="preserve"> The local estimates can also be validated against the corresponding QOF register for each geography using Bland-Altman plots. </w:t>
      </w:r>
      <w:r w:rsidRPr="00CF53AF">
        <w:rPr>
          <w:rFonts w:eastAsia="SimSun"/>
          <w:bCs/>
        </w:rPr>
        <w:t>This method uses graphical methods to investigate the assumptions of the method and also gives confidence intervals.</w:t>
      </w:r>
      <w:r>
        <w:rPr>
          <w:rFonts w:eastAsia="SimSun"/>
          <w:bCs/>
          <w:noProof/>
        </w:rPr>
        <w:t>[78]</w:t>
      </w:r>
      <w:r w:rsidRPr="00CF53AF">
        <w:rPr>
          <w:rFonts w:eastAsia="SimSun"/>
          <w:bCs/>
        </w:rPr>
        <w:t xml:space="preserve"> </w:t>
      </w:r>
      <w:r>
        <w:rPr>
          <w:rFonts w:eastAsia="SimSun"/>
          <w:bCs/>
        </w:rPr>
        <w:t>It aims to quantify the a</w:t>
      </w:r>
      <w:r w:rsidRPr="00BF3BA7">
        <w:rPr>
          <w:rFonts w:eastAsia="SimSun"/>
          <w:bCs/>
        </w:rPr>
        <w:t xml:space="preserve">greement between </w:t>
      </w:r>
      <w:r>
        <w:rPr>
          <w:rFonts w:eastAsia="SimSun"/>
          <w:bCs/>
        </w:rPr>
        <w:t xml:space="preserve">and clinical importance of </w:t>
      </w:r>
      <w:r w:rsidRPr="00BF3BA7">
        <w:rPr>
          <w:rFonts w:eastAsia="SimSun"/>
          <w:bCs/>
        </w:rPr>
        <w:t>two methods of clinical measurement using the differences between</w:t>
      </w:r>
      <w:r>
        <w:rPr>
          <w:rFonts w:eastAsia="SimSun"/>
          <w:bCs/>
        </w:rPr>
        <w:t xml:space="preserve"> </w:t>
      </w:r>
      <w:r w:rsidRPr="00BF3BA7">
        <w:rPr>
          <w:rFonts w:eastAsia="SimSun"/>
          <w:bCs/>
        </w:rPr>
        <w:t>observations made using the two methods on the same subjects. The 95% limits of agreement, estimated</w:t>
      </w:r>
      <w:r>
        <w:rPr>
          <w:rFonts w:eastAsia="SimSun"/>
          <w:bCs/>
        </w:rPr>
        <w:t xml:space="preserve"> </w:t>
      </w:r>
      <w:r w:rsidRPr="00BF3BA7">
        <w:rPr>
          <w:rFonts w:eastAsia="SimSun"/>
          <w:bCs/>
        </w:rPr>
        <w:t>by mean difference</w:t>
      </w:r>
      <w:r>
        <w:rPr>
          <w:rFonts w:eastAsia="SimSun"/>
          <w:bCs/>
        </w:rPr>
        <w:t xml:space="preserve"> </w:t>
      </w:r>
      <w:r w:rsidRPr="00BF3BA7">
        <w:rPr>
          <w:rFonts w:eastAsia="SimSun"/>
          <w:bCs/>
        </w:rPr>
        <w:t>1.96 standard deviation of the differences, provide an interval within which 95% of</w:t>
      </w:r>
      <w:r>
        <w:rPr>
          <w:rFonts w:eastAsia="SimSun"/>
          <w:bCs/>
        </w:rPr>
        <w:t xml:space="preserve"> </w:t>
      </w:r>
      <w:r w:rsidRPr="00BF3BA7">
        <w:rPr>
          <w:rFonts w:eastAsia="SimSun"/>
          <w:bCs/>
        </w:rPr>
        <w:t xml:space="preserve">differences  between  measurements  by the  two  methods  are  expected  to  lie. </w:t>
      </w:r>
      <w:r>
        <w:rPr>
          <w:rFonts w:eastAsia="SimSun"/>
          <w:bCs/>
        </w:rPr>
        <w:t xml:space="preserve">The second method </w:t>
      </w:r>
      <w:r w:rsidRPr="00BF3BA7">
        <w:rPr>
          <w:rFonts w:eastAsia="SimSun"/>
          <w:bCs/>
        </w:rPr>
        <w:t>is based on errors-in-variables regression in a classical (X,Y) plot and focuses on confidence intervals, whereby two methods are considered equivalent when providing similar measures notwithstanding the random measurement errors.</w:t>
      </w:r>
      <w:r>
        <w:rPr>
          <w:rFonts w:eastAsia="SimSun"/>
          <w:bCs/>
          <w:noProof/>
        </w:rPr>
        <w:t>[79]</w:t>
      </w:r>
      <w:r w:rsidRPr="00BF3BA7">
        <w:rPr>
          <w:rFonts w:eastAsia="SimSun"/>
          <w:bCs/>
        </w:rPr>
        <w:t xml:space="preserve"> </w:t>
      </w:r>
      <w:r>
        <w:rPr>
          <w:rFonts w:eastAsia="SimSun"/>
          <w:bCs/>
        </w:rPr>
        <w:t xml:space="preserve">A recent update </w:t>
      </w:r>
      <w:r w:rsidRPr="00BF3BA7">
        <w:rPr>
          <w:rFonts w:eastAsia="SimSun"/>
          <w:bCs/>
        </w:rPr>
        <w:t xml:space="preserve"> reconciles these two methodologies and shows their similarities and differences using both real data and simulations.</w:t>
      </w:r>
      <w:r>
        <w:rPr>
          <w:rFonts w:eastAsia="SimSun"/>
          <w:bCs/>
          <w:noProof/>
        </w:rPr>
        <w:t>[80]</w:t>
      </w:r>
      <w:r>
        <w:rPr>
          <w:rFonts w:eastAsia="SimSun"/>
          <w:bCs/>
        </w:rPr>
        <w:t xml:space="preserve"> </w:t>
      </w:r>
    </w:p>
    <w:p w:rsidR="000C0A41" w:rsidRDefault="000C0A41" w:rsidP="00BD30B6">
      <w:r>
        <w:br w:type="page"/>
      </w:r>
    </w:p>
    <w:p w:rsidR="000C0A41" w:rsidRDefault="000C0A41" w:rsidP="000C0A41">
      <w:pPr>
        <w:pStyle w:val="Heading1"/>
        <w:numPr>
          <w:ilvl w:val="0"/>
          <w:numId w:val="19"/>
        </w:numPr>
      </w:pPr>
      <w:bookmarkStart w:id="66" w:name="_Toc458185272"/>
      <w:r>
        <w:lastRenderedPageBreak/>
        <w:t>Results</w:t>
      </w:r>
      <w:bookmarkEnd w:id="66"/>
    </w:p>
    <w:p w:rsidR="000C0A41" w:rsidRDefault="000C0A41" w:rsidP="00125D64">
      <w:pPr>
        <w:pStyle w:val="Heading2"/>
      </w:pPr>
      <w:bookmarkStart w:id="67" w:name="_Toc458185273"/>
      <w:r>
        <w:t>COPD definitions and prevalence</w:t>
      </w:r>
      <w:bookmarkEnd w:id="67"/>
    </w:p>
    <w:p w:rsidR="000C0A41" w:rsidRDefault="000C0A41" w:rsidP="000722C8">
      <w:pPr>
        <w:pStyle w:val="Heading3"/>
      </w:pPr>
      <w:bookmarkStart w:id="68" w:name="_Toc458185274"/>
      <w:r>
        <w:t>Missing data</w:t>
      </w:r>
      <w:bookmarkEnd w:id="68"/>
    </w:p>
    <w:p w:rsidR="000C0A41" w:rsidRPr="00D05D4D" w:rsidRDefault="000C0A41" w:rsidP="00BD30B6">
      <w:r w:rsidRPr="006A5453">
        <w:t xml:space="preserve">CPRD data source may not include </w:t>
      </w:r>
      <w:r>
        <w:t xml:space="preserve">all </w:t>
      </w:r>
      <w:r w:rsidRPr="006A5453">
        <w:t>patients</w:t>
      </w:r>
      <w:r>
        <w:t>’</w:t>
      </w:r>
      <w:r w:rsidRPr="006A5453">
        <w:t xml:space="preserve"> data in terms of all the demographic aspects, such as ethnicit</w:t>
      </w:r>
      <w:r>
        <w:t>y and smoking</w:t>
      </w:r>
      <w:r w:rsidRPr="006A5453">
        <w:t xml:space="preserve">. There is some missing </w:t>
      </w:r>
      <w:r>
        <w:t>risk factor data</w:t>
      </w:r>
      <w:r w:rsidRPr="006A5453">
        <w:t>, and different methods were used to deal with</w:t>
      </w:r>
      <w:r>
        <w:t xml:space="preserve"> it</w:t>
      </w:r>
      <w:r w:rsidRPr="006A5453">
        <w:t xml:space="preserve">. </w:t>
      </w:r>
      <w:r>
        <w:t>Patients with m</w:t>
      </w:r>
      <w:r w:rsidRPr="0067749A">
        <w:t xml:space="preserve">issing IMD scores </w:t>
      </w:r>
      <w:r>
        <w:t>for their general practice location (</w:t>
      </w:r>
      <w:r w:rsidRPr="00183AC3">
        <w:t xml:space="preserve">1,837,537 </w:t>
      </w:r>
      <w:r>
        <w:t xml:space="preserve">patients or </w:t>
      </w:r>
      <w:r w:rsidRPr="00183AC3">
        <w:t>51.3%</w:t>
      </w:r>
      <w:r>
        <w:t xml:space="preserve"> of the whole analysis dataset</w:t>
      </w:r>
      <w:r w:rsidRPr="00183AC3">
        <w:t>)</w:t>
      </w:r>
      <w:r>
        <w:t xml:space="preserve"> </w:t>
      </w:r>
      <w:r w:rsidRPr="0067749A">
        <w:t>were dropped</w:t>
      </w:r>
      <w:r>
        <w:t xml:space="preserve"> from further analysis</w:t>
      </w:r>
      <w:r w:rsidRPr="0067749A">
        <w:t xml:space="preserve">. </w:t>
      </w:r>
      <w:r w:rsidRPr="006A5453">
        <w:t xml:space="preserve">For ethnicity, missing data were considered as “White population”. </w:t>
      </w:r>
      <w:r>
        <w:rPr>
          <w:rFonts w:cstheme="minorHAnsi"/>
        </w:rPr>
        <w:t>T</w:t>
      </w:r>
      <w:r w:rsidRPr="00295DB6">
        <w:rPr>
          <w:rFonts w:cstheme="minorHAnsi"/>
        </w:rPr>
        <w:t>hose without a code for ex or current smoking are classified as never smokers.</w:t>
      </w:r>
      <w:r>
        <w:rPr>
          <w:rFonts w:cstheme="minorHAnsi"/>
        </w:rPr>
        <w:t xml:space="preserve"> </w:t>
      </w:r>
      <w:r w:rsidRPr="006A5453">
        <w:fldChar w:fldCharType="begin"/>
      </w:r>
      <w:r w:rsidRPr="006A5453">
        <w:instrText xml:space="preserve"> REF _Ref442347296 \h  \* MERGEFORMAT </w:instrText>
      </w:r>
      <w:r w:rsidRPr="006A5453">
        <w:fldChar w:fldCharType="separate"/>
      </w:r>
      <w:r w:rsidRPr="000C0A41">
        <w:rPr>
          <w:color w:val="000000" w:themeColor="text1"/>
        </w:rPr>
        <w:t xml:space="preserve">Table </w:t>
      </w:r>
      <w:r w:rsidRPr="000C0A41">
        <w:rPr>
          <w:noProof/>
          <w:color w:val="000000" w:themeColor="text1"/>
        </w:rPr>
        <w:t>13</w:t>
      </w:r>
      <w:r w:rsidRPr="006A5453">
        <w:fldChar w:fldCharType="end"/>
      </w:r>
      <w:r w:rsidRPr="006A5453">
        <w:t xml:space="preserve"> shows the baseline characteristics of patients (both </w:t>
      </w:r>
      <w:r>
        <w:t xml:space="preserve">COPD </w:t>
      </w:r>
      <w:r w:rsidRPr="006A5453">
        <w:t>cases and non-</w:t>
      </w:r>
      <w:r>
        <w:t xml:space="preserve">COPD </w:t>
      </w:r>
      <w:r w:rsidRPr="006A5453">
        <w:t xml:space="preserve">cases) that </w:t>
      </w:r>
      <w:r>
        <w:t xml:space="preserve">we </w:t>
      </w:r>
      <w:r w:rsidRPr="006A5453">
        <w:t>included in the model</w:t>
      </w:r>
      <w:r>
        <w:t>ling</w:t>
      </w:r>
      <w:r w:rsidRPr="006A5453">
        <w:t xml:space="preserve">. The characteristics of these five groups are relatively similar, despite </w:t>
      </w:r>
      <w:r>
        <w:t xml:space="preserve">the fact </w:t>
      </w:r>
      <w:r w:rsidRPr="006A5453">
        <w:t xml:space="preserve">that there is a greater number of younger </w:t>
      </w:r>
      <w:r>
        <w:t>people in the control</w:t>
      </w:r>
      <w:r w:rsidRPr="006A5453">
        <w:t xml:space="preserve"> group. </w:t>
      </w:r>
      <w:r>
        <w:t>The Medcode/Readcode l</w:t>
      </w:r>
      <w:r w:rsidRPr="00D05D4D">
        <w:t xml:space="preserve">ist of drugs used for </w:t>
      </w:r>
      <w:r>
        <w:t xml:space="preserve">COPD is shown in </w:t>
      </w:r>
      <w:r>
        <w:fldChar w:fldCharType="begin"/>
      </w:r>
      <w:r>
        <w:instrText xml:space="preserve"> REF _Ref457481243 \h </w:instrText>
      </w:r>
      <w:r>
        <w:fldChar w:fldCharType="separate"/>
      </w:r>
      <w:r>
        <w:t xml:space="preserve">Table </w:t>
      </w:r>
      <w:r>
        <w:rPr>
          <w:noProof/>
        </w:rPr>
        <w:t>24</w:t>
      </w:r>
      <w:r>
        <w:t>: product/drug codes relevant for the diagnosis of COPD</w:t>
      </w:r>
      <w:r>
        <w:fldChar w:fldCharType="end"/>
      </w:r>
      <w:r>
        <w:t xml:space="preserve"> in the </w:t>
      </w:r>
      <w:r>
        <w:fldChar w:fldCharType="begin"/>
      </w:r>
      <w:r>
        <w:instrText xml:space="preserve"> REF _Ref457481200 \h </w:instrText>
      </w:r>
      <w:r>
        <w:fldChar w:fldCharType="separate"/>
      </w:r>
      <w:r w:rsidRPr="00385A7B">
        <w:t xml:space="preserve">Appendix: </w:t>
      </w:r>
      <w:r>
        <w:t>additional information</w:t>
      </w:r>
      <w:r>
        <w:fldChar w:fldCharType="end"/>
      </w:r>
      <w:r>
        <w:t xml:space="preserve">, Section </w:t>
      </w:r>
      <w:r>
        <w:fldChar w:fldCharType="begin"/>
      </w:r>
      <w:r>
        <w:instrText xml:space="preserve"> REF _Ref457481171 \r \h </w:instrText>
      </w:r>
      <w:r>
        <w:fldChar w:fldCharType="separate"/>
      </w:r>
      <w:r>
        <w:t>7.1</w:t>
      </w:r>
      <w:r>
        <w:fldChar w:fldCharType="end"/>
      </w:r>
      <w:r>
        <w:t>.</w:t>
      </w:r>
    </w:p>
    <w:p w:rsidR="000C0A41" w:rsidRPr="00564AA2" w:rsidRDefault="000C0A41" w:rsidP="0054201B">
      <w:pPr>
        <w:pStyle w:val="Heading2"/>
      </w:pPr>
      <w:bookmarkStart w:id="69" w:name="_Toc458185275"/>
      <w:r>
        <w:t>CPRD COPD definitions, incidence &amp; prevalence</w:t>
      </w:r>
      <w:bookmarkEnd w:id="69"/>
    </w:p>
    <w:p w:rsidR="000C0A41" w:rsidRDefault="000C0A41" w:rsidP="00EB21C3">
      <w:pPr>
        <w:pStyle w:val="Heading3"/>
      </w:pPr>
      <w:bookmarkStart w:id="70" w:name="_Toc458185276"/>
      <w:r>
        <w:t>COPD definions and flowchart</w:t>
      </w:r>
      <w:bookmarkEnd w:id="70"/>
    </w:p>
    <w:p w:rsidR="000C0A41" w:rsidRDefault="000C0A41" w:rsidP="00542E13">
      <w:pPr>
        <w:spacing w:before="100" w:beforeAutospacing="1" w:after="100" w:afterAutospacing="1"/>
      </w:pPr>
      <w:r>
        <w:fldChar w:fldCharType="begin"/>
      </w:r>
      <w:r>
        <w:instrText xml:space="preserve"> REF _Ref457483737 \h </w:instrText>
      </w:r>
      <w:r>
        <w:fldChar w:fldCharType="separate"/>
      </w:r>
      <w:r>
        <w:t xml:space="preserve">Figure </w:t>
      </w:r>
      <w:r>
        <w:rPr>
          <w:noProof/>
        </w:rPr>
        <w:t>3</w:t>
      </w:r>
      <w:r>
        <w:fldChar w:fldCharType="end"/>
      </w:r>
      <w:r>
        <w:t xml:space="preserve"> shows a </w:t>
      </w:r>
      <w:r w:rsidRPr="00E3347B">
        <w:t xml:space="preserve">flowchart of </w:t>
      </w:r>
      <w:r>
        <w:t xml:space="preserve">the </w:t>
      </w:r>
      <w:r w:rsidRPr="00E3347B">
        <w:t>COPD diagnosis sources</w:t>
      </w:r>
      <w:r>
        <w:t xml:space="preserve"> we used for the model. We obtained from CPRD a file conrtaining all HES diagnoses, either primary or secondary, for COPD. This was linked with our CPRD extract containing diagnostic and clinical codes as shown in Section </w:t>
      </w:r>
      <w:r>
        <w:fldChar w:fldCharType="begin"/>
      </w:r>
      <w:r>
        <w:instrText xml:space="preserve"> REF _Ref457481171 \r \h </w:instrText>
      </w:r>
      <w:r>
        <w:fldChar w:fldCharType="separate"/>
      </w:r>
      <w:r>
        <w:t>7.1</w:t>
      </w:r>
      <w:r>
        <w:fldChar w:fldCharType="end"/>
      </w:r>
      <w:r>
        <w:t xml:space="preserve"> of the </w:t>
      </w:r>
      <w:r>
        <w:fldChar w:fldCharType="begin"/>
      </w:r>
      <w:r>
        <w:instrText xml:space="preserve"> REF _Ref457481200 \h </w:instrText>
      </w:r>
      <w:r>
        <w:fldChar w:fldCharType="separate"/>
      </w:r>
      <w:r w:rsidRPr="00385A7B">
        <w:t xml:space="preserve">Appendix: </w:t>
      </w:r>
      <w:r>
        <w:t>additional information</w:t>
      </w:r>
      <w:r>
        <w:fldChar w:fldCharType="end"/>
      </w:r>
      <w:r>
        <w:t>.</w:t>
      </w:r>
    </w:p>
    <w:p w:rsidR="000C0A41" w:rsidRPr="008B31C0" w:rsidRDefault="000C0A41" w:rsidP="0067749A">
      <w:pPr>
        <w:pStyle w:val="Heading3"/>
      </w:pPr>
      <w:bookmarkStart w:id="71" w:name="_Toc458185277"/>
      <w:r>
        <w:t>Doctor diagnosed COPD cases</w:t>
      </w:r>
      <w:bookmarkEnd w:id="71"/>
    </w:p>
    <w:p w:rsidR="000C0A41" w:rsidRPr="00C25820" w:rsidRDefault="000C0A41" w:rsidP="0067749A">
      <w:r w:rsidRPr="00C25820">
        <w:t xml:space="preserve">Of the </w:t>
      </w:r>
      <w:r>
        <w:t>1</w:t>
      </w:r>
      <w:r w:rsidRPr="00E3347B">
        <w:t>0,272,602</w:t>
      </w:r>
      <w:r>
        <w:t xml:space="preserve"> over 35 patients in the CPRD dataset</w:t>
      </w:r>
      <w:r w:rsidRPr="00C25820">
        <w:t xml:space="preserve">, </w:t>
      </w:r>
      <w:r w:rsidRPr="00E3347B">
        <w:t>169,900</w:t>
      </w:r>
      <w:r w:rsidRPr="00C25820">
        <w:t xml:space="preserve"> patients had a doctor</w:t>
      </w:r>
      <w:r>
        <w:t>-</w:t>
      </w:r>
      <w:r w:rsidRPr="00C25820">
        <w:t>diagnosis of</w:t>
      </w:r>
      <w:r>
        <w:t xml:space="preserve"> COPD in their CPRD electronic health record, giving a crude prevalence of 1.65%. Use of this definition has been validated previously.</w:t>
      </w:r>
      <w:r>
        <w:rPr>
          <w:noProof/>
        </w:rPr>
        <w:t>[46]</w:t>
      </w:r>
      <w:r>
        <w:t xml:space="preserve"> We then linked the CPRD dataset to the HES dataset, which contained 158,595 patients with a COPD diagnosis</w:t>
      </w:r>
      <w:r w:rsidRPr="00C25820">
        <w:t>.</w:t>
      </w:r>
      <w:r>
        <w:t xml:space="preserve"> Of these, only 54,384 also had a CPRD diagnosis. This left 104,211 patients identified only through HES, giving an overall total of 274,211 patients with a doctor- (GP or HES) COPD diagnoses, a crude prevalence of 2.67%. This is still well below the minimum prevalence of 4-5% from the various population surveys quoted in the Background.</w:t>
      </w:r>
    </w:p>
    <w:p w:rsidR="000C0A41" w:rsidRDefault="000C0A41" w:rsidP="0067749A">
      <w:pPr>
        <w:spacing w:before="100" w:beforeAutospacing="1" w:after="100" w:afterAutospacing="1"/>
      </w:pPr>
    </w:p>
    <w:p w:rsidR="000C0A41" w:rsidRDefault="000C0A41" w:rsidP="0067749A">
      <w:pPr>
        <w:spacing w:before="100" w:beforeAutospacing="1" w:after="100" w:afterAutospacing="1"/>
      </w:pPr>
      <w:r>
        <w:t xml:space="preserve">There were </w:t>
      </w:r>
      <w:r w:rsidRPr="00DF3B8D">
        <w:t>563,926</w:t>
      </w:r>
      <w:r>
        <w:t xml:space="preserve"> patients with a smoking history, two or more symptoms and two or more prescriptions for inhaled COPD therapy. Of these patients, only 56,134 already had a COPD diagnosis, leaving 507,792 patients for further investigation.</w:t>
      </w:r>
    </w:p>
    <w:p w:rsidR="000C0A41" w:rsidRPr="00213B5F" w:rsidRDefault="000C0A41" w:rsidP="00E3347B">
      <w:pPr>
        <w:pStyle w:val="Caption"/>
        <w:rPr>
          <w:rFonts w:cstheme="minorHAnsi"/>
        </w:rPr>
      </w:pPr>
      <w:bookmarkStart w:id="72" w:name="_Ref457483737"/>
      <w:r>
        <w:t xml:space="preserve">Figure </w:t>
      </w:r>
      <w:fldSimple w:instr=" SEQ Figure \* ARABIC ">
        <w:r>
          <w:rPr>
            <w:noProof/>
          </w:rPr>
          <w:t>3</w:t>
        </w:r>
      </w:fldSimple>
      <w:bookmarkEnd w:id="72"/>
      <w:r>
        <w:rPr>
          <w:rFonts w:cstheme="minorHAnsi"/>
        </w:rPr>
        <w:t>: flowchart of COPD diagnosis sources</w:t>
      </w:r>
    </w:p>
    <w:p w:rsidR="000C0A41" w:rsidRDefault="000C0A41" w:rsidP="00542E13">
      <w:pPr>
        <w:spacing w:before="100" w:beforeAutospacing="1" w:after="100" w:afterAutospacing="1"/>
        <w:rPr>
          <w:rFonts w:cstheme="minorHAnsi"/>
        </w:rPr>
      </w:pPr>
      <w:r>
        <w:rPr>
          <w:noProof/>
          <w:lang w:eastAsia="en-GB"/>
        </w:rPr>
        <w:lastRenderedPageBreak/>
        <mc:AlternateContent>
          <mc:Choice Requires="wpc">
            <w:drawing>
              <wp:inline distT="0" distB="0" distL="0" distR="0" wp14:anchorId="3FDE5947" wp14:editId="5013BC3A">
                <wp:extent cx="5604124" cy="5806440"/>
                <wp:effectExtent l="0" t="0" r="0" b="22860"/>
                <wp:docPr id="32" name="Canvas 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Text Box 3"/>
                        <wps:cNvSpPr txBox="1"/>
                        <wps:spPr>
                          <a:xfrm>
                            <a:off x="1827399" y="149288"/>
                            <a:ext cx="3467100" cy="360725"/>
                          </a:xfrm>
                          <a:prstGeom prst="rect">
                            <a:avLst/>
                          </a:prstGeom>
                          <a:solidFill>
                            <a:sysClr val="window" lastClr="FFFFFF"/>
                          </a:solidFill>
                          <a:ln w="19050" cap="flat" cmpd="sng" algn="ctr">
                            <a:solidFill>
                              <a:srgbClr val="0070C0"/>
                            </a:solidFill>
                            <a:prstDash val="solid"/>
                            <a:miter lim="800000"/>
                          </a:ln>
                          <a:effectLst/>
                        </wps:spPr>
                        <wps:txbx>
                          <w:txbxContent>
                            <w:p w:rsidR="000C0A41" w:rsidRPr="00C145E9" w:rsidRDefault="000C0A41" w:rsidP="00542E13">
                              <w:pPr>
                                <w:pStyle w:val="NormalWeb"/>
                                <w:spacing w:before="0" w:beforeAutospacing="0" w:after="0" w:afterAutospacing="0"/>
                                <w:jc w:val="center"/>
                                <w:rPr>
                                  <w:sz w:val="18"/>
                                  <w:szCs w:val="18"/>
                                </w:rPr>
                              </w:pPr>
                              <w:r w:rsidRPr="00C145E9">
                                <w:rPr>
                                  <w:rFonts w:eastAsia="SimSun"/>
                                  <w:sz w:val="18"/>
                                  <w:szCs w:val="18"/>
                                </w:rPr>
                                <w:t>Extraction of records from CPRD database</w:t>
                              </w:r>
                            </w:p>
                            <w:p w:rsidR="000C0A41" w:rsidRPr="00C145E9" w:rsidRDefault="000C0A41" w:rsidP="00542E13">
                              <w:pPr>
                                <w:pStyle w:val="NormalWeb"/>
                                <w:spacing w:before="0" w:beforeAutospacing="0" w:after="0" w:afterAutospacing="0"/>
                                <w:jc w:val="center"/>
                                <w:rPr>
                                  <w:sz w:val="18"/>
                                  <w:szCs w:val="18"/>
                                </w:rPr>
                              </w:pPr>
                              <w:r w:rsidRPr="00C145E9">
                                <w:rPr>
                                  <w:rFonts w:eastAsia="SimSun"/>
                                  <w:sz w:val="18"/>
                                  <w:szCs w:val="18"/>
                                </w:rPr>
                                <w:t>(N=</w:t>
                              </w:r>
                              <w:r w:rsidRPr="00F2240C">
                                <w:rPr>
                                  <w:rFonts w:eastAsia="SimSun"/>
                                  <w:sz w:val="18"/>
                                  <w:szCs w:val="18"/>
                                </w:rPr>
                                <w:t>10,272,602</w:t>
                              </w:r>
                              <w:r w:rsidRPr="00C145E9">
                                <w:rPr>
                                  <w:rFonts w:eastAsia="SimSun"/>
                                  <w:sz w:val="18"/>
                                  <w:szCs w:val="1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Straight Arrow Connector 4"/>
                        <wps:cNvCnPr>
                          <a:stCxn id="3" idx="2"/>
                        </wps:cNvCnPr>
                        <wps:spPr>
                          <a:xfrm>
                            <a:off x="3560949" y="510013"/>
                            <a:ext cx="1213" cy="744329"/>
                          </a:xfrm>
                          <a:prstGeom prst="straightConnector1">
                            <a:avLst/>
                          </a:prstGeom>
                          <a:noFill/>
                          <a:ln w="19050" cap="flat" cmpd="sng" algn="ctr">
                            <a:solidFill>
                              <a:srgbClr val="0070C0"/>
                            </a:solidFill>
                            <a:prstDash val="solid"/>
                            <a:miter lim="800000"/>
                            <a:tailEnd type="triangle"/>
                          </a:ln>
                          <a:effectLst/>
                        </wps:spPr>
                        <wps:bodyPr/>
                      </wps:wsp>
                      <wps:wsp>
                        <wps:cNvPr id="5" name="Straight Connector 5"/>
                        <wps:cNvCnPr/>
                        <wps:spPr>
                          <a:xfrm>
                            <a:off x="2036217" y="1287500"/>
                            <a:ext cx="2697708" cy="0"/>
                          </a:xfrm>
                          <a:prstGeom prst="line">
                            <a:avLst/>
                          </a:prstGeom>
                          <a:noFill/>
                          <a:ln w="19050" cap="flat" cmpd="sng" algn="ctr">
                            <a:solidFill>
                              <a:srgbClr val="0070C0"/>
                            </a:solidFill>
                            <a:prstDash val="solid"/>
                            <a:miter lim="800000"/>
                          </a:ln>
                          <a:effectLst/>
                        </wps:spPr>
                        <wps:bodyPr/>
                      </wps:wsp>
                      <wps:wsp>
                        <wps:cNvPr id="7" name="Straight Arrow Connector 7"/>
                        <wps:cNvCnPr/>
                        <wps:spPr>
                          <a:xfrm>
                            <a:off x="4719837" y="1299531"/>
                            <a:ext cx="0" cy="294380"/>
                          </a:xfrm>
                          <a:prstGeom prst="straightConnector1">
                            <a:avLst/>
                          </a:prstGeom>
                          <a:noFill/>
                          <a:ln w="19050" cap="flat" cmpd="sng" algn="ctr">
                            <a:solidFill>
                              <a:srgbClr val="0070C0"/>
                            </a:solidFill>
                            <a:prstDash val="solid"/>
                            <a:miter lim="800000"/>
                            <a:tailEnd type="triangle"/>
                          </a:ln>
                          <a:effectLst/>
                        </wps:spPr>
                        <wps:bodyPr/>
                      </wps:wsp>
                      <wps:wsp>
                        <wps:cNvPr id="8" name="Straight Arrow Connector 8"/>
                        <wps:cNvCnPr/>
                        <wps:spPr>
                          <a:xfrm flipH="1">
                            <a:off x="2036217" y="1264053"/>
                            <a:ext cx="1" cy="399989"/>
                          </a:xfrm>
                          <a:prstGeom prst="straightConnector1">
                            <a:avLst/>
                          </a:prstGeom>
                          <a:noFill/>
                          <a:ln w="19050" cap="flat" cmpd="sng" algn="ctr">
                            <a:solidFill>
                              <a:srgbClr val="0070C0"/>
                            </a:solidFill>
                            <a:prstDash val="solid"/>
                            <a:miter lim="800000"/>
                            <a:tailEnd type="triangle"/>
                          </a:ln>
                          <a:effectLst/>
                        </wps:spPr>
                        <wps:bodyPr/>
                      </wps:wsp>
                      <wps:wsp>
                        <wps:cNvPr id="9" name="Text Box 9"/>
                        <wps:cNvSpPr txBox="1"/>
                        <wps:spPr>
                          <a:xfrm>
                            <a:off x="1442398" y="1644992"/>
                            <a:ext cx="1193773" cy="570140"/>
                          </a:xfrm>
                          <a:prstGeom prst="rect">
                            <a:avLst/>
                          </a:prstGeom>
                          <a:solidFill>
                            <a:sysClr val="window" lastClr="FFFFFF"/>
                          </a:solidFill>
                          <a:ln w="19050" cap="flat" cmpd="sng" algn="ctr">
                            <a:solidFill>
                              <a:srgbClr val="0070C0"/>
                            </a:solidFill>
                            <a:prstDash val="solid"/>
                            <a:miter lim="800000"/>
                          </a:ln>
                          <a:effectLst/>
                        </wps:spPr>
                        <wps:txbx>
                          <w:txbxContent>
                            <w:p w:rsidR="000C0A41" w:rsidRPr="00C145E9" w:rsidRDefault="000C0A41" w:rsidP="00542E13">
                              <w:pPr>
                                <w:pStyle w:val="NormalWeb"/>
                                <w:spacing w:before="0" w:beforeAutospacing="0" w:after="160" w:afterAutospacing="0" w:line="252" w:lineRule="auto"/>
                                <w:jc w:val="center"/>
                                <w:rPr>
                                  <w:sz w:val="18"/>
                                  <w:szCs w:val="18"/>
                                </w:rPr>
                              </w:pPr>
                              <w:r w:rsidRPr="00C145E9">
                                <w:rPr>
                                  <w:rFonts w:eastAsia="SimSun"/>
                                  <w:sz w:val="18"/>
                                  <w:szCs w:val="18"/>
                                </w:rPr>
                                <w:t>Extrac</w:t>
                              </w:r>
                              <w:r>
                                <w:rPr>
                                  <w:rFonts w:eastAsia="SimSun"/>
                                  <w:sz w:val="18"/>
                                  <w:szCs w:val="18"/>
                                </w:rPr>
                                <w:t>t</w:t>
                              </w:r>
                              <w:r w:rsidRPr="00C145E9">
                                <w:rPr>
                                  <w:rFonts w:eastAsia="SimSun"/>
                                  <w:sz w:val="18"/>
                                  <w:szCs w:val="18"/>
                                </w:rPr>
                                <w:t xml:space="preserve"> medcodes relevant to the diagnosis of </w:t>
                              </w:r>
                              <w:r>
                                <w:rPr>
                                  <w:rFonts w:eastAsia="SimSun"/>
                                  <w:sz w:val="18"/>
                                  <w:szCs w:val="18"/>
                                </w:rPr>
                                <w:t>COPD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 Box 9"/>
                        <wps:cNvSpPr txBox="1"/>
                        <wps:spPr>
                          <a:xfrm>
                            <a:off x="4001951" y="1616415"/>
                            <a:ext cx="1424940" cy="929550"/>
                          </a:xfrm>
                          <a:prstGeom prst="rect">
                            <a:avLst/>
                          </a:prstGeom>
                          <a:solidFill>
                            <a:sysClr val="window" lastClr="FFFFFF"/>
                          </a:solidFill>
                          <a:ln w="19050" cap="flat" cmpd="sng" algn="ctr">
                            <a:solidFill>
                              <a:srgbClr val="0070C0"/>
                            </a:solidFill>
                            <a:prstDash val="solid"/>
                            <a:miter lim="800000"/>
                          </a:ln>
                          <a:effectLst/>
                        </wps:spPr>
                        <wps:txbx>
                          <w:txbxContent>
                            <w:p w:rsidR="000C0A41" w:rsidRDefault="000C0A41" w:rsidP="00542E13">
                              <w:pPr>
                                <w:pStyle w:val="NormalWeb"/>
                                <w:spacing w:before="0" w:beforeAutospacing="0" w:after="160" w:afterAutospacing="0" w:line="252" w:lineRule="auto"/>
                                <w:jc w:val="center"/>
                                <w:rPr>
                                  <w:rFonts w:eastAsia="SimSun"/>
                                  <w:sz w:val="18"/>
                                  <w:szCs w:val="18"/>
                                </w:rPr>
                              </w:pPr>
                              <w:r>
                                <w:rPr>
                                  <w:rFonts w:eastAsia="SimSun"/>
                                  <w:sz w:val="18"/>
                                  <w:szCs w:val="18"/>
                                </w:rPr>
                                <w:t>Patients with smoking history and 2+ symptoms and 2+ prescriptions for inhaled COPD therapy</w:t>
                              </w:r>
                            </w:p>
                            <w:p w:rsidR="000C0A41" w:rsidRPr="00BA3AF1" w:rsidRDefault="000C0A41" w:rsidP="00542E13">
                              <w:pPr>
                                <w:pStyle w:val="NormalWeb"/>
                                <w:spacing w:before="0" w:beforeAutospacing="0" w:after="160" w:afterAutospacing="0" w:line="252" w:lineRule="auto"/>
                                <w:jc w:val="center"/>
                                <w:rPr>
                                  <w:rFonts w:eastAsia="SimSun"/>
                                  <w:sz w:val="18"/>
                                  <w:szCs w:val="18"/>
                                </w:rPr>
                              </w:pPr>
                              <w:r>
                                <w:rPr>
                                  <w:rFonts w:eastAsia="SimSun"/>
                                  <w:sz w:val="18"/>
                                  <w:szCs w:val="18"/>
                                </w:rPr>
                                <w:t>N= 563,926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 Box 9"/>
                        <wps:cNvSpPr txBox="1"/>
                        <wps:spPr>
                          <a:xfrm>
                            <a:off x="1471276" y="3203582"/>
                            <a:ext cx="1177529" cy="676798"/>
                          </a:xfrm>
                          <a:prstGeom prst="rect">
                            <a:avLst/>
                          </a:prstGeom>
                          <a:solidFill>
                            <a:sysClr val="window" lastClr="FFFFFF"/>
                          </a:solidFill>
                          <a:ln w="19050" cap="flat" cmpd="sng" algn="ctr">
                            <a:solidFill>
                              <a:srgbClr val="0070C0"/>
                            </a:solidFill>
                            <a:prstDash val="solid"/>
                            <a:miter lim="800000"/>
                          </a:ln>
                          <a:effectLst/>
                        </wps:spPr>
                        <wps:txbx>
                          <w:txbxContent>
                            <w:p w:rsidR="000C0A41" w:rsidRPr="00C145E9" w:rsidRDefault="000C0A41" w:rsidP="00542E13">
                              <w:pPr>
                                <w:pStyle w:val="NormalWeb"/>
                                <w:spacing w:before="0" w:beforeAutospacing="0" w:after="120" w:afterAutospacing="0" w:line="254" w:lineRule="auto"/>
                                <w:jc w:val="center"/>
                                <w:rPr>
                                  <w:rFonts w:eastAsia="SimSun"/>
                                  <w:sz w:val="18"/>
                                  <w:szCs w:val="18"/>
                                </w:rPr>
                              </w:pPr>
                              <w:r w:rsidRPr="00C145E9">
                                <w:rPr>
                                  <w:rFonts w:eastAsia="SimSun"/>
                                  <w:sz w:val="18"/>
                                  <w:szCs w:val="18"/>
                                </w:rPr>
                                <w:t xml:space="preserve">Identify doctor diagnosed </w:t>
                              </w:r>
                              <w:r>
                                <w:rPr>
                                  <w:rFonts w:eastAsia="SimSun"/>
                                  <w:sz w:val="18"/>
                                  <w:szCs w:val="18"/>
                                </w:rPr>
                                <w:t>COPD</w:t>
                              </w:r>
                              <w:r w:rsidRPr="00C145E9">
                                <w:rPr>
                                  <w:rFonts w:eastAsia="SimSun"/>
                                  <w:sz w:val="18"/>
                                  <w:szCs w:val="18"/>
                                </w:rPr>
                                <w:t xml:space="preserve"> cases</w:t>
                              </w:r>
                              <w:r>
                                <w:rPr>
                                  <w:rFonts w:eastAsia="SimSun"/>
                                  <w:sz w:val="18"/>
                                  <w:szCs w:val="18"/>
                                </w:rPr>
                                <w:t xml:space="preserve"> </w:t>
                              </w:r>
                              <w:r w:rsidRPr="00C145E9">
                                <w:rPr>
                                  <w:rFonts w:eastAsia="SimSun"/>
                                  <w:sz w:val="18"/>
                                  <w:szCs w:val="18"/>
                                </w:rPr>
                                <w:t>(N=</w:t>
                              </w:r>
                              <w:r>
                                <w:rPr>
                                  <w:rFonts w:eastAsia="SimSun"/>
                                  <w:sz w:val="18"/>
                                  <w:szCs w:val="18"/>
                                </w:rPr>
                                <w:t>169,900</w:t>
                              </w:r>
                              <w:r w:rsidRPr="00C145E9">
                                <w:rPr>
                                  <w:rFonts w:eastAsia="SimSun"/>
                                  <w:sz w:val="18"/>
                                  <w:szCs w:val="1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 Box 9"/>
                        <wps:cNvSpPr txBox="1"/>
                        <wps:spPr>
                          <a:xfrm>
                            <a:off x="1406925" y="4366113"/>
                            <a:ext cx="1241946" cy="629603"/>
                          </a:xfrm>
                          <a:prstGeom prst="rect">
                            <a:avLst/>
                          </a:prstGeom>
                          <a:solidFill>
                            <a:sysClr val="window" lastClr="FFFFFF"/>
                          </a:solidFill>
                          <a:ln w="19050" cap="flat" cmpd="sng" algn="ctr">
                            <a:solidFill>
                              <a:srgbClr val="0070C0"/>
                            </a:solidFill>
                            <a:prstDash val="solid"/>
                            <a:miter lim="800000"/>
                          </a:ln>
                          <a:effectLst/>
                        </wps:spPr>
                        <wps:txbx>
                          <w:txbxContent>
                            <w:p w:rsidR="000C0A41" w:rsidRPr="00C145E9" w:rsidRDefault="000C0A41" w:rsidP="00542E13">
                              <w:pPr>
                                <w:pStyle w:val="NormalWeb"/>
                                <w:spacing w:before="0" w:beforeAutospacing="0" w:after="120" w:afterAutospacing="0" w:line="254" w:lineRule="auto"/>
                                <w:jc w:val="center"/>
                                <w:rPr>
                                  <w:sz w:val="18"/>
                                  <w:szCs w:val="18"/>
                                </w:rPr>
                              </w:pPr>
                              <w:r w:rsidRPr="00C145E9">
                                <w:rPr>
                                  <w:rFonts w:eastAsia="SimSun"/>
                                  <w:sz w:val="18"/>
                                  <w:szCs w:val="18"/>
                                </w:rPr>
                                <w:t>Final</w:t>
                              </w:r>
                              <w:r>
                                <w:rPr>
                                  <w:rFonts w:eastAsia="SimSun"/>
                                  <w:sz w:val="18"/>
                                  <w:szCs w:val="18"/>
                                </w:rPr>
                                <w:t xml:space="preserve"> CPRD</w:t>
                              </w:r>
                              <w:r w:rsidRPr="00C145E9">
                                <w:rPr>
                                  <w:rFonts w:eastAsia="SimSun"/>
                                  <w:sz w:val="18"/>
                                  <w:szCs w:val="18"/>
                                </w:rPr>
                                <w:t xml:space="preserve"> doctor diagnosed </w:t>
                              </w:r>
                              <w:r>
                                <w:rPr>
                                  <w:rFonts w:eastAsia="SimSun"/>
                                  <w:sz w:val="18"/>
                                  <w:szCs w:val="18"/>
                                </w:rPr>
                                <w:t>COPD</w:t>
                              </w:r>
                              <w:r w:rsidRPr="00C145E9">
                                <w:rPr>
                                  <w:rFonts w:eastAsia="SimSun"/>
                                  <w:sz w:val="18"/>
                                  <w:szCs w:val="18"/>
                                </w:rPr>
                                <w:t xml:space="preserve"> cases</w:t>
                              </w:r>
                              <w:r>
                                <w:rPr>
                                  <w:rFonts w:eastAsia="SimSun"/>
                                  <w:sz w:val="18"/>
                                  <w:szCs w:val="18"/>
                                </w:rPr>
                                <w:t xml:space="preserve"> </w:t>
                              </w:r>
                              <w:r w:rsidRPr="00C145E9">
                                <w:rPr>
                                  <w:rFonts w:eastAsia="SimSun"/>
                                  <w:sz w:val="18"/>
                                  <w:szCs w:val="18"/>
                                </w:rPr>
                                <w:t>(N=</w:t>
                              </w:r>
                              <w:r>
                                <w:rPr>
                                  <w:rFonts w:eastAsia="SimSun"/>
                                  <w:sz w:val="18"/>
                                  <w:szCs w:val="18"/>
                                </w:rPr>
                                <w:t>169,900</w:t>
                              </w:r>
                              <w:r w:rsidRPr="00C145E9">
                                <w:rPr>
                                  <w:rFonts w:eastAsia="SimSun"/>
                                  <w:sz w:val="18"/>
                                  <w:szCs w:val="1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Straight Arrow Connector 13"/>
                        <wps:cNvCnPr/>
                        <wps:spPr>
                          <a:xfrm>
                            <a:off x="2037417" y="2221513"/>
                            <a:ext cx="0" cy="955044"/>
                          </a:xfrm>
                          <a:prstGeom prst="straightConnector1">
                            <a:avLst/>
                          </a:prstGeom>
                          <a:noFill/>
                          <a:ln w="19050" cap="flat" cmpd="sng" algn="ctr">
                            <a:solidFill>
                              <a:srgbClr val="0070C0"/>
                            </a:solidFill>
                            <a:prstDash val="solid"/>
                            <a:miter lim="800000"/>
                            <a:tailEnd type="triangle"/>
                          </a:ln>
                          <a:effectLst/>
                        </wps:spPr>
                        <wps:bodyPr/>
                      </wps:wsp>
                      <wps:wsp>
                        <wps:cNvPr id="14" name="Straight Arrow Connector 14"/>
                        <wps:cNvCnPr/>
                        <wps:spPr>
                          <a:xfrm>
                            <a:off x="2037417" y="3899241"/>
                            <a:ext cx="0" cy="427631"/>
                          </a:xfrm>
                          <a:prstGeom prst="straightConnector1">
                            <a:avLst/>
                          </a:prstGeom>
                          <a:noFill/>
                          <a:ln w="19050" cap="flat" cmpd="sng" algn="ctr">
                            <a:solidFill>
                              <a:srgbClr val="0070C0"/>
                            </a:solidFill>
                            <a:prstDash val="solid"/>
                            <a:miter lim="800000"/>
                            <a:tailEnd type="triangle"/>
                          </a:ln>
                          <a:effectLst/>
                        </wps:spPr>
                        <wps:bodyPr/>
                      </wps:wsp>
                      <wps:wsp>
                        <wps:cNvPr id="15" name="Text Box 9"/>
                        <wps:cNvSpPr txBox="1"/>
                        <wps:spPr>
                          <a:xfrm>
                            <a:off x="4105996" y="3438529"/>
                            <a:ext cx="1347791" cy="641133"/>
                          </a:xfrm>
                          <a:prstGeom prst="rect">
                            <a:avLst/>
                          </a:prstGeom>
                          <a:solidFill>
                            <a:sysClr val="window" lastClr="FFFFFF"/>
                          </a:solidFill>
                          <a:ln w="19050" cap="flat" cmpd="sng" algn="ctr">
                            <a:solidFill>
                              <a:srgbClr val="0070C0"/>
                            </a:solidFill>
                            <a:prstDash val="solid"/>
                            <a:miter lim="800000"/>
                          </a:ln>
                          <a:effectLst/>
                        </wps:spPr>
                        <wps:txbx>
                          <w:txbxContent>
                            <w:p w:rsidR="000C0A41" w:rsidRPr="00BA3AF1" w:rsidRDefault="000C0A41" w:rsidP="00542E13">
                              <w:pPr>
                                <w:pStyle w:val="NormalWeb"/>
                                <w:spacing w:before="0" w:beforeAutospacing="0" w:after="160" w:afterAutospacing="0" w:line="252" w:lineRule="auto"/>
                                <w:jc w:val="center"/>
                                <w:rPr>
                                  <w:rFonts w:eastAsia="SimSun"/>
                                  <w:sz w:val="18"/>
                                  <w:szCs w:val="18"/>
                                </w:rPr>
                              </w:pPr>
                              <w:r>
                                <w:rPr>
                                  <w:rFonts w:eastAsia="SimSun"/>
                                  <w:sz w:val="18"/>
                                  <w:szCs w:val="18"/>
                                </w:rPr>
                                <w:t>Excluding doctor (HES or CPRD) diagnosed COPD</w:t>
                              </w:r>
                            </w:p>
                            <w:p w:rsidR="000C0A41" w:rsidRDefault="000C0A41" w:rsidP="00542E13">
                              <w:pPr>
                                <w:pStyle w:val="NormalWeb"/>
                                <w:spacing w:before="0" w:beforeAutospacing="0" w:after="160" w:afterAutospacing="0" w:line="254" w:lineRule="auto"/>
                                <w:jc w:val="center"/>
                              </w:pPr>
                              <w:r>
                                <w:rPr>
                                  <w:rFonts w:eastAsia="SimSun"/>
                                  <w:sz w:val="20"/>
                                  <w:szCs w:val="20"/>
                                </w:rPr>
                                <w:t>N= 56,134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 name="Straight Arrow Connector 17"/>
                        <wps:cNvCnPr/>
                        <wps:spPr>
                          <a:xfrm>
                            <a:off x="4733925" y="2550468"/>
                            <a:ext cx="9525" cy="888057"/>
                          </a:xfrm>
                          <a:prstGeom prst="straightConnector1">
                            <a:avLst/>
                          </a:prstGeom>
                          <a:noFill/>
                          <a:ln w="19050" cap="flat" cmpd="sng" algn="ctr">
                            <a:solidFill>
                              <a:srgbClr val="0070C0"/>
                            </a:solidFill>
                            <a:prstDash val="solid"/>
                            <a:miter lim="800000"/>
                            <a:tailEnd type="triangle"/>
                          </a:ln>
                          <a:effectLst/>
                        </wps:spPr>
                        <wps:bodyPr/>
                      </wps:wsp>
                      <wps:wsp>
                        <wps:cNvPr id="18" name="Text Box 3"/>
                        <wps:cNvSpPr txBox="1"/>
                        <wps:spPr>
                          <a:xfrm>
                            <a:off x="77641" y="540219"/>
                            <a:ext cx="1130185" cy="486410"/>
                          </a:xfrm>
                          <a:prstGeom prst="rect">
                            <a:avLst/>
                          </a:prstGeom>
                          <a:solidFill>
                            <a:sysClr val="window" lastClr="FFFFFF"/>
                          </a:solidFill>
                          <a:ln w="19050" cap="flat" cmpd="sng" algn="ctr">
                            <a:solidFill>
                              <a:srgbClr val="0070C0"/>
                            </a:solidFill>
                            <a:prstDash val="solid"/>
                            <a:miter lim="800000"/>
                          </a:ln>
                          <a:effectLst/>
                        </wps:spPr>
                        <wps:txbx>
                          <w:txbxContent>
                            <w:p w:rsidR="000C0A41" w:rsidRDefault="000C0A41" w:rsidP="00542E13">
                              <w:pPr>
                                <w:pStyle w:val="NormalWeb"/>
                                <w:spacing w:before="0" w:beforeAutospacing="0" w:after="160" w:afterAutospacing="0" w:line="252" w:lineRule="auto"/>
                                <w:jc w:val="center"/>
                                <w:rPr>
                                  <w:rFonts w:eastAsia="SimSun"/>
                                  <w:sz w:val="18"/>
                                  <w:szCs w:val="18"/>
                                </w:rPr>
                              </w:pPr>
                              <w:r>
                                <w:rPr>
                                  <w:rFonts w:eastAsia="SimSun"/>
                                  <w:sz w:val="18"/>
                                  <w:szCs w:val="18"/>
                                </w:rPr>
                                <w:t>Linked HES data</w:t>
                              </w:r>
                            </w:p>
                            <w:p w:rsidR="000C0A41" w:rsidRDefault="000C0A41" w:rsidP="00542E13">
                              <w:pPr>
                                <w:pStyle w:val="NormalWeb"/>
                                <w:spacing w:before="0" w:beforeAutospacing="0" w:after="160" w:afterAutospacing="0" w:line="252" w:lineRule="auto"/>
                                <w:jc w:val="center"/>
                              </w:pPr>
                              <w:r>
                                <w:rPr>
                                  <w:rFonts w:eastAsia="SimSun"/>
                                  <w:sz w:val="18"/>
                                  <w:szCs w:val="18"/>
                                </w:rPr>
                                <w:t>(N=</w:t>
                              </w:r>
                              <w:r w:rsidRPr="00F2240C">
                                <w:rPr>
                                  <w:rFonts w:eastAsia="SimSun"/>
                                  <w:sz w:val="18"/>
                                  <w:szCs w:val="18"/>
                                </w:rPr>
                                <w:t>627,672</w:t>
                              </w:r>
                              <w:r>
                                <w:rPr>
                                  <w:rFonts w:eastAsia="SimSun"/>
                                  <w:sz w:val="18"/>
                                  <w:szCs w:val="1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Straight Arrow Connector 19"/>
                        <wps:cNvCnPr/>
                        <wps:spPr>
                          <a:xfrm>
                            <a:off x="644820" y="1046476"/>
                            <a:ext cx="0" cy="229235"/>
                          </a:xfrm>
                          <a:prstGeom prst="straightConnector1">
                            <a:avLst/>
                          </a:prstGeom>
                          <a:noFill/>
                          <a:ln w="19050" cap="flat" cmpd="sng" algn="ctr">
                            <a:solidFill>
                              <a:srgbClr val="0070C0"/>
                            </a:solidFill>
                            <a:prstDash val="solid"/>
                            <a:miter lim="800000"/>
                            <a:tailEnd type="triangle"/>
                          </a:ln>
                          <a:effectLst/>
                        </wps:spPr>
                        <wps:bodyPr/>
                      </wps:wsp>
                      <wps:wsp>
                        <wps:cNvPr id="20" name="Text Box 9"/>
                        <wps:cNvSpPr txBox="1"/>
                        <wps:spPr>
                          <a:xfrm>
                            <a:off x="77640" y="1287548"/>
                            <a:ext cx="1177954" cy="546440"/>
                          </a:xfrm>
                          <a:prstGeom prst="rect">
                            <a:avLst/>
                          </a:prstGeom>
                          <a:solidFill>
                            <a:sysClr val="window" lastClr="FFFFFF"/>
                          </a:solidFill>
                          <a:ln w="19050" cap="flat" cmpd="sng" algn="ctr">
                            <a:solidFill>
                              <a:srgbClr val="0070C0"/>
                            </a:solidFill>
                            <a:prstDash val="solid"/>
                            <a:miter lim="800000"/>
                          </a:ln>
                          <a:effectLst/>
                        </wps:spPr>
                        <wps:txbx>
                          <w:txbxContent>
                            <w:p w:rsidR="000C0A41" w:rsidRDefault="000C0A41" w:rsidP="00542E13">
                              <w:pPr>
                                <w:pStyle w:val="NormalWeb"/>
                                <w:spacing w:before="0" w:beforeAutospacing="0" w:after="160" w:afterAutospacing="0" w:line="252" w:lineRule="auto"/>
                                <w:jc w:val="center"/>
                              </w:pPr>
                              <w:r>
                                <w:rPr>
                                  <w:rFonts w:eastAsia="SimSun"/>
                                  <w:sz w:val="18"/>
                                  <w:szCs w:val="18"/>
                                </w:rPr>
                                <w:t>Extracting ICD-10 codes relevant to the diagnosis of COPD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Text Box 9"/>
                        <wps:cNvSpPr txBox="1"/>
                        <wps:spPr>
                          <a:xfrm>
                            <a:off x="43520" y="2177952"/>
                            <a:ext cx="1177290" cy="584298"/>
                          </a:xfrm>
                          <a:prstGeom prst="rect">
                            <a:avLst/>
                          </a:prstGeom>
                          <a:solidFill>
                            <a:sysClr val="window" lastClr="FFFFFF"/>
                          </a:solidFill>
                          <a:ln w="19050" cap="flat" cmpd="sng" algn="ctr">
                            <a:solidFill>
                              <a:srgbClr val="0070C0"/>
                            </a:solidFill>
                            <a:prstDash val="solid"/>
                            <a:miter lim="800000"/>
                          </a:ln>
                          <a:effectLst/>
                        </wps:spPr>
                        <wps:txbx>
                          <w:txbxContent>
                            <w:p w:rsidR="000C0A41" w:rsidRDefault="000C0A41" w:rsidP="00542E13">
                              <w:pPr>
                                <w:pStyle w:val="NormalWeb"/>
                                <w:spacing w:before="0" w:beforeAutospacing="0" w:after="160" w:afterAutospacing="0" w:line="252" w:lineRule="auto"/>
                                <w:jc w:val="center"/>
                              </w:pPr>
                              <w:r>
                                <w:rPr>
                                  <w:rFonts w:eastAsia="SimSun"/>
                                  <w:sz w:val="18"/>
                                  <w:szCs w:val="18"/>
                                </w:rPr>
                                <w:t>Identifying doctor diagnosed COPD cases (N=158,595)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Straight Arrow Connector 22"/>
                        <wps:cNvCnPr/>
                        <wps:spPr>
                          <a:xfrm>
                            <a:off x="614056" y="1852403"/>
                            <a:ext cx="0" cy="318704"/>
                          </a:xfrm>
                          <a:prstGeom prst="straightConnector1">
                            <a:avLst/>
                          </a:prstGeom>
                          <a:noFill/>
                          <a:ln w="19050" cap="flat" cmpd="sng" algn="ctr">
                            <a:solidFill>
                              <a:srgbClr val="0070C0"/>
                            </a:solidFill>
                            <a:prstDash val="solid"/>
                            <a:miter lim="800000"/>
                            <a:tailEnd type="triangle"/>
                          </a:ln>
                          <a:effectLst/>
                        </wps:spPr>
                        <wps:bodyPr/>
                      </wps:wsp>
                      <wps:wsp>
                        <wps:cNvPr id="23" name="Text Box 9"/>
                        <wps:cNvSpPr txBox="1"/>
                        <wps:spPr>
                          <a:xfrm>
                            <a:off x="43522" y="3176557"/>
                            <a:ext cx="1177290" cy="777356"/>
                          </a:xfrm>
                          <a:prstGeom prst="rect">
                            <a:avLst/>
                          </a:prstGeom>
                          <a:solidFill>
                            <a:sysClr val="window" lastClr="FFFFFF"/>
                          </a:solidFill>
                          <a:ln w="19050" cap="flat" cmpd="sng" algn="ctr">
                            <a:solidFill>
                              <a:srgbClr val="0070C0"/>
                            </a:solidFill>
                            <a:prstDash val="solid"/>
                            <a:miter lim="800000"/>
                          </a:ln>
                          <a:effectLst/>
                        </wps:spPr>
                        <wps:txbx>
                          <w:txbxContent>
                            <w:p w:rsidR="000C0A41" w:rsidRDefault="000C0A41" w:rsidP="00542E13">
                              <w:pPr>
                                <w:pStyle w:val="NormalWeb"/>
                                <w:spacing w:before="0" w:beforeAutospacing="0" w:after="160" w:afterAutospacing="0" w:line="252" w:lineRule="auto"/>
                                <w:jc w:val="center"/>
                              </w:pPr>
                              <w:r>
                                <w:rPr>
                                  <w:rFonts w:eastAsia="SimSun"/>
                                  <w:sz w:val="18"/>
                                  <w:szCs w:val="18"/>
                                </w:rPr>
                                <w:t>Excluding COPD cases who have a CPRD COPD diagnosis (N=54,384)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 name="Straight Arrow Connector 24"/>
                        <wps:cNvCnPr/>
                        <wps:spPr>
                          <a:xfrm>
                            <a:off x="621325" y="2790825"/>
                            <a:ext cx="0" cy="373282"/>
                          </a:xfrm>
                          <a:prstGeom prst="straightConnector1">
                            <a:avLst/>
                          </a:prstGeom>
                          <a:noFill/>
                          <a:ln w="19050" cap="flat" cmpd="sng" algn="ctr">
                            <a:solidFill>
                              <a:srgbClr val="0070C0"/>
                            </a:solidFill>
                            <a:prstDash val="solid"/>
                            <a:miter lim="800000"/>
                            <a:tailEnd type="triangle"/>
                          </a:ln>
                          <a:effectLst/>
                        </wps:spPr>
                        <wps:bodyPr/>
                      </wps:wsp>
                      <wps:wsp>
                        <wps:cNvPr id="25" name="Straight Arrow Connector 25"/>
                        <wps:cNvCnPr/>
                        <wps:spPr>
                          <a:xfrm flipH="1">
                            <a:off x="644820" y="3973812"/>
                            <a:ext cx="0" cy="353060"/>
                          </a:xfrm>
                          <a:prstGeom prst="straightConnector1">
                            <a:avLst/>
                          </a:prstGeom>
                          <a:noFill/>
                          <a:ln w="19050" cap="flat" cmpd="sng" algn="ctr">
                            <a:solidFill>
                              <a:srgbClr val="0070C0"/>
                            </a:solidFill>
                            <a:prstDash val="solid"/>
                            <a:miter lim="800000"/>
                            <a:tailEnd type="triangle"/>
                          </a:ln>
                          <a:effectLst/>
                        </wps:spPr>
                        <wps:bodyPr/>
                      </wps:wsp>
                      <wps:wsp>
                        <wps:cNvPr id="26" name="Text Box 9"/>
                        <wps:cNvSpPr txBox="1"/>
                        <wps:spPr>
                          <a:xfrm>
                            <a:off x="23050" y="4341121"/>
                            <a:ext cx="1205249" cy="629285"/>
                          </a:xfrm>
                          <a:prstGeom prst="rect">
                            <a:avLst/>
                          </a:prstGeom>
                          <a:solidFill>
                            <a:sysClr val="window" lastClr="FFFFFF"/>
                          </a:solidFill>
                          <a:ln w="19050" cap="flat" cmpd="sng" algn="ctr">
                            <a:solidFill>
                              <a:srgbClr val="0070C0"/>
                            </a:solidFill>
                            <a:prstDash val="solid"/>
                            <a:miter lim="800000"/>
                          </a:ln>
                          <a:effectLst/>
                        </wps:spPr>
                        <wps:txbx>
                          <w:txbxContent>
                            <w:p w:rsidR="000C0A41" w:rsidRDefault="000C0A41" w:rsidP="00542E13">
                              <w:pPr>
                                <w:pStyle w:val="NormalWeb"/>
                                <w:spacing w:before="0" w:beforeAutospacing="0" w:after="160" w:afterAutospacing="0" w:line="252" w:lineRule="auto"/>
                                <w:jc w:val="center"/>
                              </w:pPr>
                              <w:r>
                                <w:rPr>
                                  <w:rFonts w:eastAsia="SimSun"/>
                                  <w:sz w:val="18"/>
                                  <w:szCs w:val="18"/>
                                </w:rPr>
                                <w:t>Additional HES diagnosed COPD cases (N=104,211)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Text Box 2"/>
                        <wps:cNvSpPr txBox="1"/>
                        <wps:spPr>
                          <a:xfrm>
                            <a:off x="4068457" y="5286376"/>
                            <a:ext cx="1522718" cy="466555"/>
                          </a:xfrm>
                          <a:prstGeom prst="rect">
                            <a:avLst/>
                          </a:prstGeom>
                          <a:solidFill>
                            <a:sysClr val="window" lastClr="FFFFFF"/>
                          </a:solidFill>
                          <a:ln w="19050" cap="flat" cmpd="sng" algn="ctr">
                            <a:solidFill>
                              <a:srgbClr val="4472C4"/>
                            </a:solidFill>
                            <a:prstDash val="solid"/>
                            <a:miter lim="800000"/>
                          </a:ln>
                          <a:effectLst/>
                        </wps:spPr>
                        <wps:txbx>
                          <w:txbxContent>
                            <w:p w:rsidR="000C0A41" w:rsidRDefault="000C0A41" w:rsidP="00542E13">
                              <w:pPr>
                                <w:pStyle w:val="NormalWeb"/>
                                <w:spacing w:before="0" w:beforeAutospacing="0" w:after="160" w:afterAutospacing="0" w:line="252" w:lineRule="auto"/>
                                <w:jc w:val="center"/>
                              </w:pPr>
                              <w:r>
                                <w:rPr>
                                  <w:rFonts w:eastAsia="SimSun"/>
                                  <w:sz w:val="18"/>
                                  <w:szCs w:val="18"/>
                                </w:rPr>
                                <w:t>Algorthm-positive possible COPD cases (N=507,792)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Straight Arrow Connector 28"/>
                        <wps:cNvCnPr/>
                        <wps:spPr>
                          <a:xfrm>
                            <a:off x="644820" y="4981250"/>
                            <a:ext cx="0" cy="419425"/>
                          </a:xfrm>
                          <a:prstGeom prst="straightConnector1">
                            <a:avLst/>
                          </a:prstGeom>
                          <a:noFill/>
                          <a:ln w="19050" cap="flat" cmpd="sng" algn="ctr">
                            <a:solidFill>
                              <a:srgbClr val="0070C0"/>
                            </a:solidFill>
                            <a:prstDash val="solid"/>
                            <a:miter lim="800000"/>
                            <a:tailEnd type="triangle"/>
                          </a:ln>
                          <a:effectLst/>
                        </wps:spPr>
                        <wps:bodyPr/>
                      </wps:wsp>
                      <wps:wsp>
                        <wps:cNvPr id="29" name="Straight Arrow Connector 29"/>
                        <wps:cNvCnPr/>
                        <wps:spPr>
                          <a:xfrm>
                            <a:off x="2018325" y="4981344"/>
                            <a:ext cx="0" cy="438150"/>
                          </a:xfrm>
                          <a:prstGeom prst="straightConnector1">
                            <a:avLst/>
                          </a:prstGeom>
                          <a:noFill/>
                          <a:ln w="19050" cap="flat" cmpd="sng" algn="ctr">
                            <a:solidFill>
                              <a:srgbClr val="0070C0"/>
                            </a:solidFill>
                            <a:prstDash val="solid"/>
                            <a:miter lim="800000"/>
                            <a:tailEnd type="triangle"/>
                          </a:ln>
                          <a:effectLst/>
                        </wps:spPr>
                        <wps:bodyPr/>
                      </wps:wsp>
                      <wps:wsp>
                        <wps:cNvPr id="30" name="Text Box 2"/>
                        <wps:cNvSpPr txBox="1"/>
                        <wps:spPr>
                          <a:xfrm>
                            <a:off x="23061" y="5432004"/>
                            <a:ext cx="2486223" cy="374436"/>
                          </a:xfrm>
                          <a:prstGeom prst="rect">
                            <a:avLst/>
                          </a:prstGeom>
                          <a:solidFill>
                            <a:sysClr val="window" lastClr="FFFFFF"/>
                          </a:solidFill>
                          <a:ln w="19050" cap="flat" cmpd="sng" algn="ctr">
                            <a:solidFill>
                              <a:srgbClr val="4472C4"/>
                            </a:solidFill>
                            <a:prstDash val="solid"/>
                            <a:miter lim="800000"/>
                          </a:ln>
                          <a:effectLst/>
                        </wps:spPr>
                        <wps:txbx>
                          <w:txbxContent>
                            <w:p w:rsidR="000C0A41" w:rsidRDefault="000C0A41" w:rsidP="00542E13">
                              <w:pPr>
                                <w:pStyle w:val="NormalWeb"/>
                                <w:spacing w:before="0" w:beforeAutospacing="0" w:after="160" w:afterAutospacing="0" w:line="252" w:lineRule="auto"/>
                                <w:jc w:val="center"/>
                                <w:rPr>
                                  <w:sz w:val="24"/>
                                </w:rPr>
                              </w:pPr>
                              <w:r>
                                <w:rPr>
                                  <w:rFonts w:eastAsia="SimSun"/>
                                  <w:sz w:val="18"/>
                                  <w:szCs w:val="18"/>
                                </w:rPr>
                                <w:t>Doctor diagnosed COPD cases (N=274,111)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Straight Arrow Connector 31"/>
                        <wps:cNvCnPr/>
                        <wps:spPr>
                          <a:xfrm>
                            <a:off x="4779887" y="4079514"/>
                            <a:ext cx="30238" cy="120686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FDE5947" id="Canvas 32" o:spid="_x0000_s1026" editas="canvas" style="width:441.25pt;height:457.2pt;mso-position-horizontal-relative:char;mso-position-vertical-relative:line" coordsize="56038,58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038;height:58064;visibility:visible;mso-wrap-style:square">
                  <v:fill o:detectmouseclick="t"/>
                  <v:path o:connecttype="none"/>
                </v:shape>
                <v:shapetype id="_x0000_t202" coordsize="21600,21600" o:spt="202" path="m,l,21600r21600,l21600,xe">
                  <v:stroke joinstyle="miter"/>
                  <v:path gradientshapeok="t" o:connecttype="rect"/>
                </v:shapetype>
                <v:shape id="Text Box 3" o:spid="_x0000_s1028" type="#_x0000_t202" style="position:absolute;left:18273;top:1492;width:34671;height:3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" fillcolor="window" strokecolor="#0070c0" strokeweight="1.5pt">
                  <v:textbox>
                    <w:txbxContent>
                      <w:p w:rsidR="000C0A41" w:rsidRPr="00C145E9" w:rsidRDefault="000C0A41" w:rsidP="00542E13">
                        <w:pPr>
                          <w:pStyle w:val="NormalWeb"/>
                          <w:spacing w:before="0" w:beforeAutospacing="0" w:after="0" w:afterAutospacing="0"/>
                          <w:jc w:val="center"/>
                          <w:rPr>
                            <w:sz w:val="18"/>
                            <w:szCs w:val="18"/>
                          </w:rPr>
                        </w:pPr>
                        <w:r w:rsidRPr="00C145E9">
                          <w:rPr>
                            <w:rFonts w:eastAsia="SimSun"/>
                            <w:sz w:val="18"/>
                            <w:szCs w:val="18"/>
                          </w:rPr>
                          <w:t>Extraction of records from CPRD database</w:t>
                        </w:r>
                      </w:p>
                      <w:p w:rsidR="000C0A41" w:rsidRPr="00C145E9" w:rsidRDefault="000C0A41" w:rsidP="00542E13">
                        <w:pPr>
                          <w:pStyle w:val="NormalWeb"/>
                          <w:spacing w:before="0" w:beforeAutospacing="0" w:after="0" w:afterAutospacing="0"/>
                          <w:jc w:val="center"/>
                          <w:rPr>
                            <w:sz w:val="18"/>
                            <w:szCs w:val="18"/>
                          </w:rPr>
                        </w:pPr>
                        <w:r w:rsidRPr="00C145E9">
                          <w:rPr>
                            <w:rFonts w:eastAsia="SimSun"/>
                            <w:sz w:val="18"/>
                            <w:szCs w:val="18"/>
                          </w:rPr>
                          <w:t>(N=</w:t>
                        </w:r>
                        <w:r w:rsidRPr="00F2240C">
                          <w:rPr>
                            <w:rFonts w:eastAsia="SimSun"/>
                            <w:sz w:val="18"/>
                            <w:szCs w:val="18"/>
                          </w:rPr>
                          <w:t>10,272,602</w:t>
                        </w:r>
                        <w:r w:rsidRPr="00C145E9">
                          <w:rPr>
                            <w:rFonts w:eastAsia="SimSun"/>
                            <w:sz w:val="18"/>
                            <w:szCs w:val="18"/>
                          </w:rPr>
                          <w:t>)</w:t>
                        </w:r>
                      </w:p>
                    </w:txbxContent>
                  </v:textbox>
                </v:shape>
                <v:shapetype id="_x0000_t32" coordsize="21600,21600" o:spt="32" o:oned="t" path="m,l21600,21600e" filled="f">
                  <v:path arrowok="t" fillok="f" o:connecttype="none"/>
                  <o:lock v:ext="edit" shapetype="t"/>
                </v:shapetype>
                <v:shape id="Straight Arrow Connector 4" o:spid="_x0000_s1029" type="#_x0000_t32" style="position:absolute;left:35609;top:5100;width:12;height:74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" strokecolor="#0070c0" strokeweight="1.5pt">
                  <v:stroke endarrow="block" joinstyle="miter"/>
                </v:shape>
                <v:line id="Straight Connector 5" o:spid="_x0000_s1030" style="position:absolute;visibility:visible;mso-wrap-style:square" from="20362,12875" to="47339,12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" strokecolor="#0070c0" strokeweight="1.5pt">
                  <v:stroke joinstyle="miter"/>
                </v:line>
                <v:shape id="Straight Arrow Connector 7" o:spid="_x0000_s1031" type="#_x0000_t32" style="position:absolute;left:47198;top:12995;width:0;height:29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" strokecolor="#0070c0" strokeweight="1.5pt">
                  <v:stroke endarrow="block" joinstyle="miter"/>
                </v:shape>
                <v:shape id="Straight Arrow Connector 8" o:spid="_x0000_s1032" type="#_x0000_t32" style="position:absolute;left:20362;top:12640;width:0;height:40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" strokecolor="#0070c0" strokeweight="1.5pt">
                  <v:stroke endarrow="block" joinstyle="miter"/>
                </v:shape>
                <v:shape id="Text Box 9" o:spid="_x0000_s1033" type="#_x0000_t202" style="position:absolute;left:14423;top:16449;width:11938;height:5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" fillcolor="window" strokecolor="#0070c0" strokeweight="1.5pt">
                  <v:textbox>
                    <w:txbxContent>
                      <w:p w:rsidR="000C0A41" w:rsidRPr="00C145E9" w:rsidRDefault="000C0A41" w:rsidP="00542E13">
                        <w:pPr>
                          <w:pStyle w:val="NormalWeb"/>
                          <w:spacing w:before="0" w:beforeAutospacing="0" w:after="160" w:afterAutospacing="0" w:line="252" w:lineRule="auto"/>
                          <w:jc w:val="center"/>
                          <w:rPr>
                            <w:sz w:val="18"/>
                            <w:szCs w:val="18"/>
                          </w:rPr>
                        </w:pPr>
                        <w:r w:rsidRPr="00C145E9">
                          <w:rPr>
                            <w:rFonts w:eastAsia="SimSun"/>
                            <w:sz w:val="18"/>
                            <w:szCs w:val="18"/>
                          </w:rPr>
                          <w:t>Extrac</w:t>
                        </w:r>
                        <w:r>
                          <w:rPr>
                            <w:rFonts w:eastAsia="SimSun"/>
                            <w:sz w:val="18"/>
                            <w:szCs w:val="18"/>
                          </w:rPr>
                          <w:t>t</w:t>
                        </w:r>
                        <w:r w:rsidRPr="00C145E9">
                          <w:rPr>
                            <w:rFonts w:eastAsia="SimSun"/>
                            <w:sz w:val="18"/>
                            <w:szCs w:val="18"/>
                          </w:rPr>
                          <w:t xml:space="preserve"> medcodes relevant to the diagnosis of </w:t>
                        </w:r>
                        <w:r>
                          <w:rPr>
                            <w:rFonts w:eastAsia="SimSun"/>
                            <w:sz w:val="18"/>
                            <w:szCs w:val="18"/>
                          </w:rPr>
                          <w:t>COPD</w:t>
                        </w:r>
                      </w:p>
                    </w:txbxContent>
                  </v:textbox>
                </v:shape>
                <v:shape id="Text Box 9" o:spid="_x0000_s1034" type="#_x0000_t202" style="position:absolute;left:40019;top:16164;width:14249;height:9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" fillcolor="window" strokecolor="#0070c0" strokeweight="1.5pt">
                  <v:textbox>
                    <w:txbxContent>
                      <w:p w:rsidR="000C0A41" w:rsidRDefault="000C0A41" w:rsidP="00542E13">
                        <w:pPr>
                          <w:pStyle w:val="NormalWeb"/>
                          <w:spacing w:before="0" w:beforeAutospacing="0" w:after="160" w:afterAutospacing="0" w:line="252" w:lineRule="auto"/>
                          <w:jc w:val="center"/>
                          <w:rPr>
                            <w:rFonts w:eastAsia="SimSun"/>
                            <w:sz w:val="18"/>
                            <w:szCs w:val="18"/>
                          </w:rPr>
                        </w:pPr>
                        <w:r>
                          <w:rPr>
                            <w:rFonts w:eastAsia="SimSun"/>
                            <w:sz w:val="18"/>
                            <w:szCs w:val="18"/>
                          </w:rPr>
                          <w:t>Patients with smoking history and 2+ symptoms and 2+ prescriptions for inhaled COPD therapy</w:t>
                        </w:r>
                      </w:p>
                      <w:p w:rsidR="000C0A41" w:rsidRPr="00BA3AF1" w:rsidRDefault="000C0A41" w:rsidP="00542E13">
                        <w:pPr>
                          <w:pStyle w:val="NormalWeb"/>
                          <w:spacing w:before="0" w:beforeAutospacing="0" w:after="160" w:afterAutospacing="0" w:line="252" w:lineRule="auto"/>
                          <w:jc w:val="center"/>
                          <w:rPr>
                            <w:rFonts w:eastAsia="SimSun"/>
                            <w:sz w:val="18"/>
                            <w:szCs w:val="18"/>
                          </w:rPr>
                        </w:pPr>
                        <w:r>
                          <w:rPr>
                            <w:rFonts w:eastAsia="SimSun"/>
                            <w:sz w:val="18"/>
                            <w:szCs w:val="18"/>
                          </w:rPr>
                          <w:t>N= 563,926</w:t>
                        </w:r>
                      </w:p>
                    </w:txbxContent>
                  </v:textbox>
                </v:shape>
                <v:shape id="Text Box 9" o:spid="_x0000_s1035" type="#_x0000_t202" style="position:absolute;left:14712;top:32035;width:11776;height:6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" fillcolor="window" strokecolor="#0070c0" strokeweight="1.5pt">
                  <v:textbox>
                    <w:txbxContent>
                      <w:p w:rsidR="000C0A41" w:rsidRPr="00C145E9" w:rsidRDefault="000C0A41" w:rsidP="00542E13">
                        <w:pPr>
                          <w:pStyle w:val="NormalWeb"/>
                          <w:spacing w:before="0" w:beforeAutospacing="0" w:after="120" w:afterAutospacing="0" w:line="254" w:lineRule="auto"/>
                          <w:jc w:val="center"/>
                          <w:rPr>
                            <w:rFonts w:eastAsia="SimSun"/>
                            <w:sz w:val="18"/>
                            <w:szCs w:val="18"/>
                          </w:rPr>
                        </w:pPr>
                        <w:r w:rsidRPr="00C145E9">
                          <w:rPr>
                            <w:rFonts w:eastAsia="SimSun"/>
                            <w:sz w:val="18"/>
                            <w:szCs w:val="18"/>
                          </w:rPr>
                          <w:t xml:space="preserve">Identify doctor diagnosed </w:t>
                        </w:r>
                        <w:r>
                          <w:rPr>
                            <w:rFonts w:eastAsia="SimSun"/>
                            <w:sz w:val="18"/>
                            <w:szCs w:val="18"/>
                          </w:rPr>
                          <w:t>COPD</w:t>
                        </w:r>
                        <w:r w:rsidRPr="00C145E9">
                          <w:rPr>
                            <w:rFonts w:eastAsia="SimSun"/>
                            <w:sz w:val="18"/>
                            <w:szCs w:val="18"/>
                          </w:rPr>
                          <w:t xml:space="preserve"> cases</w:t>
                        </w:r>
                        <w:r>
                          <w:rPr>
                            <w:rFonts w:eastAsia="SimSun"/>
                            <w:sz w:val="18"/>
                            <w:szCs w:val="18"/>
                          </w:rPr>
                          <w:t xml:space="preserve"> </w:t>
                        </w:r>
                        <w:r w:rsidRPr="00C145E9">
                          <w:rPr>
                            <w:rFonts w:eastAsia="SimSun"/>
                            <w:sz w:val="18"/>
                            <w:szCs w:val="18"/>
                          </w:rPr>
                          <w:t>(N=</w:t>
                        </w:r>
                        <w:r>
                          <w:rPr>
                            <w:rFonts w:eastAsia="SimSun"/>
                            <w:sz w:val="18"/>
                            <w:szCs w:val="18"/>
                          </w:rPr>
                          <w:t>169,900</w:t>
                        </w:r>
                        <w:r w:rsidRPr="00C145E9">
                          <w:rPr>
                            <w:rFonts w:eastAsia="SimSun"/>
                            <w:sz w:val="18"/>
                            <w:szCs w:val="18"/>
                          </w:rPr>
                          <w:t>)</w:t>
                        </w:r>
                      </w:p>
                    </w:txbxContent>
                  </v:textbox>
                </v:shape>
                <v:shape id="Text Box 9" o:spid="_x0000_s1036" type="#_x0000_t202" style="position:absolute;left:14069;top:43661;width:12419;height:6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" fillcolor="window" strokecolor="#0070c0" strokeweight="1.5pt">
                  <v:textbox>
                    <w:txbxContent>
                      <w:p w:rsidR="000C0A41" w:rsidRPr="00C145E9" w:rsidRDefault="000C0A41" w:rsidP="00542E13">
                        <w:pPr>
                          <w:pStyle w:val="NormalWeb"/>
                          <w:spacing w:before="0" w:beforeAutospacing="0" w:after="120" w:afterAutospacing="0" w:line="254" w:lineRule="auto"/>
                          <w:jc w:val="center"/>
                          <w:rPr>
                            <w:sz w:val="18"/>
                            <w:szCs w:val="18"/>
                          </w:rPr>
                        </w:pPr>
                        <w:r w:rsidRPr="00C145E9">
                          <w:rPr>
                            <w:rFonts w:eastAsia="SimSun"/>
                            <w:sz w:val="18"/>
                            <w:szCs w:val="18"/>
                          </w:rPr>
                          <w:t>Final</w:t>
                        </w:r>
                        <w:r>
                          <w:rPr>
                            <w:rFonts w:eastAsia="SimSun"/>
                            <w:sz w:val="18"/>
                            <w:szCs w:val="18"/>
                          </w:rPr>
                          <w:t xml:space="preserve"> CPRD</w:t>
                        </w:r>
                        <w:r w:rsidRPr="00C145E9">
                          <w:rPr>
                            <w:rFonts w:eastAsia="SimSun"/>
                            <w:sz w:val="18"/>
                            <w:szCs w:val="18"/>
                          </w:rPr>
                          <w:t xml:space="preserve"> doctor diagnosed </w:t>
                        </w:r>
                        <w:r>
                          <w:rPr>
                            <w:rFonts w:eastAsia="SimSun"/>
                            <w:sz w:val="18"/>
                            <w:szCs w:val="18"/>
                          </w:rPr>
                          <w:t>COPD</w:t>
                        </w:r>
                        <w:r w:rsidRPr="00C145E9">
                          <w:rPr>
                            <w:rFonts w:eastAsia="SimSun"/>
                            <w:sz w:val="18"/>
                            <w:szCs w:val="18"/>
                          </w:rPr>
                          <w:t xml:space="preserve"> cases</w:t>
                        </w:r>
                        <w:r>
                          <w:rPr>
                            <w:rFonts w:eastAsia="SimSun"/>
                            <w:sz w:val="18"/>
                            <w:szCs w:val="18"/>
                          </w:rPr>
                          <w:t xml:space="preserve"> </w:t>
                        </w:r>
                        <w:r w:rsidRPr="00C145E9">
                          <w:rPr>
                            <w:rFonts w:eastAsia="SimSun"/>
                            <w:sz w:val="18"/>
                            <w:szCs w:val="18"/>
                          </w:rPr>
                          <w:t>(N=</w:t>
                        </w:r>
                        <w:r>
                          <w:rPr>
                            <w:rFonts w:eastAsia="SimSun"/>
                            <w:sz w:val="18"/>
                            <w:szCs w:val="18"/>
                          </w:rPr>
                          <w:t>169,900</w:t>
                        </w:r>
                        <w:r w:rsidRPr="00C145E9">
                          <w:rPr>
                            <w:rFonts w:eastAsia="SimSun"/>
                            <w:sz w:val="18"/>
                            <w:szCs w:val="18"/>
                          </w:rPr>
                          <w:t>)</w:t>
                        </w:r>
                      </w:p>
                    </w:txbxContent>
                  </v:textbox>
                </v:shape>
                <v:shape id="Straight Arrow Connector 13" o:spid="_x0000_s1037" type="#_x0000_t32" style="position:absolute;left:20374;top:22215;width:0;height:95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" strokecolor="#0070c0" strokeweight="1.5pt">
                  <v:stroke endarrow="block" joinstyle="miter"/>
                </v:shape>
                <v:shape id="Straight Arrow Connector 14" o:spid="_x0000_s1038" type="#_x0000_t32" style="position:absolute;left:20374;top:38992;width:0;height:42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" strokecolor="#0070c0" strokeweight="1.5pt">
                  <v:stroke endarrow="block" joinstyle="miter"/>
                </v:shape>
                <v:shape id="Text Box 9" o:spid="_x0000_s1039" type="#_x0000_t202" style="position:absolute;left:41059;top:34385;width:13478;height:6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" fillcolor="window" strokecolor="#0070c0" strokeweight="1.5pt">
                  <v:textbox>
                    <w:txbxContent>
                      <w:p w:rsidR="000C0A41" w:rsidRPr="00BA3AF1" w:rsidRDefault="000C0A41" w:rsidP="00542E13">
                        <w:pPr>
                          <w:pStyle w:val="NormalWeb"/>
                          <w:spacing w:before="0" w:beforeAutospacing="0" w:after="160" w:afterAutospacing="0" w:line="252" w:lineRule="auto"/>
                          <w:jc w:val="center"/>
                          <w:rPr>
                            <w:rFonts w:eastAsia="SimSun"/>
                            <w:sz w:val="18"/>
                            <w:szCs w:val="18"/>
                          </w:rPr>
                        </w:pPr>
                        <w:r>
                          <w:rPr>
                            <w:rFonts w:eastAsia="SimSun"/>
                            <w:sz w:val="18"/>
                            <w:szCs w:val="18"/>
                          </w:rPr>
                          <w:t>Excluding doctor (HES or CPRD) diagnosed COPD</w:t>
                        </w:r>
                      </w:p>
                      <w:p w:rsidR="000C0A41" w:rsidRDefault="000C0A41" w:rsidP="00542E13">
                        <w:pPr>
                          <w:pStyle w:val="NormalWeb"/>
                          <w:spacing w:before="0" w:beforeAutospacing="0" w:after="160" w:afterAutospacing="0" w:line="254" w:lineRule="auto"/>
                          <w:jc w:val="center"/>
                        </w:pPr>
                        <w:r>
                          <w:rPr>
                            <w:rFonts w:eastAsia="SimSun"/>
                            <w:sz w:val="20"/>
                            <w:szCs w:val="20"/>
                          </w:rPr>
                          <w:t>N= 56,134</w:t>
                        </w:r>
                      </w:p>
                    </w:txbxContent>
                  </v:textbox>
                </v:shape>
                <v:shape id="Straight Arrow Connector 17" o:spid="_x0000_s1040" type="#_x0000_t32" style="position:absolute;left:47339;top:25504;width:95;height:88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" strokecolor="#0070c0" strokeweight="1.5pt">
                  <v:stroke endarrow="block" joinstyle="miter"/>
                </v:shape>
                <v:shape id="Text Box 3" o:spid="_x0000_s1041" type="#_x0000_t202" style="position:absolute;left:776;top:5402;width:11302;height:4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" fillcolor="window" strokecolor="#0070c0" strokeweight="1.5pt">
                  <v:textbox>
                    <w:txbxContent>
                      <w:p w:rsidR="000C0A41" w:rsidRDefault="000C0A41" w:rsidP="00542E13">
                        <w:pPr>
                          <w:pStyle w:val="NormalWeb"/>
                          <w:spacing w:before="0" w:beforeAutospacing="0" w:after="160" w:afterAutospacing="0" w:line="252" w:lineRule="auto"/>
                          <w:jc w:val="center"/>
                          <w:rPr>
                            <w:rFonts w:eastAsia="SimSun"/>
                            <w:sz w:val="18"/>
                            <w:szCs w:val="18"/>
                          </w:rPr>
                        </w:pPr>
                        <w:r>
                          <w:rPr>
                            <w:rFonts w:eastAsia="SimSun"/>
                            <w:sz w:val="18"/>
                            <w:szCs w:val="18"/>
                          </w:rPr>
                          <w:t>Linked HES data</w:t>
                        </w:r>
                      </w:p>
                      <w:p w:rsidR="000C0A41" w:rsidRDefault="000C0A41" w:rsidP="00542E13">
                        <w:pPr>
                          <w:pStyle w:val="NormalWeb"/>
                          <w:spacing w:before="0" w:beforeAutospacing="0" w:after="160" w:afterAutospacing="0" w:line="252" w:lineRule="auto"/>
                          <w:jc w:val="center"/>
                        </w:pPr>
                        <w:r>
                          <w:rPr>
                            <w:rFonts w:eastAsia="SimSun"/>
                            <w:sz w:val="18"/>
                            <w:szCs w:val="18"/>
                          </w:rPr>
                          <w:t>(N=</w:t>
                        </w:r>
                        <w:r w:rsidRPr="00F2240C">
                          <w:rPr>
                            <w:rFonts w:eastAsia="SimSun"/>
                            <w:sz w:val="18"/>
                            <w:szCs w:val="18"/>
                          </w:rPr>
                          <w:t>627,672</w:t>
                        </w:r>
                        <w:r>
                          <w:rPr>
                            <w:rFonts w:eastAsia="SimSun"/>
                            <w:sz w:val="18"/>
                            <w:szCs w:val="18"/>
                          </w:rPr>
                          <w:t>)</w:t>
                        </w:r>
                      </w:p>
                    </w:txbxContent>
                  </v:textbox>
                </v:shape>
                <v:shape id="Straight Arrow Connector 19" o:spid="_x0000_s1042" type="#_x0000_t32" style="position:absolute;left:6448;top:10464;width:0;height:22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" strokecolor="#0070c0" strokeweight="1.5pt">
                  <v:stroke endarrow="block" joinstyle="miter"/>
                </v:shape>
                <v:shape id="Text Box 9" o:spid="_x0000_s1043" type="#_x0000_t202" style="position:absolute;left:776;top:12875;width:11779;height:5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" fillcolor="window" strokecolor="#0070c0" strokeweight="1.5pt">
                  <v:textbox>
                    <w:txbxContent>
                      <w:p w:rsidR="000C0A41" w:rsidRDefault="000C0A41" w:rsidP="00542E13">
                        <w:pPr>
                          <w:pStyle w:val="NormalWeb"/>
                          <w:spacing w:before="0" w:beforeAutospacing="0" w:after="160" w:afterAutospacing="0" w:line="252" w:lineRule="auto"/>
                          <w:jc w:val="center"/>
                        </w:pPr>
                        <w:r>
                          <w:rPr>
                            <w:rFonts w:eastAsia="SimSun"/>
                            <w:sz w:val="18"/>
                            <w:szCs w:val="18"/>
                          </w:rPr>
                          <w:t>Extracting ICD-10 codes relevant to the diagnosis of COPD</w:t>
                        </w:r>
                      </w:p>
                    </w:txbxContent>
                  </v:textbox>
                </v:shape>
                <v:shape id="Text Box 9" o:spid="_x0000_s1044" type="#_x0000_t202" style="position:absolute;left:435;top:21779;width:11773;height:5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" fillcolor="window" strokecolor="#0070c0" strokeweight="1.5pt">
                  <v:textbox>
                    <w:txbxContent>
                      <w:p w:rsidR="000C0A41" w:rsidRDefault="000C0A41" w:rsidP="00542E13">
                        <w:pPr>
                          <w:pStyle w:val="NormalWeb"/>
                          <w:spacing w:before="0" w:beforeAutospacing="0" w:after="160" w:afterAutospacing="0" w:line="252" w:lineRule="auto"/>
                          <w:jc w:val="center"/>
                        </w:pPr>
                        <w:r>
                          <w:rPr>
                            <w:rFonts w:eastAsia="SimSun"/>
                            <w:sz w:val="18"/>
                            <w:szCs w:val="18"/>
                          </w:rPr>
                          <w:t>Identifying doctor diagnosed COPD cases (N=158,595)</w:t>
                        </w:r>
                      </w:p>
                    </w:txbxContent>
                  </v:textbox>
                </v:shape>
                <v:shape id="Straight Arrow Connector 22" o:spid="_x0000_s1045" type="#_x0000_t32" style="position:absolute;left:6140;top:18524;width:0;height:31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" strokecolor="#0070c0" strokeweight="1.5pt">
                  <v:stroke endarrow="block" joinstyle="miter"/>
                </v:shape>
                <v:shape id="Text Box 9" o:spid="_x0000_s1046" type="#_x0000_t202" style="position:absolute;left:435;top:31765;width:11773;height:7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" fillcolor="window" strokecolor="#0070c0" strokeweight="1.5pt">
                  <v:textbox>
                    <w:txbxContent>
                      <w:p w:rsidR="000C0A41" w:rsidRDefault="000C0A41" w:rsidP="00542E13">
                        <w:pPr>
                          <w:pStyle w:val="NormalWeb"/>
                          <w:spacing w:before="0" w:beforeAutospacing="0" w:after="160" w:afterAutospacing="0" w:line="252" w:lineRule="auto"/>
                          <w:jc w:val="center"/>
                        </w:pPr>
                        <w:r>
                          <w:rPr>
                            <w:rFonts w:eastAsia="SimSun"/>
                            <w:sz w:val="18"/>
                            <w:szCs w:val="18"/>
                          </w:rPr>
                          <w:t>Excluding COPD cases who have a CPRD COPD diagnosis (N=54,384)</w:t>
                        </w:r>
                      </w:p>
                    </w:txbxContent>
                  </v:textbox>
                </v:shape>
                <v:shape id="Straight Arrow Connector 24" o:spid="_x0000_s1047" type="#_x0000_t32" style="position:absolute;left:6213;top:27908;width:0;height:37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" strokecolor="#0070c0" strokeweight="1.5pt">
                  <v:stroke endarrow="block" joinstyle="miter"/>
                </v:shape>
                <v:shape id="Straight Arrow Connector 25" o:spid="_x0000_s1048" type="#_x0000_t32" style="position:absolute;left:6448;top:39738;width:0;height:35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" strokecolor="#0070c0" strokeweight="1.5pt">
                  <v:stroke endarrow="block" joinstyle="miter"/>
                </v:shape>
                <v:shape id="Text Box 9" o:spid="_x0000_s1049" type="#_x0000_t202" style="position:absolute;left:230;top:43411;width:12052;height:6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" fillcolor="window" strokecolor="#0070c0" strokeweight="1.5pt">
                  <v:textbox>
                    <w:txbxContent>
                      <w:p w:rsidR="000C0A41" w:rsidRDefault="000C0A41" w:rsidP="00542E13">
                        <w:pPr>
                          <w:pStyle w:val="NormalWeb"/>
                          <w:spacing w:before="0" w:beforeAutospacing="0" w:after="160" w:afterAutospacing="0" w:line="252" w:lineRule="auto"/>
                          <w:jc w:val="center"/>
                        </w:pPr>
                        <w:r>
                          <w:rPr>
                            <w:rFonts w:eastAsia="SimSun"/>
                            <w:sz w:val="18"/>
                            <w:szCs w:val="18"/>
                          </w:rPr>
                          <w:t>Additional HES diagnosed COPD cases (N=104,211)</w:t>
                        </w:r>
                      </w:p>
                    </w:txbxContent>
                  </v:textbox>
                </v:shape>
                <v:shape id="_x0000_s1050" type="#_x0000_t202" style="position:absolute;left:40684;top:52863;width:15227;height:4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" fillcolor="window" strokecolor="#4472c4" strokeweight="1.5pt">
                  <v:textbox>
                    <w:txbxContent>
                      <w:p w:rsidR="000C0A41" w:rsidRDefault="000C0A41" w:rsidP="00542E13">
                        <w:pPr>
                          <w:pStyle w:val="NormalWeb"/>
                          <w:spacing w:before="0" w:beforeAutospacing="0" w:after="160" w:afterAutospacing="0" w:line="252" w:lineRule="auto"/>
                          <w:jc w:val="center"/>
                        </w:pPr>
                        <w:r>
                          <w:rPr>
                            <w:rFonts w:eastAsia="SimSun"/>
                            <w:sz w:val="18"/>
                            <w:szCs w:val="18"/>
                          </w:rPr>
                          <w:t>Algorthm-positive possible COPD cases (N=507,792)</w:t>
                        </w:r>
                      </w:p>
                    </w:txbxContent>
                  </v:textbox>
                </v:shape>
                <v:shape id="Straight Arrow Connector 28" o:spid="_x0000_s1051" type="#_x0000_t32" style="position:absolute;left:6448;top:49812;width:0;height:4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" strokecolor="#0070c0" strokeweight="1.5pt">
                  <v:stroke endarrow="block" joinstyle="miter"/>
                </v:shape>
                <v:shape id="Straight Arrow Connector 29" o:spid="_x0000_s1052" type="#_x0000_t32" style="position:absolute;left:20183;top:49813;width:0;height:4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" strokecolor="#0070c0" strokeweight="1.5pt">
                  <v:stroke endarrow="block" joinstyle="miter"/>
                </v:shape>
                <v:shape id="_x0000_s1053" type="#_x0000_t202" style="position:absolute;left:230;top:54320;width:24862;height:3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" fillcolor="window" strokecolor="#4472c4" strokeweight="1.5pt">
                  <v:textbox>
                    <w:txbxContent>
                      <w:p w:rsidR="000C0A41" w:rsidRDefault="000C0A41" w:rsidP="00542E13">
                        <w:pPr>
                          <w:pStyle w:val="NormalWeb"/>
                          <w:spacing w:before="0" w:beforeAutospacing="0" w:after="160" w:afterAutospacing="0" w:line="252" w:lineRule="auto"/>
                          <w:jc w:val="center"/>
                          <w:rPr>
                            <w:sz w:val="24"/>
                          </w:rPr>
                        </w:pPr>
                        <w:r>
                          <w:rPr>
                            <w:rFonts w:eastAsia="SimSun"/>
                            <w:sz w:val="18"/>
                            <w:szCs w:val="18"/>
                          </w:rPr>
                          <w:t>Doctor diagnosed COPD cases (N=274,111)</w:t>
                        </w:r>
                      </w:p>
                    </w:txbxContent>
                  </v:textbox>
                </v:shape>
                <v:shape id="Straight Arrow Connector 31" o:spid="_x0000_s1054" type="#_x0000_t32" style="position:absolute;left:47798;top:40795;width:303;height:120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" strokecolor="#5b9bd5 [3204]" strokeweight="1.5pt">
                  <v:stroke endarrow="block" joinstyle="miter"/>
                </v:shape>
                <w10:anchorlock/>
              </v:group>
            </w:pict>
          </mc:Fallback>
        </mc:AlternateContent>
      </w:r>
    </w:p>
    <w:p w:rsidR="000C0A41" w:rsidRPr="00BA7C78" w:rsidRDefault="000C0A41" w:rsidP="00BA7C78">
      <w:pPr>
        <w:pStyle w:val="Heading3"/>
      </w:pPr>
      <w:bookmarkStart w:id="73" w:name="_Toc458185278"/>
      <w:r>
        <w:t>CPRD p</w:t>
      </w:r>
      <w:r w:rsidRPr="00BA7C78">
        <w:t xml:space="preserve">revalence and </w:t>
      </w:r>
      <w:r>
        <w:t>i</w:t>
      </w:r>
      <w:r w:rsidRPr="00BA7C78">
        <w:t>ncidence</w:t>
      </w:r>
      <w:bookmarkEnd w:id="73"/>
    </w:p>
    <w:p w:rsidR="000C0A41" w:rsidRDefault="000C0A41" w:rsidP="00477F41">
      <w:pPr>
        <w:rPr>
          <w:rFonts w:cstheme="minorHAnsi"/>
        </w:rPr>
      </w:pPr>
      <w:r w:rsidRPr="00D3705A">
        <w:rPr>
          <w:rFonts w:cstheme="minorHAnsi"/>
        </w:rPr>
        <w:t xml:space="preserve">Prevalence of </w:t>
      </w:r>
      <w:r>
        <w:rPr>
          <w:rFonts w:cstheme="minorHAnsi"/>
        </w:rPr>
        <w:t xml:space="preserve">COPD </w:t>
      </w:r>
      <w:r w:rsidRPr="00D3705A">
        <w:rPr>
          <w:rFonts w:cstheme="minorHAnsi"/>
        </w:rPr>
        <w:t xml:space="preserve">in the CPRD data </w:t>
      </w:r>
      <w:r>
        <w:rPr>
          <w:rFonts w:cstheme="minorHAnsi"/>
        </w:rPr>
        <w:t>was</w:t>
      </w:r>
      <w:r w:rsidRPr="00D3705A">
        <w:rPr>
          <w:rFonts w:cstheme="minorHAnsi"/>
        </w:rPr>
        <w:t xml:space="preserve"> calculated for </w:t>
      </w:r>
      <w:r>
        <w:rPr>
          <w:rFonts w:cstheme="minorHAnsi"/>
        </w:rPr>
        <w:t xml:space="preserve">CPRD and HES </w:t>
      </w:r>
      <w:r w:rsidRPr="00D3705A">
        <w:rPr>
          <w:rFonts w:cstheme="minorHAnsi"/>
        </w:rPr>
        <w:t>doctor</w:t>
      </w:r>
      <w:r>
        <w:rPr>
          <w:rFonts w:cstheme="minorHAnsi"/>
        </w:rPr>
        <w:t>-</w:t>
      </w:r>
      <w:r w:rsidRPr="00D3705A">
        <w:rPr>
          <w:rFonts w:cstheme="minorHAnsi"/>
        </w:rPr>
        <w:t xml:space="preserve">diagnosed </w:t>
      </w:r>
      <w:r>
        <w:rPr>
          <w:rFonts w:cstheme="minorHAnsi"/>
        </w:rPr>
        <w:t xml:space="preserve">COPD with and without </w:t>
      </w:r>
      <w:r w:rsidRPr="00D3705A">
        <w:rPr>
          <w:rFonts w:cstheme="minorHAnsi"/>
        </w:rPr>
        <w:t>algorithm</w:t>
      </w:r>
      <w:r>
        <w:rPr>
          <w:rFonts w:cstheme="minorHAnsi"/>
        </w:rPr>
        <w:t>-</w:t>
      </w:r>
      <w:r w:rsidRPr="00D3705A">
        <w:rPr>
          <w:rFonts w:cstheme="minorHAnsi"/>
        </w:rPr>
        <w:t xml:space="preserve">diagnosed </w:t>
      </w:r>
      <w:r>
        <w:rPr>
          <w:rFonts w:cstheme="minorHAnsi"/>
        </w:rPr>
        <w:t xml:space="preserve">COPD </w:t>
      </w:r>
      <w:r w:rsidRPr="00D3705A">
        <w:rPr>
          <w:rFonts w:cstheme="minorHAnsi"/>
        </w:rPr>
        <w:t xml:space="preserve">(or “high risk of </w:t>
      </w:r>
      <w:r>
        <w:rPr>
          <w:rFonts w:cstheme="minorHAnsi"/>
        </w:rPr>
        <w:t>COPD”) using algorithm B from Quint et al.</w:t>
      </w:r>
      <w:r>
        <w:rPr>
          <w:rFonts w:cstheme="minorHAnsi"/>
          <w:noProof/>
        </w:rPr>
        <w:t>[46]</w:t>
      </w:r>
      <w:r>
        <w:rPr>
          <w:rFonts w:cstheme="minorHAnsi"/>
        </w:rPr>
        <w:t xml:space="preserve"> </w:t>
      </w:r>
      <w:r w:rsidRPr="00B01C9E">
        <w:rPr>
          <w:rFonts w:cstheme="minorHAnsi"/>
        </w:rPr>
        <w:t xml:space="preserve">The prevalence of </w:t>
      </w:r>
      <w:r>
        <w:rPr>
          <w:rFonts w:cstheme="minorHAnsi"/>
        </w:rPr>
        <w:t xml:space="preserve">COPD </w:t>
      </w:r>
      <w:r w:rsidRPr="00B01C9E">
        <w:rPr>
          <w:rFonts w:cstheme="minorHAnsi"/>
        </w:rPr>
        <w:t xml:space="preserve">for the years </w:t>
      </w:r>
      <w:r>
        <w:rPr>
          <w:rFonts w:cstheme="minorHAnsi"/>
        </w:rPr>
        <w:t>2004-2015</w:t>
      </w:r>
      <w:r w:rsidRPr="00B01C9E">
        <w:rPr>
          <w:rFonts w:cstheme="minorHAnsi"/>
        </w:rPr>
        <w:t xml:space="preserve"> is shown in </w:t>
      </w:r>
      <w:r>
        <w:rPr>
          <w:rFonts w:cstheme="minorHAnsi"/>
        </w:rPr>
        <w:fldChar w:fldCharType="begin"/>
      </w:r>
      <w:r>
        <w:rPr>
          <w:rFonts w:cstheme="minorHAnsi"/>
        </w:rPr>
        <w:instrText xml:space="preserve"> REF _Ref444490779 \h </w:instrText>
      </w:r>
      <w:r>
        <w:rPr>
          <w:rFonts w:cstheme="minorHAnsi"/>
        </w:rPr>
      </w:r>
      <w:r>
        <w:rPr>
          <w:rFonts w:cstheme="minorHAnsi"/>
        </w:rPr>
        <w:fldChar w:fldCharType="separate"/>
      </w:r>
      <w:r w:rsidRPr="00F73936">
        <w:t xml:space="preserve">Table </w:t>
      </w:r>
      <w:r>
        <w:rPr>
          <w:noProof/>
        </w:rPr>
        <w:t>11</w:t>
      </w:r>
      <w:r>
        <w:rPr>
          <w:rFonts w:cstheme="minorHAnsi"/>
        </w:rPr>
        <w:fldChar w:fldCharType="end"/>
      </w:r>
      <w:r>
        <w:rPr>
          <w:rFonts w:cstheme="minorHAnsi"/>
        </w:rPr>
        <w:t xml:space="preserve"> for males and </w:t>
      </w:r>
      <w:r>
        <w:rPr>
          <w:rFonts w:cstheme="minorHAnsi"/>
        </w:rPr>
        <w:fldChar w:fldCharType="begin"/>
      </w:r>
      <w:r>
        <w:rPr>
          <w:rFonts w:cstheme="minorHAnsi"/>
        </w:rPr>
        <w:instrText xml:space="preserve"> REF _Ref457481347 \h </w:instrText>
      </w:r>
      <w:r>
        <w:rPr>
          <w:rFonts w:cstheme="minorHAnsi"/>
        </w:rPr>
      </w:r>
      <w:r>
        <w:rPr>
          <w:rFonts w:cstheme="minorHAnsi"/>
        </w:rPr>
        <w:fldChar w:fldCharType="separate"/>
      </w:r>
      <w:r w:rsidRPr="00F73936">
        <w:t xml:space="preserve">Table </w:t>
      </w:r>
      <w:r>
        <w:rPr>
          <w:noProof/>
        </w:rPr>
        <w:t>12</w:t>
      </w:r>
      <w:r>
        <w:rPr>
          <w:rFonts w:cstheme="minorHAnsi"/>
        </w:rPr>
        <w:fldChar w:fldCharType="end"/>
      </w:r>
      <w:r>
        <w:rPr>
          <w:rFonts w:cstheme="minorHAnsi"/>
        </w:rPr>
        <w:t xml:space="preserve"> for females, and in </w:t>
      </w:r>
      <w:r>
        <w:rPr>
          <w:rFonts w:cstheme="minorHAnsi"/>
        </w:rPr>
        <w:fldChar w:fldCharType="begin"/>
      </w:r>
      <w:r>
        <w:rPr>
          <w:rFonts w:cstheme="minorHAnsi"/>
        </w:rPr>
        <w:instrText xml:space="preserve"> REF _Ref457806898 \h </w:instrText>
      </w:r>
      <w:r>
        <w:rPr>
          <w:rFonts w:cstheme="minorHAnsi"/>
        </w:rPr>
      </w:r>
      <w:r>
        <w:rPr>
          <w:rFonts w:cstheme="minorHAnsi"/>
        </w:rPr>
        <w:fldChar w:fldCharType="separate"/>
      </w:r>
      <w:r>
        <w:t xml:space="preserve">Figure </w:t>
      </w:r>
      <w:r>
        <w:rPr>
          <w:noProof/>
        </w:rPr>
        <w:t>4</w:t>
      </w:r>
      <w:r>
        <w:rPr>
          <w:rFonts w:cstheme="minorHAnsi"/>
        </w:rPr>
        <w:fldChar w:fldCharType="end"/>
      </w:r>
      <w:r>
        <w:rPr>
          <w:rFonts w:cstheme="minorHAnsi"/>
        </w:rPr>
        <w:t xml:space="preserve">.  </w:t>
      </w:r>
      <w:r w:rsidRPr="00B01C9E">
        <w:rPr>
          <w:rFonts w:cstheme="minorHAnsi"/>
        </w:rPr>
        <w:t>As noted before, there are considerable numbers of historical diagnos</w:t>
      </w:r>
      <w:r>
        <w:rPr>
          <w:rFonts w:cstheme="minorHAnsi"/>
        </w:rPr>
        <w:t>e</w:t>
      </w:r>
      <w:r w:rsidRPr="00B01C9E">
        <w:rPr>
          <w:rFonts w:cstheme="minorHAnsi"/>
        </w:rPr>
        <w:t>s for doctor</w:t>
      </w:r>
      <w:r>
        <w:rPr>
          <w:rFonts w:cstheme="minorHAnsi"/>
        </w:rPr>
        <w:t>-</w:t>
      </w:r>
      <w:r w:rsidRPr="00B01C9E">
        <w:rPr>
          <w:rFonts w:cstheme="minorHAnsi"/>
        </w:rPr>
        <w:t xml:space="preserve">diagnosed </w:t>
      </w:r>
      <w:r>
        <w:rPr>
          <w:rFonts w:cstheme="minorHAnsi"/>
        </w:rPr>
        <w:t xml:space="preserve">COPD </w:t>
      </w:r>
      <w:r w:rsidRPr="00B01C9E">
        <w:rPr>
          <w:rFonts w:cstheme="minorHAnsi"/>
        </w:rPr>
        <w:t>but</w:t>
      </w:r>
      <w:r>
        <w:rPr>
          <w:rFonts w:cstheme="minorHAnsi"/>
        </w:rPr>
        <w:t xml:space="preserve"> these were obviously not used for </w:t>
      </w:r>
      <w:r w:rsidRPr="00B01C9E">
        <w:rPr>
          <w:rFonts w:cstheme="minorHAnsi"/>
        </w:rPr>
        <w:t>algorithm</w:t>
      </w:r>
      <w:r>
        <w:rPr>
          <w:rFonts w:cstheme="minorHAnsi"/>
        </w:rPr>
        <w:t>-</w:t>
      </w:r>
      <w:r w:rsidRPr="00B01C9E">
        <w:rPr>
          <w:rFonts w:cstheme="minorHAnsi"/>
        </w:rPr>
        <w:t>diagnosed</w:t>
      </w:r>
      <w:r>
        <w:rPr>
          <w:rFonts w:cstheme="minorHAnsi"/>
        </w:rPr>
        <w:t xml:space="preserve"> COPD.</w:t>
      </w:r>
      <w:r w:rsidRPr="00B01C9E">
        <w:rPr>
          <w:rFonts w:cstheme="minorHAnsi"/>
        </w:rPr>
        <w:t xml:space="preserve"> </w:t>
      </w:r>
    </w:p>
    <w:p w:rsidR="000C0A41" w:rsidRDefault="000C0A41" w:rsidP="00477F41">
      <w:pPr>
        <w:rPr>
          <w:rFonts w:cstheme="minorHAnsi"/>
        </w:rPr>
      </w:pPr>
    </w:p>
    <w:p w:rsidR="000C0A41" w:rsidRPr="00B01C9E" w:rsidRDefault="000C0A41" w:rsidP="00D3705A">
      <w:pPr>
        <w:rPr>
          <w:rFonts w:cstheme="minorHAnsi"/>
        </w:rPr>
      </w:pPr>
      <w:r>
        <w:rPr>
          <w:rFonts w:cstheme="minorHAnsi"/>
        </w:rPr>
        <w:fldChar w:fldCharType="begin"/>
      </w:r>
      <w:r>
        <w:rPr>
          <w:rFonts w:cstheme="minorHAnsi"/>
        </w:rPr>
        <w:instrText xml:space="preserve"> REF _Ref444490779 \h </w:instrText>
      </w:r>
      <w:r>
        <w:rPr>
          <w:rFonts w:cstheme="minorHAnsi"/>
        </w:rPr>
      </w:r>
      <w:r>
        <w:rPr>
          <w:rFonts w:cstheme="minorHAnsi"/>
        </w:rPr>
        <w:fldChar w:fldCharType="separate"/>
      </w:r>
      <w:r w:rsidRPr="00F73936">
        <w:t xml:space="preserve">Table </w:t>
      </w:r>
      <w:r>
        <w:rPr>
          <w:noProof/>
        </w:rPr>
        <w:t>11</w:t>
      </w:r>
      <w:r>
        <w:rPr>
          <w:rFonts w:cstheme="minorHAnsi"/>
        </w:rPr>
        <w:fldChar w:fldCharType="end"/>
      </w:r>
      <w:r>
        <w:rPr>
          <w:rFonts w:cstheme="minorHAnsi"/>
        </w:rPr>
        <w:t xml:space="preserve"> and </w:t>
      </w:r>
      <w:r>
        <w:rPr>
          <w:rFonts w:cstheme="minorHAnsi"/>
        </w:rPr>
        <w:fldChar w:fldCharType="begin"/>
      </w:r>
      <w:r>
        <w:rPr>
          <w:rFonts w:cstheme="minorHAnsi"/>
        </w:rPr>
        <w:instrText xml:space="preserve"> REF _Ref457481347 \h </w:instrText>
      </w:r>
      <w:r>
        <w:rPr>
          <w:rFonts w:cstheme="minorHAnsi"/>
        </w:rPr>
      </w:r>
      <w:r>
        <w:rPr>
          <w:rFonts w:cstheme="minorHAnsi"/>
        </w:rPr>
        <w:fldChar w:fldCharType="separate"/>
      </w:r>
      <w:r w:rsidRPr="00F73936">
        <w:t xml:space="preserve">Table </w:t>
      </w:r>
      <w:r>
        <w:rPr>
          <w:noProof/>
        </w:rPr>
        <w:t>12</w:t>
      </w:r>
      <w:r>
        <w:rPr>
          <w:rFonts w:cstheme="minorHAnsi"/>
        </w:rPr>
        <w:fldChar w:fldCharType="end"/>
      </w:r>
      <w:r>
        <w:rPr>
          <w:rFonts w:cstheme="minorHAnsi"/>
        </w:rPr>
        <w:t xml:space="preserve"> </w:t>
      </w:r>
      <w:r w:rsidRPr="00B01C9E">
        <w:rPr>
          <w:rFonts w:cstheme="minorHAnsi"/>
        </w:rPr>
        <w:t xml:space="preserve">show the prevalence and incidence of doctor diagnosed and algorithm diagnosed </w:t>
      </w:r>
      <w:r>
        <w:rPr>
          <w:rFonts w:cstheme="minorHAnsi"/>
        </w:rPr>
        <w:t xml:space="preserve">COPD </w:t>
      </w:r>
      <w:r w:rsidRPr="00B01C9E">
        <w:rPr>
          <w:rFonts w:cstheme="minorHAnsi"/>
        </w:rPr>
        <w:t xml:space="preserve">in the years </w:t>
      </w:r>
      <w:r>
        <w:rPr>
          <w:rFonts w:cstheme="minorHAnsi"/>
        </w:rPr>
        <w:t>2004-2015</w:t>
      </w:r>
      <w:r w:rsidRPr="00B01C9E">
        <w:rPr>
          <w:rFonts w:cstheme="minorHAnsi"/>
        </w:rPr>
        <w:t>, broken down by age group and sex.</w:t>
      </w:r>
    </w:p>
    <w:p w:rsidR="000C0A41" w:rsidRPr="00F73936" w:rsidRDefault="000C0A41" w:rsidP="00D31955">
      <w:pPr>
        <w:pStyle w:val="Caption"/>
      </w:pPr>
      <w:bookmarkStart w:id="74" w:name="_Ref444490779"/>
      <w:r w:rsidRPr="00F73936">
        <w:t xml:space="preserve">Table </w:t>
      </w:r>
      <w:fldSimple w:instr=" SEQ Table \* ARABIC ">
        <w:r>
          <w:rPr>
            <w:noProof/>
          </w:rPr>
          <w:t>11</w:t>
        </w:r>
      </w:fldSimple>
      <w:bookmarkEnd w:id="74"/>
      <w:r w:rsidRPr="00F73936">
        <w:t>: Prevalence of doctor</w:t>
      </w:r>
      <w:r>
        <w:t>-</w:t>
      </w:r>
      <w:r w:rsidRPr="00F73936">
        <w:t xml:space="preserve">diagnosed </w:t>
      </w:r>
      <w:r>
        <w:t xml:space="preserve">COPD per 100,000 patients </w:t>
      </w:r>
      <w:r w:rsidRPr="00F73936">
        <w:t>in CPRD data</w:t>
      </w:r>
      <w:r>
        <w:t xml:space="preserve">  </w:t>
      </w:r>
      <w:r w:rsidRPr="00F73936">
        <w:t>2000-2014</w:t>
      </w:r>
      <w:r>
        <w:t>: males only, by age group</w:t>
      </w:r>
    </w:p>
    <w:tbl>
      <w:tblPr>
        <w:tblStyle w:val="GridTable4-Accent1"/>
        <w:tblW w:w="9103" w:type="dxa"/>
        <w:tblLook w:val="04A0" w:firstRow="1" w:lastRow="0" w:firstColumn="1" w:lastColumn="0" w:noHBand="0" w:noVBand="1"/>
      </w:tblPr>
      <w:tblGrid>
        <w:gridCol w:w="1349"/>
        <w:gridCol w:w="1140"/>
        <w:gridCol w:w="1141"/>
        <w:gridCol w:w="1141"/>
        <w:gridCol w:w="1175"/>
        <w:gridCol w:w="1588"/>
        <w:gridCol w:w="1569"/>
      </w:tblGrid>
      <w:tr w:rsidR="000C0A41" w:rsidRPr="00E146AC" w:rsidTr="00E146A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hideMark/>
          </w:tcPr>
          <w:p w:rsidR="000C0A41" w:rsidRPr="00E146AC" w:rsidRDefault="000C0A41" w:rsidP="00B61052">
            <w:r w:rsidRPr="00E146AC">
              <w:t>Year</w:t>
            </w:r>
          </w:p>
        </w:tc>
        <w:tc>
          <w:tcPr>
            <w:tcW w:w="1140" w:type="dxa"/>
            <w:hideMark/>
          </w:tcPr>
          <w:p w:rsidR="000C0A41" w:rsidRPr="00E146AC" w:rsidRDefault="000C0A41" w:rsidP="00CE36B0">
            <w:pPr>
              <w:jc w:val="center"/>
              <w:cnfStyle w:val="100000000000" w:firstRow="1" w:lastRow="0" w:firstColumn="0" w:lastColumn="0" w:oddVBand="0" w:evenVBand="0" w:oddHBand="0" w:evenHBand="0" w:firstRowFirstColumn="0" w:firstRowLastColumn="0" w:lastRowFirstColumn="0" w:lastRowLastColumn="0"/>
            </w:pPr>
            <w:r w:rsidRPr="00E146AC">
              <w:t>35-40</w:t>
            </w:r>
          </w:p>
        </w:tc>
        <w:tc>
          <w:tcPr>
            <w:tcW w:w="1141" w:type="dxa"/>
            <w:hideMark/>
          </w:tcPr>
          <w:p w:rsidR="000C0A41" w:rsidRPr="00E146AC" w:rsidRDefault="000C0A41" w:rsidP="00CE36B0">
            <w:pPr>
              <w:jc w:val="center"/>
              <w:cnfStyle w:val="100000000000" w:firstRow="1" w:lastRow="0" w:firstColumn="0" w:lastColumn="0" w:oddVBand="0" w:evenVBand="0" w:oddHBand="0" w:evenHBand="0" w:firstRowFirstColumn="0" w:firstRowLastColumn="0" w:lastRowFirstColumn="0" w:lastRowLastColumn="0"/>
            </w:pPr>
            <w:r w:rsidRPr="00E146AC">
              <w:t>41-50</w:t>
            </w:r>
          </w:p>
        </w:tc>
        <w:tc>
          <w:tcPr>
            <w:tcW w:w="1141" w:type="dxa"/>
            <w:hideMark/>
          </w:tcPr>
          <w:p w:rsidR="000C0A41" w:rsidRPr="00E146AC" w:rsidRDefault="000C0A41" w:rsidP="00CE36B0">
            <w:pPr>
              <w:jc w:val="center"/>
              <w:cnfStyle w:val="100000000000" w:firstRow="1" w:lastRow="0" w:firstColumn="0" w:lastColumn="0" w:oddVBand="0" w:evenVBand="0" w:oddHBand="0" w:evenHBand="0" w:firstRowFirstColumn="0" w:firstRowLastColumn="0" w:lastRowFirstColumn="0" w:lastRowLastColumn="0"/>
            </w:pPr>
            <w:r w:rsidRPr="00E146AC">
              <w:t>51-60</w:t>
            </w:r>
          </w:p>
        </w:tc>
        <w:tc>
          <w:tcPr>
            <w:tcW w:w="1175" w:type="dxa"/>
            <w:hideMark/>
          </w:tcPr>
          <w:p w:rsidR="000C0A41" w:rsidRPr="00E146AC" w:rsidRDefault="000C0A41" w:rsidP="00CE36B0">
            <w:pPr>
              <w:jc w:val="center"/>
              <w:cnfStyle w:val="100000000000" w:firstRow="1" w:lastRow="0" w:firstColumn="0" w:lastColumn="0" w:oddVBand="0" w:evenVBand="0" w:oddHBand="0" w:evenHBand="0" w:firstRowFirstColumn="0" w:firstRowLastColumn="0" w:lastRowFirstColumn="0" w:lastRowLastColumn="0"/>
            </w:pPr>
            <w:r w:rsidRPr="00E146AC">
              <w:t>61-70</w:t>
            </w:r>
          </w:p>
        </w:tc>
        <w:tc>
          <w:tcPr>
            <w:tcW w:w="1588" w:type="dxa"/>
          </w:tcPr>
          <w:p w:rsidR="000C0A41" w:rsidRPr="00E146AC" w:rsidRDefault="000C0A41" w:rsidP="00CE36B0">
            <w:pPr>
              <w:jc w:val="center"/>
              <w:cnfStyle w:val="100000000000" w:firstRow="1" w:lastRow="0" w:firstColumn="0" w:lastColumn="0" w:oddVBand="0" w:evenVBand="0" w:oddHBand="0" w:evenHBand="0" w:firstRowFirstColumn="0" w:firstRowLastColumn="0" w:lastRowFirstColumn="0" w:lastRowLastColumn="0"/>
            </w:pPr>
            <w:r w:rsidRPr="00E146AC">
              <w:t>71-80</w:t>
            </w:r>
          </w:p>
        </w:tc>
        <w:tc>
          <w:tcPr>
            <w:tcW w:w="1569" w:type="dxa"/>
          </w:tcPr>
          <w:p w:rsidR="000C0A41" w:rsidRPr="00E146AC" w:rsidRDefault="000C0A41" w:rsidP="00CE36B0">
            <w:pPr>
              <w:jc w:val="center"/>
              <w:cnfStyle w:val="100000000000" w:firstRow="1" w:lastRow="0" w:firstColumn="0" w:lastColumn="0" w:oddVBand="0" w:evenVBand="0" w:oddHBand="0" w:evenHBand="0" w:firstRowFirstColumn="0" w:firstRowLastColumn="0" w:lastRowFirstColumn="0" w:lastRowLastColumn="0"/>
            </w:pPr>
            <w:r w:rsidRPr="00E146AC">
              <w:t>81+</w:t>
            </w:r>
          </w:p>
        </w:tc>
      </w:tr>
      <w:tr w:rsidR="000C0A41" w:rsidRPr="00F73936" w:rsidTr="00CE3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hideMark/>
          </w:tcPr>
          <w:p w:rsidR="000C0A41" w:rsidRPr="00F73936" w:rsidRDefault="000C0A41" w:rsidP="000501DA">
            <w:r w:rsidRPr="00F73936">
              <w:t>2004</w:t>
            </w:r>
          </w:p>
        </w:tc>
        <w:tc>
          <w:tcPr>
            <w:tcW w:w="1140" w:type="dxa"/>
          </w:tcPr>
          <w:p w:rsidR="000C0A41" w:rsidRPr="00F73936" w:rsidRDefault="000C0A41" w:rsidP="00CE36B0">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17.3</w:t>
            </w:r>
          </w:p>
        </w:tc>
        <w:tc>
          <w:tcPr>
            <w:tcW w:w="1141" w:type="dxa"/>
          </w:tcPr>
          <w:p w:rsidR="000C0A41" w:rsidRPr="00F73936" w:rsidRDefault="000C0A41" w:rsidP="00CE36B0">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134.5</w:t>
            </w:r>
          </w:p>
        </w:tc>
        <w:tc>
          <w:tcPr>
            <w:tcW w:w="1141" w:type="dxa"/>
          </w:tcPr>
          <w:p w:rsidR="000C0A41" w:rsidRPr="00F73936" w:rsidRDefault="000C0A41" w:rsidP="00CE36B0">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864.2</w:t>
            </w:r>
          </w:p>
        </w:tc>
        <w:tc>
          <w:tcPr>
            <w:tcW w:w="1175" w:type="dxa"/>
          </w:tcPr>
          <w:p w:rsidR="000C0A41" w:rsidRPr="00F73936" w:rsidRDefault="000C0A41" w:rsidP="00CE36B0">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3061.2</w:t>
            </w:r>
          </w:p>
        </w:tc>
        <w:tc>
          <w:tcPr>
            <w:tcW w:w="1588" w:type="dxa"/>
          </w:tcPr>
          <w:p w:rsidR="000C0A41" w:rsidRPr="00F73936" w:rsidRDefault="000C0A41" w:rsidP="00CE36B0">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5732.5</w:t>
            </w:r>
          </w:p>
        </w:tc>
        <w:tc>
          <w:tcPr>
            <w:tcW w:w="1569" w:type="dxa"/>
          </w:tcPr>
          <w:p w:rsidR="000C0A41" w:rsidRPr="00F73936" w:rsidRDefault="000C0A41" w:rsidP="00CE36B0">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6550.7</w:t>
            </w:r>
          </w:p>
        </w:tc>
      </w:tr>
      <w:tr w:rsidR="000C0A41" w:rsidRPr="00F73936" w:rsidTr="00CE36B0">
        <w:tc>
          <w:tcPr>
            <w:cnfStyle w:val="001000000000" w:firstRow="0" w:lastRow="0" w:firstColumn="1" w:lastColumn="0" w:oddVBand="0" w:evenVBand="0" w:oddHBand="0" w:evenHBand="0" w:firstRowFirstColumn="0" w:firstRowLastColumn="0" w:lastRowFirstColumn="0" w:lastRowLastColumn="0"/>
            <w:tcW w:w="1349" w:type="dxa"/>
            <w:hideMark/>
          </w:tcPr>
          <w:p w:rsidR="000C0A41" w:rsidRPr="00F73936" w:rsidRDefault="000C0A41" w:rsidP="000501DA">
            <w:r w:rsidRPr="00F73936">
              <w:t>2005</w:t>
            </w:r>
          </w:p>
        </w:tc>
        <w:tc>
          <w:tcPr>
            <w:tcW w:w="1140" w:type="dxa"/>
          </w:tcPr>
          <w:p w:rsidR="000C0A41" w:rsidRPr="00F73936" w:rsidRDefault="000C0A41" w:rsidP="00CE36B0">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20.9</w:t>
            </w:r>
          </w:p>
        </w:tc>
        <w:tc>
          <w:tcPr>
            <w:tcW w:w="1141" w:type="dxa"/>
          </w:tcPr>
          <w:p w:rsidR="000C0A41" w:rsidRPr="00F73936" w:rsidRDefault="000C0A41" w:rsidP="00CE36B0">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177.5</w:t>
            </w:r>
          </w:p>
        </w:tc>
        <w:tc>
          <w:tcPr>
            <w:tcW w:w="1141" w:type="dxa"/>
          </w:tcPr>
          <w:p w:rsidR="000C0A41" w:rsidRPr="00F73936" w:rsidRDefault="000C0A41" w:rsidP="00CE36B0">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998.6</w:t>
            </w:r>
          </w:p>
        </w:tc>
        <w:tc>
          <w:tcPr>
            <w:tcW w:w="1175" w:type="dxa"/>
          </w:tcPr>
          <w:p w:rsidR="000C0A41" w:rsidRPr="00F73936" w:rsidRDefault="000C0A41" w:rsidP="00CE36B0">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3376.1</w:t>
            </w:r>
          </w:p>
        </w:tc>
        <w:tc>
          <w:tcPr>
            <w:tcW w:w="1588" w:type="dxa"/>
          </w:tcPr>
          <w:p w:rsidR="000C0A41" w:rsidRPr="00F73936" w:rsidRDefault="000C0A41" w:rsidP="00CE36B0">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6324.7</w:t>
            </w:r>
          </w:p>
        </w:tc>
        <w:tc>
          <w:tcPr>
            <w:tcW w:w="1569" w:type="dxa"/>
          </w:tcPr>
          <w:p w:rsidR="000C0A41" w:rsidRPr="00F73936" w:rsidRDefault="000C0A41" w:rsidP="00CE36B0">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7418.0</w:t>
            </w:r>
          </w:p>
        </w:tc>
      </w:tr>
      <w:tr w:rsidR="000C0A41" w:rsidRPr="00F73936" w:rsidTr="00CE3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hideMark/>
          </w:tcPr>
          <w:p w:rsidR="000C0A41" w:rsidRPr="00F73936" w:rsidRDefault="000C0A41" w:rsidP="000501DA">
            <w:r w:rsidRPr="00F73936">
              <w:lastRenderedPageBreak/>
              <w:t>2006</w:t>
            </w:r>
          </w:p>
        </w:tc>
        <w:tc>
          <w:tcPr>
            <w:tcW w:w="1140" w:type="dxa"/>
          </w:tcPr>
          <w:p w:rsidR="000C0A41" w:rsidRPr="00F73936" w:rsidRDefault="000C0A41" w:rsidP="00CE36B0">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28.7</w:t>
            </w:r>
          </w:p>
        </w:tc>
        <w:tc>
          <w:tcPr>
            <w:tcW w:w="1141" w:type="dxa"/>
          </w:tcPr>
          <w:p w:rsidR="000C0A41" w:rsidRPr="00F73936" w:rsidRDefault="000C0A41" w:rsidP="00CE36B0">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200.1</w:t>
            </w:r>
          </w:p>
        </w:tc>
        <w:tc>
          <w:tcPr>
            <w:tcW w:w="1141" w:type="dxa"/>
          </w:tcPr>
          <w:p w:rsidR="000C0A41" w:rsidRPr="00F73936" w:rsidRDefault="000C0A41" w:rsidP="00CE36B0">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1106.1</w:t>
            </w:r>
          </w:p>
        </w:tc>
        <w:tc>
          <w:tcPr>
            <w:tcW w:w="1175" w:type="dxa"/>
          </w:tcPr>
          <w:p w:rsidR="000C0A41" w:rsidRPr="00F73936" w:rsidRDefault="000C0A41" w:rsidP="00CE36B0">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3593.3</w:t>
            </w:r>
          </w:p>
        </w:tc>
        <w:tc>
          <w:tcPr>
            <w:tcW w:w="1588" w:type="dxa"/>
          </w:tcPr>
          <w:p w:rsidR="000C0A41" w:rsidRPr="00F73936" w:rsidRDefault="000C0A41" w:rsidP="00CE36B0">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6703.7</w:t>
            </w:r>
          </w:p>
        </w:tc>
        <w:tc>
          <w:tcPr>
            <w:tcW w:w="1569" w:type="dxa"/>
          </w:tcPr>
          <w:p w:rsidR="000C0A41" w:rsidRPr="00F73936" w:rsidRDefault="000C0A41" w:rsidP="00CE36B0">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8312.3</w:t>
            </w:r>
          </w:p>
        </w:tc>
      </w:tr>
      <w:tr w:rsidR="000C0A41" w:rsidRPr="00F73936" w:rsidTr="00CE36B0">
        <w:tc>
          <w:tcPr>
            <w:cnfStyle w:val="001000000000" w:firstRow="0" w:lastRow="0" w:firstColumn="1" w:lastColumn="0" w:oddVBand="0" w:evenVBand="0" w:oddHBand="0" w:evenHBand="0" w:firstRowFirstColumn="0" w:firstRowLastColumn="0" w:lastRowFirstColumn="0" w:lastRowLastColumn="0"/>
            <w:tcW w:w="1349" w:type="dxa"/>
            <w:hideMark/>
          </w:tcPr>
          <w:p w:rsidR="000C0A41" w:rsidRPr="00F73936" w:rsidRDefault="000C0A41" w:rsidP="000501DA">
            <w:r w:rsidRPr="00F73936">
              <w:t>2007</w:t>
            </w:r>
          </w:p>
        </w:tc>
        <w:tc>
          <w:tcPr>
            <w:tcW w:w="1140" w:type="dxa"/>
          </w:tcPr>
          <w:p w:rsidR="000C0A41" w:rsidRPr="00F73936" w:rsidRDefault="000C0A41" w:rsidP="00CE36B0">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32.8</w:t>
            </w:r>
          </w:p>
        </w:tc>
        <w:tc>
          <w:tcPr>
            <w:tcW w:w="1141" w:type="dxa"/>
          </w:tcPr>
          <w:p w:rsidR="000C0A41" w:rsidRPr="00F73936" w:rsidRDefault="000C0A41" w:rsidP="00CE36B0">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231.1</w:t>
            </w:r>
          </w:p>
        </w:tc>
        <w:tc>
          <w:tcPr>
            <w:tcW w:w="1141" w:type="dxa"/>
          </w:tcPr>
          <w:p w:rsidR="000C0A41" w:rsidRPr="00F73936" w:rsidRDefault="000C0A41" w:rsidP="00CE36B0">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1167.5</w:t>
            </w:r>
          </w:p>
        </w:tc>
        <w:tc>
          <w:tcPr>
            <w:tcW w:w="1175" w:type="dxa"/>
          </w:tcPr>
          <w:p w:rsidR="000C0A41" w:rsidRPr="00F73936" w:rsidRDefault="000C0A41" w:rsidP="00CE36B0">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3714.0</w:t>
            </w:r>
          </w:p>
        </w:tc>
        <w:tc>
          <w:tcPr>
            <w:tcW w:w="1588" w:type="dxa"/>
          </w:tcPr>
          <w:p w:rsidR="000C0A41" w:rsidRPr="00F73936" w:rsidRDefault="000C0A41" w:rsidP="00CE36B0">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7023.8</w:t>
            </w:r>
          </w:p>
        </w:tc>
        <w:tc>
          <w:tcPr>
            <w:tcW w:w="1569" w:type="dxa"/>
          </w:tcPr>
          <w:p w:rsidR="000C0A41" w:rsidRPr="00F73936" w:rsidRDefault="000C0A41" w:rsidP="00CE36B0">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8772.6</w:t>
            </w:r>
          </w:p>
        </w:tc>
      </w:tr>
      <w:tr w:rsidR="000C0A41" w:rsidRPr="00F73936" w:rsidTr="00CE3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hideMark/>
          </w:tcPr>
          <w:p w:rsidR="000C0A41" w:rsidRPr="00F73936" w:rsidRDefault="000C0A41" w:rsidP="000501DA">
            <w:r w:rsidRPr="00F73936">
              <w:t>2008</w:t>
            </w:r>
          </w:p>
        </w:tc>
        <w:tc>
          <w:tcPr>
            <w:tcW w:w="1140" w:type="dxa"/>
          </w:tcPr>
          <w:p w:rsidR="000C0A41" w:rsidRPr="00F73936" w:rsidRDefault="000C0A41" w:rsidP="00CE36B0">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32.1</w:t>
            </w:r>
          </w:p>
        </w:tc>
        <w:tc>
          <w:tcPr>
            <w:tcW w:w="1141" w:type="dxa"/>
          </w:tcPr>
          <w:p w:rsidR="000C0A41" w:rsidRPr="00F73936" w:rsidRDefault="000C0A41" w:rsidP="00CE36B0">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256.2</w:t>
            </w:r>
          </w:p>
        </w:tc>
        <w:tc>
          <w:tcPr>
            <w:tcW w:w="1141" w:type="dxa"/>
          </w:tcPr>
          <w:p w:rsidR="000C0A41" w:rsidRPr="00F73936" w:rsidRDefault="000C0A41" w:rsidP="00CE36B0">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1206.6</w:t>
            </w:r>
          </w:p>
        </w:tc>
        <w:tc>
          <w:tcPr>
            <w:tcW w:w="1175" w:type="dxa"/>
          </w:tcPr>
          <w:p w:rsidR="000C0A41" w:rsidRPr="00F73936" w:rsidRDefault="000C0A41" w:rsidP="00CE36B0">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3818.9</w:t>
            </w:r>
          </w:p>
        </w:tc>
        <w:tc>
          <w:tcPr>
            <w:tcW w:w="1588" w:type="dxa"/>
          </w:tcPr>
          <w:p w:rsidR="000C0A41" w:rsidRPr="00F73936" w:rsidRDefault="000C0A41" w:rsidP="00CE36B0">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7336.5</w:t>
            </w:r>
          </w:p>
        </w:tc>
        <w:tc>
          <w:tcPr>
            <w:tcW w:w="1569" w:type="dxa"/>
          </w:tcPr>
          <w:p w:rsidR="000C0A41" w:rsidRPr="00F73936" w:rsidRDefault="000C0A41" w:rsidP="00CE36B0">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9092.7</w:t>
            </w:r>
          </w:p>
        </w:tc>
      </w:tr>
      <w:tr w:rsidR="000C0A41" w:rsidRPr="00F73936" w:rsidTr="00CE36B0">
        <w:tc>
          <w:tcPr>
            <w:cnfStyle w:val="001000000000" w:firstRow="0" w:lastRow="0" w:firstColumn="1" w:lastColumn="0" w:oddVBand="0" w:evenVBand="0" w:oddHBand="0" w:evenHBand="0" w:firstRowFirstColumn="0" w:firstRowLastColumn="0" w:lastRowFirstColumn="0" w:lastRowLastColumn="0"/>
            <w:tcW w:w="1349" w:type="dxa"/>
            <w:hideMark/>
          </w:tcPr>
          <w:p w:rsidR="000C0A41" w:rsidRPr="00F73936" w:rsidRDefault="000C0A41" w:rsidP="000501DA">
            <w:r w:rsidRPr="00F73936">
              <w:t>2009</w:t>
            </w:r>
          </w:p>
        </w:tc>
        <w:tc>
          <w:tcPr>
            <w:tcW w:w="1140" w:type="dxa"/>
          </w:tcPr>
          <w:p w:rsidR="000C0A41" w:rsidRPr="00F73936" w:rsidRDefault="000C0A41" w:rsidP="00CE36B0">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35.6</w:t>
            </w:r>
          </w:p>
        </w:tc>
        <w:tc>
          <w:tcPr>
            <w:tcW w:w="1141" w:type="dxa"/>
          </w:tcPr>
          <w:p w:rsidR="000C0A41" w:rsidRPr="00F73936" w:rsidRDefault="000C0A41" w:rsidP="00CE36B0">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283.8</w:t>
            </w:r>
          </w:p>
        </w:tc>
        <w:tc>
          <w:tcPr>
            <w:tcW w:w="1141" w:type="dxa"/>
          </w:tcPr>
          <w:p w:rsidR="000C0A41" w:rsidRPr="00F73936" w:rsidRDefault="000C0A41" w:rsidP="00CE36B0">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1243.2</w:t>
            </w:r>
          </w:p>
        </w:tc>
        <w:tc>
          <w:tcPr>
            <w:tcW w:w="1175" w:type="dxa"/>
          </w:tcPr>
          <w:p w:rsidR="000C0A41" w:rsidRPr="00F73936" w:rsidRDefault="000C0A41" w:rsidP="00CE36B0">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3904.7</w:t>
            </w:r>
          </w:p>
        </w:tc>
        <w:tc>
          <w:tcPr>
            <w:tcW w:w="1588" w:type="dxa"/>
          </w:tcPr>
          <w:p w:rsidR="000C0A41" w:rsidRPr="00F73936" w:rsidRDefault="000C0A41" w:rsidP="00CE36B0">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7527.1</w:t>
            </w:r>
          </w:p>
        </w:tc>
        <w:tc>
          <w:tcPr>
            <w:tcW w:w="1569" w:type="dxa"/>
          </w:tcPr>
          <w:p w:rsidR="000C0A41" w:rsidRPr="00F73936" w:rsidRDefault="000C0A41" w:rsidP="00CE36B0">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9323.5</w:t>
            </w:r>
          </w:p>
        </w:tc>
      </w:tr>
      <w:tr w:rsidR="000C0A41" w:rsidRPr="00F73936" w:rsidTr="00CE3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hideMark/>
          </w:tcPr>
          <w:p w:rsidR="000C0A41" w:rsidRPr="00F73936" w:rsidRDefault="000C0A41" w:rsidP="000501DA">
            <w:r w:rsidRPr="00F73936">
              <w:t>2010</w:t>
            </w:r>
          </w:p>
        </w:tc>
        <w:tc>
          <w:tcPr>
            <w:tcW w:w="1140" w:type="dxa"/>
          </w:tcPr>
          <w:p w:rsidR="000C0A41" w:rsidRPr="00F73936" w:rsidRDefault="000C0A41" w:rsidP="00CE36B0">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37.0</w:t>
            </w:r>
          </w:p>
        </w:tc>
        <w:tc>
          <w:tcPr>
            <w:tcW w:w="1141" w:type="dxa"/>
          </w:tcPr>
          <w:p w:rsidR="000C0A41" w:rsidRPr="00F73936" w:rsidRDefault="000C0A41" w:rsidP="00CE36B0">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318.0</w:t>
            </w:r>
          </w:p>
        </w:tc>
        <w:tc>
          <w:tcPr>
            <w:tcW w:w="1141" w:type="dxa"/>
          </w:tcPr>
          <w:p w:rsidR="000C0A41" w:rsidRPr="00F73936" w:rsidRDefault="000C0A41" w:rsidP="00CE36B0">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1286.1</w:t>
            </w:r>
          </w:p>
        </w:tc>
        <w:tc>
          <w:tcPr>
            <w:tcW w:w="1175" w:type="dxa"/>
          </w:tcPr>
          <w:p w:rsidR="000C0A41" w:rsidRPr="00F73936" w:rsidRDefault="000C0A41" w:rsidP="00CE36B0">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4048.0</w:t>
            </w:r>
          </w:p>
        </w:tc>
        <w:tc>
          <w:tcPr>
            <w:tcW w:w="1588" w:type="dxa"/>
          </w:tcPr>
          <w:p w:rsidR="000C0A41" w:rsidRPr="00F73936" w:rsidRDefault="000C0A41" w:rsidP="00CE36B0">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7785.7</w:t>
            </w:r>
          </w:p>
        </w:tc>
        <w:tc>
          <w:tcPr>
            <w:tcW w:w="1569" w:type="dxa"/>
          </w:tcPr>
          <w:p w:rsidR="000C0A41" w:rsidRPr="00F73936" w:rsidRDefault="000C0A41" w:rsidP="00CE36B0">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9748.9</w:t>
            </w:r>
          </w:p>
        </w:tc>
      </w:tr>
      <w:tr w:rsidR="000C0A41" w:rsidRPr="00F73936" w:rsidTr="00CE36B0">
        <w:tc>
          <w:tcPr>
            <w:cnfStyle w:val="001000000000" w:firstRow="0" w:lastRow="0" w:firstColumn="1" w:lastColumn="0" w:oddVBand="0" w:evenVBand="0" w:oddHBand="0" w:evenHBand="0" w:firstRowFirstColumn="0" w:firstRowLastColumn="0" w:lastRowFirstColumn="0" w:lastRowLastColumn="0"/>
            <w:tcW w:w="1349" w:type="dxa"/>
            <w:hideMark/>
          </w:tcPr>
          <w:p w:rsidR="000C0A41" w:rsidRPr="00F73936" w:rsidRDefault="000C0A41" w:rsidP="000501DA">
            <w:r w:rsidRPr="00F73936">
              <w:t>2011</w:t>
            </w:r>
          </w:p>
        </w:tc>
        <w:tc>
          <w:tcPr>
            <w:tcW w:w="1140" w:type="dxa"/>
          </w:tcPr>
          <w:p w:rsidR="000C0A41" w:rsidRPr="00F73936" w:rsidRDefault="000C0A41" w:rsidP="00CE36B0">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37.4</w:t>
            </w:r>
          </w:p>
        </w:tc>
        <w:tc>
          <w:tcPr>
            <w:tcW w:w="1141" w:type="dxa"/>
          </w:tcPr>
          <w:p w:rsidR="000C0A41" w:rsidRPr="00F73936" w:rsidRDefault="000C0A41" w:rsidP="00CE36B0">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348.0</w:t>
            </w:r>
          </w:p>
        </w:tc>
        <w:tc>
          <w:tcPr>
            <w:tcW w:w="1141" w:type="dxa"/>
          </w:tcPr>
          <w:p w:rsidR="000C0A41" w:rsidRPr="00F73936" w:rsidRDefault="000C0A41" w:rsidP="00CE36B0">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1376.0</w:t>
            </w:r>
          </w:p>
        </w:tc>
        <w:tc>
          <w:tcPr>
            <w:tcW w:w="1175" w:type="dxa"/>
          </w:tcPr>
          <w:p w:rsidR="000C0A41" w:rsidRPr="00F73936" w:rsidRDefault="000C0A41" w:rsidP="00CE36B0">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4240.7</w:t>
            </w:r>
          </w:p>
        </w:tc>
        <w:tc>
          <w:tcPr>
            <w:tcW w:w="1588" w:type="dxa"/>
          </w:tcPr>
          <w:p w:rsidR="000C0A41" w:rsidRPr="00F73936" w:rsidRDefault="000C0A41" w:rsidP="00CE36B0">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7988.0</w:t>
            </w:r>
          </w:p>
        </w:tc>
        <w:tc>
          <w:tcPr>
            <w:tcW w:w="1569" w:type="dxa"/>
          </w:tcPr>
          <w:p w:rsidR="000C0A41" w:rsidRPr="00F73936" w:rsidRDefault="000C0A41" w:rsidP="00CE36B0">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9935.1</w:t>
            </w:r>
          </w:p>
        </w:tc>
      </w:tr>
      <w:tr w:rsidR="000C0A41" w:rsidRPr="00F73936" w:rsidTr="00CE3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hideMark/>
          </w:tcPr>
          <w:p w:rsidR="000C0A41" w:rsidRPr="00F73936" w:rsidRDefault="000C0A41" w:rsidP="000501DA">
            <w:r w:rsidRPr="00F73936">
              <w:t>2012</w:t>
            </w:r>
          </w:p>
        </w:tc>
        <w:tc>
          <w:tcPr>
            <w:tcW w:w="1140" w:type="dxa"/>
          </w:tcPr>
          <w:p w:rsidR="000C0A41" w:rsidRPr="00F73936" w:rsidRDefault="000C0A41" w:rsidP="00CE36B0">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41.9</w:t>
            </w:r>
          </w:p>
        </w:tc>
        <w:tc>
          <w:tcPr>
            <w:tcW w:w="1141" w:type="dxa"/>
          </w:tcPr>
          <w:p w:rsidR="000C0A41" w:rsidRPr="00F73936" w:rsidRDefault="000C0A41" w:rsidP="00CE36B0">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355.3</w:t>
            </w:r>
          </w:p>
        </w:tc>
        <w:tc>
          <w:tcPr>
            <w:tcW w:w="1141" w:type="dxa"/>
          </w:tcPr>
          <w:p w:rsidR="000C0A41" w:rsidRPr="00F73936" w:rsidRDefault="000C0A41" w:rsidP="00CE36B0">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1435.6</w:t>
            </w:r>
          </w:p>
        </w:tc>
        <w:tc>
          <w:tcPr>
            <w:tcW w:w="1175" w:type="dxa"/>
          </w:tcPr>
          <w:p w:rsidR="000C0A41" w:rsidRPr="00F73936" w:rsidRDefault="000C0A41" w:rsidP="00CE36B0">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4376.7</w:t>
            </w:r>
          </w:p>
        </w:tc>
        <w:tc>
          <w:tcPr>
            <w:tcW w:w="1588" w:type="dxa"/>
          </w:tcPr>
          <w:p w:rsidR="000C0A41" w:rsidRPr="00F73936" w:rsidRDefault="000C0A41" w:rsidP="00CE36B0">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8155.0</w:t>
            </w:r>
          </w:p>
        </w:tc>
        <w:tc>
          <w:tcPr>
            <w:tcW w:w="1569" w:type="dxa"/>
          </w:tcPr>
          <w:p w:rsidR="000C0A41" w:rsidRPr="00F73936" w:rsidRDefault="000C0A41" w:rsidP="00CE36B0">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9962.1</w:t>
            </w:r>
          </w:p>
        </w:tc>
      </w:tr>
      <w:tr w:rsidR="000C0A41" w:rsidRPr="00F73936" w:rsidTr="00CE36B0">
        <w:tc>
          <w:tcPr>
            <w:cnfStyle w:val="001000000000" w:firstRow="0" w:lastRow="0" w:firstColumn="1" w:lastColumn="0" w:oddVBand="0" w:evenVBand="0" w:oddHBand="0" w:evenHBand="0" w:firstRowFirstColumn="0" w:firstRowLastColumn="0" w:lastRowFirstColumn="0" w:lastRowLastColumn="0"/>
            <w:tcW w:w="1349" w:type="dxa"/>
            <w:hideMark/>
          </w:tcPr>
          <w:p w:rsidR="000C0A41" w:rsidRPr="00F73936" w:rsidRDefault="000C0A41" w:rsidP="000501DA">
            <w:r w:rsidRPr="00F73936">
              <w:t>2013</w:t>
            </w:r>
          </w:p>
        </w:tc>
        <w:tc>
          <w:tcPr>
            <w:tcW w:w="1140" w:type="dxa"/>
          </w:tcPr>
          <w:p w:rsidR="000C0A41" w:rsidRPr="00F73936" w:rsidRDefault="000C0A41" w:rsidP="00CE36B0">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40.3</w:t>
            </w:r>
          </w:p>
        </w:tc>
        <w:tc>
          <w:tcPr>
            <w:tcW w:w="1141" w:type="dxa"/>
          </w:tcPr>
          <w:p w:rsidR="000C0A41" w:rsidRPr="00F73936" w:rsidRDefault="000C0A41" w:rsidP="00CE36B0">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411.8</w:t>
            </w:r>
          </w:p>
        </w:tc>
        <w:tc>
          <w:tcPr>
            <w:tcW w:w="1141" w:type="dxa"/>
          </w:tcPr>
          <w:p w:rsidR="000C0A41" w:rsidRPr="00F73936" w:rsidRDefault="000C0A41" w:rsidP="00CE36B0">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1491.0</w:t>
            </w:r>
          </w:p>
        </w:tc>
        <w:tc>
          <w:tcPr>
            <w:tcW w:w="1175" w:type="dxa"/>
          </w:tcPr>
          <w:p w:rsidR="000C0A41" w:rsidRPr="00F73936" w:rsidRDefault="000C0A41" w:rsidP="00CE36B0">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4497.2</w:t>
            </w:r>
          </w:p>
        </w:tc>
        <w:tc>
          <w:tcPr>
            <w:tcW w:w="1588" w:type="dxa"/>
          </w:tcPr>
          <w:p w:rsidR="000C0A41" w:rsidRPr="00F73936" w:rsidRDefault="000C0A41" w:rsidP="00CE36B0">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8283.7</w:t>
            </w:r>
          </w:p>
        </w:tc>
        <w:tc>
          <w:tcPr>
            <w:tcW w:w="1569" w:type="dxa"/>
          </w:tcPr>
          <w:p w:rsidR="000C0A41" w:rsidRPr="00F73936" w:rsidRDefault="000C0A41" w:rsidP="00CE36B0">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10001.6</w:t>
            </w:r>
          </w:p>
        </w:tc>
      </w:tr>
      <w:tr w:rsidR="000C0A41" w:rsidRPr="00F73936" w:rsidTr="00CE3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rsidR="000C0A41" w:rsidRPr="00F73936" w:rsidRDefault="000C0A41" w:rsidP="000501DA">
            <w:r w:rsidRPr="00F73936">
              <w:t>2014</w:t>
            </w:r>
          </w:p>
        </w:tc>
        <w:tc>
          <w:tcPr>
            <w:tcW w:w="1140" w:type="dxa"/>
          </w:tcPr>
          <w:p w:rsidR="000C0A41" w:rsidRPr="00F73936" w:rsidRDefault="000C0A41" w:rsidP="00CE36B0">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42.3</w:t>
            </w:r>
          </w:p>
        </w:tc>
        <w:tc>
          <w:tcPr>
            <w:tcW w:w="1141" w:type="dxa"/>
          </w:tcPr>
          <w:p w:rsidR="000C0A41" w:rsidRPr="00F73936" w:rsidRDefault="000C0A41" w:rsidP="00CE36B0">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428.5</w:t>
            </w:r>
          </w:p>
        </w:tc>
        <w:tc>
          <w:tcPr>
            <w:tcW w:w="1141" w:type="dxa"/>
          </w:tcPr>
          <w:p w:rsidR="000C0A41" w:rsidRPr="00F73936" w:rsidRDefault="000C0A41" w:rsidP="00CE36B0">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1498.2</w:t>
            </w:r>
          </w:p>
        </w:tc>
        <w:tc>
          <w:tcPr>
            <w:tcW w:w="1175" w:type="dxa"/>
          </w:tcPr>
          <w:p w:rsidR="000C0A41" w:rsidRPr="00F73936" w:rsidRDefault="000C0A41" w:rsidP="00CE36B0">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4458.6</w:t>
            </w:r>
          </w:p>
        </w:tc>
        <w:tc>
          <w:tcPr>
            <w:tcW w:w="1588" w:type="dxa"/>
          </w:tcPr>
          <w:p w:rsidR="000C0A41" w:rsidRPr="00F73936" w:rsidRDefault="000C0A41" w:rsidP="00CE36B0">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8322.7</w:t>
            </w:r>
          </w:p>
        </w:tc>
        <w:tc>
          <w:tcPr>
            <w:tcW w:w="1569" w:type="dxa"/>
          </w:tcPr>
          <w:p w:rsidR="000C0A41" w:rsidRPr="00F73936" w:rsidRDefault="000C0A41" w:rsidP="00CE36B0">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9909.8</w:t>
            </w:r>
          </w:p>
        </w:tc>
      </w:tr>
      <w:tr w:rsidR="000C0A41" w:rsidRPr="00F73936" w:rsidTr="00CE36B0">
        <w:tc>
          <w:tcPr>
            <w:cnfStyle w:val="001000000000" w:firstRow="0" w:lastRow="0" w:firstColumn="1" w:lastColumn="0" w:oddVBand="0" w:evenVBand="0" w:oddHBand="0" w:evenHBand="0" w:firstRowFirstColumn="0" w:firstRowLastColumn="0" w:lastRowFirstColumn="0" w:lastRowLastColumn="0"/>
            <w:tcW w:w="1349" w:type="dxa"/>
            <w:hideMark/>
          </w:tcPr>
          <w:p w:rsidR="000C0A41" w:rsidRPr="00F73936" w:rsidRDefault="000C0A41" w:rsidP="000501DA">
            <w:r>
              <w:t>2015</w:t>
            </w:r>
          </w:p>
        </w:tc>
        <w:tc>
          <w:tcPr>
            <w:tcW w:w="1140" w:type="dxa"/>
          </w:tcPr>
          <w:p w:rsidR="000C0A41" w:rsidRPr="00F73936" w:rsidRDefault="000C0A41" w:rsidP="00CE36B0">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32.8</w:t>
            </w:r>
          </w:p>
        </w:tc>
        <w:tc>
          <w:tcPr>
            <w:tcW w:w="1141" w:type="dxa"/>
          </w:tcPr>
          <w:p w:rsidR="000C0A41" w:rsidRPr="00F73936" w:rsidRDefault="000C0A41" w:rsidP="00CE36B0">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422.7</w:t>
            </w:r>
          </w:p>
        </w:tc>
        <w:tc>
          <w:tcPr>
            <w:tcW w:w="1141" w:type="dxa"/>
          </w:tcPr>
          <w:p w:rsidR="000C0A41" w:rsidRPr="00F73936" w:rsidRDefault="000C0A41" w:rsidP="00CE36B0">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1486.8</w:t>
            </w:r>
          </w:p>
        </w:tc>
        <w:tc>
          <w:tcPr>
            <w:tcW w:w="1175" w:type="dxa"/>
          </w:tcPr>
          <w:p w:rsidR="000C0A41" w:rsidRPr="00F73936" w:rsidRDefault="000C0A41" w:rsidP="00CE36B0">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4393.4</w:t>
            </w:r>
          </w:p>
        </w:tc>
        <w:tc>
          <w:tcPr>
            <w:tcW w:w="1588" w:type="dxa"/>
          </w:tcPr>
          <w:p w:rsidR="000C0A41" w:rsidRPr="00F73936" w:rsidRDefault="000C0A41" w:rsidP="00CE36B0">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8299.5</w:t>
            </w:r>
          </w:p>
        </w:tc>
        <w:tc>
          <w:tcPr>
            <w:tcW w:w="1569" w:type="dxa"/>
          </w:tcPr>
          <w:p w:rsidR="000C0A41" w:rsidRPr="00F73936" w:rsidRDefault="000C0A41" w:rsidP="00CE36B0">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9785.0</w:t>
            </w:r>
          </w:p>
        </w:tc>
      </w:tr>
    </w:tbl>
    <w:p w:rsidR="000C0A41" w:rsidRDefault="000C0A41" w:rsidP="00D31955">
      <w:pPr>
        <w:pStyle w:val="Caption"/>
      </w:pPr>
      <w:bookmarkStart w:id="75" w:name="_Ref457481347"/>
      <w:r w:rsidRPr="00F73936">
        <w:t xml:space="preserve">Table </w:t>
      </w:r>
      <w:fldSimple w:instr=" SEQ Table \* ARABIC ">
        <w:r>
          <w:rPr>
            <w:noProof/>
          </w:rPr>
          <w:t>12</w:t>
        </w:r>
      </w:fldSimple>
      <w:bookmarkEnd w:id="75"/>
      <w:r w:rsidRPr="00F73936">
        <w:t>: Prevalence of doctor</w:t>
      </w:r>
      <w:r>
        <w:t>-</w:t>
      </w:r>
      <w:r w:rsidRPr="00F73936">
        <w:t xml:space="preserve">diagnosed </w:t>
      </w:r>
      <w:r>
        <w:t xml:space="preserve">COPD per 100,000 patients </w:t>
      </w:r>
      <w:r w:rsidRPr="00F73936">
        <w:t>in CPRD data</w:t>
      </w:r>
      <w:r>
        <w:t xml:space="preserve"> </w:t>
      </w:r>
      <w:r w:rsidRPr="00F73936">
        <w:t>2000-2014</w:t>
      </w:r>
      <w:r>
        <w:t>: f</w:t>
      </w:r>
      <w:r w:rsidRPr="00F73936">
        <w:t>emales only by age</w:t>
      </w:r>
      <w:r>
        <w:t xml:space="preserve"> group</w:t>
      </w:r>
    </w:p>
    <w:tbl>
      <w:tblPr>
        <w:tblStyle w:val="GridTable4-Accent1"/>
        <w:tblW w:w="0" w:type="auto"/>
        <w:tblLook w:val="04A0" w:firstRow="1" w:lastRow="0" w:firstColumn="1" w:lastColumn="0" w:noHBand="0" w:noVBand="1"/>
      </w:tblPr>
      <w:tblGrid>
        <w:gridCol w:w="1288"/>
        <w:gridCol w:w="1288"/>
        <w:gridCol w:w="1288"/>
        <w:gridCol w:w="1288"/>
        <w:gridCol w:w="1288"/>
        <w:gridCol w:w="1288"/>
        <w:gridCol w:w="1288"/>
      </w:tblGrid>
      <w:tr w:rsidR="000C0A41" w:rsidRPr="00477F41" w:rsidTr="000722C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88" w:type="dxa"/>
          </w:tcPr>
          <w:p w:rsidR="000C0A41" w:rsidRPr="00477F41" w:rsidRDefault="000C0A41" w:rsidP="00BD30B6">
            <w:pPr>
              <w:rPr>
                <w:rFonts w:eastAsia="Calibri" w:cs="Times New Roman"/>
              </w:rPr>
            </w:pPr>
            <w:r w:rsidRPr="00477F41">
              <w:rPr>
                <w:rFonts w:eastAsia="Calibri" w:cs="Times New Roman"/>
              </w:rPr>
              <w:t>Year</w:t>
            </w:r>
          </w:p>
        </w:tc>
        <w:tc>
          <w:tcPr>
            <w:tcW w:w="1288" w:type="dxa"/>
          </w:tcPr>
          <w:p w:rsidR="000C0A41" w:rsidRPr="00477F41" w:rsidRDefault="000C0A41" w:rsidP="00CE36B0">
            <w:pPr>
              <w:jc w:val="center"/>
              <w:cnfStyle w:val="100000000000" w:firstRow="1" w:lastRow="0" w:firstColumn="0" w:lastColumn="0" w:oddVBand="0" w:evenVBand="0" w:oddHBand="0" w:evenHBand="0" w:firstRowFirstColumn="0" w:firstRowLastColumn="0" w:lastRowFirstColumn="0" w:lastRowLastColumn="0"/>
              <w:rPr>
                <w:rFonts w:eastAsia="Calibri" w:cs="Times New Roman"/>
              </w:rPr>
            </w:pPr>
            <w:r w:rsidRPr="00477F41">
              <w:rPr>
                <w:rFonts w:eastAsia="Calibri" w:cs="Times New Roman"/>
              </w:rPr>
              <w:t>35-40</w:t>
            </w:r>
          </w:p>
        </w:tc>
        <w:tc>
          <w:tcPr>
            <w:tcW w:w="1288" w:type="dxa"/>
          </w:tcPr>
          <w:p w:rsidR="000C0A41" w:rsidRPr="00477F41" w:rsidRDefault="000C0A41" w:rsidP="00CE36B0">
            <w:pPr>
              <w:jc w:val="center"/>
              <w:cnfStyle w:val="100000000000" w:firstRow="1" w:lastRow="0" w:firstColumn="0" w:lastColumn="0" w:oddVBand="0" w:evenVBand="0" w:oddHBand="0" w:evenHBand="0" w:firstRowFirstColumn="0" w:firstRowLastColumn="0" w:lastRowFirstColumn="0" w:lastRowLastColumn="0"/>
              <w:rPr>
                <w:rFonts w:eastAsia="Calibri" w:cs="Times New Roman"/>
              </w:rPr>
            </w:pPr>
            <w:r w:rsidRPr="00477F41">
              <w:rPr>
                <w:rFonts w:eastAsia="Calibri" w:cs="Times New Roman"/>
              </w:rPr>
              <w:t>41-50</w:t>
            </w:r>
          </w:p>
        </w:tc>
        <w:tc>
          <w:tcPr>
            <w:tcW w:w="1288" w:type="dxa"/>
          </w:tcPr>
          <w:p w:rsidR="000C0A41" w:rsidRPr="00477F41" w:rsidRDefault="000C0A41" w:rsidP="00CE36B0">
            <w:pPr>
              <w:jc w:val="center"/>
              <w:cnfStyle w:val="100000000000" w:firstRow="1" w:lastRow="0" w:firstColumn="0" w:lastColumn="0" w:oddVBand="0" w:evenVBand="0" w:oddHBand="0" w:evenHBand="0" w:firstRowFirstColumn="0" w:firstRowLastColumn="0" w:lastRowFirstColumn="0" w:lastRowLastColumn="0"/>
              <w:rPr>
                <w:rFonts w:eastAsia="Calibri" w:cs="Times New Roman"/>
              </w:rPr>
            </w:pPr>
            <w:r w:rsidRPr="00477F41">
              <w:rPr>
                <w:rFonts w:eastAsia="Calibri" w:cs="Times New Roman"/>
              </w:rPr>
              <w:t>51-60</w:t>
            </w:r>
          </w:p>
        </w:tc>
        <w:tc>
          <w:tcPr>
            <w:tcW w:w="1288" w:type="dxa"/>
          </w:tcPr>
          <w:p w:rsidR="000C0A41" w:rsidRPr="00477F41" w:rsidRDefault="000C0A41" w:rsidP="00CE36B0">
            <w:pPr>
              <w:jc w:val="center"/>
              <w:cnfStyle w:val="100000000000" w:firstRow="1" w:lastRow="0" w:firstColumn="0" w:lastColumn="0" w:oddVBand="0" w:evenVBand="0" w:oddHBand="0" w:evenHBand="0" w:firstRowFirstColumn="0" w:firstRowLastColumn="0" w:lastRowFirstColumn="0" w:lastRowLastColumn="0"/>
              <w:rPr>
                <w:rFonts w:eastAsia="Calibri" w:cs="Times New Roman"/>
              </w:rPr>
            </w:pPr>
            <w:r w:rsidRPr="00477F41">
              <w:rPr>
                <w:rFonts w:eastAsia="Calibri" w:cs="Times New Roman"/>
              </w:rPr>
              <w:t>61-70</w:t>
            </w:r>
          </w:p>
        </w:tc>
        <w:tc>
          <w:tcPr>
            <w:tcW w:w="1288" w:type="dxa"/>
          </w:tcPr>
          <w:p w:rsidR="000C0A41" w:rsidRPr="00477F41" w:rsidRDefault="000C0A41" w:rsidP="00CE36B0">
            <w:pPr>
              <w:jc w:val="center"/>
              <w:cnfStyle w:val="100000000000" w:firstRow="1" w:lastRow="0" w:firstColumn="0" w:lastColumn="0" w:oddVBand="0" w:evenVBand="0" w:oddHBand="0" w:evenHBand="0" w:firstRowFirstColumn="0" w:firstRowLastColumn="0" w:lastRowFirstColumn="0" w:lastRowLastColumn="0"/>
              <w:rPr>
                <w:rFonts w:eastAsia="Calibri" w:cs="Times New Roman"/>
              </w:rPr>
            </w:pPr>
            <w:r w:rsidRPr="00477F41">
              <w:rPr>
                <w:rFonts w:eastAsia="Calibri" w:cs="Times New Roman"/>
              </w:rPr>
              <w:t>71-80</w:t>
            </w:r>
          </w:p>
        </w:tc>
        <w:tc>
          <w:tcPr>
            <w:tcW w:w="1288" w:type="dxa"/>
          </w:tcPr>
          <w:p w:rsidR="000C0A41" w:rsidRPr="00477F41" w:rsidRDefault="000C0A41" w:rsidP="00CE36B0">
            <w:pPr>
              <w:jc w:val="center"/>
              <w:cnfStyle w:val="100000000000" w:firstRow="1" w:lastRow="0" w:firstColumn="0" w:lastColumn="0" w:oddVBand="0" w:evenVBand="0" w:oddHBand="0" w:evenHBand="0" w:firstRowFirstColumn="0" w:firstRowLastColumn="0" w:lastRowFirstColumn="0" w:lastRowLastColumn="0"/>
              <w:rPr>
                <w:rFonts w:eastAsia="Calibri" w:cs="Times New Roman"/>
              </w:rPr>
            </w:pPr>
            <w:r w:rsidRPr="00477F41">
              <w:rPr>
                <w:rFonts w:eastAsia="Calibri" w:cs="Times New Roman"/>
              </w:rPr>
              <w:t>81+</w:t>
            </w:r>
          </w:p>
        </w:tc>
      </w:tr>
      <w:tr w:rsidR="000C0A41" w:rsidRPr="00477F41" w:rsidTr="00477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rsidR="000C0A41" w:rsidRPr="00477F41" w:rsidRDefault="000C0A41" w:rsidP="00BD30B6">
            <w:pPr>
              <w:rPr>
                <w:rFonts w:eastAsia="Calibri" w:cs="Times New Roman"/>
              </w:rPr>
            </w:pPr>
            <w:r w:rsidRPr="00477F41">
              <w:rPr>
                <w:rFonts w:eastAsia="Calibri" w:cs="Times New Roman"/>
              </w:rPr>
              <w:t>2004</w:t>
            </w:r>
          </w:p>
        </w:tc>
        <w:tc>
          <w:tcPr>
            <w:tcW w:w="1288" w:type="dxa"/>
          </w:tcPr>
          <w:p w:rsidR="000C0A41" w:rsidRPr="00477F41" w:rsidRDefault="000C0A41" w:rsidP="00CE36B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477F41">
              <w:rPr>
                <w:rFonts w:eastAsia="Calibri" w:cs="Times New Roman"/>
              </w:rPr>
              <w:t>15.5</w:t>
            </w:r>
          </w:p>
        </w:tc>
        <w:tc>
          <w:tcPr>
            <w:tcW w:w="1288" w:type="dxa"/>
          </w:tcPr>
          <w:p w:rsidR="000C0A41" w:rsidRPr="00477F41" w:rsidRDefault="000C0A41" w:rsidP="00CE36B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477F41">
              <w:rPr>
                <w:rFonts w:eastAsia="Calibri" w:cs="Times New Roman"/>
              </w:rPr>
              <w:t>169.9</w:t>
            </w:r>
          </w:p>
        </w:tc>
        <w:tc>
          <w:tcPr>
            <w:tcW w:w="1288" w:type="dxa"/>
          </w:tcPr>
          <w:p w:rsidR="000C0A41" w:rsidRPr="00477F41" w:rsidRDefault="000C0A41" w:rsidP="00CE36B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477F41">
              <w:rPr>
                <w:rFonts w:eastAsia="Calibri" w:cs="Times New Roman"/>
              </w:rPr>
              <w:t>851.5</w:t>
            </w:r>
          </w:p>
        </w:tc>
        <w:tc>
          <w:tcPr>
            <w:tcW w:w="1288" w:type="dxa"/>
          </w:tcPr>
          <w:p w:rsidR="000C0A41" w:rsidRPr="00477F41" w:rsidRDefault="000C0A41" w:rsidP="00CE36B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477F41">
              <w:rPr>
                <w:rFonts w:eastAsia="Calibri" w:cs="Times New Roman"/>
              </w:rPr>
              <w:t>2259.2</w:t>
            </w:r>
          </w:p>
        </w:tc>
        <w:tc>
          <w:tcPr>
            <w:tcW w:w="1288" w:type="dxa"/>
          </w:tcPr>
          <w:p w:rsidR="000C0A41" w:rsidRPr="00477F41" w:rsidRDefault="000C0A41" w:rsidP="00CE36B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477F41">
              <w:rPr>
                <w:rFonts w:eastAsia="Calibri" w:cs="Times New Roman"/>
              </w:rPr>
              <w:t>3585.4</w:t>
            </w:r>
          </w:p>
        </w:tc>
        <w:tc>
          <w:tcPr>
            <w:tcW w:w="1288" w:type="dxa"/>
          </w:tcPr>
          <w:p w:rsidR="000C0A41" w:rsidRPr="00477F41" w:rsidRDefault="000C0A41" w:rsidP="00CE36B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477F41">
              <w:rPr>
                <w:rFonts w:eastAsia="Calibri" w:cs="Times New Roman"/>
              </w:rPr>
              <w:t>2920.0</w:t>
            </w:r>
          </w:p>
        </w:tc>
      </w:tr>
      <w:tr w:rsidR="000C0A41" w:rsidRPr="00477F41" w:rsidTr="00477F41">
        <w:tc>
          <w:tcPr>
            <w:cnfStyle w:val="001000000000" w:firstRow="0" w:lastRow="0" w:firstColumn="1" w:lastColumn="0" w:oddVBand="0" w:evenVBand="0" w:oddHBand="0" w:evenHBand="0" w:firstRowFirstColumn="0" w:firstRowLastColumn="0" w:lastRowFirstColumn="0" w:lastRowLastColumn="0"/>
            <w:tcW w:w="1288" w:type="dxa"/>
          </w:tcPr>
          <w:p w:rsidR="000C0A41" w:rsidRPr="00477F41" w:rsidRDefault="000C0A41" w:rsidP="00BD30B6">
            <w:pPr>
              <w:rPr>
                <w:rFonts w:eastAsia="Calibri" w:cs="Times New Roman"/>
              </w:rPr>
            </w:pPr>
            <w:r w:rsidRPr="00477F41">
              <w:rPr>
                <w:rFonts w:eastAsia="Calibri" w:cs="Times New Roman"/>
              </w:rPr>
              <w:t>2005</w:t>
            </w:r>
          </w:p>
        </w:tc>
        <w:tc>
          <w:tcPr>
            <w:tcW w:w="1288" w:type="dxa"/>
          </w:tcPr>
          <w:p w:rsidR="000C0A41" w:rsidRPr="00477F41" w:rsidRDefault="000C0A41" w:rsidP="00CE36B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477F41">
              <w:rPr>
                <w:rFonts w:eastAsia="Calibri" w:cs="Times New Roman"/>
              </w:rPr>
              <w:t>23.0</w:t>
            </w:r>
          </w:p>
        </w:tc>
        <w:tc>
          <w:tcPr>
            <w:tcW w:w="1288" w:type="dxa"/>
          </w:tcPr>
          <w:p w:rsidR="000C0A41" w:rsidRPr="00477F41" w:rsidRDefault="000C0A41" w:rsidP="00CE36B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477F41">
              <w:rPr>
                <w:rFonts w:eastAsia="Calibri" w:cs="Times New Roman"/>
              </w:rPr>
              <w:t>208.7</w:t>
            </w:r>
          </w:p>
        </w:tc>
        <w:tc>
          <w:tcPr>
            <w:tcW w:w="1288" w:type="dxa"/>
          </w:tcPr>
          <w:p w:rsidR="000C0A41" w:rsidRPr="00477F41" w:rsidRDefault="000C0A41" w:rsidP="00CE36B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477F41">
              <w:rPr>
                <w:rFonts w:eastAsia="Calibri" w:cs="Times New Roman"/>
              </w:rPr>
              <w:t>993.6</w:t>
            </w:r>
          </w:p>
        </w:tc>
        <w:tc>
          <w:tcPr>
            <w:tcW w:w="1288" w:type="dxa"/>
          </w:tcPr>
          <w:p w:rsidR="000C0A41" w:rsidRPr="00477F41" w:rsidRDefault="000C0A41" w:rsidP="00CE36B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477F41">
              <w:rPr>
                <w:rFonts w:eastAsia="Calibri" w:cs="Times New Roman"/>
              </w:rPr>
              <w:t>2581.1</w:t>
            </w:r>
          </w:p>
        </w:tc>
        <w:tc>
          <w:tcPr>
            <w:tcW w:w="1288" w:type="dxa"/>
          </w:tcPr>
          <w:p w:rsidR="000C0A41" w:rsidRPr="00477F41" w:rsidRDefault="000C0A41" w:rsidP="00CE36B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477F41">
              <w:rPr>
                <w:rFonts w:eastAsia="Calibri" w:cs="Times New Roman"/>
              </w:rPr>
              <w:t>4017.0</w:t>
            </w:r>
          </w:p>
        </w:tc>
        <w:tc>
          <w:tcPr>
            <w:tcW w:w="1288" w:type="dxa"/>
          </w:tcPr>
          <w:p w:rsidR="000C0A41" w:rsidRPr="00477F41" w:rsidRDefault="000C0A41" w:rsidP="00CE36B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477F41">
              <w:rPr>
                <w:rFonts w:eastAsia="Calibri" w:cs="Times New Roman"/>
              </w:rPr>
              <w:t>3488.9</w:t>
            </w:r>
          </w:p>
        </w:tc>
      </w:tr>
      <w:tr w:rsidR="000C0A41" w:rsidRPr="00477F41" w:rsidTr="00477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rsidR="000C0A41" w:rsidRPr="00477F41" w:rsidRDefault="000C0A41" w:rsidP="00BD30B6">
            <w:pPr>
              <w:rPr>
                <w:rFonts w:eastAsia="Calibri" w:cs="Times New Roman"/>
              </w:rPr>
            </w:pPr>
            <w:r w:rsidRPr="00477F41">
              <w:rPr>
                <w:rFonts w:eastAsia="Calibri" w:cs="Times New Roman"/>
              </w:rPr>
              <w:t>2006</w:t>
            </w:r>
          </w:p>
        </w:tc>
        <w:tc>
          <w:tcPr>
            <w:tcW w:w="1288" w:type="dxa"/>
          </w:tcPr>
          <w:p w:rsidR="000C0A41" w:rsidRPr="00477F41" w:rsidRDefault="000C0A41" w:rsidP="00CE36B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477F41">
              <w:rPr>
                <w:rFonts w:eastAsia="Calibri" w:cs="Times New Roman"/>
              </w:rPr>
              <w:t>30.5</w:t>
            </w:r>
          </w:p>
        </w:tc>
        <w:tc>
          <w:tcPr>
            <w:tcW w:w="1288" w:type="dxa"/>
          </w:tcPr>
          <w:p w:rsidR="000C0A41" w:rsidRPr="00477F41" w:rsidRDefault="000C0A41" w:rsidP="00CE36B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477F41">
              <w:rPr>
                <w:rFonts w:eastAsia="Calibri" w:cs="Times New Roman"/>
              </w:rPr>
              <w:t>234.9</w:t>
            </w:r>
          </w:p>
        </w:tc>
        <w:tc>
          <w:tcPr>
            <w:tcW w:w="1288" w:type="dxa"/>
          </w:tcPr>
          <w:p w:rsidR="000C0A41" w:rsidRPr="00477F41" w:rsidRDefault="000C0A41" w:rsidP="00CE36B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477F41">
              <w:rPr>
                <w:rFonts w:eastAsia="Calibri" w:cs="Times New Roman"/>
              </w:rPr>
              <w:t>1108.3</w:t>
            </w:r>
          </w:p>
        </w:tc>
        <w:tc>
          <w:tcPr>
            <w:tcW w:w="1288" w:type="dxa"/>
          </w:tcPr>
          <w:p w:rsidR="000C0A41" w:rsidRPr="00477F41" w:rsidRDefault="000C0A41" w:rsidP="00CE36B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477F41">
              <w:rPr>
                <w:rFonts w:eastAsia="Calibri" w:cs="Times New Roman"/>
              </w:rPr>
              <w:t>2830.2</w:t>
            </w:r>
          </w:p>
        </w:tc>
        <w:tc>
          <w:tcPr>
            <w:tcW w:w="1288" w:type="dxa"/>
          </w:tcPr>
          <w:p w:rsidR="000C0A41" w:rsidRPr="00477F41" w:rsidRDefault="000C0A41" w:rsidP="00CE36B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477F41">
              <w:rPr>
                <w:rFonts w:eastAsia="Calibri" w:cs="Times New Roman"/>
              </w:rPr>
              <w:t>4357.6</w:t>
            </w:r>
          </w:p>
        </w:tc>
        <w:tc>
          <w:tcPr>
            <w:tcW w:w="1288" w:type="dxa"/>
          </w:tcPr>
          <w:p w:rsidR="000C0A41" w:rsidRPr="00477F41" w:rsidRDefault="000C0A41" w:rsidP="00CE36B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477F41">
              <w:rPr>
                <w:rFonts w:eastAsia="Calibri" w:cs="Times New Roman"/>
              </w:rPr>
              <w:t>3958.8</w:t>
            </w:r>
          </w:p>
        </w:tc>
      </w:tr>
      <w:tr w:rsidR="000C0A41" w:rsidRPr="00477F41" w:rsidTr="00477F41">
        <w:tc>
          <w:tcPr>
            <w:cnfStyle w:val="001000000000" w:firstRow="0" w:lastRow="0" w:firstColumn="1" w:lastColumn="0" w:oddVBand="0" w:evenVBand="0" w:oddHBand="0" w:evenHBand="0" w:firstRowFirstColumn="0" w:firstRowLastColumn="0" w:lastRowFirstColumn="0" w:lastRowLastColumn="0"/>
            <w:tcW w:w="1288" w:type="dxa"/>
          </w:tcPr>
          <w:p w:rsidR="000C0A41" w:rsidRPr="00477F41" w:rsidRDefault="000C0A41" w:rsidP="00BD30B6">
            <w:pPr>
              <w:rPr>
                <w:rFonts w:eastAsia="Calibri" w:cs="Times New Roman"/>
              </w:rPr>
            </w:pPr>
            <w:r w:rsidRPr="00477F41">
              <w:rPr>
                <w:rFonts w:eastAsia="Calibri" w:cs="Times New Roman"/>
              </w:rPr>
              <w:t>2007</w:t>
            </w:r>
          </w:p>
        </w:tc>
        <w:tc>
          <w:tcPr>
            <w:tcW w:w="1288" w:type="dxa"/>
          </w:tcPr>
          <w:p w:rsidR="000C0A41" w:rsidRPr="00477F41" w:rsidRDefault="000C0A41" w:rsidP="00CE36B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477F41">
              <w:rPr>
                <w:rFonts w:eastAsia="Calibri" w:cs="Times New Roman"/>
              </w:rPr>
              <w:t>33.5</w:t>
            </w:r>
          </w:p>
        </w:tc>
        <w:tc>
          <w:tcPr>
            <w:tcW w:w="1288" w:type="dxa"/>
          </w:tcPr>
          <w:p w:rsidR="000C0A41" w:rsidRPr="00477F41" w:rsidRDefault="000C0A41" w:rsidP="00CE36B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477F41">
              <w:rPr>
                <w:rFonts w:eastAsia="Calibri" w:cs="Times New Roman"/>
              </w:rPr>
              <w:t>266.2</w:t>
            </w:r>
          </w:p>
        </w:tc>
        <w:tc>
          <w:tcPr>
            <w:tcW w:w="1288" w:type="dxa"/>
          </w:tcPr>
          <w:p w:rsidR="000C0A41" w:rsidRPr="00477F41" w:rsidRDefault="000C0A41" w:rsidP="00CE36B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477F41">
              <w:rPr>
                <w:rFonts w:eastAsia="Calibri" w:cs="Times New Roman"/>
              </w:rPr>
              <w:t>1191.1</w:t>
            </w:r>
          </w:p>
        </w:tc>
        <w:tc>
          <w:tcPr>
            <w:tcW w:w="1288" w:type="dxa"/>
          </w:tcPr>
          <w:p w:rsidR="000C0A41" w:rsidRPr="00477F41" w:rsidRDefault="000C0A41" w:rsidP="00CE36B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477F41">
              <w:rPr>
                <w:rFonts w:eastAsia="Calibri" w:cs="Times New Roman"/>
              </w:rPr>
              <w:t>3014.0</w:t>
            </w:r>
          </w:p>
        </w:tc>
        <w:tc>
          <w:tcPr>
            <w:tcW w:w="1288" w:type="dxa"/>
          </w:tcPr>
          <w:p w:rsidR="000C0A41" w:rsidRPr="00477F41" w:rsidRDefault="000C0A41" w:rsidP="00CE36B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477F41">
              <w:rPr>
                <w:rFonts w:eastAsia="Calibri" w:cs="Times New Roman"/>
              </w:rPr>
              <w:t>4649.6</w:t>
            </w:r>
          </w:p>
        </w:tc>
        <w:tc>
          <w:tcPr>
            <w:tcW w:w="1288" w:type="dxa"/>
          </w:tcPr>
          <w:p w:rsidR="000C0A41" w:rsidRPr="00477F41" w:rsidRDefault="000C0A41" w:rsidP="00CE36B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477F41">
              <w:rPr>
                <w:rFonts w:eastAsia="Calibri" w:cs="Times New Roman"/>
              </w:rPr>
              <w:t>4389.2</w:t>
            </w:r>
          </w:p>
        </w:tc>
      </w:tr>
      <w:tr w:rsidR="000C0A41" w:rsidRPr="00477F41" w:rsidTr="00477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rsidR="000C0A41" w:rsidRPr="00477F41" w:rsidRDefault="000C0A41" w:rsidP="00BD30B6">
            <w:pPr>
              <w:rPr>
                <w:rFonts w:eastAsia="Calibri" w:cs="Times New Roman"/>
              </w:rPr>
            </w:pPr>
            <w:r w:rsidRPr="00477F41">
              <w:rPr>
                <w:rFonts w:eastAsia="Calibri" w:cs="Times New Roman"/>
              </w:rPr>
              <w:t>2008</w:t>
            </w:r>
          </w:p>
        </w:tc>
        <w:tc>
          <w:tcPr>
            <w:tcW w:w="1288" w:type="dxa"/>
          </w:tcPr>
          <w:p w:rsidR="000C0A41" w:rsidRPr="00477F41" w:rsidRDefault="000C0A41" w:rsidP="00CE36B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477F41">
              <w:rPr>
                <w:rFonts w:eastAsia="Calibri" w:cs="Times New Roman"/>
              </w:rPr>
              <w:t>34.2</w:t>
            </w:r>
          </w:p>
        </w:tc>
        <w:tc>
          <w:tcPr>
            <w:tcW w:w="1288" w:type="dxa"/>
          </w:tcPr>
          <w:p w:rsidR="000C0A41" w:rsidRPr="00477F41" w:rsidRDefault="000C0A41" w:rsidP="00CE36B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477F41">
              <w:rPr>
                <w:rFonts w:eastAsia="Calibri" w:cs="Times New Roman"/>
              </w:rPr>
              <w:t>281.3</w:t>
            </w:r>
          </w:p>
        </w:tc>
        <w:tc>
          <w:tcPr>
            <w:tcW w:w="1288" w:type="dxa"/>
          </w:tcPr>
          <w:p w:rsidR="000C0A41" w:rsidRPr="00477F41" w:rsidRDefault="000C0A41" w:rsidP="00CE36B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477F41">
              <w:rPr>
                <w:rFonts w:eastAsia="Calibri" w:cs="Times New Roman"/>
              </w:rPr>
              <w:t>1261.8</w:t>
            </w:r>
          </w:p>
        </w:tc>
        <w:tc>
          <w:tcPr>
            <w:tcW w:w="1288" w:type="dxa"/>
          </w:tcPr>
          <w:p w:rsidR="000C0A41" w:rsidRPr="00477F41" w:rsidRDefault="000C0A41" w:rsidP="00CE36B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477F41">
              <w:rPr>
                <w:rFonts w:eastAsia="Calibri" w:cs="Times New Roman"/>
              </w:rPr>
              <w:t>3187.4</w:t>
            </w:r>
          </w:p>
        </w:tc>
        <w:tc>
          <w:tcPr>
            <w:tcW w:w="1288" w:type="dxa"/>
          </w:tcPr>
          <w:p w:rsidR="000C0A41" w:rsidRPr="00477F41" w:rsidRDefault="000C0A41" w:rsidP="00CE36B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477F41">
              <w:rPr>
                <w:rFonts w:eastAsia="Calibri" w:cs="Times New Roman"/>
              </w:rPr>
              <w:t>4914.7</w:t>
            </w:r>
          </w:p>
        </w:tc>
        <w:tc>
          <w:tcPr>
            <w:tcW w:w="1288" w:type="dxa"/>
          </w:tcPr>
          <w:p w:rsidR="000C0A41" w:rsidRPr="00477F41" w:rsidRDefault="000C0A41" w:rsidP="00CE36B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477F41">
              <w:rPr>
                <w:rFonts w:eastAsia="Calibri" w:cs="Times New Roman"/>
              </w:rPr>
              <w:t>4712.3</w:t>
            </w:r>
          </w:p>
        </w:tc>
      </w:tr>
      <w:tr w:rsidR="000C0A41" w:rsidRPr="00477F41" w:rsidTr="00477F41">
        <w:tc>
          <w:tcPr>
            <w:cnfStyle w:val="001000000000" w:firstRow="0" w:lastRow="0" w:firstColumn="1" w:lastColumn="0" w:oddVBand="0" w:evenVBand="0" w:oddHBand="0" w:evenHBand="0" w:firstRowFirstColumn="0" w:firstRowLastColumn="0" w:lastRowFirstColumn="0" w:lastRowLastColumn="0"/>
            <w:tcW w:w="1288" w:type="dxa"/>
          </w:tcPr>
          <w:p w:rsidR="000C0A41" w:rsidRPr="00477F41" w:rsidRDefault="000C0A41" w:rsidP="00BD30B6">
            <w:pPr>
              <w:rPr>
                <w:rFonts w:eastAsia="Calibri" w:cs="Times New Roman"/>
              </w:rPr>
            </w:pPr>
            <w:r w:rsidRPr="00477F41">
              <w:rPr>
                <w:rFonts w:eastAsia="Calibri" w:cs="Times New Roman"/>
              </w:rPr>
              <w:t>2009</w:t>
            </w:r>
          </w:p>
        </w:tc>
        <w:tc>
          <w:tcPr>
            <w:tcW w:w="1288" w:type="dxa"/>
          </w:tcPr>
          <w:p w:rsidR="000C0A41" w:rsidRPr="00477F41" w:rsidRDefault="000C0A41" w:rsidP="00CE36B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477F41">
              <w:rPr>
                <w:rFonts w:eastAsia="Calibri" w:cs="Times New Roman"/>
              </w:rPr>
              <w:t>33.2</w:t>
            </w:r>
          </w:p>
        </w:tc>
        <w:tc>
          <w:tcPr>
            <w:tcW w:w="1288" w:type="dxa"/>
          </w:tcPr>
          <w:p w:rsidR="000C0A41" w:rsidRPr="00477F41" w:rsidRDefault="000C0A41" w:rsidP="00CE36B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477F41">
              <w:rPr>
                <w:rFonts w:eastAsia="Calibri" w:cs="Times New Roman"/>
              </w:rPr>
              <w:t>313.1</w:t>
            </w:r>
          </w:p>
        </w:tc>
        <w:tc>
          <w:tcPr>
            <w:tcW w:w="1288" w:type="dxa"/>
          </w:tcPr>
          <w:p w:rsidR="000C0A41" w:rsidRPr="00477F41" w:rsidRDefault="000C0A41" w:rsidP="00CE36B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477F41">
              <w:rPr>
                <w:rFonts w:eastAsia="Calibri" w:cs="Times New Roman"/>
              </w:rPr>
              <w:t>1335.9</w:t>
            </w:r>
          </w:p>
        </w:tc>
        <w:tc>
          <w:tcPr>
            <w:tcW w:w="1288" w:type="dxa"/>
          </w:tcPr>
          <w:p w:rsidR="000C0A41" w:rsidRPr="00477F41" w:rsidRDefault="000C0A41" w:rsidP="00CE36B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477F41">
              <w:rPr>
                <w:rFonts w:eastAsia="Calibri" w:cs="Times New Roman"/>
              </w:rPr>
              <w:t>3297.1</w:t>
            </w:r>
          </w:p>
        </w:tc>
        <w:tc>
          <w:tcPr>
            <w:tcW w:w="1288" w:type="dxa"/>
          </w:tcPr>
          <w:p w:rsidR="000C0A41" w:rsidRPr="00477F41" w:rsidRDefault="000C0A41" w:rsidP="00CE36B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477F41">
              <w:rPr>
                <w:rFonts w:eastAsia="Calibri" w:cs="Times New Roman"/>
              </w:rPr>
              <w:t>5135.9</w:t>
            </w:r>
          </w:p>
        </w:tc>
        <w:tc>
          <w:tcPr>
            <w:tcW w:w="1288" w:type="dxa"/>
          </w:tcPr>
          <w:p w:rsidR="000C0A41" w:rsidRPr="00477F41" w:rsidRDefault="000C0A41" w:rsidP="00CE36B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477F41">
              <w:rPr>
                <w:rFonts w:eastAsia="Calibri" w:cs="Times New Roman"/>
              </w:rPr>
              <w:t>4950.8</w:t>
            </w:r>
          </w:p>
        </w:tc>
      </w:tr>
      <w:tr w:rsidR="000C0A41" w:rsidRPr="00477F41" w:rsidTr="00477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rsidR="000C0A41" w:rsidRPr="00477F41" w:rsidRDefault="000C0A41" w:rsidP="00BD30B6">
            <w:pPr>
              <w:rPr>
                <w:rFonts w:eastAsia="Calibri" w:cs="Times New Roman"/>
              </w:rPr>
            </w:pPr>
            <w:r w:rsidRPr="00477F41">
              <w:rPr>
                <w:rFonts w:eastAsia="Calibri" w:cs="Times New Roman"/>
              </w:rPr>
              <w:t>2010</w:t>
            </w:r>
          </w:p>
        </w:tc>
        <w:tc>
          <w:tcPr>
            <w:tcW w:w="1288" w:type="dxa"/>
          </w:tcPr>
          <w:p w:rsidR="000C0A41" w:rsidRPr="00477F41" w:rsidRDefault="000C0A41" w:rsidP="00CE36B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477F41">
              <w:rPr>
                <w:rFonts w:eastAsia="Calibri" w:cs="Times New Roman"/>
              </w:rPr>
              <w:t>33.9</w:t>
            </w:r>
          </w:p>
        </w:tc>
        <w:tc>
          <w:tcPr>
            <w:tcW w:w="1288" w:type="dxa"/>
          </w:tcPr>
          <w:p w:rsidR="000C0A41" w:rsidRPr="00477F41" w:rsidRDefault="000C0A41" w:rsidP="00CE36B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477F41">
              <w:rPr>
                <w:rFonts w:eastAsia="Calibri" w:cs="Times New Roman"/>
              </w:rPr>
              <w:t>348.7</w:t>
            </w:r>
          </w:p>
        </w:tc>
        <w:tc>
          <w:tcPr>
            <w:tcW w:w="1288" w:type="dxa"/>
          </w:tcPr>
          <w:p w:rsidR="000C0A41" w:rsidRPr="00477F41" w:rsidRDefault="000C0A41" w:rsidP="00CE36B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477F41">
              <w:rPr>
                <w:rFonts w:eastAsia="Calibri" w:cs="Times New Roman"/>
              </w:rPr>
              <w:t>1416.1</w:t>
            </w:r>
          </w:p>
        </w:tc>
        <w:tc>
          <w:tcPr>
            <w:tcW w:w="1288" w:type="dxa"/>
          </w:tcPr>
          <w:p w:rsidR="000C0A41" w:rsidRPr="00477F41" w:rsidRDefault="000C0A41" w:rsidP="00CE36B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477F41">
              <w:rPr>
                <w:rFonts w:eastAsia="Calibri" w:cs="Times New Roman"/>
              </w:rPr>
              <w:t>3426.3</w:t>
            </w:r>
          </w:p>
        </w:tc>
        <w:tc>
          <w:tcPr>
            <w:tcW w:w="1288" w:type="dxa"/>
          </w:tcPr>
          <w:p w:rsidR="000C0A41" w:rsidRPr="00477F41" w:rsidRDefault="000C0A41" w:rsidP="00CE36B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477F41">
              <w:rPr>
                <w:rFonts w:eastAsia="Calibri" w:cs="Times New Roman"/>
              </w:rPr>
              <w:t>5377.0</w:t>
            </w:r>
          </w:p>
        </w:tc>
        <w:tc>
          <w:tcPr>
            <w:tcW w:w="1288" w:type="dxa"/>
          </w:tcPr>
          <w:p w:rsidR="000C0A41" w:rsidRPr="00477F41" w:rsidRDefault="000C0A41" w:rsidP="00CE36B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477F41">
              <w:rPr>
                <w:rFonts w:eastAsia="Calibri" w:cs="Times New Roman"/>
              </w:rPr>
              <w:t>5314.7</w:t>
            </w:r>
          </w:p>
        </w:tc>
      </w:tr>
      <w:tr w:rsidR="000C0A41" w:rsidRPr="00477F41" w:rsidTr="00477F41">
        <w:tc>
          <w:tcPr>
            <w:cnfStyle w:val="001000000000" w:firstRow="0" w:lastRow="0" w:firstColumn="1" w:lastColumn="0" w:oddVBand="0" w:evenVBand="0" w:oddHBand="0" w:evenHBand="0" w:firstRowFirstColumn="0" w:firstRowLastColumn="0" w:lastRowFirstColumn="0" w:lastRowLastColumn="0"/>
            <w:tcW w:w="1288" w:type="dxa"/>
          </w:tcPr>
          <w:p w:rsidR="000C0A41" w:rsidRPr="00477F41" w:rsidRDefault="000C0A41" w:rsidP="00BD30B6">
            <w:pPr>
              <w:rPr>
                <w:rFonts w:eastAsia="Calibri" w:cs="Times New Roman"/>
              </w:rPr>
            </w:pPr>
            <w:r w:rsidRPr="00477F41">
              <w:rPr>
                <w:rFonts w:eastAsia="Calibri" w:cs="Times New Roman"/>
              </w:rPr>
              <w:t>2011</w:t>
            </w:r>
          </w:p>
        </w:tc>
        <w:tc>
          <w:tcPr>
            <w:tcW w:w="1288" w:type="dxa"/>
          </w:tcPr>
          <w:p w:rsidR="000C0A41" w:rsidRPr="00477F41" w:rsidRDefault="000C0A41" w:rsidP="00CE36B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477F41">
              <w:rPr>
                <w:rFonts w:eastAsia="Calibri" w:cs="Times New Roman"/>
              </w:rPr>
              <w:t>33.6</w:t>
            </w:r>
          </w:p>
        </w:tc>
        <w:tc>
          <w:tcPr>
            <w:tcW w:w="1288" w:type="dxa"/>
          </w:tcPr>
          <w:p w:rsidR="000C0A41" w:rsidRPr="00477F41" w:rsidRDefault="000C0A41" w:rsidP="00CE36B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477F41">
              <w:rPr>
                <w:rFonts w:eastAsia="Calibri" w:cs="Times New Roman"/>
              </w:rPr>
              <w:t>370.9</w:t>
            </w:r>
          </w:p>
        </w:tc>
        <w:tc>
          <w:tcPr>
            <w:tcW w:w="1288" w:type="dxa"/>
          </w:tcPr>
          <w:p w:rsidR="000C0A41" w:rsidRPr="00477F41" w:rsidRDefault="000C0A41" w:rsidP="00CE36B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477F41">
              <w:rPr>
                <w:rFonts w:eastAsia="Calibri" w:cs="Times New Roman"/>
              </w:rPr>
              <w:t>1501.2</w:t>
            </w:r>
          </w:p>
        </w:tc>
        <w:tc>
          <w:tcPr>
            <w:tcW w:w="1288" w:type="dxa"/>
          </w:tcPr>
          <w:p w:rsidR="000C0A41" w:rsidRPr="00477F41" w:rsidRDefault="000C0A41" w:rsidP="00CE36B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477F41">
              <w:rPr>
                <w:rFonts w:eastAsia="Calibri" w:cs="Times New Roman"/>
              </w:rPr>
              <w:t>3592.4</w:t>
            </w:r>
          </w:p>
        </w:tc>
        <w:tc>
          <w:tcPr>
            <w:tcW w:w="1288" w:type="dxa"/>
          </w:tcPr>
          <w:p w:rsidR="000C0A41" w:rsidRPr="00477F41" w:rsidRDefault="000C0A41" w:rsidP="00CE36B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477F41">
              <w:rPr>
                <w:rFonts w:eastAsia="Calibri" w:cs="Times New Roman"/>
              </w:rPr>
              <w:t>5654.8</w:t>
            </w:r>
          </w:p>
        </w:tc>
        <w:tc>
          <w:tcPr>
            <w:tcW w:w="1288" w:type="dxa"/>
          </w:tcPr>
          <w:p w:rsidR="000C0A41" w:rsidRPr="00477F41" w:rsidRDefault="000C0A41" w:rsidP="00CE36B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477F41">
              <w:rPr>
                <w:rFonts w:eastAsia="Calibri" w:cs="Times New Roman"/>
              </w:rPr>
              <w:t>5638.1</w:t>
            </w:r>
          </w:p>
        </w:tc>
      </w:tr>
      <w:tr w:rsidR="000C0A41" w:rsidRPr="00477F41" w:rsidTr="00477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rsidR="000C0A41" w:rsidRPr="00477F41" w:rsidRDefault="000C0A41" w:rsidP="00BD30B6">
            <w:pPr>
              <w:rPr>
                <w:rFonts w:eastAsia="Calibri" w:cs="Times New Roman"/>
              </w:rPr>
            </w:pPr>
            <w:r w:rsidRPr="00477F41">
              <w:rPr>
                <w:rFonts w:eastAsia="Calibri" w:cs="Times New Roman"/>
              </w:rPr>
              <w:t>2012</w:t>
            </w:r>
          </w:p>
        </w:tc>
        <w:tc>
          <w:tcPr>
            <w:tcW w:w="1288" w:type="dxa"/>
          </w:tcPr>
          <w:p w:rsidR="000C0A41" w:rsidRPr="00477F41" w:rsidRDefault="000C0A41" w:rsidP="00CE36B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477F41">
              <w:rPr>
                <w:rFonts w:eastAsia="Calibri" w:cs="Times New Roman"/>
              </w:rPr>
              <w:t>31.9</w:t>
            </w:r>
          </w:p>
        </w:tc>
        <w:tc>
          <w:tcPr>
            <w:tcW w:w="1288" w:type="dxa"/>
          </w:tcPr>
          <w:p w:rsidR="000C0A41" w:rsidRPr="00477F41" w:rsidRDefault="000C0A41" w:rsidP="00CE36B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477F41">
              <w:rPr>
                <w:rFonts w:eastAsia="Calibri" w:cs="Times New Roman"/>
              </w:rPr>
              <w:t>391.0</w:t>
            </w:r>
          </w:p>
        </w:tc>
        <w:tc>
          <w:tcPr>
            <w:tcW w:w="1288" w:type="dxa"/>
          </w:tcPr>
          <w:p w:rsidR="000C0A41" w:rsidRPr="00477F41" w:rsidRDefault="000C0A41" w:rsidP="00CE36B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477F41">
              <w:rPr>
                <w:rFonts w:eastAsia="Calibri" w:cs="Times New Roman"/>
              </w:rPr>
              <w:t>1569.2</w:t>
            </w:r>
          </w:p>
        </w:tc>
        <w:tc>
          <w:tcPr>
            <w:tcW w:w="1288" w:type="dxa"/>
          </w:tcPr>
          <w:p w:rsidR="000C0A41" w:rsidRPr="00477F41" w:rsidRDefault="000C0A41" w:rsidP="00CE36B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477F41">
              <w:rPr>
                <w:rFonts w:eastAsia="Calibri" w:cs="Times New Roman"/>
              </w:rPr>
              <w:t>3753.6</w:t>
            </w:r>
          </w:p>
        </w:tc>
        <w:tc>
          <w:tcPr>
            <w:tcW w:w="1288" w:type="dxa"/>
          </w:tcPr>
          <w:p w:rsidR="000C0A41" w:rsidRPr="00477F41" w:rsidRDefault="000C0A41" w:rsidP="00CE36B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477F41">
              <w:rPr>
                <w:rFonts w:eastAsia="Calibri" w:cs="Times New Roman"/>
              </w:rPr>
              <w:t>5834.9</w:t>
            </w:r>
          </w:p>
        </w:tc>
        <w:tc>
          <w:tcPr>
            <w:tcW w:w="1288" w:type="dxa"/>
          </w:tcPr>
          <w:p w:rsidR="000C0A41" w:rsidRPr="00477F41" w:rsidRDefault="000C0A41" w:rsidP="00CE36B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477F41">
              <w:rPr>
                <w:rFonts w:eastAsia="Calibri" w:cs="Times New Roman"/>
              </w:rPr>
              <w:t>5837.7</w:t>
            </w:r>
          </w:p>
        </w:tc>
      </w:tr>
      <w:tr w:rsidR="000C0A41" w:rsidRPr="00477F41" w:rsidTr="00477F41">
        <w:tc>
          <w:tcPr>
            <w:cnfStyle w:val="001000000000" w:firstRow="0" w:lastRow="0" w:firstColumn="1" w:lastColumn="0" w:oddVBand="0" w:evenVBand="0" w:oddHBand="0" w:evenHBand="0" w:firstRowFirstColumn="0" w:firstRowLastColumn="0" w:lastRowFirstColumn="0" w:lastRowLastColumn="0"/>
            <w:tcW w:w="1288" w:type="dxa"/>
          </w:tcPr>
          <w:p w:rsidR="000C0A41" w:rsidRPr="00477F41" w:rsidRDefault="000C0A41" w:rsidP="00BD30B6">
            <w:pPr>
              <w:rPr>
                <w:rFonts w:eastAsia="Calibri" w:cs="Times New Roman"/>
              </w:rPr>
            </w:pPr>
            <w:r w:rsidRPr="00477F41">
              <w:rPr>
                <w:rFonts w:eastAsia="Calibri" w:cs="Times New Roman"/>
              </w:rPr>
              <w:t>2013</w:t>
            </w:r>
          </w:p>
        </w:tc>
        <w:tc>
          <w:tcPr>
            <w:tcW w:w="1288" w:type="dxa"/>
          </w:tcPr>
          <w:p w:rsidR="000C0A41" w:rsidRPr="00477F41" w:rsidRDefault="000C0A41" w:rsidP="00CE36B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477F41">
              <w:rPr>
                <w:rFonts w:eastAsia="Calibri" w:cs="Times New Roman"/>
              </w:rPr>
              <w:t>29.7</w:t>
            </w:r>
          </w:p>
        </w:tc>
        <w:tc>
          <w:tcPr>
            <w:tcW w:w="1288" w:type="dxa"/>
          </w:tcPr>
          <w:p w:rsidR="000C0A41" w:rsidRPr="00477F41" w:rsidRDefault="000C0A41" w:rsidP="00CE36B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477F41">
              <w:rPr>
                <w:rFonts w:eastAsia="Calibri" w:cs="Times New Roman"/>
              </w:rPr>
              <w:t>429.7</w:t>
            </w:r>
          </w:p>
        </w:tc>
        <w:tc>
          <w:tcPr>
            <w:tcW w:w="1288" w:type="dxa"/>
          </w:tcPr>
          <w:p w:rsidR="000C0A41" w:rsidRPr="00477F41" w:rsidRDefault="000C0A41" w:rsidP="00CE36B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477F41">
              <w:rPr>
                <w:rFonts w:eastAsia="Calibri" w:cs="Times New Roman"/>
              </w:rPr>
              <w:t>1638.3</w:t>
            </w:r>
          </w:p>
        </w:tc>
        <w:tc>
          <w:tcPr>
            <w:tcW w:w="1288" w:type="dxa"/>
          </w:tcPr>
          <w:p w:rsidR="000C0A41" w:rsidRPr="00477F41" w:rsidRDefault="000C0A41" w:rsidP="00CE36B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477F41">
              <w:rPr>
                <w:rFonts w:eastAsia="Calibri" w:cs="Times New Roman"/>
              </w:rPr>
              <w:t>3864.4</w:t>
            </w:r>
          </w:p>
        </w:tc>
        <w:tc>
          <w:tcPr>
            <w:tcW w:w="1288" w:type="dxa"/>
          </w:tcPr>
          <w:p w:rsidR="000C0A41" w:rsidRPr="00477F41" w:rsidRDefault="000C0A41" w:rsidP="00CE36B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477F41">
              <w:rPr>
                <w:rFonts w:eastAsia="Calibri" w:cs="Times New Roman"/>
              </w:rPr>
              <w:t>6034.5</w:t>
            </w:r>
          </w:p>
        </w:tc>
        <w:tc>
          <w:tcPr>
            <w:tcW w:w="1288" w:type="dxa"/>
          </w:tcPr>
          <w:p w:rsidR="000C0A41" w:rsidRPr="00477F41" w:rsidRDefault="000C0A41" w:rsidP="00CE36B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477F41">
              <w:rPr>
                <w:rFonts w:eastAsia="Calibri" w:cs="Times New Roman"/>
              </w:rPr>
              <w:t>5960.6</w:t>
            </w:r>
          </w:p>
        </w:tc>
      </w:tr>
      <w:tr w:rsidR="000C0A41" w:rsidRPr="00477F41" w:rsidTr="00477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rsidR="000C0A41" w:rsidRPr="00477F41" w:rsidRDefault="000C0A41" w:rsidP="00BD30B6">
            <w:pPr>
              <w:rPr>
                <w:rFonts w:eastAsia="Calibri" w:cs="Times New Roman"/>
              </w:rPr>
            </w:pPr>
            <w:r w:rsidRPr="00477F41">
              <w:rPr>
                <w:rFonts w:eastAsia="Calibri" w:cs="Times New Roman"/>
              </w:rPr>
              <w:t>2014</w:t>
            </w:r>
          </w:p>
        </w:tc>
        <w:tc>
          <w:tcPr>
            <w:tcW w:w="1288" w:type="dxa"/>
          </w:tcPr>
          <w:p w:rsidR="000C0A41" w:rsidRPr="00477F41" w:rsidRDefault="000C0A41" w:rsidP="00CE36B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477F41">
              <w:rPr>
                <w:rFonts w:eastAsia="Calibri" w:cs="Times New Roman"/>
              </w:rPr>
              <w:t>31.8</w:t>
            </w:r>
          </w:p>
        </w:tc>
        <w:tc>
          <w:tcPr>
            <w:tcW w:w="1288" w:type="dxa"/>
          </w:tcPr>
          <w:p w:rsidR="000C0A41" w:rsidRPr="00477F41" w:rsidRDefault="000C0A41" w:rsidP="00CE36B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477F41">
              <w:rPr>
                <w:rFonts w:eastAsia="Calibri" w:cs="Times New Roman"/>
              </w:rPr>
              <w:t>458.9</w:t>
            </w:r>
          </w:p>
        </w:tc>
        <w:tc>
          <w:tcPr>
            <w:tcW w:w="1288" w:type="dxa"/>
          </w:tcPr>
          <w:p w:rsidR="000C0A41" w:rsidRPr="00477F41" w:rsidRDefault="000C0A41" w:rsidP="00CE36B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477F41">
              <w:rPr>
                <w:rFonts w:eastAsia="Calibri" w:cs="Times New Roman"/>
              </w:rPr>
              <w:t>1656.2</w:t>
            </w:r>
          </w:p>
        </w:tc>
        <w:tc>
          <w:tcPr>
            <w:tcW w:w="1288" w:type="dxa"/>
          </w:tcPr>
          <w:p w:rsidR="000C0A41" w:rsidRPr="00477F41" w:rsidRDefault="000C0A41" w:rsidP="00CE36B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477F41">
              <w:rPr>
                <w:rFonts w:eastAsia="Calibri" w:cs="Times New Roman"/>
              </w:rPr>
              <w:t>3921.8</w:t>
            </w:r>
          </w:p>
        </w:tc>
        <w:tc>
          <w:tcPr>
            <w:tcW w:w="1288" w:type="dxa"/>
          </w:tcPr>
          <w:p w:rsidR="000C0A41" w:rsidRPr="00477F41" w:rsidRDefault="000C0A41" w:rsidP="00CE36B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477F41">
              <w:rPr>
                <w:rFonts w:eastAsia="Calibri" w:cs="Times New Roman"/>
              </w:rPr>
              <w:t>6135.8</w:t>
            </w:r>
          </w:p>
        </w:tc>
        <w:tc>
          <w:tcPr>
            <w:tcW w:w="1288" w:type="dxa"/>
          </w:tcPr>
          <w:p w:rsidR="000C0A41" w:rsidRPr="00477F41" w:rsidRDefault="000C0A41" w:rsidP="00CE36B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477F41">
              <w:rPr>
                <w:rFonts w:eastAsia="Calibri" w:cs="Times New Roman"/>
              </w:rPr>
              <w:t>6009.1</w:t>
            </w:r>
          </w:p>
        </w:tc>
      </w:tr>
      <w:tr w:rsidR="000C0A41" w:rsidRPr="00477F41" w:rsidTr="00477F41">
        <w:tc>
          <w:tcPr>
            <w:cnfStyle w:val="001000000000" w:firstRow="0" w:lastRow="0" w:firstColumn="1" w:lastColumn="0" w:oddVBand="0" w:evenVBand="0" w:oddHBand="0" w:evenHBand="0" w:firstRowFirstColumn="0" w:firstRowLastColumn="0" w:lastRowFirstColumn="0" w:lastRowLastColumn="0"/>
            <w:tcW w:w="1288" w:type="dxa"/>
          </w:tcPr>
          <w:p w:rsidR="000C0A41" w:rsidRPr="00477F41" w:rsidRDefault="000C0A41" w:rsidP="00BD30B6">
            <w:pPr>
              <w:rPr>
                <w:rFonts w:eastAsia="Calibri" w:cs="Times New Roman"/>
              </w:rPr>
            </w:pPr>
            <w:r w:rsidRPr="00477F41">
              <w:rPr>
                <w:rFonts w:eastAsia="Calibri" w:cs="Times New Roman"/>
              </w:rPr>
              <w:t>2015</w:t>
            </w:r>
          </w:p>
        </w:tc>
        <w:tc>
          <w:tcPr>
            <w:tcW w:w="1288" w:type="dxa"/>
          </w:tcPr>
          <w:p w:rsidR="000C0A41" w:rsidRPr="00477F41" w:rsidRDefault="000C0A41" w:rsidP="00CE36B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477F41">
              <w:rPr>
                <w:rFonts w:eastAsia="Calibri" w:cs="Times New Roman"/>
              </w:rPr>
              <w:t>33.6</w:t>
            </w:r>
          </w:p>
        </w:tc>
        <w:tc>
          <w:tcPr>
            <w:tcW w:w="1288" w:type="dxa"/>
          </w:tcPr>
          <w:p w:rsidR="000C0A41" w:rsidRPr="00477F41" w:rsidRDefault="000C0A41" w:rsidP="00CE36B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477F41">
              <w:rPr>
                <w:rFonts w:eastAsia="Calibri" w:cs="Times New Roman"/>
              </w:rPr>
              <w:t>461.1</w:t>
            </w:r>
          </w:p>
        </w:tc>
        <w:tc>
          <w:tcPr>
            <w:tcW w:w="1288" w:type="dxa"/>
          </w:tcPr>
          <w:p w:rsidR="000C0A41" w:rsidRPr="00477F41" w:rsidRDefault="000C0A41" w:rsidP="00CE36B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477F41">
              <w:rPr>
                <w:rFonts w:eastAsia="Calibri" w:cs="Times New Roman"/>
              </w:rPr>
              <w:t>1636.7</w:t>
            </w:r>
          </w:p>
        </w:tc>
        <w:tc>
          <w:tcPr>
            <w:tcW w:w="1288" w:type="dxa"/>
          </w:tcPr>
          <w:p w:rsidR="000C0A41" w:rsidRPr="00477F41" w:rsidRDefault="000C0A41" w:rsidP="00CE36B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477F41">
              <w:rPr>
                <w:rFonts w:eastAsia="Calibri" w:cs="Times New Roman"/>
              </w:rPr>
              <w:t>3978.3</w:t>
            </w:r>
          </w:p>
        </w:tc>
        <w:tc>
          <w:tcPr>
            <w:tcW w:w="1288" w:type="dxa"/>
          </w:tcPr>
          <w:p w:rsidR="000C0A41" w:rsidRPr="00477F41" w:rsidRDefault="000C0A41" w:rsidP="00CE36B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477F41">
              <w:rPr>
                <w:rFonts w:eastAsia="Calibri" w:cs="Times New Roman"/>
              </w:rPr>
              <w:t>6179.4</w:t>
            </w:r>
          </w:p>
        </w:tc>
        <w:tc>
          <w:tcPr>
            <w:tcW w:w="1288" w:type="dxa"/>
          </w:tcPr>
          <w:p w:rsidR="000C0A41" w:rsidRPr="00477F41" w:rsidRDefault="000C0A41" w:rsidP="00CE36B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477F41">
              <w:rPr>
                <w:rFonts w:eastAsia="Calibri" w:cs="Times New Roman"/>
              </w:rPr>
              <w:t>5880.4</w:t>
            </w:r>
          </w:p>
        </w:tc>
      </w:tr>
    </w:tbl>
    <w:p w:rsidR="000C0A41" w:rsidRDefault="000C0A41" w:rsidP="00581285">
      <w:pPr>
        <w:rPr>
          <w:rFonts w:eastAsia="Calibri" w:cs="Times New Roman"/>
        </w:rPr>
        <w:sectPr w:rsidR="000C0A41" w:rsidSect="009243CB">
          <w:headerReference w:type="default" r:id="rId15"/>
          <w:pgSz w:w="11906" w:h="16838"/>
          <w:pgMar w:top="1440" w:right="1440" w:bottom="1440" w:left="1440" w:header="708" w:footer="708" w:gutter="0"/>
          <w:cols w:space="708"/>
          <w:docGrid w:linePitch="360"/>
        </w:sectPr>
      </w:pPr>
    </w:p>
    <w:p w:rsidR="000C0A41" w:rsidRDefault="000C0A41" w:rsidP="00D31955">
      <w:pPr>
        <w:pStyle w:val="Caption"/>
      </w:pPr>
      <w:bookmarkStart w:id="76" w:name="_Ref457806898"/>
      <w:r>
        <w:lastRenderedPageBreak/>
        <w:t xml:space="preserve">Figure </w:t>
      </w:r>
      <w:fldSimple w:instr=" SEQ Figure \* ARABIC ">
        <w:r>
          <w:rPr>
            <w:noProof/>
          </w:rPr>
          <w:t>4</w:t>
        </w:r>
      </w:fldSimple>
      <w:bookmarkEnd w:id="76"/>
      <w:r w:rsidRPr="00D31955">
        <w:t xml:space="preserve">: </w:t>
      </w:r>
      <w:r>
        <w:t>p</w:t>
      </w:r>
      <w:r w:rsidRPr="00D31955">
        <w:t xml:space="preserve">revalence of doctor-diagnosed COPD in the CPRD data: 2000-2014 by </w:t>
      </w:r>
      <w:r>
        <w:t xml:space="preserve">sex and </w:t>
      </w:r>
      <w:r w:rsidRPr="00D31955">
        <w:t>age group</w:t>
      </w:r>
    </w:p>
    <w:p w:rsidR="000C0A41" w:rsidRDefault="000C0A41" w:rsidP="00581285">
      <w:pPr>
        <w:rPr>
          <w:rFonts w:eastAsia="Calibri" w:cs="Times New Roman"/>
        </w:rPr>
      </w:pPr>
      <w:r w:rsidRPr="00B61527">
        <w:rPr>
          <w:rFonts w:eastAsia="Calibri" w:cs="Times New Roman"/>
          <w:noProof/>
          <w:lang w:eastAsia="en-GB"/>
        </w:rPr>
        <w:drawing>
          <wp:inline distT="0" distB="0" distL="0" distR="0" wp14:anchorId="2028E932" wp14:editId="5C86DAC2">
            <wp:extent cx="9278469" cy="3762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284999" cy="3765023"/>
                    </a:xfrm>
                    <a:prstGeom prst="rect">
                      <a:avLst/>
                    </a:prstGeom>
                    <a:noFill/>
                    <a:ln>
                      <a:noFill/>
                    </a:ln>
                  </pic:spPr>
                </pic:pic>
              </a:graphicData>
            </a:graphic>
          </wp:inline>
        </w:drawing>
      </w:r>
    </w:p>
    <w:p w:rsidR="000C0A41" w:rsidRDefault="000C0A41" w:rsidP="00581285">
      <w:pPr>
        <w:rPr>
          <w:rFonts w:eastAsia="Calibri" w:cs="Times New Roman"/>
        </w:rPr>
        <w:sectPr w:rsidR="000C0A41" w:rsidSect="00C54892">
          <w:pgSz w:w="16838" w:h="11906" w:orient="landscape"/>
          <w:pgMar w:top="1440" w:right="1440" w:bottom="1440" w:left="1440" w:header="708" w:footer="708" w:gutter="0"/>
          <w:cols w:space="708"/>
          <w:docGrid w:linePitch="360"/>
        </w:sectPr>
      </w:pPr>
    </w:p>
    <w:p w:rsidR="000C0A41" w:rsidRDefault="000C0A41" w:rsidP="006A5453">
      <w:pPr>
        <w:pStyle w:val="Heading3"/>
      </w:pPr>
      <w:bookmarkStart w:id="77" w:name="_Ref437346515"/>
      <w:bookmarkStart w:id="78" w:name="_Toc458185279"/>
      <w:r>
        <w:lastRenderedPageBreak/>
        <w:t>Baseline descriptive characteristics of CPRD patients</w:t>
      </w:r>
      <w:bookmarkEnd w:id="78"/>
    </w:p>
    <w:p w:rsidR="000C0A41" w:rsidRPr="006A5453" w:rsidRDefault="000C0A41" w:rsidP="00722DFA">
      <w:r w:rsidRPr="006A5453">
        <w:fldChar w:fldCharType="begin"/>
      </w:r>
      <w:r w:rsidRPr="006A5453">
        <w:instrText xml:space="preserve"> REF _Ref442347296 \h  \* MERGEFORMAT </w:instrText>
      </w:r>
      <w:r w:rsidRPr="006A5453">
        <w:fldChar w:fldCharType="separate"/>
      </w:r>
      <w:r w:rsidRPr="000D67AE">
        <w:t xml:space="preserve">Table </w:t>
      </w:r>
      <w:r>
        <w:rPr>
          <w:noProof/>
        </w:rPr>
        <w:t>13</w:t>
      </w:r>
      <w:r w:rsidRPr="006A5453">
        <w:fldChar w:fldCharType="end"/>
      </w:r>
      <w:r w:rsidRPr="006A5453">
        <w:t xml:space="preserve"> shows the baseline characteristics of patients (both </w:t>
      </w:r>
      <w:r>
        <w:t>CPRD/HES/algorithm-</w:t>
      </w:r>
      <w:r w:rsidRPr="006A5453">
        <w:t xml:space="preserve">identified </w:t>
      </w:r>
      <w:r>
        <w:t xml:space="preserve">COPD </w:t>
      </w:r>
      <w:r w:rsidRPr="006A5453">
        <w:t>cases and non-</w:t>
      </w:r>
      <w:r>
        <w:t xml:space="preserve">COPD </w:t>
      </w:r>
      <w:r w:rsidRPr="006A5453">
        <w:t xml:space="preserve">cases) included in the </w:t>
      </w:r>
      <w:r>
        <w:t xml:space="preserve">regression </w:t>
      </w:r>
      <w:r w:rsidRPr="006A5453">
        <w:t>model</w:t>
      </w:r>
      <w:r>
        <w:t>ling</w:t>
      </w:r>
      <w:r w:rsidRPr="006A5453">
        <w:t xml:space="preserve">. The characteristics of these groups are relatively similar, despite </w:t>
      </w:r>
      <w:r>
        <w:t xml:space="preserve">the fact </w:t>
      </w:r>
      <w:r w:rsidRPr="006A5453">
        <w:t>that there is a greater number of younger p</w:t>
      </w:r>
      <w:r>
        <w:t>atients</w:t>
      </w:r>
      <w:r w:rsidRPr="006A5453">
        <w:t xml:space="preserve"> in the controls group</w:t>
      </w:r>
      <w:r>
        <w:t xml:space="preserve"> because of the increasing prevalence with age</w:t>
      </w:r>
      <w:r w:rsidRPr="006A5453">
        <w:t xml:space="preserve">. </w:t>
      </w:r>
    </w:p>
    <w:p w:rsidR="000C0A41" w:rsidRDefault="000C0A41" w:rsidP="006A5453">
      <w:pPr>
        <w:pStyle w:val="Caption"/>
      </w:pPr>
      <w:bookmarkStart w:id="79" w:name="_Ref442347296"/>
      <w:r w:rsidRPr="000D67AE">
        <w:t xml:space="preserve">Table </w:t>
      </w:r>
      <w:fldSimple w:instr=" SEQ Table \* ARABIC ">
        <w:r>
          <w:rPr>
            <w:noProof/>
          </w:rPr>
          <w:t>13</w:t>
        </w:r>
      </w:fldSimple>
      <w:bookmarkEnd w:id="77"/>
      <w:bookmarkEnd w:id="79"/>
      <w:r w:rsidRPr="000D67AE">
        <w:t>: Baseline characteristics of patients in</w:t>
      </w:r>
      <w:r>
        <w:t>clud</w:t>
      </w:r>
      <w:r w:rsidRPr="000D67AE">
        <w:t>ed in the logistic regression model</w:t>
      </w:r>
      <w:r>
        <w:t>s</w:t>
      </w:r>
    </w:p>
    <w:tbl>
      <w:tblPr>
        <w:tblStyle w:val="GridTable4-Accent1"/>
        <w:tblW w:w="9800" w:type="dxa"/>
        <w:jc w:val="center"/>
        <w:tblLook w:val="04A0" w:firstRow="1" w:lastRow="0" w:firstColumn="1" w:lastColumn="0" w:noHBand="0" w:noVBand="1"/>
      </w:tblPr>
      <w:tblGrid>
        <w:gridCol w:w="3083"/>
        <w:gridCol w:w="1560"/>
        <w:gridCol w:w="1735"/>
        <w:gridCol w:w="1617"/>
        <w:gridCol w:w="1805"/>
      </w:tblGrid>
      <w:tr w:rsidR="000C0A41" w:rsidRPr="006C5074" w:rsidTr="00AA764D">
        <w:trPr>
          <w:cnfStyle w:val="100000000000" w:firstRow="1" w:lastRow="0" w:firstColumn="0" w:lastColumn="0" w:oddVBand="0" w:evenVBand="0" w:oddHBand="0" w:evenHBand="0" w:firstRowFirstColumn="0" w:firstRowLastColumn="0" w:lastRowFirstColumn="0" w:lastRowLastColumn="0"/>
          <w:trHeight w:val="227"/>
          <w:tblHeader/>
          <w:jc w:val="center"/>
        </w:trPr>
        <w:tc>
          <w:tcPr>
            <w:cnfStyle w:val="001000000000" w:firstRow="0" w:lastRow="0" w:firstColumn="1" w:lastColumn="0" w:oddVBand="0" w:evenVBand="0" w:oddHBand="0" w:evenHBand="0" w:firstRowFirstColumn="0" w:firstRowLastColumn="0" w:lastRowFirstColumn="0" w:lastRowLastColumn="0"/>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tcMar>
              <w:top w:w="28" w:type="dxa"/>
              <w:left w:w="113" w:type="dxa"/>
              <w:bottom w:w="28" w:type="dxa"/>
              <w:right w:w="113" w:type="dxa"/>
            </w:tcMar>
            <w:hideMark/>
          </w:tcPr>
          <w:p w:rsidR="000C0A41" w:rsidRPr="006C5074" w:rsidRDefault="000C0A41" w:rsidP="00AA764D">
            <w:pPr>
              <w:jc w:val="center"/>
            </w:pPr>
          </w:p>
        </w:tc>
        <w:tc>
          <w:tcPr>
            <w:tcW w:w="329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tcMar>
              <w:top w:w="28" w:type="dxa"/>
              <w:left w:w="113" w:type="dxa"/>
              <w:bottom w:w="28" w:type="dxa"/>
              <w:right w:w="113" w:type="dxa"/>
            </w:tcMar>
            <w:hideMark/>
          </w:tcPr>
          <w:p w:rsidR="000C0A41" w:rsidRPr="006C5074" w:rsidRDefault="000C0A41" w:rsidP="00AA764D">
            <w:pPr>
              <w:jc w:val="center"/>
              <w:cnfStyle w:val="100000000000" w:firstRow="1" w:lastRow="0" w:firstColumn="0" w:lastColumn="0" w:oddVBand="0" w:evenVBand="0" w:oddHBand="0" w:evenHBand="0" w:firstRowFirstColumn="0" w:firstRowLastColumn="0" w:lastRowFirstColumn="0" w:lastRowLastColumn="0"/>
            </w:pPr>
            <w:r w:rsidRPr="006C5074">
              <w:t>CPRD+HES diagnosis</w:t>
            </w:r>
            <w:r>
              <w:t xml:space="preserve"> (N,%)</w:t>
            </w:r>
          </w:p>
        </w:tc>
        <w:tc>
          <w:tcPr>
            <w:tcW w:w="342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tcMar>
              <w:top w:w="28" w:type="dxa"/>
              <w:left w:w="113" w:type="dxa"/>
              <w:bottom w:w="28" w:type="dxa"/>
              <w:right w:w="113" w:type="dxa"/>
            </w:tcMar>
            <w:hideMark/>
          </w:tcPr>
          <w:p w:rsidR="000C0A41" w:rsidRPr="006C5074" w:rsidRDefault="000C0A41" w:rsidP="00AA764D">
            <w:pPr>
              <w:jc w:val="center"/>
              <w:cnfStyle w:val="100000000000" w:firstRow="1" w:lastRow="0" w:firstColumn="0" w:lastColumn="0" w:oddVBand="0" w:evenVBand="0" w:oddHBand="0" w:evenHBand="0" w:firstRowFirstColumn="0" w:firstRowLastColumn="0" w:lastRowFirstColumn="0" w:lastRowLastColumn="0"/>
            </w:pPr>
            <w:r w:rsidRPr="006C5074">
              <w:t>CPRD+HES+Algorithm</w:t>
            </w:r>
            <w:r>
              <w:t xml:space="preserve"> (N,%)</w:t>
            </w:r>
          </w:p>
        </w:tc>
      </w:tr>
      <w:tr w:rsidR="000C0A41" w:rsidRPr="006C5074" w:rsidTr="00AA764D">
        <w:trPr>
          <w:cnfStyle w:val="100000000000" w:firstRow="1" w:lastRow="0" w:firstColumn="0" w:lastColumn="0" w:oddVBand="0" w:evenVBand="0" w:oddHBand="0" w:evenHBand="0" w:firstRowFirstColumn="0" w:firstRowLastColumn="0" w:lastRowFirstColumn="0" w:lastRowLastColumn="0"/>
          <w:trHeight w:val="227"/>
          <w:tblHeader/>
          <w:jc w:val="center"/>
        </w:trPr>
        <w:tc>
          <w:tcPr>
            <w:cnfStyle w:val="001000000000" w:firstRow="0" w:lastRow="0" w:firstColumn="1" w:lastColumn="0" w:oddVBand="0" w:evenVBand="0" w:oddHBand="0" w:evenHBand="0" w:firstRowFirstColumn="0" w:firstRowLastColumn="0" w:lastRowFirstColumn="0" w:lastRowLastColumn="0"/>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tcMar>
              <w:top w:w="28" w:type="dxa"/>
              <w:left w:w="113" w:type="dxa"/>
              <w:bottom w:w="28" w:type="dxa"/>
              <w:right w:w="113" w:type="dxa"/>
            </w:tcMar>
            <w:hideMark/>
          </w:tcPr>
          <w:p w:rsidR="000C0A41" w:rsidRPr="006C5074" w:rsidRDefault="000C0A41" w:rsidP="00AA764D">
            <w:pPr>
              <w:jc w:val="center"/>
            </w:pP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tcMar>
              <w:top w:w="28" w:type="dxa"/>
              <w:left w:w="113" w:type="dxa"/>
              <w:bottom w:w="28" w:type="dxa"/>
              <w:right w:w="113" w:type="dxa"/>
            </w:tcMar>
            <w:hideMark/>
          </w:tcPr>
          <w:p w:rsidR="000C0A41" w:rsidRPr="006C5074" w:rsidRDefault="000C0A41" w:rsidP="00AA764D">
            <w:pPr>
              <w:jc w:val="center"/>
              <w:cnfStyle w:val="100000000000" w:firstRow="1" w:lastRow="0" w:firstColumn="0" w:lastColumn="0" w:oddVBand="0" w:evenVBand="0" w:oddHBand="0" w:evenHBand="0" w:firstRowFirstColumn="0" w:firstRowLastColumn="0" w:lastRowFirstColumn="0" w:lastRowLastColumn="0"/>
            </w:pPr>
            <w:r w:rsidRPr="006C5074">
              <w:t>COPD</w:t>
            </w:r>
          </w:p>
        </w:tc>
        <w:tc>
          <w:tcPr>
            <w:tcW w:w="17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tcMar>
              <w:top w:w="28" w:type="dxa"/>
              <w:left w:w="113" w:type="dxa"/>
              <w:bottom w:w="28" w:type="dxa"/>
              <w:right w:w="113" w:type="dxa"/>
            </w:tcMar>
            <w:hideMark/>
          </w:tcPr>
          <w:p w:rsidR="000C0A41" w:rsidRPr="006C5074" w:rsidRDefault="000C0A41" w:rsidP="00AA764D">
            <w:pPr>
              <w:jc w:val="center"/>
              <w:cnfStyle w:val="100000000000" w:firstRow="1" w:lastRow="0" w:firstColumn="0" w:lastColumn="0" w:oddVBand="0" w:evenVBand="0" w:oddHBand="0" w:evenHBand="0" w:firstRowFirstColumn="0" w:firstRowLastColumn="0" w:lastRowFirstColumn="0" w:lastRowLastColumn="0"/>
            </w:pPr>
            <w:r w:rsidRPr="006C5074">
              <w:t>Non-COPD</w:t>
            </w:r>
          </w:p>
        </w:tc>
        <w:tc>
          <w:tcPr>
            <w:tcW w:w="16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tcMar>
              <w:top w:w="28" w:type="dxa"/>
              <w:left w:w="113" w:type="dxa"/>
              <w:bottom w:w="28" w:type="dxa"/>
              <w:right w:w="113" w:type="dxa"/>
            </w:tcMar>
            <w:hideMark/>
          </w:tcPr>
          <w:p w:rsidR="000C0A41" w:rsidRPr="006C5074" w:rsidRDefault="000C0A41" w:rsidP="00AA764D">
            <w:pPr>
              <w:jc w:val="center"/>
              <w:cnfStyle w:val="100000000000" w:firstRow="1" w:lastRow="0" w:firstColumn="0" w:lastColumn="0" w:oddVBand="0" w:evenVBand="0" w:oddHBand="0" w:evenHBand="0" w:firstRowFirstColumn="0" w:firstRowLastColumn="0" w:lastRowFirstColumn="0" w:lastRowLastColumn="0"/>
            </w:pPr>
            <w:r w:rsidRPr="006C5074">
              <w:t>COPD</w:t>
            </w:r>
          </w:p>
        </w:tc>
        <w:tc>
          <w:tcPr>
            <w:tcW w:w="18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tcMar>
              <w:top w:w="28" w:type="dxa"/>
              <w:left w:w="113" w:type="dxa"/>
              <w:bottom w:w="28" w:type="dxa"/>
              <w:right w:w="113" w:type="dxa"/>
            </w:tcMar>
            <w:hideMark/>
          </w:tcPr>
          <w:p w:rsidR="000C0A41" w:rsidRPr="006C5074" w:rsidRDefault="000C0A41" w:rsidP="00AA764D">
            <w:pPr>
              <w:jc w:val="center"/>
              <w:cnfStyle w:val="100000000000" w:firstRow="1" w:lastRow="0" w:firstColumn="0" w:lastColumn="0" w:oddVBand="0" w:evenVBand="0" w:oddHBand="0" w:evenHBand="0" w:firstRowFirstColumn="0" w:firstRowLastColumn="0" w:lastRowFirstColumn="0" w:lastRowLastColumn="0"/>
            </w:pPr>
            <w:r w:rsidRPr="006C5074">
              <w:t>Non-COPD</w:t>
            </w:r>
          </w:p>
        </w:tc>
      </w:tr>
      <w:tr w:rsidR="000C0A41" w:rsidRPr="00C20173" w:rsidTr="00AA764D">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3083" w:type="dxa"/>
            <w:tcBorders>
              <w:top w:val="single" w:sz="4" w:space="0" w:color="FFFFFF" w:themeColor="background1"/>
            </w:tcBorders>
            <w:noWrap/>
            <w:tcMar>
              <w:top w:w="28" w:type="dxa"/>
              <w:left w:w="113" w:type="dxa"/>
              <w:bottom w:w="28" w:type="dxa"/>
              <w:right w:w="113" w:type="dxa"/>
            </w:tcMar>
          </w:tcPr>
          <w:p w:rsidR="000C0A41" w:rsidRPr="00C20173" w:rsidRDefault="000C0A41" w:rsidP="00AA764D">
            <w:r w:rsidRPr="00C20173">
              <w:t>Age</w:t>
            </w:r>
          </w:p>
        </w:tc>
        <w:tc>
          <w:tcPr>
            <w:tcW w:w="1560" w:type="dxa"/>
            <w:tcBorders>
              <w:top w:val="single" w:sz="4" w:space="0" w:color="FFFFFF" w:themeColor="background1"/>
            </w:tcBorders>
            <w:noWrap/>
            <w:tcMar>
              <w:top w:w="28" w:type="dxa"/>
              <w:left w:w="113" w:type="dxa"/>
              <w:bottom w:w="28" w:type="dxa"/>
              <w:right w:w="113" w:type="dxa"/>
            </w:tcMar>
          </w:tcPr>
          <w:p w:rsidR="000C0A41" w:rsidRPr="00C20173" w:rsidRDefault="000C0A41" w:rsidP="00AA764D">
            <w:pPr>
              <w:jc w:val="center"/>
              <w:cnfStyle w:val="000000100000" w:firstRow="0" w:lastRow="0" w:firstColumn="0" w:lastColumn="0" w:oddVBand="0" w:evenVBand="0" w:oddHBand="1" w:evenHBand="0" w:firstRowFirstColumn="0" w:firstRowLastColumn="0" w:lastRowFirstColumn="0" w:lastRowLastColumn="0"/>
            </w:pPr>
          </w:p>
        </w:tc>
        <w:tc>
          <w:tcPr>
            <w:tcW w:w="1735" w:type="dxa"/>
            <w:tcBorders>
              <w:top w:val="single" w:sz="4" w:space="0" w:color="FFFFFF" w:themeColor="background1"/>
            </w:tcBorders>
            <w:noWrap/>
            <w:tcMar>
              <w:top w:w="28" w:type="dxa"/>
              <w:left w:w="113" w:type="dxa"/>
              <w:bottom w:w="28" w:type="dxa"/>
              <w:right w:w="113" w:type="dxa"/>
            </w:tcMar>
          </w:tcPr>
          <w:p w:rsidR="000C0A41" w:rsidRPr="00C20173" w:rsidRDefault="000C0A41" w:rsidP="00AA764D">
            <w:pPr>
              <w:jc w:val="center"/>
              <w:cnfStyle w:val="000000100000" w:firstRow="0" w:lastRow="0" w:firstColumn="0" w:lastColumn="0" w:oddVBand="0" w:evenVBand="0" w:oddHBand="1" w:evenHBand="0" w:firstRowFirstColumn="0" w:firstRowLastColumn="0" w:lastRowFirstColumn="0" w:lastRowLastColumn="0"/>
            </w:pPr>
          </w:p>
        </w:tc>
        <w:tc>
          <w:tcPr>
            <w:tcW w:w="1617" w:type="dxa"/>
            <w:tcBorders>
              <w:top w:val="single" w:sz="4" w:space="0" w:color="FFFFFF" w:themeColor="background1"/>
            </w:tcBorders>
            <w:noWrap/>
            <w:tcMar>
              <w:top w:w="28" w:type="dxa"/>
              <w:left w:w="113" w:type="dxa"/>
              <w:bottom w:w="28" w:type="dxa"/>
              <w:right w:w="113" w:type="dxa"/>
            </w:tcMar>
          </w:tcPr>
          <w:p w:rsidR="000C0A41" w:rsidRPr="00C20173" w:rsidRDefault="000C0A41" w:rsidP="00AA764D">
            <w:pPr>
              <w:jc w:val="center"/>
              <w:cnfStyle w:val="000000100000" w:firstRow="0" w:lastRow="0" w:firstColumn="0" w:lastColumn="0" w:oddVBand="0" w:evenVBand="0" w:oddHBand="1" w:evenHBand="0" w:firstRowFirstColumn="0" w:firstRowLastColumn="0" w:lastRowFirstColumn="0" w:lastRowLastColumn="0"/>
            </w:pPr>
          </w:p>
        </w:tc>
        <w:tc>
          <w:tcPr>
            <w:tcW w:w="1805" w:type="dxa"/>
            <w:tcBorders>
              <w:top w:val="single" w:sz="4" w:space="0" w:color="FFFFFF" w:themeColor="background1"/>
            </w:tcBorders>
            <w:noWrap/>
            <w:tcMar>
              <w:top w:w="28" w:type="dxa"/>
              <w:left w:w="113" w:type="dxa"/>
              <w:bottom w:w="28" w:type="dxa"/>
              <w:right w:w="113" w:type="dxa"/>
            </w:tcMar>
          </w:tcPr>
          <w:p w:rsidR="000C0A41" w:rsidRPr="00C20173" w:rsidRDefault="000C0A41" w:rsidP="00AA764D">
            <w:pPr>
              <w:jc w:val="center"/>
              <w:cnfStyle w:val="000000100000" w:firstRow="0" w:lastRow="0" w:firstColumn="0" w:lastColumn="0" w:oddVBand="0" w:evenVBand="0" w:oddHBand="1" w:evenHBand="0" w:firstRowFirstColumn="0" w:firstRowLastColumn="0" w:lastRowFirstColumn="0" w:lastRowLastColumn="0"/>
            </w:pPr>
          </w:p>
        </w:tc>
      </w:tr>
      <w:tr w:rsidR="000C0A41" w:rsidRPr="00C20173" w:rsidTr="00AA764D">
        <w:trPr>
          <w:trHeight w:val="227"/>
          <w:jc w:val="center"/>
        </w:trPr>
        <w:tc>
          <w:tcPr>
            <w:cnfStyle w:val="001000000000" w:firstRow="0" w:lastRow="0" w:firstColumn="1" w:lastColumn="0" w:oddVBand="0" w:evenVBand="0" w:oddHBand="0" w:evenHBand="0" w:firstRowFirstColumn="0" w:firstRowLastColumn="0" w:lastRowFirstColumn="0" w:lastRowLastColumn="0"/>
            <w:tcW w:w="3083" w:type="dxa"/>
            <w:noWrap/>
            <w:tcMar>
              <w:top w:w="28" w:type="dxa"/>
              <w:left w:w="113" w:type="dxa"/>
              <w:bottom w:w="28" w:type="dxa"/>
              <w:right w:w="113" w:type="dxa"/>
            </w:tcMar>
            <w:hideMark/>
          </w:tcPr>
          <w:p w:rsidR="000C0A41" w:rsidRPr="006C5074" w:rsidRDefault="000C0A41" w:rsidP="00AA764D">
            <w:pPr>
              <w:jc w:val="right"/>
              <w:rPr>
                <w:b w:val="0"/>
              </w:rPr>
            </w:pPr>
            <w:r w:rsidRPr="006C5074">
              <w:rPr>
                <w:b w:val="0"/>
              </w:rPr>
              <w:t>&lt;40</w:t>
            </w:r>
          </w:p>
        </w:tc>
        <w:tc>
          <w:tcPr>
            <w:tcW w:w="1560" w:type="dxa"/>
            <w:noWrap/>
            <w:tcMar>
              <w:top w:w="28" w:type="dxa"/>
              <w:left w:w="113" w:type="dxa"/>
              <w:bottom w:w="28" w:type="dxa"/>
              <w:right w:w="113" w:type="dxa"/>
            </w:tcMar>
            <w:hideMark/>
          </w:tcPr>
          <w:p w:rsidR="000C0A41" w:rsidRPr="00C20173" w:rsidRDefault="000C0A41" w:rsidP="00AA764D">
            <w:pPr>
              <w:jc w:val="center"/>
              <w:cnfStyle w:val="000000000000" w:firstRow="0" w:lastRow="0" w:firstColumn="0" w:lastColumn="0" w:oddVBand="0" w:evenVBand="0" w:oddHBand="0" w:evenHBand="0" w:firstRowFirstColumn="0" w:firstRowLastColumn="0" w:lastRowFirstColumn="0" w:lastRowLastColumn="0"/>
            </w:pPr>
            <w:r w:rsidRPr="00C20173">
              <w:t>514 (0.71)</w:t>
            </w:r>
          </w:p>
        </w:tc>
        <w:tc>
          <w:tcPr>
            <w:tcW w:w="1735" w:type="dxa"/>
            <w:noWrap/>
            <w:tcMar>
              <w:top w:w="28" w:type="dxa"/>
              <w:left w:w="113" w:type="dxa"/>
              <w:bottom w:w="28" w:type="dxa"/>
              <w:right w:w="113" w:type="dxa"/>
            </w:tcMar>
            <w:hideMark/>
          </w:tcPr>
          <w:p w:rsidR="000C0A41" w:rsidRPr="00C20173" w:rsidRDefault="000C0A41" w:rsidP="00AA764D">
            <w:pPr>
              <w:jc w:val="center"/>
              <w:cnfStyle w:val="000000000000" w:firstRow="0" w:lastRow="0" w:firstColumn="0" w:lastColumn="0" w:oddVBand="0" w:evenVBand="0" w:oddHBand="0" w:evenHBand="0" w:firstRowFirstColumn="0" w:firstRowLastColumn="0" w:lastRowFirstColumn="0" w:lastRowLastColumn="0"/>
            </w:pPr>
            <w:r w:rsidRPr="00C20173">
              <w:t>1,755,953 (50.0)</w:t>
            </w:r>
          </w:p>
        </w:tc>
        <w:tc>
          <w:tcPr>
            <w:tcW w:w="1617" w:type="dxa"/>
            <w:noWrap/>
            <w:tcMar>
              <w:top w:w="28" w:type="dxa"/>
              <w:left w:w="113" w:type="dxa"/>
              <w:bottom w:w="28" w:type="dxa"/>
              <w:right w:w="113" w:type="dxa"/>
            </w:tcMar>
            <w:hideMark/>
          </w:tcPr>
          <w:p w:rsidR="000C0A41" w:rsidRPr="00C20173" w:rsidRDefault="000C0A41" w:rsidP="00AA764D">
            <w:pPr>
              <w:jc w:val="center"/>
              <w:cnfStyle w:val="000000000000" w:firstRow="0" w:lastRow="0" w:firstColumn="0" w:lastColumn="0" w:oddVBand="0" w:evenVBand="0" w:oddHBand="0" w:evenHBand="0" w:firstRowFirstColumn="0" w:firstRowLastColumn="0" w:lastRowFirstColumn="0" w:lastRowLastColumn="0"/>
            </w:pPr>
            <w:r w:rsidRPr="00C20173">
              <w:t>141,320 (24.4)</w:t>
            </w:r>
          </w:p>
        </w:tc>
        <w:tc>
          <w:tcPr>
            <w:tcW w:w="1805" w:type="dxa"/>
            <w:noWrap/>
            <w:tcMar>
              <w:top w:w="28" w:type="dxa"/>
              <w:left w:w="113" w:type="dxa"/>
              <w:bottom w:w="28" w:type="dxa"/>
              <w:right w:w="113" w:type="dxa"/>
            </w:tcMar>
            <w:hideMark/>
          </w:tcPr>
          <w:p w:rsidR="000C0A41" w:rsidRPr="00C20173" w:rsidRDefault="000C0A41" w:rsidP="00AA764D">
            <w:pPr>
              <w:jc w:val="center"/>
              <w:cnfStyle w:val="000000000000" w:firstRow="0" w:lastRow="0" w:firstColumn="0" w:lastColumn="0" w:oddVBand="0" w:evenVBand="0" w:oddHBand="0" w:evenHBand="0" w:firstRowFirstColumn="0" w:firstRowLastColumn="0" w:lastRowFirstColumn="0" w:lastRowLastColumn="0"/>
            </w:pPr>
            <w:r w:rsidRPr="00C20173">
              <w:t>1,615,147 (53.81)</w:t>
            </w:r>
          </w:p>
        </w:tc>
      </w:tr>
      <w:tr w:rsidR="000C0A41" w:rsidRPr="00C20173" w:rsidTr="00AA764D">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3083" w:type="dxa"/>
            <w:noWrap/>
            <w:tcMar>
              <w:top w:w="28" w:type="dxa"/>
              <w:left w:w="113" w:type="dxa"/>
              <w:bottom w:w="28" w:type="dxa"/>
              <w:right w:w="113" w:type="dxa"/>
            </w:tcMar>
            <w:hideMark/>
          </w:tcPr>
          <w:p w:rsidR="000C0A41" w:rsidRPr="006C5074" w:rsidRDefault="000C0A41" w:rsidP="00AA764D">
            <w:pPr>
              <w:jc w:val="right"/>
              <w:rPr>
                <w:b w:val="0"/>
              </w:rPr>
            </w:pPr>
            <w:r w:rsidRPr="006C5074">
              <w:rPr>
                <w:b w:val="0"/>
              </w:rPr>
              <w:t>40-49</w:t>
            </w:r>
          </w:p>
        </w:tc>
        <w:tc>
          <w:tcPr>
            <w:tcW w:w="1560" w:type="dxa"/>
            <w:noWrap/>
            <w:tcMar>
              <w:top w:w="28" w:type="dxa"/>
              <w:left w:w="113" w:type="dxa"/>
              <w:bottom w:w="28" w:type="dxa"/>
              <w:right w:w="113" w:type="dxa"/>
            </w:tcMar>
            <w:hideMark/>
          </w:tcPr>
          <w:p w:rsidR="000C0A41" w:rsidRPr="00C20173" w:rsidRDefault="000C0A41" w:rsidP="00AA764D">
            <w:pPr>
              <w:jc w:val="center"/>
              <w:cnfStyle w:val="000000100000" w:firstRow="0" w:lastRow="0" w:firstColumn="0" w:lastColumn="0" w:oddVBand="0" w:evenVBand="0" w:oddHBand="1" w:evenHBand="0" w:firstRowFirstColumn="0" w:firstRowLastColumn="0" w:lastRowFirstColumn="0" w:lastRowLastColumn="0"/>
            </w:pPr>
            <w:r w:rsidRPr="00C20173">
              <w:t>3,253 (4.5)</w:t>
            </w:r>
          </w:p>
        </w:tc>
        <w:tc>
          <w:tcPr>
            <w:tcW w:w="1735" w:type="dxa"/>
            <w:noWrap/>
            <w:tcMar>
              <w:top w:w="28" w:type="dxa"/>
              <w:left w:w="113" w:type="dxa"/>
              <w:bottom w:w="28" w:type="dxa"/>
              <w:right w:w="113" w:type="dxa"/>
            </w:tcMar>
            <w:hideMark/>
          </w:tcPr>
          <w:p w:rsidR="000C0A41" w:rsidRPr="00C20173" w:rsidRDefault="000C0A41" w:rsidP="00AA764D">
            <w:pPr>
              <w:jc w:val="center"/>
              <w:cnfStyle w:val="000000100000" w:firstRow="0" w:lastRow="0" w:firstColumn="0" w:lastColumn="0" w:oddVBand="0" w:evenVBand="0" w:oddHBand="1" w:evenHBand="0" w:firstRowFirstColumn="0" w:firstRowLastColumn="0" w:lastRowFirstColumn="0" w:lastRowLastColumn="0"/>
            </w:pPr>
            <w:r w:rsidRPr="00C20173">
              <w:t>514,970 (14.7)</w:t>
            </w:r>
          </w:p>
        </w:tc>
        <w:tc>
          <w:tcPr>
            <w:tcW w:w="1617" w:type="dxa"/>
            <w:noWrap/>
            <w:tcMar>
              <w:top w:w="28" w:type="dxa"/>
              <w:left w:w="113" w:type="dxa"/>
              <w:bottom w:w="28" w:type="dxa"/>
              <w:right w:w="113" w:type="dxa"/>
            </w:tcMar>
            <w:hideMark/>
          </w:tcPr>
          <w:p w:rsidR="000C0A41" w:rsidRPr="00C20173" w:rsidRDefault="000C0A41" w:rsidP="00AA764D">
            <w:pPr>
              <w:jc w:val="center"/>
              <w:cnfStyle w:val="000000100000" w:firstRow="0" w:lastRow="0" w:firstColumn="0" w:lastColumn="0" w:oddVBand="0" w:evenVBand="0" w:oddHBand="1" w:evenHBand="0" w:firstRowFirstColumn="0" w:firstRowLastColumn="0" w:lastRowFirstColumn="0" w:lastRowLastColumn="0"/>
            </w:pPr>
            <w:r w:rsidRPr="00C20173">
              <w:t>87,545 (15.1)</w:t>
            </w:r>
          </w:p>
        </w:tc>
        <w:tc>
          <w:tcPr>
            <w:tcW w:w="1805" w:type="dxa"/>
            <w:noWrap/>
            <w:tcMar>
              <w:top w:w="28" w:type="dxa"/>
              <w:left w:w="113" w:type="dxa"/>
              <w:bottom w:w="28" w:type="dxa"/>
              <w:right w:w="113" w:type="dxa"/>
            </w:tcMar>
            <w:hideMark/>
          </w:tcPr>
          <w:p w:rsidR="000C0A41" w:rsidRPr="00C20173" w:rsidRDefault="000C0A41" w:rsidP="00AA764D">
            <w:pPr>
              <w:jc w:val="center"/>
              <w:cnfStyle w:val="000000100000" w:firstRow="0" w:lastRow="0" w:firstColumn="0" w:lastColumn="0" w:oddVBand="0" w:evenVBand="0" w:oddHBand="1" w:evenHBand="0" w:firstRowFirstColumn="0" w:firstRowLastColumn="0" w:lastRowFirstColumn="0" w:lastRowLastColumn="0"/>
            </w:pPr>
            <w:r w:rsidRPr="00C20173">
              <w:t>430,678 (14.4)</w:t>
            </w:r>
          </w:p>
        </w:tc>
      </w:tr>
      <w:tr w:rsidR="000C0A41" w:rsidRPr="00C20173" w:rsidTr="00AA764D">
        <w:trPr>
          <w:trHeight w:val="227"/>
          <w:jc w:val="center"/>
        </w:trPr>
        <w:tc>
          <w:tcPr>
            <w:cnfStyle w:val="001000000000" w:firstRow="0" w:lastRow="0" w:firstColumn="1" w:lastColumn="0" w:oddVBand="0" w:evenVBand="0" w:oddHBand="0" w:evenHBand="0" w:firstRowFirstColumn="0" w:firstRowLastColumn="0" w:lastRowFirstColumn="0" w:lastRowLastColumn="0"/>
            <w:tcW w:w="3083" w:type="dxa"/>
            <w:noWrap/>
            <w:tcMar>
              <w:top w:w="28" w:type="dxa"/>
              <w:left w:w="113" w:type="dxa"/>
              <w:bottom w:w="28" w:type="dxa"/>
              <w:right w:w="113" w:type="dxa"/>
            </w:tcMar>
            <w:hideMark/>
          </w:tcPr>
          <w:p w:rsidR="000C0A41" w:rsidRPr="006C5074" w:rsidRDefault="000C0A41" w:rsidP="00AA764D">
            <w:pPr>
              <w:jc w:val="right"/>
              <w:rPr>
                <w:b w:val="0"/>
              </w:rPr>
            </w:pPr>
            <w:r w:rsidRPr="006C5074">
              <w:rPr>
                <w:b w:val="0"/>
              </w:rPr>
              <w:t>50-59</w:t>
            </w:r>
          </w:p>
        </w:tc>
        <w:tc>
          <w:tcPr>
            <w:tcW w:w="1560" w:type="dxa"/>
            <w:noWrap/>
            <w:tcMar>
              <w:top w:w="28" w:type="dxa"/>
              <w:left w:w="113" w:type="dxa"/>
              <w:bottom w:w="28" w:type="dxa"/>
              <w:right w:w="113" w:type="dxa"/>
            </w:tcMar>
            <w:hideMark/>
          </w:tcPr>
          <w:p w:rsidR="000C0A41" w:rsidRPr="00C20173" w:rsidRDefault="000C0A41" w:rsidP="00AA764D">
            <w:pPr>
              <w:jc w:val="center"/>
              <w:cnfStyle w:val="000000000000" w:firstRow="0" w:lastRow="0" w:firstColumn="0" w:lastColumn="0" w:oddVBand="0" w:evenVBand="0" w:oddHBand="0" w:evenHBand="0" w:firstRowFirstColumn="0" w:firstRowLastColumn="0" w:lastRowFirstColumn="0" w:lastRowLastColumn="0"/>
            </w:pPr>
            <w:r w:rsidRPr="00C20173">
              <w:t>9,929 (13.8)</w:t>
            </w:r>
          </w:p>
        </w:tc>
        <w:tc>
          <w:tcPr>
            <w:tcW w:w="1735" w:type="dxa"/>
            <w:noWrap/>
            <w:tcMar>
              <w:top w:w="28" w:type="dxa"/>
              <w:left w:w="113" w:type="dxa"/>
              <w:bottom w:w="28" w:type="dxa"/>
              <w:right w:w="113" w:type="dxa"/>
            </w:tcMar>
            <w:hideMark/>
          </w:tcPr>
          <w:p w:rsidR="000C0A41" w:rsidRPr="00C20173" w:rsidRDefault="000C0A41" w:rsidP="00AA764D">
            <w:pPr>
              <w:jc w:val="center"/>
              <w:cnfStyle w:val="000000000000" w:firstRow="0" w:lastRow="0" w:firstColumn="0" w:lastColumn="0" w:oddVBand="0" w:evenVBand="0" w:oddHBand="0" w:evenHBand="0" w:firstRowFirstColumn="0" w:firstRowLastColumn="0" w:lastRowFirstColumn="0" w:lastRowLastColumn="0"/>
            </w:pPr>
            <w:r w:rsidRPr="00C20173">
              <w:t>467,938 (13.3)</w:t>
            </w:r>
          </w:p>
        </w:tc>
        <w:tc>
          <w:tcPr>
            <w:tcW w:w="1617" w:type="dxa"/>
            <w:noWrap/>
            <w:tcMar>
              <w:top w:w="28" w:type="dxa"/>
              <w:left w:w="113" w:type="dxa"/>
              <w:bottom w:w="28" w:type="dxa"/>
              <w:right w:w="113" w:type="dxa"/>
            </w:tcMar>
            <w:hideMark/>
          </w:tcPr>
          <w:p w:rsidR="000C0A41" w:rsidRPr="00C20173" w:rsidRDefault="000C0A41" w:rsidP="00AA764D">
            <w:pPr>
              <w:jc w:val="center"/>
              <w:cnfStyle w:val="000000000000" w:firstRow="0" w:lastRow="0" w:firstColumn="0" w:lastColumn="0" w:oddVBand="0" w:evenVBand="0" w:oddHBand="0" w:evenHBand="0" w:firstRowFirstColumn="0" w:firstRowLastColumn="0" w:lastRowFirstColumn="0" w:lastRowLastColumn="0"/>
            </w:pPr>
            <w:r w:rsidRPr="00C20173">
              <w:t>95,812 (16.5)</w:t>
            </w:r>
          </w:p>
        </w:tc>
        <w:tc>
          <w:tcPr>
            <w:tcW w:w="1805" w:type="dxa"/>
            <w:noWrap/>
            <w:tcMar>
              <w:top w:w="28" w:type="dxa"/>
              <w:left w:w="113" w:type="dxa"/>
              <w:bottom w:w="28" w:type="dxa"/>
              <w:right w:w="113" w:type="dxa"/>
            </w:tcMar>
            <w:hideMark/>
          </w:tcPr>
          <w:p w:rsidR="000C0A41" w:rsidRPr="00C20173" w:rsidRDefault="000C0A41" w:rsidP="00AA764D">
            <w:pPr>
              <w:jc w:val="center"/>
              <w:cnfStyle w:val="000000000000" w:firstRow="0" w:lastRow="0" w:firstColumn="0" w:lastColumn="0" w:oddVBand="0" w:evenVBand="0" w:oddHBand="0" w:evenHBand="0" w:firstRowFirstColumn="0" w:firstRowLastColumn="0" w:lastRowFirstColumn="0" w:lastRowLastColumn="0"/>
            </w:pPr>
            <w:r w:rsidRPr="00C20173">
              <w:t>382,055 (12.7)</w:t>
            </w:r>
          </w:p>
        </w:tc>
      </w:tr>
      <w:tr w:rsidR="000C0A41" w:rsidRPr="00C20173" w:rsidTr="00AA764D">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3083" w:type="dxa"/>
            <w:noWrap/>
            <w:tcMar>
              <w:top w:w="28" w:type="dxa"/>
              <w:left w:w="113" w:type="dxa"/>
              <w:bottom w:w="28" w:type="dxa"/>
              <w:right w:w="113" w:type="dxa"/>
            </w:tcMar>
            <w:hideMark/>
          </w:tcPr>
          <w:p w:rsidR="000C0A41" w:rsidRPr="006C5074" w:rsidRDefault="000C0A41" w:rsidP="00AA764D">
            <w:pPr>
              <w:jc w:val="right"/>
              <w:rPr>
                <w:b w:val="0"/>
              </w:rPr>
            </w:pPr>
            <w:r w:rsidRPr="006C5074">
              <w:rPr>
                <w:b w:val="0"/>
              </w:rPr>
              <w:t>60-69</w:t>
            </w:r>
          </w:p>
        </w:tc>
        <w:tc>
          <w:tcPr>
            <w:tcW w:w="1560" w:type="dxa"/>
            <w:noWrap/>
            <w:tcMar>
              <w:top w:w="28" w:type="dxa"/>
              <w:left w:w="113" w:type="dxa"/>
              <w:bottom w:w="28" w:type="dxa"/>
              <w:right w:w="113" w:type="dxa"/>
            </w:tcMar>
            <w:hideMark/>
          </w:tcPr>
          <w:p w:rsidR="000C0A41" w:rsidRPr="00C20173" w:rsidRDefault="000C0A41" w:rsidP="00AA764D">
            <w:pPr>
              <w:jc w:val="center"/>
              <w:cnfStyle w:val="000000100000" w:firstRow="0" w:lastRow="0" w:firstColumn="0" w:lastColumn="0" w:oddVBand="0" w:evenVBand="0" w:oddHBand="1" w:evenHBand="0" w:firstRowFirstColumn="0" w:firstRowLastColumn="0" w:lastRowFirstColumn="0" w:lastRowLastColumn="0"/>
            </w:pPr>
            <w:r w:rsidRPr="00C20173">
              <w:t>20,466 (28.5)</w:t>
            </w:r>
          </w:p>
        </w:tc>
        <w:tc>
          <w:tcPr>
            <w:tcW w:w="1735" w:type="dxa"/>
            <w:noWrap/>
            <w:tcMar>
              <w:top w:w="28" w:type="dxa"/>
              <w:left w:w="113" w:type="dxa"/>
              <w:bottom w:w="28" w:type="dxa"/>
              <w:right w:w="113" w:type="dxa"/>
            </w:tcMar>
            <w:hideMark/>
          </w:tcPr>
          <w:p w:rsidR="000C0A41" w:rsidRPr="00C20173" w:rsidRDefault="000C0A41" w:rsidP="00AA764D">
            <w:pPr>
              <w:jc w:val="center"/>
              <w:cnfStyle w:val="000000100000" w:firstRow="0" w:lastRow="0" w:firstColumn="0" w:lastColumn="0" w:oddVBand="0" w:evenVBand="0" w:oddHBand="1" w:evenHBand="0" w:firstRowFirstColumn="0" w:firstRowLastColumn="0" w:lastRowFirstColumn="0" w:lastRowLastColumn="0"/>
            </w:pPr>
            <w:r w:rsidRPr="00C20173">
              <w:t>372,715 (10.6)</w:t>
            </w:r>
          </w:p>
        </w:tc>
        <w:tc>
          <w:tcPr>
            <w:tcW w:w="1617" w:type="dxa"/>
            <w:noWrap/>
            <w:tcMar>
              <w:top w:w="28" w:type="dxa"/>
              <w:left w:w="113" w:type="dxa"/>
              <w:bottom w:w="28" w:type="dxa"/>
              <w:right w:w="113" w:type="dxa"/>
            </w:tcMar>
            <w:hideMark/>
          </w:tcPr>
          <w:p w:rsidR="000C0A41" w:rsidRPr="00C20173" w:rsidRDefault="000C0A41" w:rsidP="00AA764D">
            <w:pPr>
              <w:jc w:val="center"/>
              <w:cnfStyle w:val="000000100000" w:firstRow="0" w:lastRow="0" w:firstColumn="0" w:lastColumn="0" w:oddVBand="0" w:evenVBand="0" w:oddHBand="1" w:evenHBand="0" w:firstRowFirstColumn="0" w:firstRowLastColumn="0" w:lastRowFirstColumn="0" w:lastRowLastColumn="0"/>
            </w:pPr>
            <w:r w:rsidRPr="00C20173">
              <w:t>108,246 (18.7)</w:t>
            </w:r>
          </w:p>
        </w:tc>
        <w:tc>
          <w:tcPr>
            <w:tcW w:w="1805" w:type="dxa"/>
            <w:noWrap/>
            <w:tcMar>
              <w:top w:w="28" w:type="dxa"/>
              <w:left w:w="113" w:type="dxa"/>
              <w:bottom w:w="28" w:type="dxa"/>
              <w:right w:w="113" w:type="dxa"/>
            </w:tcMar>
            <w:hideMark/>
          </w:tcPr>
          <w:p w:rsidR="000C0A41" w:rsidRPr="00C20173" w:rsidRDefault="000C0A41" w:rsidP="00AA764D">
            <w:pPr>
              <w:jc w:val="center"/>
              <w:cnfStyle w:val="000000100000" w:firstRow="0" w:lastRow="0" w:firstColumn="0" w:lastColumn="0" w:oddVBand="0" w:evenVBand="0" w:oddHBand="1" w:evenHBand="0" w:firstRowFirstColumn="0" w:firstRowLastColumn="0" w:lastRowFirstColumn="0" w:lastRowLastColumn="0"/>
            </w:pPr>
            <w:r w:rsidRPr="00C20173">
              <w:t>284,935 (9.5)</w:t>
            </w:r>
          </w:p>
        </w:tc>
      </w:tr>
      <w:tr w:rsidR="000C0A41" w:rsidRPr="00C20173" w:rsidTr="00AA764D">
        <w:trPr>
          <w:trHeight w:val="227"/>
          <w:jc w:val="center"/>
        </w:trPr>
        <w:tc>
          <w:tcPr>
            <w:cnfStyle w:val="001000000000" w:firstRow="0" w:lastRow="0" w:firstColumn="1" w:lastColumn="0" w:oddVBand="0" w:evenVBand="0" w:oddHBand="0" w:evenHBand="0" w:firstRowFirstColumn="0" w:firstRowLastColumn="0" w:lastRowFirstColumn="0" w:lastRowLastColumn="0"/>
            <w:tcW w:w="3083" w:type="dxa"/>
            <w:noWrap/>
            <w:tcMar>
              <w:top w:w="28" w:type="dxa"/>
              <w:left w:w="113" w:type="dxa"/>
              <w:bottom w:w="28" w:type="dxa"/>
              <w:right w:w="113" w:type="dxa"/>
            </w:tcMar>
            <w:hideMark/>
          </w:tcPr>
          <w:p w:rsidR="000C0A41" w:rsidRPr="006C5074" w:rsidRDefault="000C0A41" w:rsidP="00AA764D">
            <w:pPr>
              <w:jc w:val="right"/>
              <w:rPr>
                <w:b w:val="0"/>
              </w:rPr>
            </w:pPr>
            <w:r w:rsidRPr="006C5074">
              <w:rPr>
                <w:b w:val="0"/>
              </w:rPr>
              <w:t>70-79</w:t>
            </w:r>
          </w:p>
        </w:tc>
        <w:tc>
          <w:tcPr>
            <w:tcW w:w="1560" w:type="dxa"/>
            <w:noWrap/>
            <w:tcMar>
              <w:top w:w="28" w:type="dxa"/>
              <w:left w:w="113" w:type="dxa"/>
              <w:bottom w:w="28" w:type="dxa"/>
              <w:right w:w="113" w:type="dxa"/>
            </w:tcMar>
            <w:hideMark/>
          </w:tcPr>
          <w:p w:rsidR="000C0A41" w:rsidRPr="00C20173" w:rsidRDefault="000C0A41" w:rsidP="00AA764D">
            <w:pPr>
              <w:jc w:val="center"/>
              <w:cnfStyle w:val="000000000000" w:firstRow="0" w:lastRow="0" w:firstColumn="0" w:lastColumn="0" w:oddVBand="0" w:evenVBand="0" w:oddHBand="0" w:evenHBand="0" w:firstRowFirstColumn="0" w:firstRowLastColumn="0" w:lastRowFirstColumn="0" w:lastRowLastColumn="0"/>
            </w:pPr>
            <w:r w:rsidRPr="00C20173">
              <w:t>23,050 (32.0)</w:t>
            </w:r>
          </w:p>
        </w:tc>
        <w:tc>
          <w:tcPr>
            <w:tcW w:w="1735" w:type="dxa"/>
            <w:noWrap/>
            <w:tcMar>
              <w:top w:w="28" w:type="dxa"/>
              <w:left w:w="113" w:type="dxa"/>
              <w:bottom w:w="28" w:type="dxa"/>
              <w:right w:w="113" w:type="dxa"/>
            </w:tcMar>
            <w:hideMark/>
          </w:tcPr>
          <w:p w:rsidR="000C0A41" w:rsidRPr="00C20173" w:rsidRDefault="000C0A41" w:rsidP="00AA764D">
            <w:pPr>
              <w:jc w:val="center"/>
              <w:cnfStyle w:val="000000000000" w:firstRow="0" w:lastRow="0" w:firstColumn="0" w:lastColumn="0" w:oddVBand="0" w:evenVBand="0" w:oddHBand="0" w:evenHBand="0" w:firstRowFirstColumn="0" w:firstRowLastColumn="0" w:lastRowFirstColumn="0" w:lastRowLastColumn="0"/>
            </w:pPr>
            <w:r w:rsidRPr="00C20173">
              <w:t>243,000 (6.9)</w:t>
            </w:r>
          </w:p>
        </w:tc>
        <w:tc>
          <w:tcPr>
            <w:tcW w:w="1617" w:type="dxa"/>
            <w:noWrap/>
            <w:tcMar>
              <w:top w:w="28" w:type="dxa"/>
              <w:left w:w="113" w:type="dxa"/>
              <w:bottom w:w="28" w:type="dxa"/>
              <w:right w:w="113" w:type="dxa"/>
            </w:tcMar>
            <w:hideMark/>
          </w:tcPr>
          <w:p w:rsidR="000C0A41" w:rsidRPr="00C20173" w:rsidRDefault="000C0A41" w:rsidP="00AA764D">
            <w:pPr>
              <w:jc w:val="center"/>
              <w:cnfStyle w:val="000000000000" w:firstRow="0" w:lastRow="0" w:firstColumn="0" w:lastColumn="0" w:oddVBand="0" w:evenVBand="0" w:oddHBand="0" w:evenHBand="0" w:firstRowFirstColumn="0" w:firstRowLastColumn="0" w:lastRowFirstColumn="0" w:lastRowLastColumn="0"/>
            </w:pPr>
            <w:r w:rsidRPr="00C20173">
              <w:t>90,453 (15.6)</w:t>
            </w:r>
          </w:p>
        </w:tc>
        <w:tc>
          <w:tcPr>
            <w:tcW w:w="1805" w:type="dxa"/>
            <w:noWrap/>
            <w:tcMar>
              <w:top w:w="28" w:type="dxa"/>
              <w:left w:w="113" w:type="dxa"/>
              <w:bottom w:w="28" w:type="dxa"/>
              <w:right w:w="113" w:type="dxa"/>
            </w:tcMar>
            <w:hideMark/>
          </w:tcPr>
          <w:p w:rsidR="000C0A41" w:rsidRPr="00C20173" w:rsidRDefault="000C0A41" w:rsidP="00AA764D">
            <w:pPr>
              <w:jc w:val="center"/>
              <w:cnfStyle w:val="000000000000" w:firstRow="0" w:lastRow="0" w:firstColumn="0" w:lastColumn="0" w:oddVBand="0" w:evenVBand="0" w:oddHBand="0" w:evenHBand="0" w:firstRowFirstColumn="0" w:firstRowLastColumn="0" w:lastRowFirstColumn="0" w:lastRowLastColumn="0"/>
            </w:pPr>
            <w:r w:rsidRPr="00C20173">
              <w:t>175,597 (5.9)</w:t>
            </w:r>
          </w:p>
        </w:tc>
      </w:tr>
      <w:tr w:rsidR="000C0A41" w:rsidRPr="00C20173" w:rsidTr="00AA764D">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3083" w:type="dxa"/>
            <w:noWrap/>
            <w:tcMar>
              <w:top w:w="28" w:type="dxa"/>
              <w:left w:w="113" w:type="dxa"/>
              <w:bottom w:w="28" w:type="dxa"/>
              <w:right w:w="113" w:type="dxa"/>
            </w:tcMar>
            <w:hideMark/>
          </w:tcPr>
          <w:p w:rsidR="000C0A41" w:rsidRPr="006C5074" w:rsidRDefault="000C0A41" w:rsidP="00AA764D">
            <w:pPr>
              <w:jc w:val="right"/>
              <w:rPr>
                <w:b w:val="0"/>
              </w:rPr>
            </w:pPr>
            <w:r w:rsidRPr="006C5074">
              <w:rPr>
                <w:b w:val="0"/>
              </w:rPr>
              <w:t>80+</w:t>
            </w:r>
          </w:p>
        </w:tc>
        <w:tc>
          <w:tcPr>
            <w:tcW w:w="1560" w:type="dxa"/>
            <w:noWrap/>
            <w:tcMar>
              <w:top w:w="28" w:type="dxa"/>
              <w:left w:w="113" w:type="dxa"/>
              <w:bottom w:w="28" w:type="dxa"/>
              <w:right w:w="113" w:type="dxa"/>
            </w:tcMar>
            <w:hideMark/>
          </w:tcPr>
          <w:p w:rsidR="000C0A41" w:rsidRPr="00C20173" w:rsidRDefault="000C0A41" w:rsidP="00AA764D">
            <w:pPr>
              <w:jc w:val="center"/>
              <w:cnfStyle w:val="000000100000" w:firstRow="0" w:lastRow="0" w:firstColumn="0" w:lastColumn="0" w:oddVBand="0" w:evenVBand="0" w:oddHBand="1" w:evenHBand="0" w:firstRowFirstColumn="0" w:firstRowLastColumn="0" w:lastRowFirstColumn="0" w:lastRowLastColumn="0"/>
            </w:pPr>
            <w:r w:rsidRPr="00C20173">
              <w:t>14,737 (20.5)</w:t>
            </w:r>
          </w:p>
        </w:tc>
        <w:tc>
          <w:tcPr>
            <w:tcW w:w="1735" w:type="dxa"/>
            <w:noWrap/>
            <w:tcMar>
              <w:top w:w="28" w:type="dxa"/>
              <w:left w:w="113" w:type="dxa"/>
              <w:bottom w:w="28" w:type="dxa"/>
              <w:right w:w="113" w:type="dxa"/>
            </w:tcMar>
            <w:hideMark/>
          </w:tcPr>
          <w:p w:rsidR="000C0A41" w:rsidRPr="00C20173" w:rsidRDefault="000C0A41" w:rsidP="00AA764D">
            <w:pPr>
              <w:jc w:val="center"/>
              <w:cnfStyle w:val="000000100000" w:firstRow="0" w:lastRow="0" w:firstColumn="0" w:lastColumn="0" w:oddVBand="0" w:evenVBand="0" w:oddHBand="1" w:evenHBand="0" w:firstRowFirstColumn="0" w:firstRowLastColumn="0" w:lastRowFirstColumn="0" w:lastRowLastColumn="0"/>
            </w:pPr>
            <w:r w:rsidRPr="00C20173">
              <w:t>154,516 (4.4)</w:t>
            </w:r>
          </w:p>
        </w:tc>
        <w:tc>
          <w:tcPr>
            <w:tcW w:w="1617" w:type="dxa"/>
            <w:noWrap/>
            <w:tcMar>
              <w:top w:w="28" w:type="dxa"/>
              <w:left w:w="113" w:type="dxa"/>
              <w:bottom w:w="28" w:type="dxa"/>
              <w:right w:w="113" w:type="dxa"/>
            </w:tcMar>
            <w:hideMark/>
          </w:tcPr>
          <w:p w:rsidR="000C0A41" w:rsidRPr="00C20173" w:rsidRDefault="000C0A41" w:rsidP="00AA764D">
            <w:pPr>
              <w:jc w:val="center"/>
              <w:cnfStyle w:val="000000100000" w:firstRow="0" w:lastRow="0" w:firstColumn="0" w:lastColumn="0" w:oddVBand="0" w:evenVBand="0" w:oddHBand="1" w:evenHBand="0" w:firstRowFirstColumn="0" w:firstRowLastColumn="0" w:lastRowFirstColumn="0" w:lastRowLastColumn="0"/>
            </w:pPr>
            <w:r w:rsidRPr="00C20173">
              <w:t>56,365 (9.7)</w:t>
            </w:r>
          </w:p>
        </w:tc>
        <w:tc>
          <w:tcPr>
            <w:tcW w:w="1805" w:type="dxa"/>
            <w:noWrap/>
            <w:tcMar>
              <w:top w:w="28" w:type="dxa"/>
              <w:left w:w="113" w:type="dxa"/>
              <w:bottom w:w="28" w:type="dxa"/>
              <w:right w:w="113" w:type="dxa"/>
            </w:tcMar>
            <w:hideMark/>
          </w:tcPr>
          <w:p w:rsidR="000C0A41" w:rsidRPr="00C20173" w:rsidRDefault="000C0A41" w:rsidP="00AA764D">
            <w:pPr>
              <w:jc w:val="center"/>
              <w:cnfStyle w:val="000000100000" w:firstRow="0" w:lastRow="0" w:firstColumn="0" w:lastColumn="0" w:oddVBand="0" w:evenVBand="0" w:oddHBand="1" w:evenHBand="0" w:firstRowFirstColumn="0" w:firstRowLastColumn="0" w:lastRowFirstColumn="0" w:lastRowLastColumn="0"/>
            </w:pPr>
            <w:r w:rsidRPr="00C20173">
              <w:t>112,888 (3.8)</w:t>
            </w:r>
          </w:p>
        </w:tc>
      </w:tr>
      <w:tr w:rsidR="000C0A41" w:rsidRPr="00C20173" w:rsidTr="00AA764D">
        <w:trPr>
          <w:trHeight w:val="227"/>
          <w:jc w:val="center"/>
        </w:trPr>
        <w:tc>
          <w:tcPr>
            <w:cnfStyle w:val="001000000000" w:firstRow="0" w:lastRow="0" w:firstColumn="1" w:lastColumn="0" w:oddVBand="0" w:evenVBand="0" w:oddHBand="0" w:evenHBand="0" w:firstRowFirstColumn="0" w:firstRowLastColumn="0" w:lastRowFirstColumn="0" w:lastRowLastColumn="0"/>
            <w:tcW w:w="3083" w:type="dxa"/>
            <w:noWrap/>
            <w:tcMar>
              <w:top w:w="28" w:type="dxa"/>
              <w:left w:w="113" w:type="dxa"/>
              <w:bottom w:w="28" w:type="dxa"/>
              <w:right w:w="113" w:type="dxa"/>
            </w:tcMar>
            <w:hideMark/>
          </w:tcPr>
          <w:p w:rsidR="000C0A41" w:rsidRPr="00C20173" w:rsidRDefault="000C0A41" w:rsidP="00AA764D">
            <w:r w:rsidRPr="00C20173">
              <w:t>Sex</w:t>
            </w:r>
          </w:p>
        </w:tc>
        <w:tc>
          <w:tcPr>
            <w:tcW w:w="1560" w:type="dxa"/>
            <w:noWrap/>
            <w:tcMar>
              <w:top w:w="28" w:type="dxa"/>
              <w:left w:w="113" w:type="dxa"/>
              <w:bottom w:w="28" w:type="dxa"/>
              <w:right w:w="113" w:type="dxa"/>
            </w:tcMar>
            <w:hideMark/>
          </w:tcPr>
          <w:p w:rsidR="000C0A41" w:rsidRPr="00C20173" w:rsidRDefault="000C0A41" w:rsidP="00AA764D">
            <w:pPr>
              <w:jc w:val="center"/>
              <w:cnfStyle w:val="000000000000" w:firstRow="0" w:lastRow="0" w:firstColumn="0" w:lastColumn="0" w:oddVBand="0" w:evenVBand="0" w:oddHBand="0" w:evenHBand="0" w:firstRowFirstColumn="0" w:firstRowLastColumn="0" w:lastRowFirstColumn="0" w:lastRowLastColumn="0"/>
              <w:rPr>
                <w:b/>
                <w:bCs/>
              </w:rPr>
            </w:pPr>
          </w:p>
        </w:tc>
        <w:tc>
          <w:tcPr>
            <w:tcW w:w="1735" w:type="dxa"/>
            <w:noWrap/>
            <w:tcMar>
              <w:top w:w="28" w:type="dxa"/>
              <w:left w:w="113" w:type="dxa"/>
              <w:bottom w:w="28" w:type="dxa"/>
              <w:right w:w="113" w:type="dxa"/>
            </w:tcMar>
            <w:hideMark/>
          </w:tcPr>
          <w:p w:rsidR="000C0A41" w:rsidRPr="00C20173" w:rsidRDefault="000C0A41" w:rsidP="00AA764D">
            <w:pPr>
              <w:jc w:val="center"/>
              <w:cnfStyle w:val="000000000000" w:firstRow="0" w:lastRow="0" w:firstColumn="0" w:lastColumn="0" w:oddVBand="0" w:evenVBand="0" w:oddHBand="0" w:evenHBand="0" w:firstRowFirstColumn="0" w:firstRowLastColumn="0" w:lastRowFirstColumn="0" w:lastRowLastColumn="0"/>
            </w:pPr>
          </w:p>
        </w:tc>
        <w:tc>
          <w:tcPr>
            <w:tcW w:w="1617" w:type="dxa"/>
            <w:noWrap/>
            <w:tcMar>
              <w:top w:w="28" w:type="dxa"/>
              <w:left w:w="113" w:type="dxa"/>
              <w:bottom w:w="28" w:type="dxa"/>
              <w:right w:w="113" w:type="dxa"/>
            </w:tcMar>
            <w:hideMark/>
          </w:tcPr>
          <w:p w:rsidR="000C0A41" w:rsidRPr="00C20173" w:rsidRDefault="000C0A41" w:rsidP="00AA764D">
            <w:pPr>
              <w:jc w:val="center"/>
              <w:cnfStyle w:val="000000000000" w:firstRow="0" w:lastRow="0" w:firstColumn="0" w:lastColumn="0" w:oddVBand="0" w:evenVBand="0" w:oddHBand="0" w:evenHBand="0" w:firstRowFirstColumn="0" w:firstRowLastColumn="0" w:lastRowFirstColumn="0" w:lastRowLastColumn="0"/>
            </w:pPr>
          </w:p>
        </w:tc>
        <w:tc>
          <w:tcPr>
            <w:tcW w:w="1805" w:type="dxa"/>
            <w:noWrap/>
            <w:tcMar>
              <w:top w:w="28" w:type="dxa"/>
              <w:left w:w="113" w:type="dxa"/>
              <w:bottom w:w="28" w:type="dxa"/>
              <w:right w:w="113" w:type="dxa"/>
            </w:tcMar>
            <w:hideMark/>
          </w:tcPr>
          <w:p w:rsidR="000C0A41" w:rsidRPr="00C20173" w:rsidRDefault="000C0A41" w:rsidP="00AA764D">
            <w:pPr>
              <w:jc w:val="center"/>
              <w:cnfStyle w:val="000000000000" w:firstRow="0" w:lastRow="0" w:firstColumn="0" w:lastColumn="0" w:oddVBand="0" w:evenVBand="0" w:oddHBand="0" w:evenHBand="0" w:firstRowFirstColumn="0" w:firstRowLastColumn="0" w:lastRowFirstColumn="0" w:lastRowLastColumn="0"/>
            </w:pPr>
          </w:p>
        </w:tc>
      </w:tr>
      <w:tr w:rsidR="000C0A41" w:rsidRPr="00C20173" w:rsidTr="00AA764D">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3083" w:type="dxa"/>
            <w:noWrap/>
            <w:tcMar>
              <w:top w:w="28" w:type="dxa"/>
              <w:left w:w="113" w:type="dxa"/>
              <w:bottom w:w="28" w:type="dxa"/>
              <w:right w:w="113" w:type="dxa"/>
            </w:tcMar>
            <w:hideMark/>
          </w:tcPr>
          <w:p w:rsidR="000C0A41" w:rsidRPr="006C5074" w:rsidRDefault="000C0A41" w:rsidP="00AA764D">
            <w:pPr>
              <w:jc w:val="right"/>
              <w:rPr>
                <w:b w:val="0"/>
              </w:rPr>
            </w:pPr>
            <w:r w:rsidRPr="006C5074">
              <w:rPr>
                <w:b w:val="0"/>
              </w:rPr>
              <w:t>Male</w:t>
            </w:r>
          </w:p>
        </w:tc>
        <w:tc>
          <w:tcPr>
            <w:tcW w:w="1560" w:type="dxa"/>
            <w:noWrap/>
            <w:tcMar>
              <w:top w:w="28" w:type="dxa"/>
              <w:left w:w="113" w:type="dxa"/>
              <w:bottom w:w="28" w:type="dxa"/>
              <w:right w:w="113" w:type="dxa"/>
            </w:tcMar>
            <w:hideMark/>
          </w:tcPr>
          <w:p w:rsidR="000C0A41" w:rsidRPr="00C20173" w:rsidRDefault="000C0A41" w:rsidP="00AA764D">
            <w:pPr>
              <w:jc w:val="center"/>
              <w:cnfStyle w:val="000000100000" w:firstRow="0" w:lastRow="0" w:firstColumn="0" w:lastColumn="0" w:oddVBand="0" w:evenVBand="0" w:oddHBand="1" w:evenHBand="0" w:firstRowFirstColumn="0" w:firstRowLastColumn="0" w:lastRowFirstColumn="0" w:lastRowLastColumn="0"/>
            </w:pPr>
            <w:r w:rsidRPr="00C20173">
              <w:t>37,048 (51.5)</w:t>
            </w:r>
          </w:p>
        </w:tc>
        <w:tc>
          <w:tcPr>
            <w:tcW w:w="1735" w:type="dxa"/>
            <w:noWrap/>
            <w:tcMar>
              <w:top w:w="28" w:type="dxa"/>
              <w:left w:w="113" w:type="dxa"/>
              <w:bottom w:w="28" w:type="dxa"/>
              <w:right w:w="113" w:type="dxa"/>
            </w:tcMar>
            <w:hideMark/>
          </w:tcPr>
          <w:p w:rsidR="000C0A41" w:rsidRPr="00C20173" w:rsidRDefault="000C0A41" w:rsidP="00AA764D">
            <w:pPr>
              <w:jc w:val="center"/>
              <w:cnfStyle w:val="000000100000" w:firstRow="0" w:lastRow="0" w:firstColumn="0" w:lastColumn="0" w:oddVBand="0" w:evenVBand="0" w:oddHBand="1" w:evenHBand="0" w:firstRowFirstColumn="0" w:firstRowLastColumn="0" w:lastRowFirstColumn="0" w:lastRowLastColumn="0"/>
            </w:pPr>
            <w:r w:rsidRPr="00C20173">
              <w:t>1,734,515 (49.4)</w:t>
            </w:r>
          </w:p>
        </w:tc>
        <w:tc>
          <w:tcPr>
            <w:tcW w:w="1617" w:type="dxa"/>
            <w:noWrap/>
            <w:tcMar>
              <w:top w:w="28" w:type="dxa"/>
              <w:left w:w="113" w:type="dxa"/>
              <w:bottom w:w="28" w:type="dxa"/>
              <w:right w:w="113" w:type="dxa"/>
            </w:tcMar>
            <w:hideMark/>
          </w:tcPr>
          <w:p w:rsidR="000C0A41" w:rsidRPr="00C20173" w:rsidRDefault="000C0A41" w:rsidP="00AA764D">
            <w:pPr>
              <w:jc w:val="center"/>
              <w:cnfStyle w:val="000000100000" w:firstRow="0" w:lastRow="0" w:firstColumn="0" w:lastColumn="0" w:oddVBand="0" w:evenVBand="0" w:oddHBand="1" w:evenHBand="0" w:firstRowFirstColumn="0" w:firstRowLastColumn="0" w:lastRowFirstColumn="0" w:lastRowLastColumn="0"/>
            </w:pPr>
            <w:r w:rsidRPr="00C20173">
              <w:t>269,128 (46.4)</w:t>
            </w:r>
          </w:p>
        </w:tc>
        <w:tc>
          <w:tcPr>
            <w:tcW w:w="1805" w:type="dxa"/>
            <w:noWrap/>
            <w:tcMar>
              <w:top w:w="28" w:type="dxa"/>
              <w:left w:w="113" w:type="dxa"/>
              <w:bottom w:w="28" w:type="dxa"/>
              <w:right w:w="113" w:type="dxa"/>
            </w:tcMar>
            <w:hideMark/>
          </w:tcPr>
          <w:p w:rsidR="000C0A41" w:rsidRPr="00C20173" w:rsidRDefault="000C0A41" w:rsidP="00AA764D">
            <w:pPr>
              <w:jc w:val="center"/>
              <w:cnfStyle w:val="000000100000" w:firstRow="0" w:lastRow="0" w:firstColumn="0" w:lastColumn="0" w:oddVBand="0" w:evenVBand="0" w:oddHBand="1" w:evenHBand="0" w:firstRowFirstColumn="0" w:firstRowLastColumn="0" w:lastRowFirstColumn="0" w:lastRowLastColumn="0"/>
            </w:pPr>
            <w:r w:rsidRPr="00C20173">
              <w:t>1,502,435 (50.1)</w:t>
            </w:r>
          </w:p>
        </w:tc>
      </w:tr>
      <w:tr w:rsidR="000C0A41" w:rsidRPr="00C20173" w:rsidTr="00AA764D">
        <w:trPr>
          <w:trHeight w:val="227"/>
          <w:jc w:val="center"/>
        </w:trPr>
        <w:tc>
          <w:tcPr>
            <w:cnfStyle w:val="001000000000" w:firstRow="0" w:lastRow="0" w:firstColumn="1" w:lastColumn="0" w:oddVBand="0" w:evenVBand="0" w:oddHBand="0" w:evenHBand="0" w:firstRowFirstColumn="0" w:firstRowLastColumn="0" w:lastRowFirstColumn="0" w:lastRowLastColumn="0"/>
            <w:tcW w:w="3083" w:type="dxa"/>
            <w:noWrap/>
            <w:tcMar>
              <w:top w:w="28" w:type="dxa"/>
              <w:left w:w="113" w:type="dxa"/>
              <w:bottom w:w="28" w:type="dxa"/>
              <w:right w:w="113" w:type="dxa"/>
            </w:tcMar>
            <w:hideMark/>
          </w:tcPr>
          <w:p w:rsidR="000C0A41" w:rsidRPr="006C5074" w:rsidRDefault="000C0A41" w:rsidP="00AA764D">
            <w:pPr>
              <w:jc w:val="right"/>
              <w:rPr>
                <w:b w:val="0"/>
              </w:rPr>
            </w:pPr>
            <w:r w:rsidRPr="006C5074">
              <w:rPr>
                <w:b w:val="0"/>
              </w:rPr>
              <w:t>Female</w:t>
            </w:r>
          </w:p>
        </w:tc>
        <w:tc>
          <w:tcPr>
            <w:tcW w:w="1560" w:type="dxa"/>
            <w:noWrap/>
            <w:tcMar>
              <w:top w:w="28" w:type="dxa"/>
              <w:left w:w="113" w:type="dxa"/>
              <w:bottom w:w="28" w:type="dxa"/>
              <w:right w:w="113" w:type="dxa"/>
            </w:tcMar>
            <w:hideMark/>
          </w:tcPr>
          <w:p w:rsidR="000C0A41" w:rsidRPr="00C20173" w:rsidRDefault="000C0A41" w:rsidP="00AA764D">
            <w:pPr>
              <w:jc w:val="center"/>
              <w:cnfStyle w:val="000000000000" w:firstRow="0" w:lastRow="0" w:firstColumn="0" w:lastColumn="0" w:oddVBand="0" w:evenVBand="0" w:oddHBand="0" w:evenHBand="0" w:firstRowFirstColumn="0" w:firstRowLastColumn="0" w:lastRowFirstColumn="0" w:lastRowLastColumn="0"/>
            </w:pPr>
            <w:r w:rsidRPr="00C20173">
              <w:t>34,901 (48.5)</w:t>
            </w:r>
          </w:p>
        </w:tc>
        <w:tc>
          <w:tcPr>
            <w:tcW w:w="1735" w:type="dxa"/>
            <w:noWrap/>
            <w:tcMar>
              <w:top w:w="28" w:type="dxa"/>
              <w:left w:w="113" w:type="dxa"/>
              <w:bottom w:w="28" w:type="dxa"/>
              <w:right w:w="113" w:type="dxa"/>
            </w:tcMar>
            <w:hideMark/>
          </w:tcPr>
          <w:p w:rsidR="000C0A41" w:rsidRPr="00C20173" w:rsidRDefault="000C0A41" w:rsidP="00AA764D">
            <w:pPr>
              <w:jc w:val="center"/>
              <w:cnfStyle w:val="000000000000" w:firstRow="0" w:lastRow="0" w:firstColumn="0" w:lastColumn="0" w:oddVBand="0" w:evenVBand="0" w:oddHBand="0" w:evenHBand="0" w:firstRowFirstColumn="0" w:firstRowLastColumn="0" w:lastRowFirstColumn="0" w:lastRowLastColumn="0"/>
            </w:pPr>
            <w:r w:rsidRPr="00C20173">
              <w:t>1,774,542 (50.6)</w:t>
            </w:r>
          </w:p>
        </w:tc>
        <w:tc>
          <w:tcPr>
            <w:tcW w:w="1617" w:type="dxa"/>
            <w:noWrap/>
            <w:tcMar>
              <w:top w:w="28" w:type="dxa"/>
              <w:left w:w="113" w:type="dxa"/>
              <w:bottom w:w="28" w:type="dxa"/>
              <w:right w:w="113" w:type="dxa"/>
            </w:tcMar>
            <w:hideMark/>
          </w:tcPr>
          <w:p w:rsidR="000C0A41" w:rsidRPr="00C20173" w:rsidRDefault="000C0A41" w:rsidP="00AA764D">
            <w:pPr>
              <w:jc w:val="center"/>
              <w:cnfStyle w:val="000000000000" w:firstRow="0" w:lastRow="0" w:firstColumn="0" w:lastColumn="0" w:oddVBand="0" w:evenVBand="0" w:oddHBand="0" w:evenHBand="0" w:firstRowFirstColumn="0" w:firstRowLastColumn="0" w:lastRowFirstColumn="0" w:lastRowLastColumn="0"/>
            </w:pPr>
            <w:r w:rsidRPr="00C20173">
              <w:t>310,605 (53.6)</w:t>
            </w:r>
          </w:p>
        </w:tc>
        <w:tc>
          <w:tcPr>
            <w:tcW w:w="1805" w:type="dxa"/>
            <w:noWrap/>
            <w:tcMar>
              <w:top w:w="28" w:type="dxa"/>
              <w:left w:w="113" w:type="dxa"/>
              <w:bottom w:w="28" w:type="dxa"/>
              <w:right w:w="113" w:type="dxa"/>
            </w:tcMar>
            <w:hideMark/>
          </w:tcPr>
          <w:p w:rsidR="000C0A41" w:rsidRPr="00C20173" w:rsidRDefault="000C0A41" w:rsidP="00AA764D">
            <w:pPr>
              <w:jc w:val="center"/>
              <w:cnfStyle w:val="000000000000" w:firstRow="0" w:lastRow="0" w:firstColumn="0" w:lastColumn="0" w:oddVBand="0" w:evenVBand="0" w:oddHBand="0" w:evenHBand="0" w:firstRowFirstColumn="0" w:firstRowLastColumn="0" w:lastRowFirstColumn="0" w:lastRowLastColumn="0"/>
            </w:pPr>
            <w:r w:rsidRPr="00C20173">
              <w:t>1,498,838 (49.9)</w:t>
            </w:r>
          </w:p>
        </w:tc>
      </w:tr>
      <w:tr w:rsidR="000C0A41" w:rsidRPr="00C20173" w:rsidTr="00AA764D">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3083" w:type="dxa"/>
            <w:noWrap/>
            <w:tcMar>
              <w:top w:w="28" w:type="dxa"/>
              <w:left w:w="113" w:type="dxa"/>
              <w:bottom w:w="28" w:type="dxa"/>
              <w:right w:w="113" w:type="dxa"/>
            </w:tcMar>
            <w:hideMark/>
          </w:tcPr>
          <w:p w:rsidR="000C0A41" w:rsidRPr="00C20173" w:rsidRDefault="000C0A41" w:rsidP="00AA764D">
            <w:r w:rsidRPr="00C20173">
              <w:t>Smoking</w:t>
            </w:r>
          </w:p>
        </w:tc>
        <w:tc>
          <w:tcPr>
            <w:tcW w:w="1560" w:type="dxa"/>
            <w:noWrap/>
            <w:tcMar>
              <w:top w:w="28" w:type="dxa"/>
              <w:left w:w="113" w:type="dxa"/>
              <w:bottom w:w="28" w:type="dxa"/>
              <w:right w:w="113" w:type="dxa"/>
            </w:tcMar>
            <w:hideMark/>
          </w:tcPr>
          <w:p w:rsidR="000C0A41" w:rsidRPr="00C20173" w:rsidRDefault="000C0A41" w:rsidP="00AA764D">
            <w:pPr>
              <w:jc w:val="center"/>
              <w:cnfStyle w:val="000000100000" w:firstRow="0" w:lastRow="0" w:firstColumn="0" w:lastColumn="0" w:oddVBand="0" w:evenVBand="0" w:oddHBand="1" w:evenHBand="0" w:firstRowFirstColumn="0" w:firstRowLastColumn="0" w:lastRowFirstColumn="0" w:lastRowLastColumn="0"/>
              <w:rPr>
                <w:b/>
                <w:bCs/>
              </w:rPr>
            </w:pPr>
          </w:p>
        </w:tc>
        <w:tc>
          <w:tcPr>
            <w:tcW w:w="1735" w:type="dxa"/>
            <w:noWrap/>
            <w:tcMar>
              <w:top w:w="28" w:type="dxa"/>
              <w:left w:w="113" w:type="dxa"/>
              <w:bottom w:w="28" w:type="dxa"/>
              <w:right w:w="113" w:type="dxa"/>
            </w:tcMar>
            <w:hideMark/>
          </w:tcPr>
          <w:p w:rsidR="000C0A41" w:rsidRPr="00C20173" w:rsidRDefault="000C0A41" w:rsidP="00AA764D">
            <w:pPr>
              <w:jc w:val="center"/>
              <w:cnfStyle w:val="000000100000" w:firstRow="0" w:lastRow="0" w:firstColumn="0" w:lastColumn="0" w:oddVBand="0" w:evenVBand="0" w:oddHBand="1" w:evenHBand="0" w:firstRowFirstColumn="0" w:firstRowLastColumn="0" w:lastRowFirstColumn="0" w:lastRowLastColumn="0"/>
            </w:pPr>
          </w:p>
        </w:tc>
        <w:tc>
          <w:tcPr>
            <w:tcW w:w="1617" w:type="dxa"/>
            <w:noWrap/>
            <w:tcMar>
              <w:top w:w="28" w:type="dxa"/>
              <w:left w:w="113" w:type="dxa"/>
              <w:bottom w:w="28" w:type="dxa"/>
              <w:right w:w="113" w:type="dxa"/>
            </w:tcMar>
            <w:hideMark/>
          </w:tcPr>
          <w:p w:rsidR="000C0A41" w:rsidRPr="00C20173" w:rsidRDefault="000C0A41" w:rsidP="00AA764D">
            <w:pPr>
              <w:jc w:val="center"/>
              <w:cnfStyle w:val="000000100000" w:firstRow="0" w:lastRow="0" w:firstColumn="0" w:lastColumn="0" w:oddVBand="0" w:evenVBand="0" w:oddHBand="1" w:evenHBand="0" w:firstRowFirstColumn="0" w:firstRowLastColumn="0" w:lastRowFirstColumn="0" w:lastRowLastColumn="0"/>
            </w:pPr>
          </w:p>
        </w:tc>
        <w:tc>
          <w:tcPr>
            <w:tcW w:w="1805" w:type="dxa"/>
            <w:noWrap/>
            <w:tcMar>
              <w:top w:w="28" w:type="dxa"/>
              <w:left w:w="113" w:type="dxa"/>
              <w:bottom w:w="28" w:type="dxa"/>
              <w:right w:w="113" w:type="dxa"/>
            </w:tcMar>
            <w:hideMark/>
          </w:tcPr>
          <w:p w:rsidR="000C0A41" w:rsidRPr="00C20173" w:rsidRDefault="000C0A41" w:rsidP="00AA764D">
            <w:pPr>
              <w:jc w:val="center"/>
              <w:cnfStyle w:val="000000100000" w:firstRow="0" w:lastRow="0" w:firstColumn="0" w:lastColumn="0" w:oddVBand="0" w:evenVBand="0" w:oddHBand="1" w:evenHBand="0" w:firstRowFirstColumn="0" w:firstRowLastColumn="0" w:lastRowFirstColumn="0" w:lastRowLastColumn="0"/>
            </w:pPr>
          </w:p>
        </w:tc>
      </w:tr>
      <w:tr w:rsidR="000C0A41" w:rsidRPr="00C20173" w:rsidTr="00AA764D">
        <w:trPr>
          <w:trHeight w:val="227"/>
          <w:jc w:val="center"/>
        </w:trPr>
        <w:tc>
          <w:tcPr>
            <w:cnfStyle w:val="001000000000" w:firstRow="0" w:lastRow="0" w:firstColumn="1" w:lastColumn="0" w:oddVBand="0" w:evenVBand="0" w:oddHBand="0" w:evenHBand="0" w:firstRowFirstColumn="0" w:firstRowLastColumn="0" w:lastRowFirstColumn="0" w:lastRowLastColumn="0"/>
            <w:tcW w:w="3083" w:type="dxa"/>
            <w:noWrap/>
            <w:tcMar>
              <w:top w:w="28" w:type="dxa"/>
              <w:left w:w="113" w:type="dxa"/>
              <w:bottom w:w="28" w:type="dxa"/>
              <w:right w:w="113" w:type="dxa"/>
            </w:tcMar>
            <w:hideMark/>
          </w:tcPr>
          <w:p w:rsidR="000C0A41" w:rsidRPr="006C5074" w:rsidRDefault="000C0A41" w:rsidP="00AA764D">
            <w:pPr>
              <w:jc w:val="right"/>
              <w:rPr>
                <w:b w:val="0"/>
              </w:rPr>
            </w:pPr>
            <w:r w:rsidRPr="006C5074">
              <w:rPr>
                <w:b w:val="0"/>
              </w:rPr>
              <w:t>Current</w:t>
            </w:r>
          </w:p>
        </w:tc>
        <w:tc>
          <w:tcPr>
            <w:tcW w:w="1560" w:type="dxa"/>
            <w:noWrap/>
            <w:tcMar>
              <w:top w:w="28" w:type="dxa"/>
              <w:left w:w="113" w:type="dxa"/>
              <w:bottom w:w="28" w:type="dxa"/>
              <w:right w:w="113" w:type="dxa"/>
            </w:tcMar>
            <w:hideMark/>
          </w:tcPr>
          <w:p w:rsidR="000C0A41" w:rsidRPr="00C20173" w:rsidRDefault="000C0A41" w:rsidP="00AA764D">
            <w:pPr>
              <w:jc w:val="center"/>
              <w:cnfStyle w:val="000000000000" w:firstRow="0" w:lastRow="0" w:firstColumn="0" w:lastColumn="0" w:oddVBand="0" w:evenVBand="0" w:oddHBand="0" w:evenHBand="0" w:firstRowFirstColumn="0" w:firstRowLastColumn="0" w:lastRowFirstColumn="0" w:lastRowLastColumn="0"/>
            </w:pPr>
            <w:r w:rsidRPr="00C20173">
              <w:t>34,630 (48.1)</w:t>
            </w:r>
          </w:p>
        </w:tc>
        <w:tc>
          <w:tcPr>
            <w:tcW w:w="1735" w:type="dxa"/>
            <w:noWrap/>
            <w:tcMar>
              <w:top w:w="28" w:type="dxa"/>
              <w:left w:w="113" w:type="dxa"/>
              <w:bottom w:w="28" w:type="dxa"/>
              <w:right w:w="113" w:type="dxa"/>
            </w:tcMar>
            <w:hideMark/>
          </w:tcPr>
          <w:p w:rsidR="000C0A41" w:rsidRPr="00C20173" w:rsidRDefault="000C0A41" w:rsidP="00AA764D">
            <w:pPr>
              <w:jc w:val="center"/>
              <w:cnfStyle w:val="000000000000" w:firstRow="0" w:lastRow="0" w:firstColumn="0" w:lastColumn="0" w:oddVBand="0" w:evenVBand="0" w:oddHBand="0" w:evenHBand="0" w:firstRowFirstColumn="0" w:firstRowLastColumn="0" w:lastRowFirstColumn="0" w:lastRowLastColumn="0"/>
            </w:pPr>
            <w:r w:rsidRPr="00C20173">
              <w:t>616,278 (17.6)</w:t>
            </w:r>
          </w:p>
        </w:tc>
        <w:tc>
          <w:tcPr>
            <w:tcW w:w="1617" w:type="dxa"/>
            <w:noWrap/>
            <w:tcMar>
              <w:top w:w="28" w:type="dxa"/>
              <w:left w:w="113" w:type="dxa"/>
              <w:bottom w:w="28" w:type="dxa"/>
              <w:right w:w="113" w:type="dxa"/>
            </w:tcMar>
            <w:hideMark/>
          </w:tcPr>
          <w:p w:rsidR="000C0A41" w:rsidRPr="00C20173" w:rsidRDefault="000C0A41" w:rsidP="00AA764D">
            <w:pPr>
              <w:jc w:val="center"/>
              <w:cnfStyle w:val="000000000000" w:firstRow="0" w:lastRow="0" w:firstColumn="0" w:lastColumn="0" w:oddVBand="0" w:evenVBand="0" w:oddHBand="0" w:evenHBand="0" w:firstRowFirstColumn="0" w:firstRowLastColumn="0" w:lastRowFirstColumn="0" w:lastRowLastColumn="0"/>
            </w:pPr>
            <w:r w:rsidRPr="00C20173">
              <w:t>315,657 (54.5)</w:t>
            </w:r>
          </w:p>
        </w:tc>
        <w:tc>
          <w:tcPr>
            <w:tcW w:w="1805" w:type="dxa"/>
            <w:noWrap/>
            <w:tcMar>
              <w:top w:w="28" w:type="dxa"/>
              <w:left w:w="113" w:type="dxa"/>
              <w:bottom w:w="28" w:type="dxa"/>
              <w:right w:w="113" w:type="dxa"/>
            </w:tcMar>
            <w:hideMark/>
          </w:tcPr>
          <w:p w:rsidR="000C0A41" w:rsidRPr="00C20173" w:rsidRDefault="000C0A41" w:rsidP="00AA764D">
            <w:pPr>
              <w:jc w:val="center"/>
              <w:cnfStyle w:val="000000000000" w:firstRow="0" w:lastRow="0" w:firstColumn="0" w:lastColumn="0" w:oddVBand="0" w:evenVBand="0" w:oddHBand="0" w:evenHBand="0" w:firstRowFirstColumn="0" w:firstRowLastColumn="0" w:lastRowFirstColumn="0" w:lastRowLastColumn="0"/>
            </w:pPr>
            <w:r w:rsidRPr="00C20173">
              <w:t>335,251 (11.2)</w:t>
            </w:r>
          </w:p>
        </w:tc>
      </w:tr>
      <w:tr w:rsidR="000C0A41" w:rsidRPr="00C20173" w:rsidTr="00AA764D">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3083" w:type="dxa"/>
            <w:noWrap/>
            <w:tcMar>
              <w:top w:w="28" w:type="dxa"/>
              <w:left w:w="113" w:type="dxa"/>
              <w:bottom w:w="28" w:type="dxa"/>
              <w:right w:w="113" w:type="dxa"/>
            </w:tcMar>
            <w:hideMark/>
          </w:tcPr>
          <w:p w:rsidR="000C0A41" w:rsidRPr="006C5074" w:rsidRDefault="000C0A41" w:rsidP="00AA764D">
            <w:pPr>
              <w:jc w:val="right"/>
              <w:rPr>
                <w:b w:val="0"/>
              </w:rPr>
            </w:pPr>
            <w:r w:rsidRPr="006C5074">
              <w:rPr>
                <w:b w:val="0"/>
              </w:rPr>
              <w:t>Ex</w:t>
            </w:r>
          </w:p>
        </w:tc>
        <w:tc>
          <w:tcPr>
            <w:tcW w:w="1560" w:type="dxa"/>
            <w:noWrap/>
            <w:tcMar>
              <w:top w:w="28" w:type="dxa"/>
              <w:left w:w="113" w:type="dxa"/>
              <w:bottom w:w="28" w:type="dxa"/>
              <w:right w:w="113" w:type="dxa"/>
            </w:tcMar>
            <w:hideMark/>
          </w:tcPr>
          <w:p w:rsidR="000C0A41" w:rsidRPr="00C20173" w:rsidRDefault="000C0A41" w:rsidP="00AA764D">
            <w:pPr>
              <w:jc w:val="center"/>
              <w:cnfStyle w:val="000000100000" w:firstRow="0" w:lastRow="0" w:firstColumn="0" w:lastColumn="0" w:oddVBand="0" w:evenVBand="0" w:oddHBand="1" w:evenHBand="0" w:firstRowFirstColumn="0" w:firstRowLastColumn="0" w:lastRowFirstColumn="0" w:lastRowLastColumn="0"/>
            </w:pPr>
            <w:r w:rsidRPr="00C20173">
              <w:t>27,094 (37.7)</w:t>
            </w:r>
          </w:p>
        </w:tc>
        <w:tc>
          <w:tcPr>
            <w:tcW w:w="1735" w:type="dxa"/>
            <w:noWrap/>
            <w:tcMar>
              <w:top w:w="28" w:type="dxa"/>
              <w:left w:w="113" w:type="dxa"/>
              <w:bottom w:w="28" w:type="dxa"/>
              <w:right w:w="113" w:type="dxa"/>
            </w:tcMar>
            <w:hideMark/>
          </w:tcPr>
          <w:p w:rsidR="000C0A41" w:rsidRPr="00C20173" w:rsidRDefault="000C0A41" w:rsidP="00AA764D">
            <w:pPr>
              <w:jc w:val="center"/>
              <w:cnfStyle w:val="000000100000" w:firstRow="0" w:lastRow="0" w:firstColumn="0" w:lastColumn="0" w:oddVBand="0" w:evenVBand="0" w:oddHBand="1" w:evenHBand="0" w:firstRowFirstColumn="0" w:firstRowLastColumn="0" w:lastRowFirstColumn="0" w:lastRowLastColumn="0"/>
            </w:pPr>
            <w:r w:rsidRPr="00C20173">
              <w:t>572,428 (16.3)</w:t>
            </w:r>
          </w:p>
        </w:tc>
        <w:tc>
          <w:tcPr>
            <w:tcW w:w="1617" w:type="dxa"/>
            <w:noWrap/>
            <w:tcMar>
              <w:top w:w="28" w:type="dxa"/>
              <w:left w:w="113" w:type="dxa"/>
              <w:bottom w:w="28" w:type="dxa"/>
              <w:right w:w="113" w:type="dxa"/>
            </w:tcMar>
            <w:hideMark/>
          </w:tcPr>
          <w:p w:rsidR="000C0A41" w:rsidRPr="00C20173" w:rsidRDefault="000C0A41" w:rsidP="00AA764D">
            <w:pPr>
              <w:jc w:val="center"/>
              <w:cnfStyle w:val="000000100000" w:firstRow="0" w:lastRow="0" w:firstColumn="0" w:lastColumn="0" w:oddVBand="0" w:evenVBand="0" w:oddHBand="1" w:evenHBand="0" w:firstRowFirstColumn="0" w:firstRowLastColumn="0" w:lastRowFirstColumn="0" w:lastRowLastColumn="0"/>
            </w:pPr>
            <w:r w:rsidRPr="00C20173">
              <w:t>235,859 (43.8)</w:t>
            </w:r>
          </w:p>
        </w:tc>
        <w:tc>
          <w:tcPr>
            <w:tcW w:w="1805" w:type="dxa"/>
            <w:noWrap/>
            <w:tcMar>
              <w:top w:w="28" w:type="dxa"/>
              <w:left w:w="113" w:type="dxa"/>
              <w:bottom w:w="28" w:type="dxa"/>
              <w:right w:w="113" w:type="dxa"/>
            </w:tcMar>
            <w:hideMark/>
          </w:tcPr>
          <w:p w:rsidR="000C0A41" w:rsidRPr="00C20173" w:rsidRDefault="000C0A41" w:rsidP="00AA764D">
            <w:pPr>
              <w:jc w:val="center"/>
              <w:cnfStyle w:val="000000100000" w:firstRow="0" w:lastRow="0" w:firstColumn="0" w:lastColumn="0" w:oddVBand="0" w:evenVBand="0" w:oddHBand="1" w:evenHBand="0" w:firstRowFirstColumn="0" w:firstRowLastColumn="0" w:lastRowFirstColumn="0" w:lastRowLastColumn="0"/>
            </w:pPr>
            <w:r w:rsidRPr="00C20173">
              <w:t>345,663 (11.5)</w:t>
            </w:r>
          </w:p>
        </w:tc>
      </w:tr>
      <w:tr w:rsidR="000C0A41" w:rsidRPr="00C20173" w:rsidTr="00AA764D">
        <w:trPr>
          <w:trHeight w:val="227"/>
          <w:jc w:val="center"/>
        </w:trPr>
        <w:tc>
          <w:tcPr>
            <w:cnfStyle w:val="001000000000" w:firstRow="0" w:lastRow="0" w:firstColumn="1" w:lastColumn="0" w:oddVBand="0" w:evenVBand="0" w:oddHBand="0" w:evenHBand="0" w:firstRowFirstColumn="0" w:firstRowLastColumn="0" w:lastRowFirstColumn="0" w:lastRowLastColumn="0"/>
            <w:tcW w:w="3083" w:type="dxa"/>
            <w:noWrap/>
            <w:tcMar>
              <w:top w:w="28" w:type="dxa"/>
              <w:left w:w="113" w:type="dxa"/>
              <w:bottom w:w="28" w:type="dxa"/>
              <w:right w:w="113" w:type="dxa"/>
            </w:tcMar>
            <w:hideMark/>
          </w:tcPr>
          <w:p w:rsidR="000C0A41" w:rsidRPr="006C5074" w:rsidRDefault="000C0A41" w:rsidP="00AA764D">
            <w:pPr>
              <w:jc w:val="right"/>
              <w:rPr>
                <w:b w:val="0"/>
              </w:rPr>
            </w:pPr>
            <w:r w:rsidRPr="006C5074">
              <w:rPr>
                <w:b w:val="0"/>
              </w:rPr>
              <w:t>Never</w:t>
            </w:r>
          </w:p>
        </w:tc>
        <w:tc>
          <w:tcPr>
            <w:tcW w:w="1560" w:type="dxa"/>
            <w:noWrap/>
            <w:tcMar>
              <w:top w:w="28" w:type="dxa"/>
              <w:left w:w="113" w:type="dxa"/>
              <w:bottom w:w="28" w:type="dxa"/>
              <w:right w:w="113" w:type="dxa"/>
            </w:tcMar>
            <w:hideMark/>
          </w:tcPr>
          <w:p w:rsidR="000C0A41" w:rsidRPr="00C20173" w:rsidRDefault="000C0A41" w:rsidP="00AA764D">
            <w:pPr>
              <w:jc w:val="center"/>
              <w:cnfStyle w:val="000000000000" w:firstRow="0" w:lastRow="0" w:firstColumn="0" w:lastColumn="0" w:oddVBand="0" w:evenVBand="0" w:oddHBand="0" w:evenHBand="0" w:firstRowFirstColumn="0" w:firstRowLastColumn="0" w:lastRowFirstColumn="0" w:lastRowLastColumn="0"/>
            </w:pPr>
            <w:r w:rsidRPr="00C20173">
              <w:t>10,225 (14.2)</w:t>
            </w:r>
          </w:p>
        </w:tc>
        <w:tc>
          <w:tcPr>
            <w:tcW w:w="1735" w:type="dxa"/>
            <w:noWrap/>
            <w:tcMar>
              <w:top w:w="28" w:type="dxa"/>
              <w:left w:w="113" w:type="dxa"/>
              <w:bottom w:w="28" w:type="dxa"/>
              <w:right w:w="113" w:type="dxa"/>
            </w:tcMar>
            <w:hideMark/>
          </w:tcPr>
          <w:p w:rsidR="000C0A41" w:rsidRPr="00C20173" w:rsidRDefault="000C0A41" w:rsidP="00AA764D">
            <w:pPr>
              <w:jc w:val="center"/>
              <w:cnfStyle w:val="000000000000" w:firstRow="0" w:lastRow="0" w:firstColumn="0" w:lastColumn="0" w:oddVBand="0" w:evenVBand="0" w:oddHBand="0" w:evenHBand="0" w:firstRowFirstColumn="0" w:firstRowLastColumn="0" w:lastRowFirstColumn="0" w:lastRowLastColumn="0"/>
            </w:pPr>
            <w:r w:rsidRPr="00C20173">
              <w:t>2,320,386 (66.1)</w:t>
            </w:r>
          </w:p>
        </w:tc>
        <w:tc>
          <w:tcPr>
            <w:tcW w:w="1617" w:type="dxa"/>
            <w:noWrap/>
            <w:tcMar>
              <w:top w:w="28" w:type="dxa"/>
              <w:left w:w="113" w:type="dxa"/>
              <w:bottom w:w="28" w:type="dxa"/>
              <w:right w:w="113" w:type="dxa"/>
            </w:tcMar>
            <w:hideMark/>
          </w:tcPr>
          <w:p w:rsidR="000C0A41" w:rsidRPr="00C20173" w:rsidRDefault="000C0A41" w:rsidP="00AA764D">
            <w:pPr>
              <w:jc w:val="center"/>
              <w:cnfStyle w:val="000000000000" w:firstRow="0" w:lastRow="0" w:firstColumn="0" w:lastColumn="0" w:oddVBand="0" w:evenVBand="0" w:oddHBand="0" w:evenHBand="0" w:firstRowFirstColumn="0" w:firstRowLastColumn="0" w:lastRowFirstColumn="0" w:lastRowLastColumn="0"/>
            </w:pPr>
            <w:r w:rsidRPr="00C20173">
              <w:t>10,225 (1.8)</w:t>
            </w:r>
          </w:p>
        </w:tc>
        <w:tc>
          <w:tcPr>
            <w:tcW w:w="1805" w:type="dxa"/>
            <w:noWrap/>
            <w:tcMar>
              <w:top w:w="28" w:type="dxa"/>
              <w:left w:w="113" w:type="dxa"/>
              <w:bottom w:w="28" w:type="dxa"/>
              <w:right w:w="113" w:type="dxa"/>
            </w:tcMar>
            <w:hideMark/>
          </w:tcPr>
          <w:p w:rsidR="000C0A41" w:rsidRPr="00C20173" w:rsidRDefault="000C0A41" w:rsidP="00AA764D">
            <w:pPr>
              <w:jc w:val="center"/>
              <w:cnfStyle w:val="000000000000" w:firstRow="0" w:lastRow="0" w:firstColumn="0" w:lastColumn="0" w:oddVBand="0" w:evenVBand="0" w:oddHBand="0" w:evenHBand="0" w:firstRowFirstColumn="0" w:firstRowLastColumn="0" w:lastRowFirstColumn="0" w:lastRowLastColumn="0"/>
            </w:pPr>
            <w:r w:rsidRPr="00C20173">
              <w:t>2,320,386 (77.3)</w:t>
            </w:r>
          </w:p>
        </w:tc>
      </w:tr>
      <w:tr w:rsidR="000C0A41" w:rsidRPr="00C20173" w:rsidTr="00AA764D">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9800" w:type="dxa"/>
            <w:gridSpan w:val="5"/>
            <w:noWrap/>
            <w:tcMar>
              <w:top w:w="28" w:type="dxa"/>
              <w:left w:w="113" w:type="dxa"/>
              <w:bottom w:w="28" w:type="dxa"/>
              <w:right w:w="113" w:type="dxa"/>
            </w:tcMar>
            <w:hideMark/>
          </w:tcPr>
          <w:p w:rsidR="000C0A41" w:rsidRPr="00C20173" w:rsidRDefault="000C0A41" w:rsidP="00AA764D">
            <w:pPr>
              <w:jc w:val="left"/>
            </w:pPr>
            <w:r>
              <w:t>Deprivation (practice postcode Index of Multiple Deprivation)</w:t>
            </w:r>
          </w:p>
        </w:tc>
      </w:tr>
      <w:tr w:rsidR="000C0A41" w:rsidRPr="00C20173" w:rsidTr="00AA764D">
        <w:trPr>
          <w:trHeight w:val="227"/>
          <w:jc w:val="center"/>
        </w:trPr>
        <w:tc>
          <w:tcPr>
            <w:cnfStyle w:val="001000000000" w:firstRow="0" w:lastRow="0" w:firstColumn="1" w:lastColumn="0" w:oddVBand="0" w:evenVBand="0" w:oddHBand="0" w:evenHBand="0" w:firstRowFirstColumn="0" w:firstRowLastColumn="0" w:lastRowFirstColumn="0" w:lastRowLastColumn="0"/>
            <w:tcW w:w="3083" w:type="dxa"/>
            <w:noWrap/>
            <w:tcMar>
              <w:top w:w="28" w:type="dxa"/>
              <w:left w:w="113" w:type="dxa"/>
              <w:bottom w:w="28" w:type="dxa"/>
              <w:right w:w="113" w:type="dxa"/>
            </w:tcMar>
            <w:hideMark/>
          </w:tcPr>
          <w:p w:rsidR="000C0A41" w:rsidRPr="00C20173" w:rsidRDefault="000C0A41" w:rsidP="00AA764D">
            <w:pPr>
              <w:jc w:val="right"/>
            </w:pPr>
            <w:r w:rsidRPr="00CC1507">
              <w:rPr>
                <w:b w:val="0"/>
              </w:rPr>
              <w:t>IMD quintile 1 (least deprived)</w:t>
            </w:r>
          </w:p>
        </w:tc>
        <w:tc>
          <w:tcPr>
            <w:tcW w:w="1560" w:type="dxa"/>
            <w:noWrap/>
            <w:tcMar>
              <w:top w:w="28" w:type="dxa"/>
              <w:left w:w="113" w:type="dxa"/>
              <w:bottom w:w="28" w:type="dxa"/>
              <w:right w:w="113" w:type="dxa"/>
            </w:tcMar>
            <w:hideMark/>
          </w:tcPr>
          <w:p w:rsidR="000C0A41" w:rsidRPr="00C20173" w:rsidRDefault="000C0A41" w:rsidP="00AA764D">
            <w:pPr>
              <w:jc w:val="center"/>
              <w:cnfStyle w:val="000000000000" w:firstRow="0" w:lastRow="0" w:firstColumn="0" w:lastColumn="0" w:oddVBand="0" w:evenVBand="0" w:oddHBand="0" w:evenHBand="0" w:firstRowFirstColumn="0" w:firstRowLastColumn="0" w:lastRowFirstColumn="0" w:lastRowLastColumn="0"/>
            </w:pPr>
            <w:r w:rsidRPr="00C20173">
              <w:t>44,040 (15.6)</w:t>
            </w:r>
          </w:p>
        </w:tc>
        <w:tc>
          <w:tcPr>
            <w:tcW w:w="1735" w:type="dxa"/>
            <w:noWrap/>
            <w:tcMar>
              <w:top w:w="28" w:type="dxa"/>
              <w:left w:w="113" w:type="dxa"/>
              <w:bottom w:w="28" w:type="dxa"/>
              <w:right w:w="113" w:type="dxa"/>
            </w:tcMar>
            <w:hideMark/>
          </w:tcPr>
          <w:p w:rsidR="000C0A41" w:rsidRPr="00C20173" w:rsidRDefault="000C0A41" w:rsidP="00AA764D">
            <w:pPr>
              <w:jc w:val="center"/>
              <w:cnfStyle w:val="000000000000" w:firstRow="0" w:lastRow="0" w:firstColumn="0" w:lastColumn="0" w:oddVBand="0" w:evenVBand="0" w:oddHBand="0" w:evenHBand="0" w:firstRowFirstColumn="0" w:firstRowLastColumn="0" w:lastRowFirstColumn="0" w:lastRowLastColumn="0"/>
            </w:pPr>
            <w:r w:rsidRPr="00C20173">
              <w:t>255,979 (17.5)</w:t>
            </w:r>
          </w:p>
        </w:tc>
        <w:tc>
          <w:tcPr>
            <w:tcW w:w="1617" w:type="dxa"/>
            <w:noWrap/>
            <w:tcMar>
              <w:top w:w="28" w:type="dxa"/>
              <w:left w:w="113" w:type="dxa"/>
              <w:bottom w:w="28" w:type="dxa"/>
              <w:right w:w="113" w:type="dxa"/>
            </w:tcMar>
            <w:hideMark/>
          </w:tcPr>
          <w:p w:rsidR="000C0A41" w:rsidRPr="00C20173" w:rsidRDefault="000C0A41" w:rsidP="00AA764D">
            <w:pPr>
              <w:jc w:val="center"/>
              <w:cnfStyle w:val="000000000000" w:firstRow="0" w:lastRow="0" w:firstColumn="0" w:lastColumn="0" w:oddVBand="0" w:evenVBand="0" w:oddHBand="0" w:evenHBand="0" w:firstRowFirstColumn="0" w:firstRowLastColumn="0" w:lastRowFirstColumn="0" w:lastRowLastColumn="0"/>
            </w:pPr>
            <w:r w:rsidRPr="00C20173">
              <w:t>44,040 (15.6)</w:t>
            </w:r>
          </w:p>
        </w:tc>
        <w:tc>
          <w:tcPr>
            <w:tcW w:w="1805" w:type="dxa"/>
            <w:noWrap/>
            <w:tcMar>
              <w:top w:w="28" w:type="dxa"/>
              <w:left w:w="113" w:type="dxa"/>
              <w:bottom w:w="28" w:type="dxa"/>
              <w:right w:w="113" w:type="dxa"/>
            </w:tcMar>
            <w:hideMark/>
          </w:tcPr>
          <w:p w:rsidR="000C0A41" w:rsidRPr="00C20173" w:rsidRDefault="000C0A41" w:rsidP="00AA764D">
            <w:pPr>
              <w:jc w:val="center"/>
              <w:cnfStyle w:val="000000000000" w:firstRow="0" w:lastRow="0" w:firstColumn="0" w:lastColumn="0" w:oddVBand="0" w:evenVBand="0" w:oddHBand="0" w:evenHBand="0" w:firstRowFirstColumn="0" w:firstRowLastColumn="0" w:lastRowFirstColumn="0" w:lastRowLastColumn="0"/>
            </w:pPr>
            <w:r w:rsidRPr="00C20173">
              <w:t>255,979 (17.5)</w:t>
            </w:r>
          </w:p>
        </w:tc>
      </w:tr>
      <w:tr w:rsidR="000C0A41" w:rsidRPr="00C20173" w:rsidTr="00AA764D">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3083" w:type="dxa"/>
            <w:noWrap/>
            <w:tcMar>
              <w:top w:w="28" w:type="dxa"/>
              <w:left w:w="113" w:type="dxa"/>
              <w:bottom w:w="28" w:type="dxa"/>
              <w:right w:w="113" w:type="dxa"/>
            </w:tcMar>
            <w:hideMark/>
          </w:tcPr>
          <w:p w:rsidR="000C0A41" w:rsidRPr="00C20173" w:rsidRDefault="000C0A41" w:rsidP="00AA764D">
            <w:pPr>
              <w:jc w:val="right"/>
            </w:pPr>
            <w:r w:rsidRPr="00CC1507">
              <w:rPr>
                <w:b w:val="0"/>
              </w:rPr>
              <w:t>IMD quintile 2</w:t>
            </w:r>
          </w:p>
        </w:tc>
        <w:tc>
          <w:tcPr>
            <w:tcW w:w="1560" w:type="dxa"/>
            <w:noWrap/>
            <w:tcMar>
              <w:top w:w="28" w:type="dxa"/>
              <w:left w:w="113" w:type="dxa"/>
              <w:bottom w:w="28" w:type="dxa"/>
              <w:right w:w="113" w:type="dxa"/>
            </w:tcMar>
            <w:hideMark/>
          </w:tcPr>
          <w:p w:rsidR="000C0A41" w:rsidRPr="00C20173" w:rsidRDefault="000C0A41" w:rsidP="00AA764D">
            <w:pPr>
              <w:jc w:val="center"/>
              <w:cnfStyle w:val="000000100000" w:firstRow="0" w:lastRow="0" w:firstColumn="0" w:lastColumn="0" w:oddVBand="0" w:evenVBand="0" w:oddHBand="1" w:evenHBand="0" w:firstRowFirstColumn="0" w:firstRowLastColumn="0" w:lastRowFirstColumn="0" w:lastRowLastColumn="0"/>
            </w:pPr>
            <w:r w:rsidRPr="00C20173">
              <w:t>64,961 (23.0)</w:t>
            </w:r>
          </w:p>
        </w:tc>
        <w:tc>
          <w:tcPr>
            <w:tcW w:w="1735" w:type="dxa"/>
            <w:noWrap/>
            <w:tcMar>
              <w:top w:w="28" w:type="dxa"/>
              <w:left w:w="113" w:type="dxa"/>
              <w:bottom w:w="28" w:type="dxa"/>
              <w:right w:w="113" w:type="dxa"/>
            </w:tcMar>
            <w:hideMark/>
          </w:tcPr>
          <w:p w:rsidR="000C0A41" w:rsidRPr="00C20173" w:rsidRDefault="000C0A41" w:rsidP="00AA764D">
            <w:pPr>
              <w:jc w:val="center"/>
              <w:cnfStyle w:val="000000100000" w:firstRow="0" w:lastRow="0" w:firstColumn="0" w:lastColumn="0" w:oddVBand="0" w:evenVBand="0" w:oddHBand="1" w:evenHBand="0" w:firstRowFirstColumn="0" w:firstRowLastColumn="0" w:lastRowFirstColumn="0" w:lastRowLastColumn="0"/>
            </w:pPr>
            <w:r w:rsidRPr="00C20173">
              <w:t>337,610 (23.1)</w:t>
            </w:r>
          </w:p>
        </w:tc>
        <w:tc>
          <w:tcPr>
            <w:tcW w:w="1617" w:type="dxa"/>
            <w:noWrap/>
            <w:tcMar>
              <w:top w:w="28" w:type="dxa"/>
              <w:left w:w="113" w:type="dxa"/>
              <w:bottom w:w="28" w:type="dxa"/>
              <w:right w:w="113" w:type="dxa"/>
            </w:tcMar>
            <w:hideMark/>
          </w:tcPr>
          <w:p w:rsidR="000C0A41" w:rsidRPr="00C20173" w:rsidRDefault="000C0A41" w:rsidP="00AA764D">
            <w:pPr>
              <w:jc w:val="center"/>
              <w:cnfStyle w:val="000000100000" w:firstRow="0" w:lastRow="0" w:firstColumn="0" w:lastColumn="0" w:oddVBand="0" w:evenVBand="0" w:oddHBand="1" w:evenHBand="0" w:firstRowFirstColumn="0" w:firstRowLastColumn="0" w:lastRowFirstColumn="0" w:lastRowLastColumn="0"/>
            </w:pPr>
            <w:r w:rsidRPr="00C20173">
              <w:t>64,961 (23.0)</w:t>
            </w:r>
          </w:p>
        </w:tc>
        <w:tc>
          <w:tcPr>
            <w:tcW w:w="1805" w:type="dxa"/>
            <w:noWrap/>
            <w:tcMar>
              <w:top w:w="28" w:type="dxa"/>
              <w:left w:w="113" w:type="dxa"/>
              <w:bottom w:w="28" w:type="dxa"/>
              <w:right w:w="113" w:type="dxa"/>
            </w:tcMar>
            <w:hideMark/>
          </w:tcPr>
          <w:p w:rsidR="000C0A41" w:rsidRPr="00C20173" w:rsidRDefault="000C0A41" w:rsidP="00AA764D">
            <w:pPr>
              <w:jc w:val="center"/>
              <w:cnfStyle w:val="000000100000" w:firstRow="0" w:lastRow="0" w:firstColumn="0" w:lastColumn="0" w:oddVBand="0" w:evenVBand="0" w:oddHBand="1" w:evenHBand="0" w:firstRowFirstColumn="0" w:firstRowLastColumn="0" w:lastRowFirstColumn="0" w:lastRowLastColumn="0"/>
            </w:pPr>
            <w:r w:rsidRPr="00C20173">
              <w:t>337,610 (23.1)</w:t>
            </w:r>
          </w:p>
        </w:tc>
      </w:tr>
      <w:tr w:rsidR="000C0A41" w:rsidRPr="00C20173" w:rsidTr="00AA764D">
        <w:trPr>
          <w:trHeight w:val="227"/>
          <w:jc w:val="center"/>
        </w:trPr>
        <w:tc>
          <w:tcPr>
            <w:cnfStyle w:val="001000000000" w:firstRow="0" w:lastRow="0" w:firstColumn="1" w:lastColumn="0" w:oddVBand="0" w:evenVBand="0" w:oddHBand="0" w:evenHBand="0" w:firstRowFirstColumn="0" w:firstRowLastColumn="0" w:lastRowFirstColumn="0" w:lastRowLastColumn="0"/>
            <w:tcW w:w="3083" w:type="dxa"/>
            <w:noWrap/>
            <w:tcMar>
              <w:top w:w="28" w:type="dxa"/>
              <w:left w:w="113" w:type="dxa"/>
              <w:bottom w:w="28" w:type="dxa"/>
              <w:right w:w="113" w:type="dxa"/>
            </w:tcMar>
            <w:hideMark/>
          </w:tcPr>
          <w:p w:rsidR="000C0A41" w:rsidRPr="00C20173" w:rsidRDefault="000C0A41" w:rsidP="00AA764D">
            <w:pPr>
              <w:jc w:val="right"/>
            </w:pPr>
            <w:r w:rsidRPr="00CC1507">
              <w:rPr>
                <w:b w:val="0"/>
              </w:rPr>
              <w:t>IMD quintile 3</w:t>
            </w:r>
          </w:p>
        </w:tc>
        <w:tc>
          <w:tcPr>
            <w:tcW w:w="1560" w:type="dxa"/>
            <w:noWrap/>
            <w:tcMar>
              <w:top w:w="28" w:type="dxa"/>
              <w:left w:w="113" w:type="dxa"/>
              <w:bottom w:w="28" w:type="dxa"/>
              <w:right w:w="113" w:type="dxa"/>
            </w:tcMar>
            <w:hideMark/>
          </w:tcPr>
          <w:p w:rsidR="000C0A41" w:rsidRPr="00C20173" w:rsidRDefault="000C0A41" w:rsidP="00AA764D">
            <w:pPr>
              <w:jc w:val="center"/>
              <w:cnfStyle w:val="000000000000" w:firstRow="0" w:lastRow="0" w:firstColumn="0" w:lastColumn="0" w:oddVBand="0" w:evenVBand="0" w:oddHBand="0" w:evenHBand="0" w:firstRowFirstColumn="0" w:firstRowLastColumn="0" w:lastRowFirstColumn="0" w:lastRowLastColumn="0"/>
            </w:pPr>
            <w:r w:rsidRPr="00C20173">
              <w:t>45,776 (16.2)</w:t>
            </w:r>
          </w:p>
        </w:tc>
        <w:tc>
          <w:tcPr>
            <w:tcW w:w="1735" w:type="dxa"/>
            <w:noWrap/>
            <w:tcMar>
              <w:top w:w="28" w:type="dxa"/>
              <w:left w:w="113" w:type="dxa"/>
              <w:bottom w:w="28" w:type="dxa"/>
              <w:right w:w="113" w:type="dxa"/>
            </w:tcMar>
            <w:hideMark/>
          </w:tcPr>
          <w:p w:rsidR="000C0A41" w:rsidRPr="00C20173" w:rsidRDefault="000C0A41" w:rsidP="00AA764D">
            <w:pPr>
              <w:jc w:val="center"/>
              <w:cnfStyle w:val="000000000000" w:firstRow="0" w:lastRow="0" w:firstColumn="0" w:lastColumn="0" w:oddVBand="0" w:evenVBand="0" w:oddHBand="0" w:evenHBand="0" w:firstRowFirstColumn="0" w:firstRowLastColumn="0" w:lastRowFirstColumn="0" w:lastRowLastColumn="0"/>
            </w:pPr>
            <w:r w:rsidRPr="00C20173">
              <w:t>255,091 (17.5)</w:t>
            </w:r>
          </w:p>
        </w:tc>
        <w:tc>
          <w:tcPr>
            <w:tcW w:w="1617" w:type="dxa"/>
            <w:noWrap/>
            <w:tcMar>
              <w:top w:w="28" w:type="dxa"/>
              <w:left w:w="113" w:type="dxa"/>
              <w:bottom w:w="28" w:type="dxa"/>
              <w:right w:w="113" w:type="dxa"/>
            </w:tcMar>
            <w:hideMark/>
          </w:tcPr>
          <w:p w:rsidR="000C0A41" w:rsidRPr="00C20173" w:rsidRDefault="000C0A41" w:rsidP="00AA764D">
            <w:pPr>
              <w:jc w:val="center"/>
              <w:cnfStyle w:val="000000000000" w:firstRow="0" w:lastRow="0" w:firstColumn="0" w:lastColumn="0" w:oddVBand="0" w:evenVBand="0" w:oddHBand="0" w:evenHBand="0" w:firstRowFirstColumn="0" w:firstRowLastColumn="0" w:lastRowFirstColumn="0" w:lastRowLastColumn="0"/>
            </w:pPr>
            <w:r w:rsidRPr="00C20173">
              <w:t>45,776 (16.2)</w:t>
            </w:r>
          </w:p>
        </w:tc>
        <w:tc>
          <w:tcPr>
            <w:tcW w:w="1805" w:type="dxa"/>
            <w:noWrap/>
            <w:tcMar>
              <w:top w:w="28" w:type="dxa"/>
              <w:left w:w="113" w:type="dxa"/>
              <w:bottom w:w="28" w:type="dxa"/>
              <w:right w:w="113" w:type="dxa"/>
            </w:tcMar>
            <w:hideMark/>
          </w:tcPr>
          <w:p w:rsidR="000C0A41" w:rsidRPr="00C20173" w:rsidRDefault="000C0A41" w:rsidP="00AA764D">
            <w:pPr>
              <w:jc w:val="center"/>
              <w:cnfStyle w:val="000000000000" w:firstRow="0" w:lastRow="0" w:firstColumn="0" w:lastColumn="0" w:oddVBand="0" w:evenVBand="0" w:oddHBand="0" w:evenHBand="0" w:firstRowFirstColumn="0" w:firstRowLastColumn="0" w:lastRowFirstColumn="0" w:lastRowLastColumn="0"/>
            </w:pPr>
            <w:r w:rsidRPr="00C20173">
              <w:t>255,091 (17.5)</w:t>
            </w:r>
          </w:p>
        </w:tc>
      </w:tr>
      <w:tr w:rsidR="000C0A41" w:rsidRPr="00C20173" w:rsidTr="00AA764D">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3083" w:type="dxa"/>
            <w:noWrap/>
            <w:tcMar>
              <w:top w:w="28" w:type="dxa"/>
              <w:left w:w="113" w:type="dxa"/>
              <w:bottom w:w="28" w:type="dxa"/>
              <w:right w:w="113" w:type="dxa"/>
            </w:tcMar>
            <w:hideMark/>
          </w:tcPr>
          <w:p w:rsidR="000C0A41" w:rsidRPr="00C20173" w:rsidRDefault="000C0A41" w:rsidP="00AA764D">
            <w:pPr>
              <w:jc w:val="right"/>
            </w:pPr>
            <w:r w:rsidRPr="00CC1507">
              <w:rPr>
                <w:b w:val="0"/>
              </w:rPr>
              <w:t>IMD quintile 4</w:t>
            </w:r>
          </w:p>
        </w:tc>
        <w:tc>
          <w:tcPr>
            <w:tcW w:w="1560" w:type="dxa"/>
            <w:noWrap/>
            <w:tcMar>
              <w:top w:w="28" w:type="dxa"/>
              <w:left w:w="113" w:type="dxa"/>
              <w:bottom w:w="28" w:type="dxa"/>
              <w:right w:w="113" w:type="dxa"/>
            </w:tcMar>
            <w:hideMark/>
          </w:tcPr>
          <w:p w:rsidR="000C0A41" w:rsidRPr="00C20173" w:rsidRDefault="000C0A41" w:rsidP="00AA764D">
            <w:pPr>
              <w:jc w:val="center"/>
              <w:cnfStyle w:val="000000100000" w:firstRow="0" w:lastRow="0" w:firstColumn="0" w:lastColumn="0" w:oddVBand="0" w:evenVBand="0" w:oddHBand="1" w:evenHBand="0" w:firstRowFirstColumn="0" w:firstRowLastColumn="0" w:lastRowFirstColumn="0" w:lastRowLastColumn="0"/>
            </w:pPr>
            <w:r w:rsidRPr="00C20173">
              <w:t>55,024 (19.5)</w:t>
            </w:r>
          </w:p>
        </w:tc>
        <w:tc>
          <w:tcPr>
            <w:tcW w:w="1735" w:type="dxa"/>
            <w:noWrap/>
            <w:tcMar>
              <w:top w:w="28" w:type="dxa"/>
              <w:left w:w="113" w:type="dxa"/>
              <w:bottom w:w="28" w:type="dxa"/>
              <w:right w:w="113" w:type="dxa"/>
            </w:tcMar>
            <w:hideMark/>
          </w:tcPr>
          <w:p w:rsidR="000C0A41" w:rsidRPr="00C20173" w:rsidRDefault="000C0A41" w:rsidP="00AA764D">
            <w:pPr>
              <w:jc w:val="center"/>
              <w:cnfStyle w:val="000000100000" w:firstRow="0" w:lastRow="0" w:firstColumn="0" w:lastColumn="0" w:oddVBand="0" w:evenVBand="0" w:oddHBand="1" w:evenHBand="0" w:firstRowFirstColumn="0" w:firstRowLastColumn="0" w:lastRowFirstColumn="0" w:lastRowLastColumn="0"/>
            </w:pPr>
            <w:r w:rsidRPr="00C20173">
              <w:t>271,795 (18.6)</w:t>
            </w:r>
          </w:p>
        </w:tc>
        <w:tc>
          <w:tcPr>
            <w:tcW w:w="1617" w:type="dxa"/>
            <w:noWrap/>
            <w:tcMar>
              <w:top w:w="28" w:type="dxa"/>
              <w:left w:w="113" w:type="dxa"/>
              <w:bottom w:w="28" w:type="dxa"/>
              <w:right w:w="113" w:type="dxa"/>
            </w:tcMar>
            <w:hideMark/>
          </w:tcPr>
          <w:p w:rsidR="000C0A41" w:rsidRPr="00C20173" w:rsidRDefault="000C0A41" w:rsidP="00AA764D">
            <w:pPr>
              <w:jc w:val="center"/>
              <w:cnfStyle w:val="000000100000" w:firstRow="0" w:lastRow="0" w:firstColumn="0" w:lastColumn="0" w:oddVBand="0" w:evenVBand="0" w:oddHBand="1" w:evenHBand="0" w:firstRowFirstColumn="0" w:firstRowLastColumn="0" w:lastRowFirstColumn="0" w:lastRowLastColumn="0"/>
            </w:pPr>
            <w:r w:rsidRPr="00C20173">
              <w:t>55,024 (19.5)</w:t>
            </w:r>
          </w:p>
        </w:tc>
        <w:tc>
          <w:tcPr>
            <w:tcW w:w="1805" w:type="dxa"/>
            <w:noWrap/>
            <w:tcMar>
              <w:top w:w="28" w:type="dxa"/>
              <w:left w:w="113" w:type="dxa"/>
              <w:bottom w:w="28" w:type="dxa"/>
              <w:right w:w="113" w:type="dxa"/>
            </w:tcMar>
            <w:hideMark/>
          </w:tcPr>
          <w:p w:rsidR="000C0A41" w:rsidRPr="00C20173" w:rsidRDefault="000C0A41" w:rsidP="00AA764D">
            <w:pPr>
              <w:jc w:val="center"/>
              <w:cnfStyle w:val="000000100000" w:firstRow="0" w:lastRow="0" w:firstColumn="0" w:lastColumn="0" w:oddVBand="0" w:evenVBand="0" w:oddHBand="1" w:evenHBand="0" w:firstRowFirstColumn="0" w:firstRowLastColumn="0" w:lastRowFirstColumn="0" w:lastRowLastColumn="0"/>
            </w:pPr>
            <w:r w:rsidRPr="00C20173">
              <w:t>271,795 (18.6)</w:t>
            </w:r>
          </w:p>
        </w:tc>
      </w:tr>
      <w:tr w:rsidR="000C0A41" w:rsidRPr="00C20173" w:rsidTr="00AA764D">
        <w:trPr>
          <w:trHeight w:val="227"/>
          <w:jc w:val="center"/>
        </w:trPr>
        <w:tc>
          <w:tcPr>
            <w:cnfStyle w:val="001000000000" w:firstRow="0" w:lastRow="0" w:firstColumn="1" w:lastColumn="0" w:oddVBand="0" w:evenVBand="0" w:oddHBand="0" w:evenHBand="0" w:firstRowFirstColumn="0" w:firstRowLastColumn="0" w:lastRowFirstColumn="0" w:lastRowLastColumn="0"/>
            <w:tcW w:w="3083" w:type="dxa"/>
            <w:noWrap/>
            <w:tcMar>
              <w:top w:w="28" w:type="dxa"/>
              <w:left w:w="113" w:type="dxa"/>
              <w:bottom w:w="28" w:type="dxa"/>
              <w:right w:w="113" w:type="dxa"/>
            </w:tcMar>
            <w:hideMark/>
          </w:tcPr>
          <w:p w:rsidR="000C0A41" w:rsidRPr="00C20173" w:rsidRDefault="000C0A41" w:rsidP="00AA764D">
            <w:pPr>
              <w:jc w:val="right"/>
            </w:pPr>
            <w:r w:rsidRPr="00CC1507">
              <w:rPr>
                <w:b w:val="0"/>
              </w:rPr>
              <w:t>IMD quintile 5 (most deprived)</w:t>
            </w:r>
          </w:p>
        </w:tc>
        <w:tc>
          <w:tcPr>
            <w:tcW w:w="1560" w:type="dxa"/>
            <w:noWrap/>
            <w:tcMar>
              <w:top w:w="28" w:type="dxa"/>
              <w:left w:w="113" w:type="dxa"/>
              <w:bottom w:w="28" w:type="dxa"/>
              <w:right w:w="113" w:type="dxa"/>
            </w:tcMar>
            <w:hideMark/>
          </w:tcPr>
          <w:p w:rsidR="000C0A41" w:rsidRPr="00C20173" w:rsidRDefault="000C0A41" w:rsidP="00AA764D">
            <w:pPr>
              <w:jc w:val="center"/>
              <w:cnfStyle w:val="000000000000" w:firstRow="0" w:lastRow="0" w:firstColumn="0" w:lastColumn="0" w:oddVBand="0" w:evenVBand="0" w:oddHBand="0" w:evenHBand="0" w:firstRowFirstColumn="0" w:firstRowLastColumn="0" w:lastRowFirstColumn="0" w:lastRowLastColumn="0"/>
            </w:pPr>
            <w:r w:rsidRPr="00C20173">
              <w:t>72,556 (25.7)</w:t>
            </w:r>
          </w:p>
        </w:tc>
        <w:tc>
          <w:tcPr>
            <w:tcW w:w="1735" w:type="dxa"/>
            <w:noWrap/>
            <w:tcMar>
              <w:top w:w="28" w:type="dxa"/>
              <w:left w:w="113" w:type="dxa"/>
              <w:bottom w:w="28" w:type="dxa"/>
              <w:right w:w="113" w:type="dxa"/>
            </w:tcMar>
            <w:hideMark/>
          </w:tcPr>
          <w:p w:rsidR="000C0A41" w:rsidRPr="00C20173" w:rsidRDefault="000C0A41" w:rsidP="00AA764D">
            <w:pPr>
              <w:jc w:val="center"/>
              <w:cnfStyle w:val="000000000000" w:firstRow="0" w:lastRow="0" w:firstColumn="0" w:lastColumn="0" w:oddVBand="0" w:evenVBand="0" w:oddHBand="0" w:evenHBand="0" w:firstRowFirstColumn="0" w:firstRowLastColumn="0" w:lastRowFirstColumn="0" w:lastRowLastColumn="0"/>
            </w:pPr>
            <w:r w:rsidRPr="00C20173">
              <w:t>340,672 (23.3)</w:t>
            </w:r>
          </w:p>
        </w:tc>
        <w:tc>
          <w:tcPr>
            <w:tcW w:w="1617" w:type="dxa"/>
            <w:noWrap/>
            <w:tcMar>
              <w:top w:w="28" w:type="dxa"/>
              <w:left w:w="113" w:type="dxa"/>
              <w:bottom w:w="28" w:type="dxa"/>
              <w:right w:w="113" w:type="dxa"/>
            </w:tcMar>
            <w:hideMark/>
          </w:tcPr>
          <w:p w:rsidR="000C0A41" w:rsidRPr="00C20173" w:rsidRDefault="000C0A41" w:rsidP="00AA764D">
            <w:pPr>
              <w:jc w:val="center"/>
              <w:cnfStyle w:val="000000000000" w:firstRow="0" w:lastRow="0" w:firstColumn="0" w:lastColumn="0" w:oddVBand="0" w:evenVBand="0" w:oddHBand="0" w:evenHBand="0" w:firstRowFirstColumn="0" w:firstRowLastColumn="0" w:lastRowFirstColumn="0" w:lastRowLastColumn="0"/>
            </w:pPr>
            <w:r w:rsidRPr="00C20173">
              <w:t>72,556 (25.7)</w:t>
            </w:r>
          </w:p>
        </w:tc>
        <w:tc>
          <w:tcPr>
            <w:tcW w:w="1805" w:type="dxa"/>
            <w:noWrap/>
            <w:tcMar>
              <w:top w:w="28" w:type="dxa"/>
              <w:left w:w="113" w:type="dxa"/>
              <w:bottom w:w="28" w:type="dxa"/>
              <w:right w:w="113" w:type="dxa"/>
            </w:tcMar>
            <w:hideMark/>
          </w:tcPr>
          <w:p w:rsidR="000C0A41" w:rsidRPr="00C20173" w:rsidRDefault="000C0A41" w:rsidP="00AA764D">
            <w:pPr>
              <w:jc w:val="center"/>
              <w:cnfStyle w:val="000000000000" w:firstRow="0" w:lastRow="0" w:firstColumn="0" w:lastColumn="0" w:oddVBand="0" w:evenVBand="0" w:oddHBand="0" w:evenHBand="0" w:firstRowFirstColumn="0" w:firstRowLastColumn="0" w:lastRowFirstColumn="0" w:lastRowLastColumn="0"/>
            </w:pPr>
            <w:r w:rsidRPr="00C20173">
              <w:t>340,672 (23.3)</w:t>
            </w:r>
          </w:p>
        </w:tc>
      </w:tr>
      <w:tr w:rsidR="000C0A41" w:rsidRPr="00C20173" w:rsidTr="00AA764D">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3083" w:type="dxa"/>
            <w:noWrap/>
            <w:tcMar>
              <w:top w:w="28" w:type="dxa"/>
              <w:left w:w="113" w:type="dxa"/>
              <w:bottom w:w="28" w:type="dxa"/>
              <w:right w:w="113" w:type="dxa"/>
            </w:tcMar>
          </w:tcPr>
          <w:p w:rsidR="000C0A41" w:rsidRPr="00C20173" w:rsidRDefault="000C0A41" w:rsidP="00AA764D">
            <w:r>
              <w:t>IMD missing</w:t>
            </w:r>
          </w:p>
        </w:tc>
        <w:tc>
          <w:tcPr>
            <w:tcW w:w="3295" w:type="dxa"/>
            <w:gridSpan w:val="2"/>
            <w:noWrap/>
            <w:tcMar>
              <w:top w:w="28" w:type="dxa"/>
              <w:left w:w="113" w:type="dxa"/>
              <w:bottom w:w="28" w:type="dxa"/>
              <w:right w:w="113" w:type="dxa"/>
            </w:tcMar>
          </w:tcPr>
          <w:p w:rsidR="000C0A41" w:rsidRPr="00C20173" w:rsidRDefault="000C0A41" w:rsidP="00AA764D">
            <w:pPr>
              <w:jc w:val="center"/>
              <w:cnfStyle w:val="000000100000" w:firstRow="0" w:lastRow="0" w:firstColumn="0" w:lastColumn="0" w:oddVBand="0" w:evenVBand="0" w:oddHBand="1" w:evenHBand="0" w:firstRowFirstColumn="0" w:firstRowLastColumn="0" w:lastRowFirstColumn="0" w:lastRowLastColumn="0"/>
            </w:pPr>
            <w:r w:rsidRPr="00AA764D">
              <w:t>1,837,537 (51.3%)</w:t>
            </w:r>
          </w:p>
        </w:tc>
        <w:tc>
          <w:tcPr>
            <w:tcW w:w="3422" w:type="dxa"/>
            <w:gridSpan w:val="2"/>
            <w:noWrap/>
            <w:tcMar>
              <w:top w:w="28" w:type="dxa"/>
              <w:left w:w="113" w:type="dxa"/>
              <w:bottom w:w="28" w:type="dxa"/>
              <w:right w:w="113" w:type="dxa"/>
            </w:tcMar>
          </w:tcPr>
          <w:p w:rsidR="000C0A41" w:rsidRPr="00C20173" w:rsidRDefault="000C0A41" w:rsidP="00AA764D">
            <w:pPr>
              <w:jc w:val="center"/>
              <w:cnfStyle w:val="000000100000" w:firstRow="0" w:lastRow="0" w:firstColumn="0" w:lastColumn="0" w:oddVBand="0" w:evenVBand="0" w:oddHBand="1" w:evenHBand="0" w:firstRowFirstColumn="0" w:firstRowLastColumn="0" w:lastRowFirstColumn="0" w:lastRowLastColumn="0"/>
            </w:pPr>
            <w:r w:rsidRPr="00AA764D">
              <w:t>1,837,537 (51.3%)</w:t>
            </w:r>
          </w:p>
        </w:tc>
      </w:tr>
    </w:tbl>
    <w:p w:rsidR="000C0A41" w:rsidRDefault="000C0A41" w:rsidP="006C5074">
      <w:pPr>
        <w:pStyle w:val="Heading2"/>
      </w:pPr>
      <w:bookmarkStart w:id="80" w:name="_Toc458185280"/>
      <w:r>
        <w:t>Regression modelling using CPRD data</w:t>
      </w:r>
      <w:bookmarkEnd w:id="80"/>
    </w:p>
    <w:p w:rsidR="000C0A41" w:rsidRDefault="000C0A41" w:rsidP="006A5453">
      <w:pPr>
        <w:pStyle w:val="Heading3"/>
      </w:pPr>
      <w:bookmarkStart w:id="81" w:name="_Toc458185281"/>
      <w:r>
        <w:t>CPRD univariate logistic analysis</w:t>
      </w:r>
      <w:bookmarkEnd w:id="81"/>
    </w:p>
    <w:p w:rsidR="000C0A41" w:rsidRDefault="000C0A41" w:rsidP="00924AB6">
      <w:r>
        <w:fldChar w:fldCharType="begin"/>
      </w:r>
      <w:r>
        <w:instrText xml:space="preserve"> REF _Ref442344661 \h </w:instrText>
      </w:r>
      <w:r>
        <w:fldChar w:fldCharType="separate"/>
      </w:r>
      <w:r w:rsidRPr="0082401A">
        <w:t xml:space="preserve">Table </w:t>
      </w:r>
      <w:r>
        <w:rPr>
          <w:noProof/>
        </w:rPr>
        <w:t>14</w:t>
      </w:r>
      <w:r>
        <w:fldChar w:fldCharType="end"/>
      </w:r>
      <w:r>
        <w:t xml:space="preserve"> </w:t>
      </w:r>
      <w:r w:rsidRPr="00924AB6">
        <w:t xml:space="preserve">shows the results of univariate </w:t>
      </w:r>
      <w:r>
        <w:t xml:space="preserve">logistic </w:t>
      </w:r>
      <w:r w:rsidRPr="00924AB6">
        <w:t>models for individual risk factors and the outcome.</w:t>
      </w:r>
    </w:p>
    <w:p w:rsidR="000C0A41" w:rsidRDefault="000C0A41" w:rsidP="0082401A">
      <w:pPr>
        <w:pStyle w:val="Caption"/>
        <w:keepNext/>
        <w:rPr>
          <w:color w:val="auto"/>
          <w:szCs w:val="22"/>
        </w:rPr>
      </w:pPr>
      <w:bookmarkStart w:id="82" w:name="_Ref442344661"/>
      <w:r w:rsidRPr="0082401A">
        <w:rPr>
          <w:color w:val="auto"/>
          <w:szCs w:val="22"/>
        </w:rPr>
        <w:t xml:space="preserve">Table </w:t>
      </w:r>
      <w:r w:rsidRPr="0082401A">
        <w:rPr>
          <w:color w:val="auto"/>
          <w:szCs w:val="22"/>
        </w:rPr>
        <w:fldChar w:fldCharType="begin"/>
      </w:r>
      <w:r w:rsidRPr="0082401A">
        <w:rPr>
          <w:color w:val="auto"/>
          <w:szCs w:val="22"/>
        </w:rPr>
        <w:instrText xml:space="preserve"> SEQ Table \* ARABIC </w:instrText>
      </w:r>
      <w:r w:rsidRPr="0082401A">
        <w:rPr>
          <w:color w:val="auto"/>
          <w:szCs w:val="22"/>
        </w:rPr>
        <w:fldChar w:fldCharType="separate"/>
      </w:r>
      <w:r>
        <w:rPr>
          <w:noProof/>
          <w:color w:val="auto"/>
          <w:szCs w:val="22"/>
        </w:rPr>
        <w:t>14</w:t>
      </w:r>
      <w:r w:rsidRPr="0082401A">
        <w:rPr>
          <w:color w:val="auto"/>
          <w:szCs w:val="22"/>
        </w:rPr>
        <w:fldChar w:fldCharType="end"/>
      </w:r>
      <w:bookmarkEnd w:id="82"/>
      <w:r w:rsidRPr="0082401A">
        <w:rPr>
          <w:color w:val="auto"/>
          <w:szCs w:val="22"/>
        </w:rPr>
        <w:t xml:space="preserve">: Univariate </w:t>
      </w:r>
      <w:r>
        <w:rPr>
          <w:color w:val="auto"/>
          <w:szCs w:val="22"/>
        </w:rPr>
        <w:t xml:space="preserve">logistic </w:t>
      </w:r>
      <w:r w:rsidRPr="0082401A">
        <w:rPr>
          <w:color w:val="auto"/>
          <w:szCs w:val="22"/>
        </w:rPr>
        <w:t>model for individual risk factors</w:t>
      </w:r>
    </w:p>
    <w:p w:rsidR="000C0A41" w:rsidRPr="00C20173" w:rsidRDefault="000C0A41" w:rsidP="00C20173"/>
    <w:p w:rsidR="000C0A41" w:rsidRPr="00221650" w:rsidRDefault="000C0A41" w:rsidP="000F4C62">
      <w:pPr>
        <w:pStyle w:val="Heading3"/>
      </w:pPr>
      <w:bookmarkStart w:id="83" w:name="_Toc458185282"/>
      <w:r>
        <w:t>Multivariate l</w:t>
      </w:r>
      <w:r w:rsidRPr="00221650">
        <w:t xml:space="preserve">ogistic </w:t>
      </w:r>
      <w:r>
        <w:t>analysis</w:t>
      </w:r>
      <w:bookmarkEnd w:id="83"/>
    </w:p>
    <w:p w:rsidR="000C0A41" w:rsidRDefault="000C0A41" w:rsidP="005829E5">
      <w:r>
        <w:t xml:space="preserve">We went through an extensive model fitting process to compare the performance of different models that included COPD patients identified by different methods. </w:t>
      </w:r>
      <w:r>
        <w:fldChar w:fldCharType="begin"/>
      </w:r>
      <w:r>
        <w:instrText xml:space="preserve"> REF _Ref442348645 \h </w:instrText>
      </w:r>
      <w:r>
        <w:fldChar w:fldCharType="separate"/>
      </w:r>
      <w:r w:rsidRPr="00B91319">
        <w:t xml:space="preserve">Table </w:t>
      </w:r>
      <w:r>
        <w:rPr>
          <w:noProof/>
        </w:rPr>
        <w:t>15</w:t>
      </w:r>
      <w:r>
        <w:fldChar w:fldCharType="end"/>
      </w:r>
      <w:r>
        <w:t xml:space="preserve"> below shows the l</w:t>
      </w:r>
      <w:r w:rsidRPr="00B91319">
        <w:t xml:space="preserve">ogistic regression model </w:t>
      </w:r>
      <w:r>
        <w:t xml:space="preserve">results </w:t>
      </w:r>
      <w:r w:rsidRPr="00B91319">
        <w:t xml:space="preserve">including patients </w:t>
      </w:r>
      <w:r>
        <w:t xml:space="preserve">with </w:t>
      </w:r>
      <w:r w:rsidRPr="006A4E5A">
        <w:t xml:space="preserve">only </w:t>
      </w:r>
      <w:r>
        <w:t xml:space="preserve">CPRD doctor-diagnosed COPD. As we would </w:t>
      </w:r>
      <w:r>
        <w:lastRenderedPageBreak/>
        <w:t xml:space="preserve">expect from the literature, COPD is significantly higher in males, ORs rise very rapidly with age, are high for smokers and ex-smokers, and increase with increasing deprivation. </w:t>
      </w:r>
    </w:p>
    <w:p w:rsidR="000C0A41" w:rsidRPr="00B91319" w:rsidRDefault="000C0A41" w:rsidP="00B91319">
      <w:pPr>
        <w:pStyle w:val="Caption"/>
        <w:keepNext/>
        <w:rPr>
          <w:color w:val="auto"/>
          <w:szCs w:val="22"/>
        </w:rPr>
      </w:pPr>
      <w:bookmarkStart w:id="84" w:name="_Ref442348645"/>
      <w:r w:rsidRPr="00B91319">
        <w:rPr>
          <w:color w:val="auto"/>
          <w:szCs w:val="22"/>
        </w:rPr>
        <w:t xml:space="preserve">Table </w:t>
      </w:r>
      <w:r w:rsidRPr="00B91319">
        <w:rPr>
          <w:color w:val="auto"/>
          <w:szCs w:val="22"/>
        </w:rPr>
        <w:fldChar w:fldCharType="begin"/>
      </w:r>
      <w:r w:rsidRPr="00B91319">
        <w:rPr>
          <w:color w:val="auto"/>
          <w:szCs w:val="22"/>
        </w:rPr>
        <w:instrText xml:space="preserve"> SEQ Table \* ARABIC </w:instrText>
      </w:r>
      <w:r w:rsidRPr="00B91319">
        <w:rPr>
          <w:color w:val="auto"/>
          <w:szCs w:val="22"/>
        </w:rPr>
        <w:fldChar w:fldCharType="separate"/>
      </w:r>
      <w:r>
        <w:rPr>
          <w:noProof/>
          <w:color w:val="auto"/>
          <w:szCs w:val="22"/>
        </w:rPr>
        <w:t>15</w:t>
      </w:r>
      <w:r w:rsidRPr="00B91319">
        <w:rPr>
          <w:color w:val="auto"/>
          <w:szCs w:val="22"/>
        </w:rPr>
        <w:fldChar w:fldCharType="end"/>
      </w:r>
      <w:bookmarkEnd w:id="84"/>
      <w:r w:rsidRPr="00B91319">
        <w:rPr>
          <w:color w:val="auto"/>
          <w:szCs w:val="22"/>
        </w:rPr>
        <w:t xml:space="preserve">: M1- </w:t>
      </w:r>
      <w:r>
        <w:rPr>
          <w:color w:val="auto"/>
          <w:szCs w:val="22"/>
        </w:rPr>
        <w:t>l</w:t>
      </w:r>
      <w:r w:rsidRPr="00B91319">
        <w:rPr>
          <w:color w:val="auto"/>
          <w:szCs w:val="22"/>
        </w:rPr>
        <w:t xml:space="preserve">ogistic regression model including patients </w:t>
      </w:r>
      <w:r>
        <w:rPr>
          <w:color w:val="auto"/>
          <w:szCs w:val="22"/>
        </w:rPr>
        <w:t xml:space="preserve">with </w:t>
      </w:r>
      <w:r w:rsidRPr="006A4E5A">
        <w:rPr>
          <w:color w:val="auto"/>
          <w:szCs w:val="22"/>
        </w:rPr>
        <w:t xml:space="preserve">only </w:t>
      </w:r>
      <w:r>
        <w:rPr>
          <w:color w:val="auto"/>
          <w:szCs w:val="22"/>
        </w:rPr>
        <w:t>CPRD doctor-diagnosed COPD</w:t>
      </w:r>
    </w:p>
    <w:tbl>
      <w:tblPr>
        <w:tblStyle w:val="GridTable4-Accent1"/>
        <w:tblW w:w="0" w:type="auto"/>
        <w:jc w:val="center"/>
        <w:tblLook w:val="04A0" w:firstRow="1" w:lastRow="0" w:firstColumn="1" w:lastColumn="0" w:noHBand="0" w:noVBand="1"/>
      </w:tblPr>
      <w:tblGrid>
        <w:gridCol w:w="4489"/>
        <w:gridCol w:w="1120"/>
        <w:gridCol w:w="1120"/>
        <w:gridCol w:w="1120"/>
        <w:gridCol w:w="1120"/>
      </w:tblGrid>
      <w:tr w:rsidR="000C0A41" w:rsidRPr="00CC1507" w:rsidTr="00CC1507">
        <w:trPr>
          <w:cnfStyle w:val="100000000000" w:firstRow="1" w:lastRow="0" w:firstColumn="0" w:lastColumn="0" w:oddVBand="0" w:evenVBand="0" w:oddHBand="0" w:evenHBand="0" w:firstRowFirstColumn="0" w:firstRowLastColumn="0" w:lastRowFirstColumn="0" w:lastRowLastColumn="0"/>
          <w:trHeight w:val="300"/>
          <w:tblHeader/>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CC1507" w:rsidRDefault="000C0A41" w:rsidP="0013015A">
            <w:pPr>
              <w:jc w:val="center"/>
            </w:pPr>
            <w:r w:rsidRPr="00CC1507">
              <w:t>Parameter</w:t>
            </w:r>
          </w:p>
        </w:tc>
        <w:tc>
          <w:tcPr>
            <w:tcW w:w="1120" w:type="dxa"/>
            <w:noWrap/>
            <w:hideMark/>
          </w:tcPr>
          <w:p w:rsidR="000C0A41" w:rsidRPr="00CC1507" w:rsidRDefault="000C0A41" w:rsidP="00CC1507">
            <w:pPr>
              <w:jc w:val="center"/>
              <w:cnfStyle w:val="100000000000" w:firstRow="1" w:lastRow="0" w:firstColumn="0" w:lastColumn="0" w:oddVBand="0" w:evenVBand="0" w:oddHBand="0" w:evenHBand="0" w:firstRowFirstColumn="0" w:firstRowLastColumn="0" w:lastRowFirstColumn="0" w:lastRowLastColumn="0"/>
            </w:pPr>
            <w:r w:rsidRPr="00CC1507">
              <w:t>Odds Ratio</w:t>
            </w:r>
          </w:p>
        </w:tc>
        <w:tc>
          <w:tcPr>
            <w:tcW w:w="1120" w:type="dxa"/>
            <w:noWrap/>
            <w:hideMark/>
          </w:tcPr>
          <w:p w:rsidR="000C0A41" w:rsidRPr="00CC1507" w:rsidRDefault="000C0A41" w:rsidP="00CC1507">
            <w:pPr>
              <w:jc w:val="center"/>
              <w:cnfStyle w:val="100000000000" w:firstRow="1" w:lastRow="0" w:firstColumn="0" w:lastColumn="0" w:oddVBand="0" w:evenVBand="0" w:oddHBand="0" w:evenHBand="0" w:firstRowFirstColumn="0" w:firstRowLastColumn="0" w:lastRowFirstColumn="0" w:lastRowLastColumn="0"/>
            </w:pPr>
            <w:r w:rsidRPr="00CC1507">
              <w:t>Lower 95% CI</w:t>
            </w:r>
          </w:p>
        </w:tc>
        <w:tc>
          <w:tcPr>
            <w:tcW w:w="1120" w:type="dxa"/>
            <w:noWrap/>
            <w:hideMark/>
          </w:tcPr>
          <w:p w:rsidR="000C0A41" w:rsidRPr="00CC1507" w:rsidRDefault="000C0A41" w:rsidP="00CC1507">
            <w:pPr>
              <w:jc w:val="center"/>
              <w:cnfStyle w:val="100000000000" w:firstRow="1" w:lastRow="0" w:firstColumn="0" w:lastColumn="0" w:oddVBand="0" w:evenVBand="0" w:oddHBand="0" w:evenHBand="0" w:firstRowFirstColumn="0" w:firstRowLastColumn="0" w:lastRowFirstColumn="0" w:lastRowLastColumn="0"/>
            </w:pPr>
            <w:r w:rsidRPr="00CC1507">
              <w:t>Upper 95% CI</w:t>
            </w:r>
          </w:p>
        </w:tc>
        <w:tc>
          <w:tcPr>
            <w:tcW w:w="1120" w:type="dxa"/>
            <w:noWrap/>
            <w:hideMark/>
          </w:tcPr>
          <w:p w:rsidR="000C0A41" w:rsidRPr="00CC1507" w:rsidRDefault="000C0A41" w:rsidP="00CC1507">
            <w:pPr>
              <w:jc w:val="center"/>
              <w:cnfStyle w:val="100000000000" w:firstRow="1" w:lastRow="0" w:firstColumn="0" w:lastColumn="0" w:oddVBand="0" w:evenVBand="0" w:oddHBand="0" w:evenHBand="0" w:firstRowFirstColumn="0" w:firstRowLastColumn="0" w:lastRowFirstColumn="0" w:lastRowLastColumn="0"/>
            </w:pPr>
            <w:r w:rsidRPr="00CC1507">
              <w:rPr>
                <w:i/>
              </w:rPr>
              <w:t>p</w:t>
            </w:r>
            <w:r w:rsidRPr="00CC1507">
              <w:t xml:space="preserve"> value</w:t>
            </w:r>
          </w:p>
        </w:tc>
      </w:tr>
      <w:tr w:rsidR="000C0A41" w:rsidRPr="004415A6" w:rsidTr="00CC15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tcPr>
          <w:p w:rsidR="000C0A41" w:rsidRPr="004415A6" w:rsidRDefault="000C0A41" w:rsidP="006A4E5A">
            <w:r w:rsidRPr="004415A6">
              <w:t>Sex</w:t>
            </w:r>
          </w:p>
        </w:tc>
        <w:tc>
          <w:tcPr>
            <w:tcW w:w="1120" w:type="dxa"/>
            <w:noWrap/>
          </w:tcPr>
          <w:p w:rsidR="000C0A41" w:rsidRPr="004415A6" w:rsidRDefault="000C0A41" w:rsidP="00CC1507">
            <w:pPr>
              <w:jc w:val="center"/>
              <w:cnfStyle w:val="000000100000" w:firstRow="0" w:lastRow="0" w:firstColumn="0" w:lastColumn="0" w:oddVBand="0" w:evenVBand="0" w:oddHBand="1" w:evenHBand="0" w:firstRowFirstColumn="0" w:firstRowLastColumn="0" w:lastRowFirstColumn="0" w:lastRowLastColumn="0"/>
              <w:rPr>
                <w:b/>
              </w:rPr>
            </w:pPr>
          </w:p>
        </w:tc>
        <w:tc>
          <w:tcPr>
            <w:tcW w:w="1120" w:type="dxa"/>
            <w:noWrap/>
          </w:tcPr>
          <w:p w:rsidR="000C0A41" w:rsidRPr="004415A6" w:rsidRDefault="000C0A41" w:rsidP="00CC1507">
            <w:pPr>
              <w:jc w:val="center"/>
              <w:cnfStyle w:val="000000100000" w:firstRow="0" w:lastRow="0" w:firstColumn="0" w:lastColumn="0" w:oddVBand="0" w:evenVBand="0" w:oddHBand="1" w:evenHBand="0" w:firstRowFirstColumn="0" w:firstRowLastColumn="0" w:lastRowFirstColumn="0" w:lastRowLastColumn="0"/>
              <w:rPr>
                <w:b/>
              </w:rPr>
            </w:pPr>
          </w:p>
        </w:tc>
        <w:tc>
          <w:tcPr>
            <w:tcW w:w="1120" w:type="dxa"/>
            <w:noWrap/>
          </w:tcPr>
          <w:p w:rsidR="000C0A41" w:rsidRPr="004415A6" w:rsidRDefault="000C0A41" w:rsidP="00CC1507">
            <w:pPr>
              <w:jc w:val="center"/>
              <w:cnfStyle w:val="000000100000" w:firstRow="0" w:lastRow="0" w:firstColumn="0" w:lastColumn="0" w:oddVBand="0" w:evenVBand="0" w:oddHBand="1" w:evenHBand="0" w:firstRowFirstColumn="0" w:firstRowLastColumn="0" w:lastRowFirstColumn="0" w:lastRowLastColumn="0"/>
              <w:rPr>
                <w:b/>
              </w:rPr>
            </w:pPr>
          </w:p>
        </w:tc>
        <w:tc>
          <w:tcPr>
            <w:tcW w:w="1120" w:type="dxa"/>
            <w:noWrap/>
          </w:tcPr>
          <w:p w:rsidR="000C0A41" w:rsidRPr="004415A6" w:rsidRDefault="000C0A41" w:rsidP="00CC1507">
            <w:pPr>
              <w:jc w:val="center"/>
              <w:cnfStyle w:val="000000100000" w:firstRow="0" w:lastRow="0" w:firstColumn="0" w:lastColumn="0" w:oddVBand="0" w:evenVBand="0" w:oddHBand="1" w:evenHBand="0" w:firstRowFirstColumn="0" w:firstRowLastColumn="0" w:lastRowFirstColumn="0" w:lastRowLastColumn="0"/>
              <w:rPr>
                <w:b/>
              </w:rPr>
            </w:pPr>
          </w:p>
        </w:tc>
      </w:tr>
      <w:tr w:rsidR="000C0A41" w:rsidRPr="0013015A" w:rsidTr="00CC1507">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4415A6">
            <w:pPr>
              <w:jc w:val="right"/>
              <w:rPr>
                <w:b w:val="0"/>
              </w:rPr>
            </w:pPr>
            <w:r w:rsidRPr="004415A6">
              <w:rPr>
                <w:b w:val="0"/>
              </w:rPr>
              <w:t>Male</w:t>
            </w:r>
          </w:p>
        </w:tc>
        <w:tc>
          <w:tcPr>
            <w:tcW w:w="1120" w:type="dxa"/>
            <w:noWrap/>
            <w:hideMark/>
          </w:tcPr>
          <w:p w:rsidR="000C0A41" w:rsidRPr="0013015A" w:rsidRDefault="000C0A41" w:rsidP="00CC1507">
            <w:pPr>
              <w:jc w:val="center"/>
              <w:cnfStyle w:val="000000000000" w:firstRow="0" w:lastRow="0" w:firstColumn="0" w:lastColumn="0" w:oddVBand="0" w:evenVBand="0" w:oddHBand="0" w:evenHBand="0" w:firstRowFirstColumn="0" w:firstRowLastColumn="0" w:lastRowFirstColumn="0" w:lastRowLastColumn="0"/>
            </w:pPr>
            <w:r w:rsidRPr="0013015A">
              <w:t>1</w:t>
            </w:r>
          </w:p>
        </w:tc>
        <w:tc>
          <w:tcPr>
            <w:tcW w:w="1120" w:type="dxa"/>
            <w:noWrap/>
            <w:hideMark/>
          </w:tcPr>
          <w:p w:rsidR="000C0A41" w:rsidRPr="0013015A" w:rsidRDefault="000C0A41" w:rsidP="00CC1507">
            <w:pPr>
              <w:jc w:val="center"/>
              <w:cnfStyle w:val="000000000000" w:firstRow="0" w:lastRow="0" w:firstColumn="0" w:lastColumn="0" w:oddVBand="0" w:evenVBand="0" w:oddHBand="0" w:evenHBand="0" w:firstRowFirstColumn="0" w:firstRowLastColumn="0" w:lastRowFirstColumn="0" w:lastRowLastColumn="0"/>
            </w:pPr>
            <w:r w:rsidRPr="0013015A">
              <w:t>1</w:t>
            </w:r>
          </w:p>
        </w:tc>
        <w:tc>
          <w:tcPr>
            <w:tcW w:w="1120" w:type="dxa"/>
            <w:noWrap/>
            <w:hideMark/>
          </w:tcPr>
          <w:p w:rsidR="000C0A41" w:rsidRPr="0013015A" w:rsidRDefault="000C0A41" w:rsidP="00CC1507">
            <w:pPr>
              <w:jc w:val="center"/>
              <w:cnfStyle w:val="000000000000" w:firstRow="0" w:lastRow="0" w:firstColumn="0" w:lastColumn="0" w:oddVBand="0" w:evenVBand="0" w:oddHBand="0" w:evenHBand="0" w:firstRowFirstColumn="0" w:firstRowLastColumn="0" w:lastRowFirstColumn="0" w:lastRowLastColumn="0"/>
            </w:pPr>
            <w:r w:rsidRPr="0013015A">
              <w:t>1</w:t>
            </w:r>
          </w:p>
        </w:tc>
        <w:tc>
          <w:tcPr>
            <w:tcW w:w="1120" w:type="dxa"/>
            <w:noWrap/>
            <w:hideMark/>
          </w:tcPr>
          <w:p w:rsidR="000C0A41" w:rsidRPr="0013015A" w:rsidRDefault="000C0A41" w:rsidP="00CC1507">
            <w:pPr>
              <w:jc w:val="center"/>
              <w:cnfStyle w:val="000000000000" w:firstRow="0" w:lastRow="0" w:firstColumn="0" w:lastColumn="0" w:oddVBand="0" w:evenVBand="0" w:oddHBand="0" w:evenHBand="0" w:firstRowFirstColumn="0" w:firstRowLastColumn="0" w:lastRowFirstColumn="0" w:lastRowLastColumn="0"/>
            </w:pPr>
            <w:r w:rsidRPr="0013015A">
              <w:t>.</w:t>
            </w:r>
          </w:p>
        </w:tc>
      </w:tr>
      <w:tr w:rsidR="000C0A41" w:rsidRPr="0013015A" w:rsidTr="00CC15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4415A6">
            <w:pPr>
              <w:jc w:val="right"/>
              <w:rPr>
                <w:b w:val="0"/>
              </w:rPr>
            </w:pPr>
            <w:r w:rsidRPr="004415A6">
              <w:rPr>
                <w:b w:val="0"/>
              </w:rPr>
              <w:t>Female</w:t>
            </w:r>
          </w:p>
        </w:tc>
        <w:tc>
          <w:tcPr>
            <w:tcW w:w="1120" w:type="dxa"/>
            <w:noWrap/>
            <w:hideMark/>
          </w:tcPr>
          <w:p w:rsidR="000C0A41" w:rsidRPr="00CC1507" w:rsidRDefault="000C0A41" w:rsidP="00CC1507">
            <w:pPr>
              <w:jc w:val="center"/>
              <w:cnfStyle w:val="000000100000" w:firstRow="0" w:lastRow="0" w:firstColumn="0" w:lastColumn="0" w:oddVBand="0" w:evenVBand="0" w:oddHBand="1" w:evenHBand="0" w:firstRowFirstColumn="0" w:firstRowLastColumn="0" w:lastRowFirstColumn="0" w:lastRowLastColumn="0"/>
              <w:rPr>
                <w:highlight w:val="yellow"/>
              </w:rPr>
            </w:pPr>
            <w:r w:rsidRPr="00CC1507">
              <w:rPr>
                <w:highlight w:val="yellow"/>
              </w:rPr>
              <w:t>0.956</w:t>
            </w:r>
          </w:p>
        </w:tc>
        <w:tc>
          <w:tcPr>
            <w:tcW w:w="1120" w:type="dxa"/>
            <w:noWrap/>
            <w:hideMark/>
          </w:tcPr>
          <w:p w:rsidR="000C0A41" w:rsidRPr="0013015A" w:rsidRDefault="000C0A41" w:rsidP="00CC1507">
            <w:pPr>
              <w:jc w:val="center"/>
              <w:cnfStyle w:val="000000100000" w:firstRow="0" w:lastRow="0" w:firstColumn="0" w:lastColumn="0" w:oddVBand="0" w:evenVBand="0" w:oddHBand="1" w:evenHBand="0" w:firstRowFirstColumn="0" w:firstRowLastColumn="0" w:lastRowFirstColumn="0" w:lastRowLastColumn="0"/>
            </w:pPr>
            <w:r w:rsidRPr="0013015A">
              <w:t>0.932</w:t>
            </w:r>
          </w:p>
        </w:tc>
        <w:tc>
          <w:tcPr>
            <w:tcW w:w="1120" w:type="dxa"/>
            <w:noWrap/>
            <w:hideMark/>
          </w:tcPr>
          <w:p w:rsidR="000C0A41" w:rsidRPr="0013015A" w:rsidRDefault="000C0A41" w:rsidP="00CC1507">
            <w:pPr>
              <w:jc w:val="center"/>
              <w:cnfStyle w:val="000000100000" w:firstRow="0" w:lastRow="0" w:firstColumn="0" w:lastColumn="0" w:oddVBand="0" w:evenVBand="0" w:oddHBand="1" w:evenHBand="0" w:firstRowFirstColumn="0" w:firstRowLastColumn="0" w:lastRowFirstColumn="0" w:lastRowLastColumn="0"/>
            </w:pPr>
            <w:r w:rsidRPr="0013015A">
              <w:t>0.981</w:t>
            </w:r>
          </w:p>
        </w:tc>
        <w:tc>
          <w:tcPr>
            <w:tcW w:w="1120" w:type="dxa"/>
            <w:noWrap/>
            <w:hideMark/>
          </w:tcPr>
          <w:p w:rsidR="000C0A41" w:rsidRPr="00CC1507" w:rsidRDefault="000C0A41" w:rsidP="00CC1507">
            <w:pPr>
              <w:jc w:val="center"/>
              <w:cnfStyle w:val="000000100000" w:firstRow="0" w:lastRow="0" w:firstColumn="0" w:lastColumn="0" w:oddVBand="0" w:evenVBand="0" w:oddHBand="1" w:evenHBand="0" w:firstRowFirstColumn="0" w:firstRowLastColumn="0" w:lastRowFirstColumn="0" w:lastRowLastColumn="0"/>
              <w:rPr>
                <w:highlight w:val="yellow"/>
              </w:rPr>
            </w:pPr>
            <w:r w:rsidRPr="00CC1507">
              <w:rPr>
                <w:highlight w:val="yellow"/>
              </w:rPr>
              <w:t>0.000</w:t>
            </w:r>
          </w:p>
        </w:tc>
      </w:tr>
      <w:tr w:rsidR="000C0A41" w:rsidRPr="004415A6" w:rsidTr="00CC1507">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tcPr>
          <w:p w:rsidR="000C0A41" w:rsidRPr="004415A6" w:rsidRDefault="000C0A41" w:rsidP="004415A6">
            <w:pPr>
              <w:jc w:val="left"/>
            </w:pPr>
            <w:r w:rsidRPr="004415A6">
              <w:t>Age group</w:t>
            </w:r>
          </w:p>
        </w:tc>
        <w:tc>
          <w:tcPr>
            <w:tcW w:w="1120" w:type="dxa"/>
            <w:noWrap/>
          </w:tcPr>
          <w:p w:rsidR="000C0A41" w:rsidRPr="004415A6" w:rsidRDefault="000C0A41" w:rsidP="00CC1507">
            <w:pPr>
              <w:jc w:val="center"/>
              <w:cnfStyle w:val="000000000000" w:firstRow="0" w:lastRow="0" w:firstColumn="0" w:lastColumn="0" w:oddVBand="0" w:evenVBand="0" w:oddHBand="0" w:evenHBand="0" w:firstRowFirstColumn="0" w:firstRowLastColumn="0" w:lastRowFirstColumn="0" w:lastRowLastColumn="0"/>
              <w:rPr>
                <w:b/>
              </w:rPr>
            </w:pPr>
          </w:p>
        </w:tc>
        <w:tc>
          <w:tcPr>
            <w:tcW w:w="1120" w:type="dxa"/>
            <w:noWrap/>
          </w:tcPr>
          <w:p w:rsidR="000C0A41" w:rsidRPr="004415A6" w:rsidRDefault="000C0A41" w:rsidP="00CC1507">
            <w:pPr>
              <w:jc w:val="center"/>
              <w:cnfStyle w:val="000000000000" w:firstRow="0" w:lastRow="0" w:firstColumn="0" w:lastColumn="0" w:oddVBand="0" w:evenVBand="0" w:oddHBand="0" w:evenHBand="0" w:firstRowFirstColumn="0" w:firstRowLastColumn="0" w:lastRowFirstColumn="0" w:lastRowLastColumn="0"/>
              <w:rPr>
                <w:b/>
              </w:rPr>
            </w:pPr>
          </w:p>
        </w:tc>
        <w:tc>
          <w:tcPr>
            <w:tcW w:w="1120" w:type="dxa"/>
            <w:noWrap/>
          </w:tcPr>
          <w:p w:rsidR="000C0A41" w:rsidRPr="004415A6" w:rsidRDefault="000C0A41" w:rsidP="00CC1507">
            <w:pPr>
              <w:jc w:val="center"/>
              <w:cnfStyle w:val="000000000000" w:firstRow="0" w:lastRow="0" w:firstColumn="0" w:lastColumn="0" w:oddVBand="0" w:evenVBand="0" w:oddHBand="0" w:evenHBand="0" w:firstRowFirstColumn="0" w:firstRowLastColumn="0" w:lastRowFirstColumn="0" w:lastRowLastColumn="0"/>
              <w:rPr>
                <w:b/>
              </w:rPr>
            </w:pPr>
          </w:p>
        </w:tc>
        <w:tc>
          <w:tcPr>
            <w:tcW w:w="1120" w:type="dxa"/>
            <w:noWrap/>
          </w:tcPr>
          <w:p w:rsidR="000C0A41" w:rsidRPr="004415A6" w:rsidRDefault="000C0A41" w:rsidP="00CC1507">
            <w:pPr>
              <w:jc w:val="center"/>
              <w:cnfStyle w:val="000000000000" w:firstRow="0" w:lastRow="0" w:firstColumn="0" w:lastColumn="0" w:oddVBand="0" w:evenVBand="0" w:oddHBand="0" w:evenHBand="0" w:firstRowFirstColumn="0" w:firstRowLastColumn="0" w:lastRowFirstColumn="0" w:lastRowLastColumn="0"/>
              <w:rPr>
                <w:b/>
              </w:rPr>
            </w:pPr>
          </w:p>
        </w:tc>
      </w:tr>
      <w:tr w:rsidR="000C0A41" w:rsidRPr="0013015A" w:rsidTr="00CC15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4415A6">
            <w:pPr>
              <w:jc w:val="right"/>
              <w:rPr>
                <w:b w:val="0"/>
              </w:rPr>
            </w:pPr>
            <w:r w:rsidRPr="004415A6">
              <w:rPr>
                <w:b w:val="0"/>
              </w:rPr>
              <w:t>&lt;40</w:t>
            </w:r>
          </w:p>
        </w:tc>
        <w:tc>
          <w:tcPr>
            <w:tcW w:w="1120" w:type="dxa"/>
            <w:noWrap/>
            <w:hideMark/>
          </w:tcPr>
          <w:p w:rsidR="000C0A41" w:rsidRPr="0013015A" w:rsidRDefault="000C0A41" w:rsidP="00CC1507">
            <w:pPr>
              <w:jc w:val="center"/>
              <w:cnfStyle w:val="000000100000" w:firstRow="0" w:lastRow="0" w:firstColumn="0" w:lastColumn="0" w:oddVBand="0" w:evenVBand="0" w:oddHBand="1" w:evenHBand="0" w:firstRowFirstColumn="0" w:firstRowLastColumn="0" w:lastRowFirstColumn="0" w:lastRowLastColumn="0"/>
            </w:pPr>
            <w:r w:rsidRPr="0013015A">
              <w:t>1</w:t>
            </w:r>
          </w:p>
        </w:tc>
        <w:tc>
          <w:tcPr>
            <w:tcW w:w="1120" w:type="dxa"/>
            <w:noWrap/>
            <w:hideMark/>
          </w:tcPr>
          <w:p w:rsidR="000C0A41" w:rsidRPr="0013015A" w:rsidRDefault="000C0A41" w:rsidP="00CC1507">
            <w:pPr>
              <w:jc w:val="center"/>
              <w:cnfStyle w:val="000000100000" w:firstRow="0" w:lastRow="0" w:firstColumn="0" w:lastColumn="0" w:oddVBand="0" w:evenVBand="0" w:oddHBand="1" w:evenHBand="0" w:firstRowFirstColumn="0" w:firstRowLastColumn="0" w:lastRowFirstColumn="0" w:lastRowLastColumn="0"/>
            </w:pPr>
            <w:r w:rsidRPr="0013015A">
              <w:t>1</w:t>
            </w:r>
          </w:p>
        </w:tc>
        <w:tc>
          <w:tcPr>
            <w:tcW w:w="1120" w:type="dxa"/>
            <w:noWrap/>
            <w:hideMark/>
          </w:tcPr>
          <w:p w:rsidR="000C0A41" w:rsidRPr="0013015A" w:rsidRDefault="000C0A41" w:rsidP="00CC1507">
            <w:pPr>
              <w:jc w:val="center"/>
              <w:cnfStyle w:val="000000100000" w:firstRow="0" w:lastRow="0" w:firstColumn="0" w:lastColumn="0" w:oddVBand="0" w:evenVBand="0" w:oddHBand="1" w:evenHBand="0" w:firstRowFirstColumn="0" w:firstRowLastColumn="0" w:lastRowFirstColumn="0" w:lastRowLastColumn="0"/>
            </w:pPr>
            <w:r w:rsidRPr="0013015A">
              <w:t>1</w:t>
            </w:r>
          </w:p>
        </w:tc>
        <w:tc>
          <w:tcPr>
            <w:tcW w:w="1120" w:type="dxa"/>
            <w:noWrap/>
            <w:hideMark/>
          </w:tcPr>
          <w:p w:rsidR="000C0A41" w:rsidRPr="0013015A" w:rsidRDefault="000C0A41" w:rsidP="00CC1507">
            <w:pPr>
              <w:jc w:val="center"/>
              <w:cnfStyle w:val="000000100000" w:firstRow="0" w:lastRow="0" w:firstColumn="0" w:lastColumn="0" w:oddVBand="0" w:evenVBand="0" w:oddHBand="1" w:evenHBand="0" w:firstRowFirstColumn="0" w:firstRowLastColumn="0" w:lastRowFirstColumn="0" w:lastRowLastColumn="0"/>
            </w:pPr>
            <w:r w:rsidRPr="0013015A">
              <w:t>.</w:t>
            </w:r>
          </w:p>
        </w:tc>
      </w:tr>
      <w:tr w:rsidR="000C0A41" w:rsidRPr="0013015A" w:rsidTr="00CC1507">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4415A6">
            <w:pPr>
              <w:jc w:val="right"/>
              <w:rPr>
                <w:b w:val="0"/>
              </w:rPr>
            </w:pPr>
            <w:r w:rsidRPr="004415A6">
              <w:rPr>
                <w:b w:val="0"/>
                <w:u w:val="single"/>
              </w:rPr>
              <w:t>&gt;</w:t>
            </w:r>
            <w:r w:rsidRPr="004415A6">
              <w:rPr>
                <w:b w:val="0"/>
              </w:rPr>
              <w:t>40 &amp; &lt;50</w:t>
            </w:r>
          </w:p>
        </w:tc>
        <w:tc>
          <w:tcPr>
            <w:tcW w:w="1120" w:type="dxa"/>
            <w:noWrap/>
            <w:hideMark/>
          </w:tcPr>
          <w:p w:rsidR="000C0A41" w:rsidRPr="00CC1507" w:rsidRDefault="000C0A41" w:rsidP="00CC1507">
            <w:pPr>
              <w:jc w:val="center"/>
              <w:cnfStyle w:val="000000000000" w:firstRow="0" w:lastRow="0" w:firstColumn="0" w:lastColumn="0" w:oddVBand="0" w:evenVBand="0" w:oddHBand="0" w:evenHBand="0" w:firstRowFirstColumn="0" w:firstRowLastColumn="0" w:lastRowFirstColumn="0" w:lastRowLastColumn="0"/>
              <w:rPr>
                <w:highlight w:val="yellow"/>
              </w:rPr>
            </w:pPr>
            <w:r w:rsidRPr="00CC1507">
              <w:rPr>
                <w:highlight w:val="yellow"/>
              </w:rPr>
              <w:t>16.717</w:t>
            </w:r>
          </w:p>
        </w:tc>
        <w:tc>
          <w:tcPr>
            <w:tcW w:w="1120" w:type="dxa"/>
            <w:noWrap/>
            <w:hideMark/>
          </w:tcPr>
          <w:p w:rsidR="000C0A41" w:rsidRPr="0013015A" w:rsidRDefault="000C0A41" w:rsidP="00CC1507">
            <w:pPr>
              <w:jc w:val="center"/>
              <w:cnfStyle w:val="000000000000" w:firstRow="0" w:lastRow="0" w:firstColumn="0" w:lastColumn="0" w:oddVBand="0" w:evenVBand="0" w:oddHBand="0" w:evenHBand="0" w:firstRowFirstColumn="0" w:firstRowLastColumn="0" w:lastRowFirstColumn="0" w:lastRowLastColumn="0"/>
            </w:pPr>
            <w:r w:rsidRPr="0013015A">
              <w:t>6.877</w:t>
            </w:r>
          </w:p>
        </w:tc>
        <w:tc>
          <w:tcPr>
            <w:tcW w:w="1120" w:type="dxa"/>
            <w:noWrap/>
            <w:hideMark/>
          </w:tcPr>
          <w:p w:rsidR="000C0A41" w:rsidRPr="0013015A" w:rsidRDefault="000C0A41" w:rsidP="00CC1507">
            <w:pPr>
              <w:jc w:val="center"/>
              <w:cnfStyle w:val="000000000000" w:firstRow="0" w:lastRow="0" w:firstColumn="0" w:lastColumn="0" w:oddVBand="0" w:evenVBand="0" w:oddHBand="0" w:evenHBand="0" w:firstRowFirstColumn="0" w:firstRowLastColumn="0" w:lastRowFirstColumn="0" w:lastRowLastColumn="0"/>
            </w:pPr>
            <w:r w:rsidRPr="0013015A">
              <w:t>40.642</w:t>
            </w:r>
          </w:p>
        </w:tc>
        <w:tc>
          <w:tcPr>
            <w:tcW w:w="1120" w:type="dxa"/>
            <w:noWrap/>
            <w:hideMark/>
          </w:tcPr>
          <w:p w:rsidR="000C0A41" w:rsidRPr="00CC1507" w:rsidRDefault="000C0A41" w:rsidP="00CC1507">
            <w:pPr>
              <w:jc w:val="center"/>
              <w:cnfStyle w:val="000000000000" w:firstRow="0" w:lastRow="0" w:firstColumn="0" w:lastColumn="0" w:oddVBand="0" w:evenVBand="0" w:oddHBand="0" w:evenHBand="0" w:firstRowFirstColumn="0" w:firstRowLastColumn="0" w:lastRowFirstColumn="0" w:lastRowLastColumn="0"/>
              <w:rPr>
                <w:highlight w:val="yellow"/>
              </w:rPr>
            </w:pPr>
            <w:r w:rsidRPr="00CC1507">
              <w:rPr>
                <w:highlight w:val="yellow"/>
              </w:rPr>
              <w:t>0.000</w:t>
            </w:r>
          </w:p>
        </w:tc>
      </w:tr>
      <w:tr w:rsidR="000C0A41" w:rsidRPr="0013015A" w:rsidTr="00CC15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4415A6">
            <w:pPr>
              <w:jc w:val="right"/>
              <w:rPr>
                <w:b w:val="0"/>
              </w:rPr>
            </w:pPr>
            <w:r w:rsidRPr="004415A6">
              <w:rPr>
                <w:b w:val="0"/>
                <w:u w:val="single"/>
              </w:rPr>
              <w:t>&gt;</w:t>
            </w:r>
            <w:r w:rsidRPr="004415A6">
              <w:rPr>
                <w:b w:val="0"/>
              </w:rPr>
              <w:t>50 &amp; &lt;60</w:t>
            </w:r>
          </w:p>
        </w:tc>
        <w:tc>
          <w:tcPr>
            <w:tcW w:w="1120" w:type="dxa"/>
            <w:noWrap/>
            <w:hideMark/>
          </w:tcPr>
          <w:p w:rsidR="000C0A41" w:rsidRPr="00CC1507" w:rsidRDefault="000C0A41" w:rsidP="00CC1507">
            <w:pPr>
              <w:jc w:val="center"/>
              <w:cnfStyle w:val="000000100000" w:firstRow="0" w:lastRow="0" w:firstColumn="0" w:lastColumn="0" w:oddVBand="0" w:evenVBand="0" w:oddHBand="1" w:evenHBand="0" w:firstRowFirstColumn="0" w:firstRowLastColumn="0" w:lastRowFirstColumn="0" w:lastRowLastColumn="0"/>
              <w:rPr>
                <w:highlight w:val="yellow"/>
              </w:rPr>
            </w:pPr>
            <w:r w:rsidRPr="00CC1507">
              <w:rPr>
                <w:highlight w:val="yellow"/>
              </w:rPr>
              <w:t>54.289</w:t>
            </w:r>
          </w:p>
        </w:tc>
        <w:tc>
          <w:tcPr>
            <w:tcW w:w="1120" w:type="dxa"/>
            <w:noWrap/>
            <w:hideMark/>
          </w:tcPr>
          <w:p w:rsidR="000C0A41" w:rsidRPr="0013015A" w:rsidRDefault="000C0A41" w:rsidP="00CC1507">
            <w:pPr>
              <w:jc w:val="center"/>
              <w:cnfStyle w:val="000000100000" w:firstRow="0" w:lastRow="0" w:firstColumn="0" w:lastColumn="0" w:oddVBand="0" w:evenVBand="0" w:oddHBand="1" w:evenHBand="0" w:firstRowFirstColumn="0" w:firstRowLastColumn="0" w:lastRowFirstColumn="0" w:lastRowLastColumn="0"/>
            </w:pPr>
            <w:r w:rsidRPr="0013015A">
              <w:t>22.505</w:t>
            </w:r>
          </w:p>
        </w:tc>
        <w:tc>
          <w:tcPr>
            <w:tcW w:w="1120" w:type="dxa"/>
            <w:noWrap/>
            <w:hideMark/>
          </w:tcPr>
          <w:p w:rsidR="000C0A41" w:rsidRPr="0013015A" w:rsidRDefault="000C0A41" w:rsidP="00CC1507">
            <w:pPr>
              <w:jc w:val="center"/>
              <w:cnfStyle w:val="000000100000" w:firstRow="0" w:lastRow="0" w:firstColumn="0" w:lastColumn="0" w:oddVBand="0" w:evenVBand="0" w:oddHBand="1" w:evenHBand="0" w:firstRowFirstColumn="0" w:firstRowLastColumn="0" w:lastRowFirstColumn="0" w:lastRowLastColumn="0"/>
            </w:pPr>
            <w:r w:rsidRPr="0013015A">
              <w:t>130.963</w:t>
            </w:r>
          </w:p>
        </w:tc>
        <w:tc>
          <w:tcPr>
            <w:tcW w:w="1120" w:type="dxa"/>
            <w:noWrap/>
            <w:hideMark/>
          </w:tcPr>
          <w:p w:rsidR="000C0A41" w:rsidRPr="00CC1507" w:rsidRDefault="000C0A41" w:rsidP="00CC1507">
            <w:pPr>
              <w:jc w:val="center"/>
              <w:cnfStyle w:val="000000100000" w:firstRow="0" w:lastRow="0" w:firstColumn="0" w:lastColumn="0" w:oddVBand="0" w:evenVBand="0" w:oddHBand="1" w:evenHBand="0" w:firstRowFirstColumn="0" w:firstRowLastColumn="0" w:lastRowFirstColumn="0" w:lastRowLastColumn="0"/>
              <w:rPr>
                <w:highlight w:val="yellow"/>
              </w:rPr>
            </w:pPr>
            <w:r w:rsidRPr="00CC1507">
              <w:rPr>
                <w:highlight w:val="yellow"/>
              </w:rPr>
              <w:t>0.000</w:t>
            </w:r>
          </w:p>
        </w:tc>
      </w:tr>
      <w:tr w:rsidR="000C0A41" w:rsidRPr="0013015A" w:rsidTr="00CC1507">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4415A6">
            <w:pPr>
              <w:jc w:val="right"/>
              <w:rPr>
                <w:b w:val="0"/>
              </w:rPr>
            </w:pPr>
            <w:r w:rsidRPr="004415A6">
              <w:rPr>
                <w:b w:val="0"/>
                <w:u w:val="single"/>
              </w:rPr>
              <w:t>&gt;</w:t>
            </w:r>
            <w:r w:rsidRPr="004415A6">
              <w:rPr>
                <w:b w:val="0"/>
              </w:rPr>
              <w:t>60 &amp; &lt;70</w:t>
            </w:r>
          </w:p>
        </w:tc>
        <w:tc>
          <w:tcPr>
            <w:tcW w:w="1120" w:type="dxa"/>
            <w:noWrap/>
            <w:hideMark/>
          </w:tcPr>
          <w:p w:rsidR="000C0A41" w:rsidRPr="00CC1507" w:rsidRDefault="000C0A41" w:rsidP="00CC1507">
            <w:pPr>
              <w:jc w:val="center"/>
              <w:cnfStyle w:val="000000000000" w:firstRow="0" w:lastRow="0" w:firstColumn="0" w:lastColumn="0" w:oddVBand="0" w:evenVBand="0" w:oddHBand="0" w:evenHBand="0" w:firstRowFirstColumn="0" w:firstRowLastColumn="0" w:lastRowFirstColumn="0" w:lastRowLastColumn="0"/>
              <w:rPr>
                <w:highlight w:val="yellow"/>
              </w:rPr>
            </w:pPr>
            <w:r w:rsidRPr="00CC1507">
              <w:rPr>
                <w:highlight w:val="yellow"/>
              </w:rPr>
              <w:t>141.475</w:t>
            </w:r>
          </w:p>
        </w:tc>
        <w:tc>
          <w:tcPr>
            <w:tcW w:w="1120" w:type="dxa"/>
            <w:noWrap/>
            <w:hideMark/>
          </w:tcPr>
          <w:p w:rsidR="000C0A41" w:rsidRPr="0013015A" w:rsidRDefault="000C0A41" w:rsidP="00CC1507">
            <w:pPr>
              <w:jc w:val="center"/>
              <w:cnfStyle w:val="000000000000" w:firstRow="0" w:lastRow="0" w:firstColumn="0" w:lastColumn="0" w:oddVBand="0" w:evenVBand="0" w:oddHBand="0" w:evenHBand="0" w:firstRowFirstColumn="0" w:firstRowLastColumn="0" w:lastRowFirstColumn="0" w:lastRowLastColumn="0"/>
            </w:pPr>
            <w:r w:rsidRPr="0013015A">
              <w:t>58.754</w:t>
            </w:r>
          </w:p>
        </w:tc>
        <w:tc>
          <w:tcPr>
            <w:tcW w:w="1120" w:type="dxa"/>
            <w:noWrap/>
            <w:hideMark/>
          </w:tcPr>
          <w:p w:rsidR="000C0A41" w:rsidRPr="0013015A" w:rsidRDefault="000C0A41" w:rsidP="00CC1507">
            <w:pPr>
              <w:jc w:val="center"/>
              <w:cnfStyle w:val="000000000000" w:firstRow="0" w:lastRow="0" w:firstColumn="0" w:lastColumn="0" w:oddVBand="0" w:evenVBand="0" w:oddHBand="0" w:evenHBand="0" w:firstRowFirstColumn="0" w:firstRowLastColumn="0" w:lastRowFirstColumn="0" w:lastRowLastColumn="0"/>
            </w:pPr>
            <w:r w:rsidRPr="0013015A">
              <w:t>340.661</w:t>
            </w:r>
          </w:p>
        </w:tc>
        <w:tc>
          <w:tcPr>
            <w:tcW w:w="1120" w:type="dxa"/>
            <w:noWrap/>
            <w:hideMark/>
          </w:tcPr>
          <w:p w:rsidR="000C0A41" w:rsidRPr="00CC1507" w:rsidRDefault="000C0A41" w:rsidP="00CC1507">
            <w:pPr>
              <w:jc w:val="center"/>
              <w:cnfStyle w:val="000000000000" w:firstRow="0" w:lastRow="0" w:firstColumn="0" w:lastColumn="0" w:oddVBand="0" w:evenVBand="0" w:oddHBand="0" w:evenHBand="0" w:firstRowFirstColumn="0" w:firstRowLastColumn="0" w:lastRowFirstColumn="0" w:lastRowLastColumn="0"/>
              <w:rPr>
                <w:highlight w:val="yellow"/>
              </w:rPr>
            </w:pPr>
            <w:r w:rsidRPr="00CC1507">
              <w:rPr>
                <w:highlight w:val="yellow"/>
              </w:rPr>
              <w:t>0.000</w:t>
            </w:r>
          </w:p>
        </w:tc>
      </w:tr>
      <w:tr w:rsidR="000C0A41" w:rsidRPr="0013015A" w:rsidTr="00CC15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CC1507">
            <w:pPr>
              <w:jc w:val="right"/>
              <w:rPr>
                <w:b w:val="0"/>
              </w:rPr>
            </w:pPr>
            <w:r w:rsidRPr="004415A6">
              <w:rPr>
                <w:b w:val="0"/>
                <w:u w:val="single"/>
              </w:rPr>
              <w:t>&gt;</w:t>
            </w:r>
            <w:r w:rsidRPr="004415A6">
              <w:rPr>
                <w:b w:val="0"/>
              </w:rPr>
              <w:t>70 &amp; &lt;80</w:t>
            </w:r>
          </w:p>
        </w:tc>
        <w:tc>
          <w:tcPr>
            <w:tcW w:w="1120" w:type="dxa"/>
            <w:noWrap/>
            <w:hideMark/>
          </w:tcPr>
          <w:p w:rsidR="000C0A41" w:rsidRPr="00CC1507" w:rsidRDefault="000C0A41" w:rsidP="00CC1507">
            <w:pPr>
              <w:jc w:val="center"/>
              <w:cnfStyle w:val="000000100000" w:firstRow="0" w:lastRow="0" w:firstColumn="0" w:lastColumn="0" w:oddVBand="0" w:evenVBand="0" w:oddHBand="1" w:evenHBand="0" w:firstRowFirstColumn="0" w:firstRowLastColumn="0" w:lastRowFirstColumn="0" w:lastRowLastColumn="0"/>
              <w:rPr>
                <w:highlight w:val="yellow"/>
              </w:rPr>
            </w:pPr>
            <w:r w:rsidRPr="00CC1507">
              <w:rPr>
                <w:highlight w:val="yellow"/>
              </w:rPr>
              <w:t>202.261</w:t>
            </w:r>
          </w:p>
        </w:tc>
        <w:tc>
          <w:tcPr>
            <w:tcW w:w="1120" w:type="dxa"/>
            <w:noWrap/>
            <w:hideMark/>
          </w:tcPr>
          <w:p w:rsidR="000C0A41" w:rsidRPr="0013015A" w:rsidRDefault="000C0A41" w:rsidP="00CC1507">
            <w:pPr>
              <w:jc w:val="center"/>
              <w:cnfStyle w:val="000000100000" w:firstRow="0" w:lastRow="0" w:firstColumn="0" w:lastColumn="0" w:oddVBand="0" w:evenVBand="0" w:oddHBand="1" w:evenHBand="0" w:firstRowFirstColumn="0" w:firstRowLastColumn="0" w:lastRowFirstColumn="0" w:lastRowLastColumn="0"/>
            </w:pPr>
            <w:r w:rsidRPr="0013015A">
              <w:t>83.973</w:t>
            </w:r>
          </w:p>
        </w:tc>
        <w:tc>
          <w:tcPr>
            <w:tcW w:w="1120" w:type="dxa"/>
            <w:noWrap/>
            <w:hideMark/>
          </w:tcPr>
          <w:p w:rsidR="000C0A41" w:rsidRPr="0013015A" w:rsidRDefault="000C0A41" w:rsidP="00CC1507">
            <w:pPr>
              <w:jc w:val="center"/>
              <w:cnfStyle w:val="000000100000" w:firstRow="0" w:lastRow="0" w:firstColumn="0" w:lastColumn="0" w:oddVBand="0" w:evenVBand="0" w:oddHBand="1" w:evenHBand="0" w:firstRowFirstColumn="0" w:firstRowLastColumn="0" w:lastRowFirstColumn="0" w:lastRowLastColumn="0"/>
            </w:pPr>
            <w:r w:rsidRPr="0013015A">
              <w:t>487.175</w:t>
            </w:r>
          </w:p>
        </w:tc>
        <w:tc>
          <w:tcPr>
            <w:tcW w:w="1120" w:type="dxa"/>
            <w:noWrap/>
            <w:hideMark/>
          </w:tcPr>
          <w:p w:rsidR="000C0A41" w:rsidRPr="00CC1507" w:rsidRDefault="000C0A41" w:rsidP="00CC1507">
            <w:pPr>
              <w:jc w:val="center"/>
              <w:cnfStyle w:val="000000100000" w:firstRow="0" w:lastRow="0" w:firstColumn="0" w:lastColumn="0" w:oddVBand="0" w:evenVBand="0" w:oddHBand="1" w:evenHBand="0" w:firstRowFirstColumn="0" w:firstRowLastColumn="0" w:lastRowFirstColumn="0" w:lastRowLastColumn="0"/>
              <w:rPr>
                <w:highlight w:val="yellow"/>
              </w:rPr>
            </w:pPr>
            <w:r w:rsidRPr="00CC1507">
              <w:rPr>
                <w:highlight w:val="yellow"/>
              </w:rPr>
              <w:t>0.000</w:t>
            </w:r>
          </w:p>
        </w:tc>
      </w:tr>
      <w:tr w:rsidR="000C0A41" w:rsidRPr="0013015A" w:rsidTr="00CC1507">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4415A6">
            <w:pPr>
              <w:jc w:val="right"/>
              <w:rPr>
                <w:b w:val="0"/>
              </w:rPr>
            </w:pPr>
            <w:r w:rsidRPr="004415A6">
              <w:rPr>
                <w:b w:val="0"/>
                <w:u w:val="single"/>
              </w:rPr>
              <w:t>&gt;</w:t>
            </w:r>
            <w:r w:rsidRPr="004415A6">
              <w:rPr>
                <w:b w:val="0"/>
              </w:rPr>
              <w:t>80</w:t>
            </w:r>
          </w:p>
        </w:tc>
        <w:tc>
          <w:tcPr>
            <w:tcW w:w="1120" w:type="dxa"/>
            <w:noWrap/>
            <w:hideMark/>
          </w:tcPr>
          <w:p w:rsidR="000C0A41" w:rsidRPr="00CC1507" w:rsidRDefault="000C0A41" w:rsidP="00CC1507">
            <w:pPr>
              <w:jc w:val="center"/>
              <w:cnfStyle w:val="000000000000" w:firstRow="0" w:lastRow="0" w:firstColumn="0" w:lastColumn="0" w:oddVBand="0" w:evenVBand="0" w:oddHBand="0" w:evenHBand="0" w:firstRowFirstColumn="0" w:firstRowLastColumn="0" w:lastRowFirstColumn="0" w:lastRowLastColumn="0"/>
              <w:rPr>
                <w:highlight w:val="yellow"/>
              </w:rPr>
            </w:pPr>
            <w:r w:rsidRPr="00CC1507">
              <w:rPr>
                <w:highlight w:val="yellow"/>
              </w:rPr>
              <w:t>124.298</w:t>
            </w:r>
          </w:p>
        </w:tc>
        <w:tc>
          <w:tcPr>
            <w:tcW w:w="1120" w:type="dxa"/>
            <w:noWrap/>
            <w:hideMark/>
          </w:tcPr>
          <w:p w:rsidR="000C0A41" w:rsidRPr="0013015A" w:rsidRDefault="000C0A41" w:rsidP="00CC1507">
            <w:pPr>
              <w:jc w:val="center"/>
              <w:cnfStyle w:val="000000000000" w:firstRow="0" w:lastRow="0" w:firstColumn="0" w:lastColumn="0" w:oddVBand="0" w:evenVBand="0" w:oddHBand="0" w:evenHBand="0" w:firstRowFirstColumn="0" w:firstRowLastColumn="0" w:lastRowFirstColumn="0" w:lastRowLastColumn="0"/>
            </w:pPr>
            <w:r w:rsidRPr="0013015A">
              <w:t>51.440</w:t>
            </w:r>
          </w:p>
        </w:tc>
        <w:tc>
          <w:tcPr>
            <w:tcW w:w="1120" w:type="dxa"/>
            <w:noWrap/>
            <w:hideMark/>
          </w:tcPr>
          <w:p w:rsidR="000C0A41" w:rsidRPr="0013015A" w:rsidRDefault="000C0A41" w:rsidP="00CC1507">
            <w:pPr>
              <w:jc w:val="center"/>
              <w:cnfStyle w:val="000000000000" w:firstRow="0" w:lastRow="0" w:firstColumn="0" w:lastColumn="0" w:oddVBand="0" w:evenVBand="0" w:oddHBand="0" w:evenHBand="0" w:firstRowFirstColumn="0" w:firstRowLastColumn="0" w:lastRowFirstColumn="0" w:lastRowLastColumn="0"/>
            </w:pPr>
            <w:r w:rsidRPr="0013015A">
              <w:t>300.352</w:t>
            </w:r>
          </w:p>
        </w:tc>
        <w:tc>
          <w:tcPr>
            <w:tcW w:w="1120" w:type="dxa"/>
            <w:noWrap/>
            <w:hideMark/>
          </w:tcPr>
          <w:p w:rsidR="000C0A41" w:rsidRPr="00CC1507" w:rsidRDefault="000C0A41" w:rsidP="00CC1507">
            <w:pPr>
              <w:jc w:val="center"/>
              <w:cnfStyle w:val="000000000000" w:firstRow="0" w:lastRow="0" w:firstColumn="0" w:lastColumn="0" w:oddVBand="0" w:evenVBand="0" w:oddHBand="0" w:evenHBand="0" w:firstRowFirstColumn="0" w:firstRowLastColumn="0" w:lastRowFirstColumn="0" w:lastRowLastColumn="0"/>
              <w:rPr>
                <w:highlight w:val="yellow"/>
              </w:rPr>
            </w:pPr>
            <w:r w:rsidRPr="00CC1507">
              <w:rPr>
                <w:highlight w:val="yellow"/>
              </w:rPr>
              <w:t>0.000</w:t>
            </w:r>
          </w:p>
        </w:tc>
      </w:tr>
      <w:tr w:rsidR="000C0A41" w:rsidRPr="004415A6" w:rsidTr="00CC15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tcPr>
          <w:p w:rsidR="000C0A41" w:rsidRPr="004415A6" w:rsidRDefault="000C0A41" w:rsidP="0013015A">
            <w:r w:rsidRPr="004415A6">
              <w:t>Smoking</w:t>
            </w:r>
          </w:p>
        </w:tc>
        <w:tc>
          <w:tcPr>
            <w:tcW w:w="1120" w:type="dxa"/>
            <w:noWrap/>
          </w:tcPr>
          <w:p w:rsidR="000C0A41" w:rsidRPr="004415A6" w:rsidRDefault="000C0A41" w:rsidP="00CC1507">
            <w:pPr>
              <w:jc w:val="center"/>
              <w:cnfStyle w:val="000000100000" w:firstRow="0" w:lastRow="0" w:firstColumn="0" w:lastColumn="0" w:oddVBand="0" w:evenVBand="0" w:oddHBand="1" w:evenHBand="0" w:firstRowFirstColumn="0" w:firstRowLastColumn="0" w:lastRowFirstColumn="0" w:lastRowLastColumn="0"/>
              <w:rPr>
                <w:b/>
              </w:rPr>
            </w:pPr>
          </w:p>
        </w:tc>
        <w:tc>
          <w:tcPr>
            <w:tcW w:w="1120" w:type="dxa"/>
            <w:noWrap/>
          </w:tcPr>
          <w:p w:rsidR="000C0A41" w:rsidRPr="004415A6" w:rsidRDefault="000C0A41" w:rsidP="00CC1507">
            <w:pPr>
              <w:jc w:val="center"/>
              <w:cnfStyle w:val="000000100000" w:firstRow="0" w:lastRow="0" w:firstColumn="0" w:lastColumn="0" w:oddVBand="0" w:evenVBand="0" w:oddHBand="1" w:evenHBand="0" w:firstRowFirstColumn="0" w:firstRowLastColumn="0" w:lastRowFirstColumn="0" w:lastRowLastColumn="0"/>
              <w:rPr>
                <w:b/>
              </w:rPr>
            </w:pPr>
          </w:p>
        </w:tc>
        <w:tc>
          <w:tcPr>
            <w:tcW w:w="1120" w:type="dxa"/>
            <w:noWrap/>
          </w:tcPr>
          <w:p w:rsidR="000C0A41" w:rsidRPr="004415A6" w:rsidRDefault="000C0A41" w:rsidP="00CC1507">
            <w:pPr>
              <w:jc w:val="center"/>
              <w:cnfStyle w:val="000000100000" w:firstRow="0" w:lastRow="0" w:firstColumn="0" w:lastColumn="0" w:oddVBand="0" w:evenVBand="0" w:oddHBand="1" w:evenHBand="0" w:firstRowFirstColumn="0" w:firstRowLastColumn="0" w:lastRowFirstColumn="0" w:lastRowLastColumn="0"/>
              <w:rPr>
                <w:b/>
              </w:rPr>
            </w:pPr>
          </w:p>
        </w:tc>
        <w:tc>
          <w:tcPr>
            <w:tcW w:w="1120" w:type="dxa"/>
            <w:noWrap/>
          </w:tcPr>
          <w:p w:rsidR="000C0A41" w:rsidRPr="004415A6" w:rsidRDefault="000C0A41" w:rsidP="00CC1507">
            <w:pPr>
              <w:jc w:val="center"/>
              <w:cnfStyle w:val="000000100000" w:firstRow="0" w:lastRow="0" w:firstColumn="0" w:lastColumn="0" w:oddVBand="0" w:evenVBand="0" w:oddHBand="1" w:evenHBand="0" w:firstRowFirstColumn="0" w:firstRowLastColumn="0" w:lastRowFirstColumn="0" w:lastRowLastColumn="0"/>
              <w:rPr>
                <w:b/>
              </w:rPr>
            </w:pPr>
          </w:p>
        </w:tc>
      </w:tr>
      <w:tr w:rsidR="000C0A41" w:rsidRPr="0013015A" w:rsidTr="00CC1507">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4415A6">
            <w:pPr>
              <w:jc w:val="right"/>
              <w:rPr>
                <w:b w:val="0"/>
              </w:rPr>
            </w:pPr>
            <w:r>
              <w:rPr>
                <w:b w:val="0"/>
              </w:rPr>
              <w:t>Non-smoker</w:t>
            </w:r>
          </w:p>
        </w:tc>
        <w:tc>
          <w:tcPr>
            <w:tcW w:w="1120" w:type="dxa"/>
            <w:noWrap/>
            <w:hideMark/>
          </w:tcPr>
          <w:p w:rsidR="000C0A41" w:rsidRPr="0013015A" w:rsidRDefault="000C0A41" w:rsidP="00CC1507">
            <w:pPr>
              <w:jc w:val="center"/>
              <w:cnfStyle w:val="000000000000" w:firstRow="0" w:lastRow="0" w:firstColumn="0" w:lastColumn="0" w:oddVBand="0" w:evenVBand="0" w:oddHBand="0" w:evenHBand="0" w:firstRowFirstColumn="0" w:firstRowLastColumn="0" w:lastRowFirstColumn="0" w:lastRowLastColumn="0"/>
            </w:pPr>
            <w:r w:rsidRPr="0013015A">
              <w:t>1</w:t>
            </w:r>
          </w:p>
        </w:tc>
        <w:tc>
          <w:tcPr>
            <w:tcW w:w="1120" w:type="dxa"/>
            <w:noWrap/>
            <w:hideMark/>
          </w:tcPr>
          <w:p w:rsidR="000C0A41" w:rsidRPr="0013015A" w:rsidRDefault="000C0A41" w:rsidP="00CC1507">
            <w:pPr>
              <w:jc w:val="center"/>
              <w:cnfStyle w:val="000000000000" w:firstRow="0" w:lastRow="0" w:firstColumn="0" w:lastColumn="0" w:oddVBand="0" w:evenVBand="0" w:oddHBand="0" w:evenHBand="0" w:firstRowFirstColumn="0" w:firstRowLastColumn="0" w:lastRowFirstColumn="0" w:lastRowLastColumn="0"/>
            </w:pPr>
            <w:r w:rsidRPr="0013015A">
              <w:t>1</w:t>
            </w:r>
          </w:p>
        </w:tc>
        <w:tc>
          <w:tcPr>
            <w:tcW w:w="1120" w:type="dxa"/>
            <w:noWrap/>
            <w:hideMark/>
          </w:tcPr>
          <w:p w:rsidR="000C0A41" w:rsidRPr="0013015A" w:rsidRDefault="000C0A41" w:rsidP="00CC1507">
            <w:pPr>
              <w:jc w:val="center"/>
              <w:cnfStyle w:val="000000000000" w:firstRow="0" w:lastRow="0" w:firstColumn="0" w:lastColumn="0" w:oddVBand="0" w:evenVBand="0" w:oddHBand="0" w:evenHBand="0" w:firstRowFirstColumn="0" w:firstRowLastColumn="0" w:lastRowFirstColumn="0" w:lastRowLastColumn="0"/>
            </w:pPr>
            <w:r w:rsidRPr="0013015A">
              <w:t>1</w:t>
            </w:r>
          </w:p>
        </w:tc>
        <w:tc>
          <w:tcPr>
            <w:tcW w:w="1120" w:type="dxa"/>
            <w:noWrap/>
            <w:hideMark/>
          </w:tcPr>
          <w:p w:rsidR="000C0A41" w:rsidRPr="0013015A" w:rsidRDefault="000C0A41" w:rsidP="00CC1507">
            <w:pPr>
              <w:jc w:val="center"/>
              <w:cnfStyle w:val="000000000000" w:firstRow="0" w:lastRow="0" w:firstColumn="0" w:lastColumn="0" w:oddVBand="0" w:evenVBand="0" w:oddHBand="0" w:evenHBand="0" w:firstRowFirstColumn="0" w:firstRowLastColumn="0" w:lastRowFirstColumn="0" w:lastRowLastColumn="0"/>
            </w:pPr>
            <w:r w:rsidRPr="0013015A">
              <w:t>.</w:t>
            </w:r>
          </w:p>
        </w:tc>
      </w:tr>
      <w:tr w:rsidR="000C0A41" w:rsidRPr="0013015A" w:rsidTr="00CC15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tcPr>
          <w:p w:rsidR="000C0A41" w:rsidRPr="004415A6" w:rsidRDefault="000C0A41" w:rsidP="004415A6">
            <w:pPr>
              <w:jc w:val="right"/>
              <w:rPr>
                <w:b w:val="0"/>
              </w:rPr>
            </w:pPr>
            <w:r>
              <w:rPr>
                <w:b w:val="0"/>
              </w:rPr>
              <w:t>Current smoker</w:t>
            </w:r>
          </w:p>
        </w:tc>
        <w:tc>
          <w:tcPr>
            <w:tcW w:w="1120" w:type="dxa"/>
            <w:noWrap/>
            <w:hideMark/>
          </w:tcPr>
          <w:p w:rsidR="000C0A41" w:rsidRPr="00CC1507" w:rsidRDefault="000C0A41" w:rsidP="00CC1507">
            <w:pPr>
              <w:jc w:val="center"/>
              <w:cnfStyle w:val="000000100000" w:firstRow="0" w:lastRow="0" w:firstColumn="0" w:lastColumn="0" w:oddVBand="0" w:evenVBand="0" w:oddHBand="1" w:evenHBand="0" w:firstRowFirstColumn="0" w:firstRowLastColumn="0" w:lastRowFirstColumn="0" w:lastRowLastColumn="0"/>
              <w:rPr>
                <w:highlight w:val="yellow"/>
              </w:rPr>
            </w:pPr>
            <w:r w:rsidRPr="00CC1507">
              <w:rPr>
                <w:highlight w:val="yellow"/>
              </w:rPr>
              <w:t>25.734</w:t>
            </w:r>
          </w:p>
        </w:tc>
        <w:tc>
          <w:tcPr>
            <w:tcW w:w="1120" w:type="dxa"/>
            <w:noWrap/>
            <w:hideMark/>
          </w:tcPr>
          <w:p w:rsidR="000C0A41" w:rsidRPr="0013015A" w:rsidRDefault="000C0A41" w:rsidP="00CC1507">
            <w:pPr>
              <w:jc w:val="center"/>
              <w:cnfStyle w:val="000000100000" w:firstRow="0" w:lastRow="0" w:firstColumn="0" w:lastColumn="0" w:oddVBand="0" w:evenVBand="0" w:oddHBand="1" w:evenHBand="0" w:firstRowFirstColumn="0" w:firstRowLastColumn="0" w:lastRowFirstColumn="0" w:lastRowLastColumn="0"/>
            </w:pPr>
            <w:r w:rsidRPr="0013015A">
              <w:t>10.321</w:t>
            </w:r>
          </w:p>
        </w:tc>
        <w:tc>
          <w:tcPr>
            <w:tcW w:w="1120" w:type="dxa"/>
            <w:noWrap/>
            <w:hideMark/>
          </w:tcPr>
          <w:p w:rsidR="000C0A41" w:rsidRPr="0013015A" w:rsidRDefault="000C0A41" w:rsidP="00CC1507">
            <w:pPr>
              <w:jc w:val="center"/>
              <w:cnfStyle w:val="000000100000" w:firstRow="0" w:lastRow="0" w:firstColumn="0" w:lastColumn="0" w:oddVBand="0" w:evenVBand="0" w:oddHBand="1" w:evenHBand="0" w:firstRowFirstColumn="0" w:firstRowLastColumn="0" w:lastRowFirstColumn="0" w:lastRowLastColumn="0"/>
            </w:pPr>
            <w:r w:rsidRPr="0013015A">
              <w:t>64.160</w:t>
            </w:r>
          </w:p>
        </w:tc>
        <w:tc>
          <w:tcPr>
            <w:tcW w:w="1120" w:type="dxa"/>
            <w:noWrap/>
            <w:hideMark/>
          </w:tcPr>
          <w:p w:rsidR="000C0A41" w:rsidRPr="00CC1507" w:rsidRDefault="000C0A41" w:rsidP="00CC1507">
            <w:pPr>
              <w:jc w:val="center"/>
              <w:cnfStyle w:val="000000100000" w:firstRow="0" w:lastRow="0" w:firstColumn="0" w:lastColumn="0" w:oddVBand="0" w:evenVBand="0" w:oddHBand="1" w:evenHBand="0" w:firstRowFirstColumn="0" w:firstRowLastColumn="0" w:lastRowFirstColumn="0" w:lastRowLastColumn="0"/>
              <w:rPr>
                <w:highlight w:val="yellow"/>
              </w:rPr>
            </w:pPr>
            <w:r w:rsidRPr="00CC1507">
              <w:rPr>
                <w:highlight w:val="yellow"/>
              </w:rPr>
              <w:t>0.000</w:t>
            </w:r>
          </w:p>
        </w:tc>
      </w:tr>
      <w:tr w:rsidR="000C0A41" w:rsidRPr="0013015A" w:rsidTr="00CC1507">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4415A6">
            <w:pPr>
              <w:jc w:val="right"/>
              <w:rPr>
                <w:b w:val="0"/>
              </w:rPr>
            </w:pPr>
            <w:r>
              <w:rPr>
                <w:b w:val="0"/>
              </w:rPr>
              <w:t>Ex-smoker</w:t>
            </w:r>
          </w:p>
        </w:tc>
        <w:tc>
          <w:tcPr>
            <w:tcW w:w="1120" w:type="dxa"/>
            <w:noWrap/>
            <w:hideMark/>
          </w:tcPr>
          <w:p w:rsidR="000C0A41" w:rsidRPr="00CC1507" w:rsidRDefault="000C0A41" w:rsidP="00CC1507">
            <w:pPr>
              <w:jc w:val="center"/>
              <w:cnfStyle w:val="000000000000" w:firstRow="0" w:lastRow="0" w:firstColumn="0" w:lastColumn="0" w:oddVBand="0" w:evenVBand="0" w:oddHBand="0" w:evenHBand="0" w:firstRowFirstColumn="0" w:firstRowLastColumn="0" w:lastRowFirstColumn="0" w:lastRowLastColumn="0"/>
              <w:rPr>
                <w:highlight w:val="yellow"/>
              </w:rPr>
            </w:pPr>
            <w:r w:rsidRPr="00CC1507">
              <w:rPr>
                <w:highlight w:val="yellow"/>
              </w:rPr>
              <w:t>16.790</w:t>
            </w:r>
          </w:p>
        </w:tc>
        <w:tc>
          <w:tcPr>
            <w:tcW w:w="1120" w:type="dxa"/>
            <w:noWrap/>
            <w:hideMark/>
          </w:tcPr>
          <w:p w:rsidR="000C0A41" w:rsidRPr="0013015A" w:rsidRDefault="000C0A41" w:rsidP="00CC1507">
            <w:pPr>
              <w:jc w:val="center"/>
              <w:cnfStyle w:val="000000000000" w:firstRow="0" w:lastRow="0" w:firstColumn="0" w:lastColumn="0" w:oddVBand="0" w:evenVBand="0" w:oddHBand="0" w:evenHBand="0" w:firstRowFirstColumn="0" w:firstRowLastColumn="0" w:lastRowFirstColumn="0" w:lastRowLastColumn="0"/>
            </w:pPr>
            <w:r w:rsidRPr="0013015A">
              <w:t>6.499</w:t>
            </w:r>
          </w:p>
        </w:tc>
        <w:tc>
          <w:tcPr>
            <w:tcW w:w="1120" w:type="dxa"/>
            <w:noWrap/>
            <w:hideMark/>
          </w:tcPr>
          <w:p w:rsidR="000C0A41" w:rsidRPr="0013015A" w:rsidRDefault="000C0A41" w:rsidP="00CC1507">
            <w:pPr>
              <w:jc w:val="center"/>
              <w:cnfStyle w:val="000000000000" w:firstRow="0" w:lastRow="0" w:firstColumn="0" w:lastColumn="0" w:oddVBand="0" w:evenVBand="0" w:oddHBand="0" w:evenHBand="0" w:firstRowFirstColumn="0" w:firstRowLastColumn="0" w:lastRowFirstColumn="0" w:lastRowLastColumn="0"/>
            </w:pPr>
            <w:r w:rsidRPr="0013015A">
              <w:t>43.378</w:t>
            </w:r>
          </w:p>
        </w:tc>
        <w:tc>
          <w:tcPr>
            <w:tcW w:w="1120" w:type="dxa"/>
            <w:noWrap/>
            <w:hideMark/>
          </w:tcPr>
          <w:p w:rsidR="000C0A41" w:rsidRPr="00CC1507" w:rsidRDefault="000C0A41" w:rsidP="00CC1507">
            <w:pPr>
              <w:jc w:val="center"/>
              <w:cnfStyle w:val="000000000000" w:firstRow="0" w:lastRow="0" w:firstColumn="0" w:lastColumn="0" w:oddVBand="0" w:evenVBand="0" w:oddHBand="0" w:evenHBand="0" w:firstRowFirstColumn="0" w:firstRowLastColumn="0" w:lastRowFirstColumn="0" w:lastRowLastColumn="0"/>
              <w:rPr>
                <w:highlight w:val="yellow"/>
              </w:rPr>
            </w:pPr>
            <w:r w:rsidRPr="00CC1507">
              <w:rPr>
                <w:highlight w:val="yellow"/>
              </w:rPr>
              <w:t>0.000</w:t>
            </w:r>
          </w:p>
        </w:tc>
      </w:tr>
      <w:tr w:rsidR="000C0A41" w:rsidRPr="00CC1507" w:rsidTr="00CC15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tcPr>
          <w:p w:rsidR="000C0A41" w:rsidRPr="00CC1507" w:rsidRDefault="000C0A41" w:rsidP="004415A6">
            <w:r w:rsidRPr="00CC1507">
              <w:t>Interaction term age group</w:t>
            </w:r>
            <w:r>
              <w:t xml:space="preserve"> </w:t>
            </w:r>
            <w:r w:rsidRPr="00CC1507">
              <w:t>x smoking</w:t>
            </w:r>
          </w:p>
        </w:tc>
        <w:tc>
          <w:tcPr>
            <w:tcW w:w="1120" w:type="dxa"/>
            <w:noWrap/>
          </w:tcPr>
          <w:p w:rsidR="000C0A41" w:rsidRPr="00CC1507" w:rsidRDefault="000C0A41" w:rsidP="00CC1507">
            <w:pPr>
              <w:jc w:val="center"/>
              <w:cnfStyle w:val="000000100000" w:firstRow="0" w:lastRow="0" w:firstColumn="0" w:lastColumn="0" w:oddVBand="0" w:evenVBand="0" w:oddHBand="1" w:evenHBand="0" w:firstRowFirstColumn="0" w:firstRowLastColumn="0" w:lastRowFirstColumn="0" w:lastRowLastColumn="0"/>
              <w:rPr>
                <w:b/>
              </w:rPr>
            </w:pPr>
          </w:p>
        </w:tc>
        <w:tc>
          <w:tcPr>
            <w:tcW w:w="1120" w:type="dxa"/>
            <w:noWrap/>
          </w:tcPr>
          <w:p w:rsidR="000C0A41" w:rsidRPr="00CC1507" w:rsidRDefault="000C0A41" w:rsidP="00CC1507">
            <w:pPr>
              <w:jc w:val="center"/>
              <w:cnfStyle w:val="000000100000" w:firstRow="0" w:lastRow="0" w:firstColumn="0" w:lastColumn="0" w:oddVBand="0" w:evenVBand="0" w:oddHBand="1" w:evenHBand="0" w:firstRowFirstColumn="0" w:firstRowLastColumn="0" w:lastRowFirstColumn="0" w:lastRowLastColumn="0"/>
              <w:rPr>
                <w:b/>
              </w:rPr>
            </w:pPr>
          </w:p>
        </w:tc>
        <w:tc>
          <w:tcPr>
            <w:tcW w:w="1120" w:type="dxa"/>
            <w:noWrap/>
          </w:tcPr>
          <w:p w:rsidR="000C0A41" w:rsidRPr="00CC1507" w:rsidRDefault="000C0A41" w:rsidP="00CC1507">
            <w:pPr>
              <w:jc w:val="center"/>
              <w:cnfStyle w:val="000000100000" w:firstRow="0" w:lastRow="0" w:firstColumn="0" w:lastColumn="0" w:oddVBand="0" w:evenVBand="0" w:oddHBand="1" w:evenHBand="0" w:firstRowFirstColumn="0" w:firstRowLastColumn="0" w:lastRowFirstColumn="0" w:lastRowLastColumn="0"/>
              <w:rPr>
                <w:b/>
              </w:rPr>
            </w:pPr>
          </w:p>
        </w:tc>
        <w:tc>
          <w:tcPr>
            <w:tcW w:w="1120" w:type="dxa"/>
            <w:noWrap/>
          </w:tcPr>
          <w:p w:rsidR="000C0A41" w:rsidRPr="00CC1507" w:rsidRDefault="000C0A41" w:rsidP="00CC1507">
            <w:pPr>
              <w:jc w:val="center"/>
              <w:cnfStyle w:val="000000100000" w:firstRow="0" w:lastRow="0" w:firstColumn="0" w:lastColumn="0" w:oddVBand="0" w:evenVBand="0" w:oddHBand="1" w:evenHBand="0" w:firstRowFirstColumn="0" w:firstRowLastColumn="0" w:lastRowFirstColumn="0" w:lastRowLastColumn="0"/>
              <w:rPr>
                <w:b/>
              </w:rPr>
            </w:pPr>
          </w:p>
        </w:tc>
      </w:tr>
      <w:tr w:rsidR="000C0A41" w:rsidRPr="0013015A" w:rsidTr="00CC1507">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CC1507">
            <w:pPr>
              <w:jc w:val="right"/>
              <w:rPr>
                <w:b w:val="0"/>
              </w:rPr>
            </w:pPr>
            <w:r>
              <w:rPr>
                <w:b w:val="0"/>
              </w:rPr>
              <w:t>Age group &lt;40 x n</w:t>
            </w:r>
            <w:r w:rsidRPr="004415A6">
              <w:rPr>
                <w:b w:val="0"/>
              </w:rPr>
              <w:t>on-smoker</w:t>
            </w:r>
          </w:p>
        </w:tc>
        <w:tc>
          <w:tcPr>
            <w:tcW w:w="1120" w:type="dxa"/>
            <w:noWrap/>
            <w:hideMark/>
          </w:tcPr>
          <w:p w:rsidR="000C0A41" w:rsidRPr="0013015A" w:rsidRDefault="000C0A41" w:rsidP="00CC1507">
            <w:pPr>
              <w:jc w:val="center"/>
              <w:cnfStyle w:val="000000000000" w:firstRow="0" w:lastRow="0" w:firstColumn="0" w:lastColumn="0" w:oddVBand="0" w:evenVBand="0" w:oddHBand="0" w:evenHBand="0" w:firstRowFirstColumn="0" w:firstRowLastColumn="0" w:lastRowFirstColumn="0" w:lastRowLastColumn="0"/>
            </w:pPr>
            <w:r w:rsidRPr="0013015A">
              <w:t>1</w:t>
            </w:r>
          </w:p>
        </w:tc>
        <w:tc>
          <w:tcPr>
            <w:tcW w:w="1120" w:type="dxa"/>
            <w:noWrap/>
            <w:hideMark/>
          </w:tcPr>
          <w:p w:rsidR="000C0A41" w:rsidRPr="0013015A" w:rsidRDefault="000C0A41" w:rsidP="00CC1507">
            <w:pPr>
              <w:jc w:val="center"/>
              <w:cnfStyle w:val="000000000000" w:firstRow="0" w:lastRow="0" w:firstColumn="0" w:lastColumn="0" w:oddVBand="0" w:evenVBand="0" w:oddHBand="0" w:evenHBand="0" w:firstRowFirstColumn="0" w:firstRowLastColumn="0" w:lastRowFirstColumn="0" w:lastRowLastColumn="0"/>
            </w:pPr>
            <w:r w:rsidRPr="0013015A">
              <w:t>1</w:t>
            </w:r>
          </w:p>
        </w:tc>
        <w:tc>
          <w:tcPr>
            <w:tcW w:w="1120" w:type="dxa"/>
            <w:noWrap/>
            <w:hideMark/>
          </w:tcPr>
          <w:p w:rsidR="000C0A41" w:rsidRPr="0013015A" w:rsidRDefault="000C0A41" w:rsidP="00CC1507">
            <w:pPr>
              <w:jc w:val="center"/>
              <w:cnfStyle w:val="000000000000" w:firstRow="0" w:lastRow="0" w:firstColumn="0" w:lastColumn="0" w:oddVBand="0" w:evenVBand="0" w:oddHBand="0" w:evenHBand="0" w:firstRowFirstColumn="0" w:firstRowLastColumn="0" w:lastRowFirstColumn="0" w:lastRowLastColumn="0"/>
            </w:pPr>
            <w:r w:rsidRPr="0013015A">
              <w:t>1</w:t>
            </w:r>
          </w:p>
        </w:tc>
        <w:tc>
          <w:tcPr>
            <w:tcW w:w="1120" w:type="dxa"/>
            <w:noWrap/>
            <w:hideMark/>
          </w:tcPr>
          <w:p w:rsidR="000C0A41" w:rsidRPr="0013015A" w:rsidRDefault="000C0A41" w:rsidP="00CC1507">
            <w:pPr>
              <w:jc w:val="center"/>
              <w:cnfStyle w:val="000000000000" w:firstRow="0" w:lastRow="0" w:firstColumn="0" w:lastColumn="0" w:oddVBand="0" w:evenVBand="0" w:oddHBand="0" w:evenHBand="0" w:firstRowFirstColumn="0" w:firstRowLastColumn="0" w:lastRowFirstColumn="0" w:lastRowLastColumn="0"/>
            </w:pPr>
            <w:r w:rsidRPr="0013015A">
              <w:t>.</w:t>
            </w:r>
          </w:p>
        </w:tc>
      </w:tr>
      <w:tr w:rsidR="000C0A41" w:rsidRPr="0013015A" w:rsidTr="00CC15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CC1507">
            <w:pPr>
              <w:jc w:val="right"/>
              <w:rPr>
                <w:b w:val="0"/>
              </w:rPr>
            </w:pPr>
            <w:r>
              <w:rPr>
                <w:b w:val="0"/>
              </w:rPr>
              <w:t xml:space="preserve">Age group &lt;40 x current </w:t>
            </w:r>
            <w:r w:rsidRPr="004415A6">
              <w:rPr>
                <w:b w:val="0"/>
              </w:rPr>
              <w:t>smoker</w:t>
            </w:r>
          </w:p>
        </w:tc>
        <w:tc>
          <w:tcPr>
            <w:tcW w:w="1120" w:type="dxa"/>
            <w:noWrap/>
            <w:hideMark/>
          </w:tcPr>
          <w:p w:rsidR="000C0A41" w:rsidRPr="0013015A" w:rsidRDefault="000C0A41" w:rsidP="00CC1507">
            <w:pPr>
              <w:jc w:val="center"/>
              <w:cnfStyle w:val="000000100000" w:firstRow="0" w:lastRow="0" w:firstColumn="0" w:lastColumn="0" w:oddVBand="0" w:evenVBand="0" w:oddHBand="1" w:evenHBand="0" w:firstRowFirstColumn="0" w:firstRowLastColumn="0" w:lastRowFirstColumn="0" w:lastRowLastColumn="0"/>
            </w:pPr>
            <w:r w:rsidRPr="0013015A">
              <w:t>1</w:t>
            </w:r>
          </w:p>
        </w:tc>
        <w:tc>
          <w:tcPr>
            <w:tcW w:w="1120" w:type="dxa"/>
            <w:noWrap/>
            <w:hideMark/>
          </w:tcPr>
          <w:p w:rsidR="000C0A41" w:rsidRPr="0013015A" w:rsidRDefault="000C0A41" w:rsidP="00CC1507">
            <w:pPr>
              <w:jc w:val="center"/>
              <w:cnfStyle w:val="000000100000" w:firstRow="0" w:lastRow="0" w:firstColumn="0" w:lastColumn="0" w:oddVBand="0" w:evenVBand="0" w:oddHBand="1" w:evenHBand="0" w:firstRowFirstColumn="0" w:firstRowLastColumn="0" w:lastRowFirstColumn="0" w:lastRowLastColumn="0"/>
            </w:pPr>
            <w:r w:rsidRPr="0013015A">
              <w:t>1</w:t>
            </w:r>
          </w:p>
        </w:tc>
        <w:tc>
          <w:tcPr>
            <w:tcW w:w="1120" w:type="dxa"/>
            <w:noWrap/>
            <w:hideMark/>
          </w:tcPr>
          <w:p w:rsidR="000C0A41" w:rsidRPr="0013015A" w:rsidRDefault="000C0A41" w:rsidP="00CC1507">
            <w:pPr>
              <w:jc w:val="center"/>
              <w:cnfStyle w:val="000000100000" w:firstRow="0" w:lastRow="0" w:firstColumn="0" w:lastColumn="0" w:oddVBand="0" w:evenVBand="0" w:oddHBand="1" w:evenHBand="0" w:firstRowFirstColumn="0" w:firstRowLastColumn="0" w:lastRowFirstColumn="0" w:lastRowLastColumn="0"/>
            </w:pPr>
            <w:r w:rsidRPr="0013015A">
              <w:t>1</w:t>
            </w:r>
          </w:p>
        </w:tc>
        <w:tc>
          <w:tcPr>
            <w:tcW w:w="1120" w:type="dxa"/>
            <w:noWrap/>
            <w:hideMark/>
          </w:tcPr>
          <w:p w:rsidR="000C0A41" w:rsidRPr="0013015A" w:rsidRDefault="000C0A41" w:rsidP="00CC1507">
            <w:pPr>
              <w:jc w:val="center"/>
              <w:cnfStyle w:val="000000100000" w:firstRow="0" w:lastRow="0" w:firstColumn="0" w:lastColumn="0" w:oddVBand="0" w:evenVBand="0" w:oddHBand="1" w:evenHBand="0" w:firstRowFirstColumn="0" w:firstRowLastColumn="0" w:lastRowFirstColumn="0" w:lastRowLastColumn="0"/>
            </w:pPr>
            <w:r w:rsidRPr="0013015A">
              <w:t>.</w:t>
            </w:r>
          </w:p>
        </w:tc>
      </w:tr>
      <w:tr w:rsidR="000C0A41" w:rsidRPr="0013015A" w:rsidTr="00CC1507">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CC1507">
            <w:pPr>
              <w:jc w:val="right"/>
              <w:rPr>
                <w:b w:val="0"/>
              </w:rPr>
            </w:pPr>
            <w:r>
              <w:rPr>
                <w:b w:val="0"/>
              </w:rPr>
              <w:t>Age group &lt;40 x ex</w:t>
            </w:r>
            <w:r w:rsidRPr="004415A6">
              <w:rPr>
                <w:b w:val="0"/>
              </w:rPr>
              <w:t>-smoker</w:t>
            </w:r>
          </w:p>
        </w:tc>
        <w:tc>
          <w:tcPr>
            <w:tcW w:w="1120" w:type="dxa"/>
            <w:noWrap/>
            <w:hideMark/>
          </w:tcPr>
          <w:p w:rsidR="000C0A41" w:rsidRPr="0013015A" w:rsidRDefault="000C0A41" w:rsidP="00CC1507">
            <w:pPr>
              <w:jc w:val="center"/>
              <w:cnfStyle w:val="000000000000" w:firstRow="0" w:lastRow="0" w:firstColumn="0" w:lastColumn="0" w:oddVBand="0" w:evenVBand="0" w:oddHBand="0" w:evenHBand="0" w:firstRowFirstColumn="0" w:firstRowLastColumn="0" w:lastRowFirstColumn="0" w:lastRowLastColumn="0"/>
            </w:pPr>
            <w:r w:rsidRPr="0013015A">
              <w:t>1</w:t>
            </w:r>
          </w:p>
        </w:tc>
        <w:tc>
          <w:tcPr>
            <w:tcW w:w="1120" w:type="dxa"/>
            <w:noWrap/>
            <w:hideMark/>
          </w:tcPr>
          <w:p w:rsidR="000C0A41" w:rsidRPr="0013015A" w:rsidRDefault="000C0A41" w:rsidP="00CC1507">
            <w:pPr>
              <w:jc w:val="center"/>
              <w:cnfStyle w:val="000000000000" w:firstRow="0" w:lastRow="0" w:firstColumn="0" w:lastColumn="0" w:oddVBand="0" w:evenVBand="0" w:oddHBand="0" w:evenHBand="0" w:firstRowFirstColumn="0" w:firstRowLastColumn="0" w:lastRowFirstColumn="0" w:lastRowLastColumn="0"/>
            </w:pPr>
            <w:r w:rsidRPr="0013015A">
              <w:t>1</w:t>
            </w:r>
          </w:p>
        </w:tc>
        <w:tc>
          <w:tcPr>
            <w:tcW w:w="1120" w:type="dxa"/>
            <w:noWrap/>
            <w:hideMark/>
          </w:tcPr>
          <w:p w:rsidR="000C0A41" w:rsidRPr="0013015A" w:rsidRDefault="000C0A41" w:rsidP="00CC1507">
            <w:pPr>
              <w:jc w:val="center"/>
              <w:cnfStyle w:val="000000000000" w:firstRow="0" w:lastRow="0" w:firstColumn="0" w:lastColumn="0" w:oddVBand="0" w:evenVBand="0" w:oddHBand="0" w:evenHBand="0" w:firstRowFirstColumn="0" w:firstRowLastColumn="0" w:lastRowFirstColumn="0" w:lastRowLastColumn="0"/>
            </w:pPr>
            <w:r w:rsidRPr="0013015A">
              <w:t>1</w:t>
            </w:r>
          </w:p>
        </w:tc>
        <w:tc>
          <w:tcPr>
            <w:tcW w:w="1120" w:type="dxa"/>
            <w:noWrap/>
            <w:hideMark/>
          </w:tcPr>
          <w:p w:rsidR="000C0A41" w:rsidRPr="0013015A" w:rsidRDefault="000C0A41" w:rsidP="00CC1507">
            <w:pPr>
              <w:jc w:val="center"/>
              <w:cnfStyle w:val="000000000000" w:firstRow="0" w:lastRow="0" w:firstColumn="0" w:lastColumn="0" w:oddVBand="0" w:evenVBand="0" w:oddHBand="0" w:evenHBand="0" w:firstRowFirstColumn="0" w:firstRowLastColumn="0" w:lastRowFirstColumn="0" w:lastRowLastColumn="0"/>
            </w:pPr>
            <w:r w:rsidRPr="0013015A">
              <w:t>.</w:t>
            </w:r>
          </w:p>
        </w:tc>
      </w:tr>
      <w:tr w:rsidR="000C0A41" w:rsidRPr="0013015A" w:rsidTr="00CC15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CC1507">
            <w:pPr>
              <w:jc w:val="right"/>
              <w:rPr>
                <w:b w:val="0"/>
              </w:rPr>
            </w:pPr>
            <w:r>
              <w:rPr>
                <w:b w:val="0"/>
              </w:rPr>
              <w:t xml:space="preserve">Age group </w:t>
            </w:r>
            <w:r w:rsidRPr="00CC1507">
              <w:rPr>
                <w:b w:val="0"/>
                <w:u w:val="single"/>
              </w:rPr>
              <w:t>&gt;</w:t>
            </w:r>
            <w:r w:rsidRPr="004415A6">
              <w:rPr>
                <w:b w:val="0"/>
              </w:rPr>
              <w:t>40 &amp; &lt;50</w:t>
            </w:r>
            <w:r>
              <w:rPr>
                <w:b w:val="0"/>
              </w:rPr>
              <w:t xml:space="preserve"> x n</w:t>
            </w:r>
            <w:r w:rsidRPr="004415A6">
              <w:rPr>
                <w:b w:val="0"/>
              </w:rPr>
              <w:t>on-smoker</w:t>
            </w:r>
          </w:p>
        </w:tc>
        <w:tc>
          <w:tcPr>
            <w:tcW w:w="1120" w:type="dxa"/>
            <w:noWrap/>
            <w:hideMark/>
          </w:tcPr>
          <w:p w:rsidR="000C0A41" w:rsidRPr="0013015A" w:rsidRDefault="000C0A41" w:rsidP="00CC1507">
            <w:pPr>
              <w:jc w:val="center"/>
              <w:cnfStyle w:val="000000100000" w:firstRow="0" w:lastRow="0" w:firstColumn="0" w:lastColumn="0" w:oddVBand="0" w:evenVBand="0" w:oddHBand="1" w:evenHBand="0" w:firstRowFirstColumn="0" w:firstRowLastColumn="0" w:lastRowFirstColumn="0" w:lastRowLastColumn="0"/>
            </w:pPr>
            <w:r w:rsidRPr="0013015A">
              <w:t>1</w:t>
            </w:r>
          </w:p>
        </w:tc>
        <w:tc>
          <w:tcPr>
            <w:tcW w:w="1120" w:type="dxa"/>
            <w:noWrap/>
            <w:hideMark/>
          </w:tcPr>
          <w:p w:rsidR="000C0A41" w:rsidRPr="0013015A" w:rsidRDefault="000C0A41" w:rsidP="00CC1507">
            <w:pPr>
              <w:jc w:val="center"/>
              <w:cnfStyle w:val="000000100000" w:firstRow="0" w:lastRow="0" w:firstColumn="0" w:lastColumn="0" w:oddVBand="0" w:evenVBand="0" w:oddHBand="1" w:evenHBand="0" w:firstRowFirstColumn="0" w:firstRowLastColumn="0" w:lastRowFirstColumn="0" w:lastRowLastColumn="0"/>
            </w:pPr>
            <w:r w:rsidRPr="0013015A">
              <w:t>1</w:t>
            </w:r>
          </w:p>
        </w:tc>
        <w:tc>
          <w:tcPr>
            <w:tcW w:w="1120" w:type="dxa"/>
            <w:noWrap/>
            <w:hideMark/>
          </w:tcPr>
          <w:p w:rsidR="000C0A41" w:rsidRPr="0013015A" w:rsidRDefault="000C0A41" w:rsidP="00CC1507">
            <w:pPr>
              <w:jc w:val="center"/>
              <w:cnfStyle w:val="000000100000" w:firstRow="0" w:lastRow="0" w:firstColumn="0" w:lastColumn="0" w:oddVBand="0" w:evenVBand="0" w:oddHBand="1" w:evenHBand="0" w:firstRowFirstColumn="0" w:firstRowLastColumn="0" w:lastRowFirstColumn="0" w:lastRowLastColumn="0"/>
            </w:pPr>
            <w:r w:rsidRPr="0013015A">
              <w:t>1</w:t>
            </w:r>
          </w:p>
        </w:tc>
        <w:tc>
          <w:tcPr>
            <w:tcW w:w="1120" w:type="dxa"/>
            <w:noWrap/>
            <w:hideMark/>
          </w:tcPr>
          <w:p w:rsidR="000C0A41" w:rsidRPr="0013015A" w:rsidRDefault="000C0A41" w:rsidP="00CC1507">
            <w:pPr>
              <w:jc w:val="center"/>
              <w:cnfStyle w:val="000000100000" w:firstRow="0" w:lastRow="0" w:firstColumn="0" w:lastColumn="0" w:oddVBand="0" w:evenVBand="0" w:oddHBand="1" w:evenHBand="0" w:firstRowFirstColumn="0" w:firstRowLastColumn="0" w:lastRowFirstColumn="0" w:lastRowLastColumn="0"/>
            </w:pPr>
            <w:r w:rsidRPr="0013015A">
              <w:t>.</w:t>
            </w:r>
          </w:p>
        </w:tc>
      </w:tr>
      <w:tr w:rsidR="000C0A41" w:rsidRPr="0013015A" w:rsidTr="00CC1507">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CC1507">
            <w:pPr>
              <w:jc w:val="right"/>
              <w:rPr>
                <w:b w:val="0"/>
              </w:rPr>
            </w:pPr>
            <w:r>
              <w:rPr>
                <w:b w:val="0"/>
              </w:rPr>
              <w:t xml:space="preserve">Age group </w:t>
            </w:r>
            <w:r w:rsidRPr="00CC1507">
              <w:rPr>
                <w:b w:val="0"/>
                <w:u w:val="single"/>
              </w:rPr>
              <w:t>&gt;</w:t>
            </w:r>
            <w:r w:rsidRPr="004415A6">
              <w:rPr>
                <w:b w:val="0"/>
              </w:rPr>
              <w:t>40 &amp; &lt;50</w:t>
            </w:r>
            <w:r>
              <w:rPr>
                <w:b w:val="0"/>
              </w:rPr>
              <w:t xml:space="preserve"> x current </w:t>
            </w:r>
            <w:r w:rsidRPr="004415A6">
              <w:rPr>
                <w:b w:val="0"/>
              </w:rPr>
              <w:t>smoker</w:t>
            </w:r>
          </w:p>
        </w:tc>
        <w:tc>
          <w:tcPr>
            <w:tcW w:w="1120" w:type="dxa"/>
            <w:noWrap/>
            <w:hideMark/>
          </w:tcPr>
          <w:p w:rsidR="000C0A41" w:rsidRPr="00CC1507" w:rsidRDefault="000C0A41" w:rsidP="00CC1507">
            <w:pPr>
              <w:jc w:val="center"/>
              <w:cnfStyle w:val="000000000000" w:firstRow="0" w:lastRow="0" w:firstColumn="0" w:lastColumn="0" w:oddVBand="0" w:evenVBand="0" w:oddHBand="0" w:evenHBand="0" w:firstRowFirstColumn="0" w:firstRowLastColumn="0" w:lastRowFirstColumn="0" w:lastRowLastColumn="0"/>
              <w:rPr>
                <w:highlight w:val="yellow"/>
              </w:rPr>
            </w:pPr>
            <w:r w:rsidRPr="00CC1507">
              <w:rPr>
                <w:highlight w:val="yellow"/>
              </w:rPr>
              <w:t>0.370</w:t>
            </w:r>
          </w:p>
        </w:tc>
        <w:tc>
          <w:tcPr>
            <w:tcW w:w="1120" w:type="dxa"/>
            <w:noWrap/>
            <w:hideMark/>
          </w:tcPr>
          <w:p w:rsidR="000C0A41" w:rsidRPr="0013015A" w:rsidRDefault="000C0A41" w:rsidP="00CC1507">
            <w:pPr>
              <w:jc w:val="center"/>
              <w:cnfStyle w:val="000000000000" w:firstRow="0" w:lastRow="0" w:firstColumn="0" w:lastColumn="0" w:oddVBand="0" w:evenVBand="0" w:oddHBand="0" w:evenHBand="0" w:firstRowFirstColumn="0" w:firstRowLastColumn="0" w:lastRowFirstColumn="0" w:lastRowLastColumn="0"/>
            </w:pPr>
            <w:r w:rsidRPr="0013015A">
              <w:t>0.146</w:t>
            </w:r>
          </w:p>
        </w:tc>
        <w:tc>
          <w:tcPr>
            <w:tcW w:w="1120" w:type="dxa"/>
            <w:noWrap/>
            <w:hideMark/>
          </w:tcPr>
          <w:p w:rsidR="000C0A41" w:rsidRPr="0013015A" w:rsidRDefault="000C0A41" w:rsidP="00CC1507">
            <w:pPr>
              <w:jc w:val="center"/>
              <w:cnfStyle w:val="000000000000" w:firstRow="0" w:lastRow="0" w:firstColumn="0" w:lastColumn="0" w:oddVBand="0" w:evenVBand="0" w:oddHBand="0" w:evenHBand="0" w:firstRowFirstColumn="0" w:firstRowLastColumn="0" w:lastRowFirstColumn="0" w:lastRowLastColumn="0"/>
            </w:pPr>
            <w:r w:rsidRPr="0013015A">
              <w:t>0.936</w:t>
            </w:r>
          </w:p>
        </w:tc>
        <w:tc>
          <w:tcPr>
            <w:tcW w:w="1120" w:type="dxa"/>
            <w:noWrap/>
            <w:hideMark/>
          </w:tcPr>
          <w:p w:rsidR="000C0A41" w:rsidRPr="00CC1507" w:rsidRDefault="000C0A41" w:rsidP="00CC1507">
            <w:pPr>
              <w:jc w:val="center"/>
              <w:cnfStyle w:val="000000000000" w:firstRow="0" w:lastRow="0" w:firstColumn="0" w:lastColumn="0" w:oddVBand="0" w:evenVBand="0" w:oddHBand="0" w:evenHBand="0" w:firstRowFirstColumn="0" w:firstRowLastColumn="0" w:lastRowFirstColumn="0" w:lastRowLastColumn="0"/>
              <w:rPr>
                <w:highlight w:val="yellow"/>
              </w:rPr>
            </w:pPr>
            <w:r w:rsidRPr="00CC1507">
              <w:rPr>
                <w:highlight w:val="yellow"/>
              </w:rPr>
              <w:t>0.036</w:t>
            </w:r>
          </w:p>
        </w:tc>
      </w:tr>
      <w:tr w:rsidR="000C0A41" w:rsidRPr="0013015A" w:rsidTr="00CC15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CC1507">
            <w:pPr>
              <w:jc w:val="right"/>
              <w:rPr>
                <w:b w:val="0"/>
              </w:rPr>
            </w:pPr>
            <w:r>
              <w:rPr>
                <w:b w:val="0"/>
              </w:rPr>
              <w:t xml:space="preserve">Age group </w:t>
            </w:r>
            <w:r w:rsidRPr="00CC1507">
              <w:rPr>
                <w:b w:val="0"/>
                <w:u w:val="single"/>
              </w:rPr>
              <w:t>&gt;</w:t>
            </w:r>
            <w:r w:rsidRPr="004415A6">
              <w:rPr>
                <w:b w:val="0"/>
              </w:rPr>
              <w:t xml:space="preserve">40 &amp; &lt;50 </w:t>
            </w:r>
            <w:r>
              <w:rPr>
                <w:b w:val="0"/>
              </w:rPr>
              <w:t>x ex</w:t>
            </w:r>
            <w:r w:rsidRPr="004415A6">
              <w:rPr>
                <w:b w:val="0"/>
              </w:rPr>
              <w:t>-smoker</w:t>
            </w:r>
          </w:p>
        </w:tc>
        <w:tc>
          <w:tcPr>
            <w:tcW w:w="1120" w:type="dxa"/>
            <w:noWrap/>
            <w:hideMark/>
          </w:tcPr>
          <w:p w:rsidR="000C0A41" w:rsidRPr="00CC1507" w:rsidRDefault="000C0A41" w:rsidP="00CC1507">
            <w:pPr>
              <w:jc w:val="center"/>
              <w:cnfStyle w:val="000000100000" w:firstRow="0" w:lastRow="0" w:firstColumn="0" w:lastColumn="0" w:oddVBand="0" w:evenVBand="0" w:oddHBand="1" w:evenHBand="0" w:firstRowFirstColumn="0" w:firstRowLastColumn="0" w:lastRowFirstColumn="0" w:lastRowLastColumn="0"/>
              <w:rPr>
                <w:highlight w:val="yellow"/>
              </w:rPr>
            </w:pPr>
            <w:r w:rsidRPr="00CC1507">
              <w:rPr>
                <w:highlight w:val="yellow"/>
              </w:rPr>
              <w:t>0.264</w:t>
            </w:r>
          </w:p>
        </w:tc>
        <w:tc>
          <w:tcPr>
            <w:tcW w:w="1120" w:type="dxa"/>
            <w:noWrap/>
            <w:hideMark/>
          </w:tcPr>
          <w:p w:rsidR="000C0A41" w:rsidRPr="0013015A" w:rsidRDefault="000C0A41" w:rsidP="00CC1507">
            <w:pPr>
              <w:jc w:val="center"/>
              <w:cnfStyle w:val="000000100000" w:firstRow="0" w:lastRow="0" w:firstColumn="0" w:lastColumn="0" w:oddVBand="0" w:evenVBand="0" w:oddHBand="1" w:evenHBand="0" w:firstRowFirstColumn="0" w:firstRowLastColumn="0" w:lastRowFirstColumn="0" w:lastRowLastColumn="0"/>
            </w:pPr>
            <w:r w:rsidRPr="0013015A">
              <w:t>0.101</w:t>
            </w:r>
          </w:p>
        </w:tc>
        <w:tc>
          <w:tcPr>
            <w:tcW w:w="1120" w:type="dxa"/>
            <w:noWrap/>
            <w:hideMark/>
          </w:tcPr>
          <w:p w:rsidR="000C0A41" w:rsidRPr="0013015A" w:rsidRDefault="000C0A41" w:rsidP="00CC1507">
            <w:pPr>
              <w:jc w:val="center"/>
              <w:cnfStyle w:val="000000100000" w:firstRow="0" w:lastRow="0" w:firstColumn="0" w:lastColumn="0" w:oddVBand="0" w:evenVBand="0" w:oddHBand="1" w:evenHBand="0" w:firstRowFirstColumn="0" w:firstRowLastColumn="0" w:lastRowFirstColumn="0" w:lastRowLastColumn="0"/>
            </w:pPr>
            <w:r w:rsidRPr="0013015A">
              <w:t>0.695</w:t>
            </w:r>
          </w:p>
        </w:tc>
        <w:tc>
          <w:tcPr>
            <w:tcW w:w="1120" w:type="dxa"/>
            <w:noWrap/>
            <w:hideMark/>
          </w:tcPr>
          <w:p w:rsidR="000C0A41" w:rsidRPr="00CC1507" w:rsidRDefault="000C0A41" w:rsidP="00CC1507">
            <w:pPr>
              <w:jc w:val="center"/>
              <w:cnfStyle w:val="000000100000" w:firstRow="0" w:lastRow="0" w:firstColumn="0" w:lastColumn="0" w:oddVBand="0" w:evenVBand="0" w:oddHBand="1" w:evenHBand="0" w:firstRowFirstColumn="0" w:firstRowLastColumn="0" w:lastRowFirstColumn="0" w:lastRowLastColumn="0"/>
              <w:rPr>
                <w:highlight w:val="yellow"/>
              </w:rPr>
            </w:pPr>
            <w:r w:rsidRPr="00CC1507">
              <w:rPr>
                <w:highlight w:val="yellow"/>
              </w:rPr>
              <w:t>0.007</w:t>
            </w:r>
          </w:p>
        </w:tc>
      </w:tr>
      <w:tr w:rsidR="000C0A41" w:rsidRPr="0013015A" w:rsidTr="00CC1507">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CC1507">
            <w:pPr>
              <w:jc w:val="right"/>
              <w:rPr>
                <w:b w:val="0"/>
              </w:rPr>
            </w:pPr>
            <w:r>
              <w:rPr>
                <w:b w:val="0"/>
              </w:rPr>
              <w:t xml:space="preserve">Age group </w:t>
            </w:r>
            <w:r w:rsidRPr="00CC1507">
              <w:rPr>
                <w:b w:val="0"/>
                <w:u w:val="single"/>
              </w:rPr>
              <w:t>&gt;</w:t>
            </w:r>
            <w:r w:rsidRPr="004415A6">
              <w:rPr>
                <w:b w:val="0"/>
              </w:rPr>
              <w:t>50 &amp; &lt;60</w:t>
            </w:r>
            <w:r>
              <w:rPr>
                <w:b w:val="0"/>
              </w:rPr>
              <w:t xml:space="preserve"> x n</w:t>
            </w:r>
            <w:r w:rsidRPr="004415A6">
              <w:rPr>
                <w:b w:val="0"/>
              </w:rPr>
              <w:t>on-smoker</w:t>
            </w:r>
          </w:p>
        </w:tc>
        <w:tc>
          <w:tcPr>
            <w:tcW w:w="1120" w:type="dxa"/>
            <w:noWrap/>
            <w:hideMark/>
          </w:tcPr>
          <w:p w:rsidR="000C0A41" w:rsidRPr="0013015A" w:rsidRDefault="000C0A41" w:rsidP="00CC1507">
            <w:pPr>
              <w:jc w:val="center"/>
              <w:cnfStyle w:val="000000000000" w:firstRow="0" w:lastRow="0" w:firstColumn="0" w:lastColumn="0" w:oddVBand="0" w:evenVBand="0" w:oddHBand="0" w:evenHBand="0" w:firstRowFirstColumn="0" w:firstRowLastColumn="0" w:lastRowFirstColumn="0" w:lastRowLastColumn="0"/>
            </w:pPr>
            <w:r w:rsidRPr="0013015A">
              <w:t>1</w:t>
            </w:r>
          </w:p>
        </w:tc>
        <w:tc>
          <w:tcPr>
            <w:tcW w:w="1120" w:type="dxa"/>
            <w:noWrap/>
            <w:hideMark/>
          </w:tcPr>
          <w:p w:rsidR="000C0A41" w:rsidRPr="0013015A" w:rsidRDefault="000C0A41" w:rsidP="00CC1507">
            <w:pPr>
              <w:jc w:val="center"/>
              <w:cnfStyle w:val="000000000000" w:firstRow="0" w:lastRow="0" w:firstColumn="0" w:lastColumn="0" w:oddVBand="0" w:evenVBand="0" w:oddHBand="0" w:evenHBand="0" w:firstRowFirstColumn="0" w:firstRowLastColumn="0" w:lastRowFirstColumn="0" w:lastRowLastColumn="0"/>
            </w:pPr>
            <w:r w:rsidRPr="0013015A">
              <w:t>1</w:t>
            </w:r>
          </w:p>
        </w:tc>
        <w:tc>
          <w:tcPr>
            <w:tcW w:w="1120" w:type="dxa"/>
            <w:noWrap/>
            <w:hideMark/>
          </w:tcPr>
          <w:p w:rsidR="000C0A41" w:rsidRPr="0013015A" w:rsidRDefault="000C0A41" w:rsidP="00CC1507">
            <w:pPr>
              <w:jc w:val="center"/>
              <w:cnfStyle w:val="000000000000" w:firstRow="0" w:lastRow="0" w:firstColumn="0" w:lastColumn="0" w:oddVBand="0" w:evenVBand="0" w:oddHBand="0" w:evenHBand="0" w:firstRowFirstColumn="0" w:firstRowLastColumn="0" w:lastRowFirstColumn="0" w:lastRowLastColumn="0"/>
            </w:pPr>
            <w:r w:rsidRPr="0013015A">
              <w:t>1</w:t>
            </w:r>
          </w:p>
        </w:tc>
        <w:tc>
          <w:tcPr>
            <w:tcW w:w="1120" w:type="dxa"/>
            <w:noWrap/>
            <w:hideMark/>
          </w:tcPr>
          <w:p w:rsidR="000C0A41" w:rsidRPr="0013015A" w:rsidRDefault="000C0A41" w:rsidP="00CC1507">
            <w:pPr>
              <w:jc w:val="center"/>
              <w:cnfStyle w:val="000000000000" w:firstRow="0" w:lastRow="0" w:firstColumn="0" w:lastColumn="0" w:oddVBand="0" w:evenVBand="0" w:oddHBand="0" w:evenHBand="0" w:firstRowFirstColumn="0" w:firstRowLastColumn="0" w:lastRowFirstColumn="0" w:lastRowLastColumn="0"/>
            </w:pPr>
            <w:r w:rsidRPr="0013015A">
              <w:t>.</w:t>
            </w:r>
          </w:p>
        </w:tc>
      </w:tr>
      <w:tr w:rsidR="000C0A41" w:rsidRPr="0013015A" w:rsidTr="00CC15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CC1507">
            <w:pPr>
              <w:jc w:val="right"/>
              <w:rPr>
                <w:b w:val="0"/>
              </w:rPr>
            </w:pPr>
            <w:r>
              <w:rPr>
                <w:b w:val="0"/>
              </w:rPr>
              <w:t xml:space="preserve">Age group </w:t>
            </w:r>
            <w:r w:rsidRPr="00CC1507">
              <w:rPr>
                <w:b w:val="0"/>
                <w:u w:val="single"/>
              </w:rPr>
              <w:t>&gt;</w:t>
            </w:r>
            <w:r w:rsidRPr="004415A6">
              <w:rPr>
                <w:b w:val="0"/>
              </w:rPr>
              <w:t>50 &amp; &lt;60</w:t>
            </w:r>
            <w:r>
              <w:rPr>
                <w:b w:val="0"/>
              </w:rPr>
              <w:t xml:space="preserve"> x current </w:t>
            </w:r>
            <w:r w:rsidRPr="004415A6">
              <w:rPr>
                <w:b w:val="0"/>
              </w:rPr>
              <w:t>smoker</w:t>
            </w:r>
          </w:p>
        </w:tc>
        <w:tc>
          <w:tcPr>
            <w:tcW w:w="1120" w:type="dxa"/>
            <w:noWrap/>
            <w:hideMark/>
          </w:tcPr>
          <w:p w:rsidR="000C0A41" w:rsidRPr="0013015A" w:rsidRDefault="000C0A41" w:rsidP="00CC1507">
            <w:pPr>
              <w:jc w:val="center"/>
              <w:cnfStyle w:val="000000100000" w:firstRow="0" w:lastRow="0" w:firstColumn="0" w:lastColumn="0" w:oddVBand="0" w:evenVBand="0" w:oddHBand="1" w:evenHBand="0" w:firstRowFirstColumn="0" w:firstRowLastColumn="0" w:lastRowFirstColumn="0" w:lastRowLastColumn="0"/>
            </w:pPr>
            <w:r w:rsidRPr="0013015A">
              <w:t>0.412</w:t>
            </w:r>
          </w:p>
        </w:tc>
        <w:tc>
          <w:tcPr>
            <w:tcW w:w="1120" w:type="dxa"/>
            <w:noWrap/>
            <w:hideMark/>
          </w:tcPr>
          <w:p w:rsidR="000C0A41" w:rsidRPr="0013015A" w:rsidRDefault="000C0A41" w:rsidP="00CC1507">
            <w:pPr>
              <w:jc w:val="center"/>
              <w:cnfStyle w:val="000000100000" w:firstRow="0" w:lastRow="0" w:firstColumn="0" w:lastColumn="0" w:oddVBand="0" w:evenVBand="0" w:oddHBand="1" w:evenHBand="0" w:firstRowFirstColumn="0" w:firstRowLastColumn="0" w:lastRowFirstColumn="0" w:lastRowLastColumn="0"/>
            </w:pPr>
            <w:r w:rsidRPr="0013015A">
              <w:t>0.164</w:t>
            </w:r>
          </w:p>
        </w:tc>
        <w:tc>
          <w:tcPr>
            <w:tcW w:w="1120" w:type="dxa"/>
            <w:noWrap/>
            <w:hideMark/>
          </w:tcPr>
          <w:p w:rsidR="000C0A41" w:rsidRPr="0013015A" w:rsidRDefault="000C0A41" w:rsidP="00CC1507">
            <w:pPr>
              <w:jc w:val="center"/>
              <w:cnfStyle w:val="000000100000" w:firstRow="0" w:lastRow="0" w:firstColumn="0" w:lastColumn="0" w:oddVBand="0" w:evenVBand="0" w:oddHBand="1" w:evenHBand="0" w:firstRowFirstColumn="0" w:firstRowLastColumn="0" w:lastRowFirstColumn="0" w:lastRowLastColumn="0"/>
            </w:pPr>
            <w:r w:rsidRPr="0013015A">
              <w:t>1.031</w:t>
            </w:r>
          </w:p>
        </w:tc>
        <w:tc>
          <w:tcPr>
            <w:tcW w:w="1120" w:type="dxa"/>
            <w:noWrap/>
            <w:hideMark/>
          </w:tcPr>
          <w:p w:rsidR="000C0A41" w:rsidRPr="0013015A" w:rsidRDefault="000C0A41" w:rsidP="00CC1507">
            <w:pPr>
              <w:jc w:val="center"/>
              <w:cnfStyle w:val="000000100000" w:firstRow="0" w:lastRow="0" w:firstColumn="0" w:lastColumn="0" w:oddVBand="0" w:evenVBand="0" w:oddHBand="1" w:evenHBand="0" w:firstRowFirstColumn="0" w:firstRowLastColumn="0" w:lastRowFirstColumn="0" w:lastRowLastColumn="0"/>
            </w:pPr>
            <w:r w:rsidRPr="0013015A">
              <w:t>0.058</w:t>
            </w:r>
          </w:p>
        </w:tc>
      </w:tr>
      <w:tr w:rsidR="000C0A41" w:rsidRPr="0013015A" w:rsidTr="00CC1507">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CC1507">
            <w:pPr>
              <w:jc w:val="right"/>
              <w:rPr>
                <w:b w:val="0"/>
              </w:rPr>
            </w:pPr>
            <w:r>
              <w:rPr>
                <w:b w:val="0"/>
              </w:rPr>
              <w:t xml:space="preserve">Age group </w:t>
            </w:r>
            <w:r w:rsidRPr="00CC1507">
              <w:rPr>
                <w:b w:val="0"/>
                <w:u w:val="single"/>
              </w:rPr>
              <w:t>&gt;</w:t>
            </w:r>
            <w:r w:rsidRPr="004415A6">
              <w:rPr>
                <w:b w:val="0"/>
              </w:rPr>
              <w:t>50 &amp; &lt;60</w:t>
            </w:r>
            <w:r>
              <w:rPr>
                <w:b w:val="0"/>
              </w:rPr>
              <w:t xml:space="preserve"> x ex</w:t>
            </w:r>
            <w:r w:rsidRPr="004415A6">
              <w:rPr>
                <w:b w:val="0"/>
              </w:rPr>
              <w:t>-smoker</w:t>
            </w:r>
          </w:p>
        </w:tc>
        <w:tc>
          <w:tcPr>
            <w:tcW w:w="1120" w:type="dxa"/>
            <w:noWrap/>
            <w:hideMark/>
          </w:tcPr>
          <w:p w:rsidR="000C0A41" w:rsidRPr="00CC1507" w:rsidRDefault="000C0A41" w:rsidP="00CC1507">
            <w:pPr>
              <w:jc w:val="center"/>
              <w:cnfStyle w:val="000000000000" w:firstRow="0" w:lastRow="0" w:firstColumn="0" w:lastColumn="0" w:oddVBand="0" w:evenVBand="0" w:oddHBand="0" w:evenHBand="0" w:firstRowFirstColumn="0" w:firstRowLastColumn="0" w:lastRowFirstColumn="0" w:lastRowLastColumn="0"/>
              <w:rPr>
                <w:highlight w:val="yellow"/>
              </w:rPr>
            </w:pPr>
            <w:r w:rsidRPr="00CC1507">
              <w:rPr>
                <w:highlight w:val="yellow"/>
              </w:rPr>
              <w:t>0.277</w:t>
            </w:r>
          </w:p>
        </w:tc>
        <w:tc>
          <w:tcPr>
            <w:tcW w:w="1120" w:type="dxa"/>
            <w:noWrap/>
            <w:hideMark/>
          </w:tcPr>
          <w:p w:rsidR="000C0A41" w:rsidRPr="0013015A" w:rsidRDefault="000C0A41" w:rsidP="00CC1507">
            <w:pPr>
              <w:jc w:val="center"/>
              <w:cnfStyle w:val="000000000000" w:firstRow="0" w:lastRow="0" w:firstColumn="0" w:lastColumn="0" w:oddVBand="0" w:evenVBand="0" w:oddHBand="0" w:evenHBand="0" w:firstRowFirstColumn="0" w:firstRowLastColumn="0" w:lastRowFirstColumn="0" w:lastRowLastColumn="0"/>
            </w:pPr>
            <w:r w:rsidRPr="0013015A">
              <w:t>0.107</w:t>
            </w:r>
          </w:p>
        </w:tc>
        <w:tc>
          <w:tcPr>
            <w:tcW w:w="1120" w:type="dxa"/>
            <w:noWrap/>
            <w:hideMark/>
          </w:tcPr>
          <w:p w:rsidR="000C0A41" w:rsidRPr="0013015A" w:rsidRDefault="000C0A41" w:rsidP="00CC1507">
            <w:pPr>
              <w:jc w:val="center"/>
              <w:cnfStyle w:val="000000000000" w:firstRow="0" w:lastRow="0" w:firstColumn="0" w:lastColumn="0" w:oddVBand="0" w:evenVBand="0" w:oddHBand="0" w:evenHBand="0" w:firstRowFirstColumn="0" w:firstRowLastColumn="0" w:lastRowFirstColumn="0" w:lastRowLastColumn="0"/>
            </w:pPr>
            <w:r w:rsidRPr="0013015A">
              <w:t>0.721</w:t>
            </w:r>
          </w:p>
        </w:tc>
        <w:tc>
          <w:tcPr>
            <w:tcW w:w="1120" w:type="dxa"/>
            <w:noWrap/>
            <w:hideMark/>
          </w:tcPr>
          <w:p w:rsidR="000C0A41" w:rsidRPr="00CC1507" w:rsidRDefault="000C0A41" w:rsidP="00CC1507">
            <w:pPr>
              <w:jc w:val="center"/>
              <w:cnfStyle w:val="000000000000" w:firstRow="0" w:lastRow="0" w:firstColumn="0" w:lastColumn="0" w:oddVBand="0" w:evenVBand="0" w:oddHBand="0" w:evenHBand="0" w:firstRowFirstColumn="0" w:firstRowLastColumn="0" w:lastRowFirstColumn="0" w:lastRowLastColumn="0"/>
              <w:rPr>
                <w:highlight w:val="yellow"/>
              </w:rPr>
            </w:pPr>
            <w:r w:rsidRPr="00CC1507">
              <w:rPr>
                <w:highlight w:val="yellow"/>
              </w:rPr>
              <w:t>0.008</w:t>
            </w:r>
          </w:p>
        </w:tc>
      </w:tr>
      <w:tr w:rsidR="000C0A41" w:rsidRPr="0013015A" w:rsidTr="00CC15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CC1507">
            <w:pPr>
              <w:jc w:val="right"/>
              <w:rPr>
                <w:b w:val="0"/>
              </w:rPr>
            </w:pPr>
            <w:r>
              <w:rPr>
                <w:b w:val="0"/>
              </w:rPr>
              <w:t xml:space="preserve">Age group </w:t>
            </w:r>
            <w:r w:rsidRPr="00CC1507">
              <w:rPr>
                <w:b w:val="0"/>
                <w:u w:val="single"/>
              </w:rPr>
              <w:t>&gt;</w:t>
            </w:r>
            <w:r w:rsidRPr="004415A6">
              <w:rPr>
                <w:b w:val="0"/>
              </w:rPr>
              <w:t>60 &amp; &lt;70</w:t>
            </w:r>
            <w:r>
              <w:rPr>
                <w:b w:val="0"/>
              </w:rPr>
              <w:t xml:space="preserve"> x n</w:t>
            </w:r>
            <w:r w:rsidRPr="004415A6">
              <w:rPr>
                <w:b w:val="0"/>
              </w:rPr>
              <w:t>on-smoker</w:t>
            </w:r>
          </w:p>
        </w:tc>
        <w:tc>
          <w:tcPr>
            <w:tcW w:w="1120" w:type="dxa"/>
            <w:noWrap/>
            <w:hideMark/>
          </w:tcPr>
          <w:p w:rsidR="000C0A41" w:rsidRPr="0013015A" w:rsidRDefault="000C0A41" w:rsidP="00CC1507">
            <w:pPr>
              <w:jc w:val="center"/>
              <w:cnfStyle w:val="000000100000" w:firstRow="0" w:lastRow="0" w:firstColumn="0" w:lastColumn="0" w:oddVBand="0" w:evenVBand="0" w:oddHBand="1" w:evenHBand="0" w:firstRowFirstColumn="0" w:firstRowLastColumn="0" w:lastRowFirstColumn="0" w:lastRowLastColumn="0"/>
            </w:pPr>
            <w:r w:rsidRPr="0013015A">
              <w:t>1</w:t>
            </w:r>
          </w:p>
        </w:tc>
        <w:tc>
          <w:tcPr>
            <w:tcW w:w="1120" w:type="dxa"/>
            <w:noWrap/>
            <w:hideMark/>
          </w:tcPr>
          <w:p w:rsidR="000C0A41" w:rsidRPr="0013015A" w:rsidRDefault="000C0A41" w:rsidP="00CC1507">
            <w:pPr>
              <w:jc w:val="center"/>
              <w:cnfStyle w:val="000000100000" w:firstRow="0" w:lastRow="0" w:firstColumn="0" w:lastColumn="0" w:oddVBand="0" w:evenVBand="0" w:oddHBand="1" w:evenHBand="0" w:firstRowFirstColumn="0" w:firstRowLastColumn="0" w:lastRowFirstColumn="0" w:lastRowLastColumn="0"/>
            </w:pPr>
            <w:r w:rsidRPr="0013015A">
              <w:t>1</w:t>
            </w:r>
          </w:p>
        </w:tc>
        <w:tc>
          <w:tcPr>
            <w:tcW w:w="1120" w:type="dxa"/>
            <w:noWrap/>
            <w:hideMark/>
          </w:tcPr>
          <w:p w:rsidR="000C0A41" w:rsidRPr="0013015A" w:rsidRDefault="000C0A41" w:rsidP="00CC1507">
            <w:pPr>
              <w:jc w:val="center"/>
              <w:cnfStyle w:val="000000100000" w:firstRow="0" w:lastRow="0" w:firstColumn="0" w:lastColumn="0" w:oddVBand="0" w:evenVBand="0" w:oddHBand="1" w:evenHBand="0" w:firstRowFirstColumn="0" w:firstRowLastColumn="0" w:lastRowFirstColumn="0" w:lastRowLastColumn="0"/>
            </w:pPr>
            <w:r w:rsidRPr="0013015A">
              <w:t>1</w:t>
            </w:r>
          </w:p>
        </w:tc>
        <w:tc>
          <w:tcPr>
            <w:tcW w:w="1120" w:type="dxa"/>
            <w:noWrap/>
            <w:hideMark/>
          </w:tcPr>
          <w:p w:rsidR="000C0A41" w:rsidRPr="0013015A" w:rsidRDefault="000C0A41" w:rsidP="00CC1507">
            <w:pPr>
              <w:jc w:val="center"/>
              <w:cnfStyle w:val="000000100000" w:firstRow="0" w:lastRow="0" w:firstColumn="0" w:lastColumn="0" w:oddVBand="0" w:evenVBand="0" w:oddHBand="1" w:evenHBand="0" w:firstRowFirstColumn="0" w:firstRowLastColumn="0" w:lastRowFirstColumn="0" w:lastRowLastColumn="0"/>
            </w:pPr>
            <w:r w:rsidRPr="0013015A">
              <w:t>.</w:t>
            </w:r>
          </w:p>
        </w:tc>
      </w:tr>
      <w:tr w:rsidR="000C0A41" w:rsidRPr="0013015A" w:rsidTr="00CC1507">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CC1507">
            <w:pPr>
              <w:jc w:val="right"/>
              <w:rPr>
                <w:b w:val="0"/>
              </w:rPr>
            </w:pPr>
            <w:r>
              <w:rPr>
                <w:b w:val="0"/>
              </w:rPr>
              <w:t xml:space="preserve">Age group </w:t>
            </w:r>
            <w:r w:rsidRPr="00CC1507">
              <w:rPr>
                <w:b w:val="0"/>
                <w:u w:val="single"/>
              </w:rPr>
              <w:t>&gt;</w:t>
            </w:r>
            <w:r w:rsidRPr="004415A6">
              <w:rPr>
                <w:b w:val="0"/>
              </w:rPr>
              <w:t>60 &amp; &lt;70</w:t>
            </w:r>
            <w:r>
              <w:rPr>
                <w:b w:val="0"/>
              </w:rPr>
              <w:t xml:space="preserve"> x current </w:t>
            </w:r>
            <w:r w:rsidRPr="004415A6">
              <w:rPr>
                <w:b w:val="0"/>
              </w:rPr>
              <w:t>smoker</w:t>
            </w:r>
          </w:p>
        </w:tc>
        <w:tc>
          <w:tcPr>
            <w:tcW w:w="1120" w:type="dxa"/>
            <w:noWrap/>
            <w:hideMark/>
          </w:tcPr>
          <w:p w:rsidR="000C0A41" w:rsidRPr="0013015A" w:rsidRDefault="000C0A41" w:rsidP="00CC1507">
            <w:pPr>
              <w:jc w:val="center"/>
              <w:cnfStyle w:val="000000000000" w:firstRow="0" w:lastRow="0" w:firstColumn="0" w:lastColumn="0" w:oddVBand="0" w:evenVBand="0" w:oddHBand="0" w:evenHBand="0" w:firstRowFirstColumn="0" w:firstRowLastColumn="0" w:lastRowFirstColumn="0" w:lastRowLastColumn="0"/>
            </w:pPr>
            <w:r w:rsidRPr="0013015A">
              <w:t>0.425</w:t>
            </w:r>
          </w:p>
        </w:tc>
        <w:tc>
          <w:tcPr>
            <w:tcW w:w="1120" w:type="dxa"/>
            <w:noWrap/>
            <w:hideMark/>
          </w:tcPr>
          <w:p w:rsidR="000C0A41" w:rsidRPr="0013015A" w:rsidRDefault="000C0A41" w:rsidP="00CC1507">
            <w:pPr>
              <w:jc w:val="center"/>
              <w:cnfStyle w:val="000000000000" w:firstRow="0" w:lastRow="0" w:firstColumn="0" w:lastColumn="0" w:oddVBand="0" w:evenVBand="0" w:oddHBand="0" w:evenHBand="0" w:firstRowFirstColumn="0" w:firstRowLastColumn="0" w:lastRowFirstColumn="0" w:lastRowLastColumn="0"/>
            </w:pPr>
            <w:r w:rsidRPr="0013015A">
              <w:t>0.170</w:t>
            </w:r>
          </w:p>
        </w:tc>
        <w:tc>
          <w:tcPr>
            <w:tcW w:w="1120" w:type="dxa"/>
            <w:noWrap/>
            <w:hideMark/>
          </w:tcPr>
          <w:p w:rsidR="000C0A41" w:rsidRPr="0013015A" w:rsidRDefault="000C0A41" w:rsidP="00CC1507">
            <w:pPr>
              <w:jc w:val="center"/>
              <w:cnfStyle w:val="000000000000" w:firstRow="0" w:lastRow="0" w:firstColumn="0" w:lastColumn="0" w:oddVBand="0" w:evenVBand="0" w:oddHBand="0" w:evenHBand="0" w:firstRowFirstColumn="0" w:firstRowLastColumn="0" w:lastRowFirstColumn="0" w:lastRowLastColumn="0"/>
            </w:pPr>
            <w:r w:rsidRPr="0013015A">
              <w:t>1.064</w:t>
            </w:r>
          </w:p>
        </w:tc>
        <w:tc>
          <w:tcPr>
            <w:tcW w:w="1120" w:type="dxa"/>
            <w:noWrap/>
            <w:hideMark/>
          </w:tcPr>
          <w:p w:rsidR="000C0A41" w:rsidRPr="0013015A" w:rsidRDefault="000C0A41" w:rsidP="00CC1507">
            <w:pPr>
              <w:jc w:val="center"/>
              <w:cnfStyle w:val="000000000000" w:firstRow="0" w:lastRow="0" w:firstColumn="0" w:lastColumn="0" w:oddVBand="0" w:evenVBand="0" w:oddHBand="0" w:evenHBand="0" w:firstRowFirstColumn="0" w:firstRowLastColumn="0" w:lastRowFirstColumn="0" w:lastRowLastColumn="0"/>
            </w:pPr>
            <w:r w:rsidRPr="0013015A">
              <w:t>0.068</w:t>
            </w:r>
          </w:p>
        </w:tc>
      </w:tr>
      <w:tr w:rsidR="000C0A41" w:rsidRPr="0013015A" w:rsidTr="00CC15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CC1507">
            <w:pPr>
              <w:jc w:val="right"/>
              <w:rPr>
                <w:b w:val="0"/>
              </w:rPr>
            </w:pPr>
            <w:r>
              <w:rPr>
                <w:b w:val="0"/>
              </w:rPr>
              <w:t xml:space="preserve">Age group </w:t>
            </w:r>
            <w:r w:rsidRPr="00CC1507">
              <w:rPr>
                <w:b w:val="0"/>
                <w:u w:val="single"/>
              </w:rPr>
              <w:t>&gt;</w:t>
            </w:r>
            <w:r w:rsidRPr="004415A6">
              <w:rPr>
                <w:b w:val="0"/>
              </w:rPr>
              <w:t>60 &amp; &lt;70</w:t>
            </w:r>
            <w:r>
              <w:rPr>
                <w:b w:val="0"/>
              </w:rPr>
              <w:t xml:space="preserve"> x ex</w:t>
            </w:r>
            <w:r w:rsidRPr="004415A6">
              <w:rPr>
                <w:b w:val="0"/>
              </w:rPr>
              <w:t>-smoker</w:t>
            </w:r>
          </w:p>
        </w:tc>
        <w:tc>
          <w:tcPr>
            <w:tcW w:w="1120" w:type="dxa"/>
            <w:noWrap/>
            <w:hideMark/>
          </w:tcPr>
          <w:p w:rsidR="000C0A41" w:rsidRPr="00CC1507" w:rsidRDefault="000C0A41" w:rsidP="00CC1507">
            <w:pPr>
              <w:jc w:val="center"/>
              <w:cnfStyle w:val="000000100000" w:firstRow="0" w:lastRow="0" w:firstColumn="0" w:lastColumn="0" w:oddVBand="0" w:evenVBand="0" w:oddHBand="1" w:evenHBand="0" w:firstRowFirstColumn="0" w:firstRowLastColumn="0" w:lastRowFirstColumn="0" w:lastRowLastColumn="0"/>
              <w:rPr>
                <w:highlight w:val="yellow"/>
              </w:rPr>
            </w:pPr>
            <w:r w:rsidRPr="00CC1507">
              <w:rPr>
                <w:highlight w:val="yellow"/>
              </w:rPr>
              <w:t>0.328</w:t>
            </w:r>
          </w:p>
        </w:tc>
        <w:tc>
          <w:tcPr>
            <w:tcW w:w="1120" w:type="dxa"/>
            <w:noWrap/>
            <w:hideMark/>
          </w:tcPr>
          <w:p w:rsidR="000C0A41" w:rsidRPr="0013015A" w:rsidRDefault="000C0A41" w:rsidP="00CC1507">
            <w:pPr>
              <w:jc w:val="center"/>
              <w:cnfStyle w:val="000000100000" w:firstRow="0" w:lastRow="0" w:firstColumn="0" w:lastColumn="0" w:oddVBand="0" w:evenVBand="0" w:oddHBand="1" w:evenHBand="0" w:firstRowFirstColumn="0" w:firstRowLastColumn="0" w:lastRowFirstColumn="0" w:lastRowLastColumn="0"/>
            </w:pPr>
            <w:r w:rsidRPr="0013015A">
              <w:t>0.126</w:t>
            </w:r>
          </w:p>
        </w:tc>
        <w:tc>
          <w:tcPr>
            <w:tcW w:w="1120" w:type="dxa"/>
            <w:noWrap/>
            <w:hideMark/>
          </w:tcPr>
          <w:p w:rsidR="000C0A41" w:rsidRPr="0013015A" w:rsidRDefault="000C0A41" w:rsidP="00CC1507">
            <w:pPr>
              <w:jc w:val="center"/>
              <w:cnfStyle w:val="000000100000" w:firstRow="0" w:lastRow="0" w:firstColumn="0" w:lastColumn="0" w:oddVBand="0" w:evenVBand="0" w:oddHBand="1" w:evenHBand="0" w:firstRowFirstColumn="0" w:firstRowLastColumn="0" w:lastRowFirstColumn="0" w:lastRowLastColumn="0"/>
            </w:pPr>
            <w:r w:rsidRPr="0013015A">
              <w:t>0.849</w:t>
            </w:r>
          </w:p>
        </w:tc>
        <w:tc>
          <w:tcPr>
            <w:tcW w:w="1120" w:type="dxa"/>
            <w:noWrap/>
            <w:hideMark/>
          </w:tcPr>
          <w:p w:rsidR="000C0A41" w:rsidRPr="00CC1507" w:rsidRDefault="000C0A41" w:rsidP="00CC1507">
            <w:pPr>
              <w:jc w:val="center"/>
              <w:cnfStyle w:val="000000100000" w:firstRow="0" w:lastRow="0" w:firstColumn="0" w:lastColumn="0" w:oddVBand="0" w:evenVBand="0" w:oddHBand="1" w:evenHBand="0" w:firstRowFirstColumn="0" w:firstRowLastColumn="0" w:lastRowFirstColumn="0" w:lastRowLastColumn="0"/>
              <w:rPr>
                <w:highlight w:val="yellow"/>
              </w:rPr>
            </w:pPr>
            <w:r w:rsidRPr="00CC1507">
              <w:rPr>
                <w:highlight w:val="yellow"/>
              </w:rPr>
              <w:t>0.022</w:t>
            </w:r>
          </w:p>
        </w:tc>
      </w:tr>
      <w:tr w:rsidR="000C0A41" w:rsidRPr="0013015A" w:rsidTr="00CC1507">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CC1507">
            <w:pPr>
              <w:jc w:val="right"/>
              <w:rPr>
                <w:b w:val="0"/>
              </w:rPr>
            </w:pPr>
            <w:r>
              <w:rPr>
                <w:b w:val="0"/>
              </w:rPr>
              <w:t xml:space="preserve">Age group </w:t>
            </w:r>
            <w:r w:rsidRPr="00CC1507">
              <w:rPr>
                <w:b w:val="0"/>
                <w:u w:val="single"/>
              </w:rPr>
              <w:t>&gt;</w:t>
            </w:r>
            <w:r w:rsidRPr="004415A6">
              <w:rPr>
                <w:b w:val="0"/>
              </w:rPr>
              <w:t>70 &amp; &lt;80</w:t>
            </w:r>
            <w:r>
              <w:rPr>
                <w:b w:val="0"/>
              </w:rPr>
              <w:t xml:space="preserve"> x n</w:t>
            </w:r>
            <w:r w:rsidRPr="004415A6">
              <w:rPr>
                <w:b w:val="0"/>
              </w:rPr>
              <w:t>on-smoker</w:t>
            </w:r>
          </w:p>
        </w:tc>
        <w:tc>
          <w:tcPr>
            <w:tcW w:w="1120" w:type="dxa"/>
            <w:noWrap/>
            <w:hideMark/>
          </w:tcPr>
          <w:p w:rsidR="000C0A41" w:rsidRPr="0013015A" w:rsidRDefault="000C0A41" w:rsidP="00CC1507">
            <w:pPr>
              <w:jc w:val="center"/>
              <w:cnfStyle w:val="000000000000" w:firstRow="0" w:lastRow="0" w:firstColumn="0" w:lastColumn="0" w:oddVBand="0" w:evenVBand="0" w:oddHBand="0" w:evenHBand="0" w:firstRowFirstColumn="0" w:firstRowLastColumn="0" w:lastRowFirstColumn="0" w:lastRowLastColumn="0"/>
            </w:pPr>
            <w:r w:rsidRPr="0013015A">
              <w:t>1</w:t>
            </w:r>
          </w:p>
        </w:tc>
        <w:tc>
          <w:tcPr>
            <w:tcW w:w="1120" w:type="dxa"/>
            <w:noWrap/>
            <w:hideMark/>
          </w:tcPr>
          <w:p w:rsidR="000C0A41" w:rsidRPr="0013015A" w:rsidRDefault="000C0A41" w:rsidP="00CC1507">
            <w:pPr>
              <w:jc w:val="center"/>
              <w:cnfStyle w:val="000000000000" w:firstRow="0" w:lastRow="0" w:firstColumn="0" w:lastColumn="0" w:oddVBand="0" w:evenVBand="0" w:oddHBand="0" w:evenHBand="0" w:firstRowFirstColumn="0" w:firstRowLastColumn="0" w:lastRowFirstColumn="0" w:lastRowLastColumn="0"/>
            </w:pPr>
            <w:r w:rsidRPr="0013015A">
              <w:t>1</w:t>
            </w:r>
          </w:p>
        </w:tc>
        <w:tc>
          <w:tcPr>
            <w:tcW w:w="1120" w:type="dxa"/>
            <w:noWrap/>
            <w:hideMark/>
          </w:tcPr>
          <w:p w:rsidR="000C0A41" w:rsidRPr="0013015A" w:rsidRDefault="000C0A41" w:rsidP="00CC1507">
            <w:pPr>
              <w:jc w:val="center"/>
              <w:cnfStyle w:val="000000000000" w:firstRow="0" w:lastRow="0" w:firstColumn="0" w:lastColumn="0" w:oddVBand="0" w:evenVBand="0" w:oddHBand="0" w:evenHBand="0" w:firstRowFirstColumn="0" w:firstRowLastColumn="0" w:lastRowFirstColumn="0" w:lastRowLastColumn="0"/>
            </w:pPr>
            <w:r w:rsidRPr="0013015A">
              <w:t>1</w:t>
            </w:r>
          </w:p>
        </w:tc>
        <w:tc>
          <w:tcPr>
            <w:tcW w:w="1120" w:type="dxa"/>
            <w:noWrap/>
            <w:hideMark/>
          </w:tcPr>
          <w:p w:rsidR="000C0A41" w:rsidRPr="0013015A" w:rsidRDefault="000C0A41" w:rsidP="00CC1507">
            <w:pPr>
              <w:jc w:val="center"/>
              <w:cnfStyle w:val="000000000000" w:firstRow="0" w:lastRow="0" w:firstColumn="0" w:lastColumn="0" w:oddVBand="0" w:evenVBand="0" w:oddHBand="0" w:evenHBand="0" w:firstRowFirstColumn="0" w:firstRowLastColumn="0" w:lastRowFirstColumn="0" w:lastRowLastColumn="0"/>
            </w:pPr>
            <w:r w:rsidRPr="0013015A">
              <w:t>.</w:t>
            </w:r>
          </w:p>
        </w:tc>
      </w:tr>
      <w:tr w:rsidR="000C0A41" w:rsidRPr="0013015A" w:rsidTr="00CC15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CC1507">
            <w:pPr>
              <w:jc w:val="right"/>
              <w:rPr>
                <w:b w:val="0"/>
              </w:rPr>
            </w:pPr>
            <w:r>
              <w:rPr>
                <w:b w:val="0"/>
              </w:rPr>
              <w:t xml:space="preserve">Age group </w:t>
            </w:r>
            <w:r w:rsidRPr="00CC1507">
              <w:rPr>
                <w:b w:val="0"/>
                <w:u w:val="single"/>
              </w:rPr>
              <w:t>&gt;</w:t>
            </w:r>
            <w:r w:rsidRPr="004415A6">
              <w:rPr>
                <w:b w:val="0"/>
              </w:rPr>
              <w:t>70 &amp; &lt;80</w:t>
            </w:r>
            <w:r>
              <w:rPr>
                <w:b w:val="0"/>
              </w:rPr>
              <w:t xml:space="preserve"> x current </w:t>
            </w:r>
            <w:r w:rsidRPr="004415A6">
              <w:rPr>
                <w:b w:val="0"/>
              </w:rPr>
              <w:t>smoker</w:t>
            </w:r>
          </w:p>
        </w:tc>
        <w:tc>
          <w:tcPr>
            <w:tcW w:w="1120" w:type="dxa"/>
            <w:noWrap/>
            <w:hideMark/>
          </w:tcPr>
          <w:p w:rsidR="000C0A41" w:rsidRPr="0013015A" w:rsidRDefault="000C0A41" w:rsidP="00CC1507">
            <w:pPr>
              <w:jc w:val="center"/>
              <w:cnfStyle w:val="000000100000" w:firstRow="0" w:lastRow="0" w:firstColumn="0" w:lastColumn="0" w:oddVBand="0" w:evenVBand="0" w:oddHBand="1" w:evenHBand="0" w:firstRowFirstColumn="0" w:firstRowLastColumn="0" w:lastRowFirstColumn="0" w:lastRowLastColumn="0"/>
            </w:pPr>
            <w:r w:rsidRPr="0013015A">
              <w:t>0.515</w:t>
            </w:r>
          </w:p>
        </w:tc>
        <w:tc>
          <w:tcPr>
            <w:tcW w:w="1120" w:type="dxa"/>
            <w:noWrap/>
            <w:hideMark/>
          </w:tcPr>
          <w:p w:rsidR="000C0A41" w:rsidRPr="0013015A" w:rsidRDefault="000C0A41" w:rsidP="00CC1507">
            <w:pPr>
              <w:jc w:val="center"/>
              <w:cnfStyle w:val="000000100000" w:firstRow="0" w:lastRow="0" w:firstColumn="0" w:lastColumn="0" w:oddVBand="0" w:evenVBand="0" w:oddHBand="1" w:evenHBand="0" w:firstRowFirstColumn="0" w:firstRowLastColumn="0" w:lastRowFirstColumn="0" w:lastRowLastColumn="0"/>
            </w:pPr>
            <w:r w:rsidRPr="0013015A">
              <w:t>0.206</w:t>
            </w:r>
          </w:p>
        </w:tc>
        <w:tc>
          <w:tcPr>
            <w:tcW w:w="1120" w:type="dxa"/>
            <w:noWrap/>
            <w:hideMark/>
          </w:tcPr>
          <w:p w:rsidR="000C0A41" w:rsidRPr="0013015A" w:rsidRDefault="000C0A41" w:rsidP="00CC1507">
            <w:pPr>
              <w:jc w:val="center"/>
              <w:cnfStyle w:val="000000100000" w:firstRow="0" w:lastRow="0" w:firstColumn="0" w:lastColumn="0" w:oddVBand="0" w:evenVBand="0" w:oddHBand="1" w:evenHBand="0" w:firstRowFirstColumn="0" w:firstRowLastColumn="0" w:lastRowFirstColumn="0" w:lastRowLastColumn="0"/>
            </w:pPr>
            <w:r w:rsidRPr="0013015A">
              <w:t>1.288</w:t>
            </w:r>
          </w:p>
        </w:tc>
        <w:tc>
          <w:tcPr>
            <w:tcW w:w="1120" w:type="dxa"/>
            <w:noWrap/>
            <w:hideMark/>
          </w:tcPr>
          <w:p w:rsidR="000C0A41" w:rsidRPr="0013015A" w:rsidRDefault="000C0A41" w:rsidP="00CC1507">
            <w:pPr>
              <w:jc w:val="center"/>
              <w:cnfStyle w:val="000000100000" w:firstRow="0" w:lastRow="0" w:firstColumn="0" w:lastColumn="0" w:oddVBand="0" w:evenVBand="0" w:oddHBand="1" w:evenHBand="0" w:firstRowFirstColumn="0" w:firstRowLastColumn="0" w:lastRowFirstColumn="0" w:lastRowLastColumn="0"/>
            </w:pPr>
            <w:r w:rsidRPr="0013015A">
              <w:t>0.156</w:t>
            </w:r>
          </w:p>
        </w:tc>
      </w:tr>
      <w:tr w:rsidR="000C0A41" w:rsidRPr="0013015A" w:rsidTr="00CC1507">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CC1507">
            <w:pPr>
              <w:jc w:val="right"/>
              <w:rPr>
                <w:b w:val="0"/>
              </w:rPr>
            </w:pPr>
            <w:r>
              <w:rPr>
                <w:b w:val="0"/>
              </w:rPr>
              <w:t xml:space="preserve">Age group </w:t>
            </w:r>
            <w:r w:rsidRPr="00CC1507">
              <w:rPr>
                <w:b w:val="0"/>
              </w:rPr>
              <w:t>&gt;70 &amp; &lt;80</w:t>
            </w:r>
            <w:r>
              <w:rPr>
                <w:b w:val="0"/>
              </w:rPr>
              <w:t xml:space="preserve"> x ex</w:t>
            </w:r>
            <w:r w:rsidRPr="004415A6">
              <w:rPr>
                <w:b w:val="0"/>
              </w:rPr>
              <w:t>-smoker</w:t>
            </w:r>
          </w:p>
        </w:tc>
        <w:tc>
          <w:tcPr>
            <w:tcW w:w="1120" w:type="dxa"/>
            <w:noWrap/>
            <w:hideMark/>
          </w:tcPr>
          <w:p w:rsidR="000C0A41" w:rsidRPr="0013015A" w:rsidRDefault="000C0A41" w:rsidP="00CC1507">
            <w:pPr>
              <w:jc w:val="center"/>
              <w:cnfStyle w:val="000000000000" w:firstRow="0" w:lastRow="0" w:firstColumn="0" w:lastColumn="0" w:oddVBand="0" w:evenVBand="0" w:oddHBand="0" w:evenHBand="0" w:firstRowFirstColumn="0" w:firstRowLastColumn="0" w:lastRowFirstColumn="0" w:lastRowLastColumn="0"/>
            </w:pPr>
            <w:r w:rsidRPr="0013015A">
              <w:t>0.443</w:t>
            </w:r>
          </w:p>
        </w:tc>
        <w:tc>
          <w:tcPr>
            <w:tcW w:w="1120" w:type="dxa"/>
            <w:noWrap/>
            <w:hideMark/>
          </w:tcPr>
          <w:p w:rsidR="000C0A41" w:rsidRPr="0013015A" w:rsidRDefault="000C0A41" w:rsidP="00CC1507">
            <w:pPr>
              <w:jc w:val="center"/>
              <w:cnfStyle w:val="000000000000" w:firstRow="0" w:lastRow="0" w:firstColumn="0" w:lastColumn="0" w:oddVBand="0" w:evenVBand="0" w:oddHBand="0" w:evenHBand="0" w:firstRowFirstColumn="0" w:firstRowLastColumn="0" w:lastRowFirstColumn="0" w:lastRowLastColumn="0"/>
            </w:pPr>
            <w:r w:rsidRPr="0013015A">
              <w:t>0.171</w:t>
            </w:r>
          </w:p>
        </w:tc>
        <w:tc>
          <w:tcPr>
            <w:tcW w:w="1120" w:type="dxa"/>
            <w:noWrap/>
            <w:hideMark/>
          </w:tcPr>
          <w:p w:rsidR="000C0A41" w:rsidRPr="0013015A" w:rsidRDefault="000C0A41" w:rsidP="00CC1507">
            <w:pPr>
              <w:jc w:val="center"/>
              <w:cnfStyle w:val="000000000000" w:firstRow="0" w:lastRow="0" w:firstColumn="0" w:lastColumn="0" w:oddVBand="0" w:evenVBand="0" w:oddHBand="0" w:evenHBand="0" w:firstRowFirstColumn="0" w:firstRowLastColumn="0" w:lastRowFirstColumn="0" w:lastRowLastColumn="0"/>
            </w:pPr>
            <w:r w:rsidRPr="0013015A">
              <w:t>1.148</w:t>
            </w:r>
          </w:p>
        </w:tc>
        <w:tc>
          <w:tcPr>
            <w:tcW w:w="1120" w:type="dxa"/>
            <w:noWrap/>
            <w:hideMark/>
          </w:tcPr>
          <w:p w:rsidR="000C0A41" w:rsidRPr="0013015A" w:rsidRDefault="000C0A41" w:rsidP="00CC1507">
            <w:pPr>
              <w:jc w:val="center"/>
              <w:cnfStyle w:val="000000000000" w:firstRow="0" w:lastRow="0" w:firstColumn="0" w:lastColumn="0" w:oddVBand="0" w:evenVBand="0" w:oddHBand="0" w:evenHBand="0" w:firstRowFirstColumn="0" w:firstRowLastColumn="0" w:lastRowFirstColumn="0" w:lastRowLastColumn="0"/>
            </w:pPr>
            <w:r w:rsidRPr="0013015A">
              <w:t>0.094</w:t>
            </w:r>
          </w:p>
        </w:tc>
      </w:tr>
      <w:tr w:rsidR="000C0A41" w:rsidRPr="0013015A" w:rsidTr="00CC15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CC1507">
            <w:pPr>
              <w:jc w:val="right"/>
              <w:rPr>
                <w:b w:val="0"/>
              </w:rPr>
            </w:pPr>
            <w:r>
              <w:rPr>
                <w:b w:val="0"/>
              </w:rPr>
              <w:t xml:space="preserve">Age group </w:t>
            </w:r>
            <w:r w:rsidRPr="004415A6">
              <w:rPr>
                <w:b w:val="0"/>
                <w:u w:val="single"/>
              </w:rPr>
              <w:t>&gt;</w:t>
            </w:r>
            <w:r w:rsidRPr="004415A6">
              <w:rPr>
                <w:b w:val="0"/>
              </w:rPr>
              <w:t>80</w:t>
            </w:r>
            <w:r>
              <w:rPr>
                <w:b w:val="0"/>
              </w:rPr>
              <w:t xml:space="preserve"> x n</w:t>
            </w:r>
            <w:r w:rsidRPr="004415A6">
              <w:rPr>
                <w:b w:val="0"/>
              </w:rPr>
              <w:t>on-smoker</w:t>
            </w:r>
          </w:p>
        </w:tc>
        <w:tc>
          <w:tcPr>
            <w:tcW w:w="1120" w:type="dxa"/>
            <w:noWrap/>
            <w:hideMark/>
          </w:tcPr>
          <w:p w:rsidR="000C0A41" w:rsidRPr="0013015A" w:rsidRDefault="000C0A41" w:rsidP="00CC1507">
            <w:pPr>
              <w:jc w:val="center"/>
              <w:cnfStyle w:val="000000100000" w:firstRow="0" w:lastRow="0" w:firstColumn="0" w:lastColumn="0" w:oddVBand="0" w:evenVBand="0" w:oddHBand="1" w:evenHBand="0" w:firstRowFirstColumn="0" w:firstRowLastColumn="0" w:lastRowFirstColumn="0" w:lastRowLastColumn="0"/>
            </w:pPr>
            <w:r w:rsidRPr="0013015A">
              <w:t>1</w:t>
            </w:r>
          </w:p>
        </w:tc>
        <w:tc>
          <w:tcPr>
            <w:tcW w:w="1120" w:type="dxa"/>
            <w:noWrap/>
            <w:hideMark/>
          </w:tcPr>
          <w:p w:rsidR="000C0A41" w:rsidRPr="0013015A" w:rsidRDefault="000C0A41" w:rsidP="00CC1507">
            <w:pPr>
              <w:jc w:val="center"/>
              <w:cnfStyle w:val="000000100000" w:firstRow="0" w:lastRow="0" w:firstColumn="0" w:lastColumn="0" w:oddVBand="0" w:evenVBand="0" w:oddHBand="1" w:evenHBand="0" w:firstRowFirstColumn="0" w:firstRowLastColumn="0" w:lastRowFirstColumn="0" w:lastRowLastColumn="0"/>
            </w:pPr>
            <w:r w:rsidRPr="0013015A">
              <w:t>1</w:t>
            </w:r>
          </w:p>
        </w:tc>
        <w:tc>
          <w:tcPr>
            <w:tcW w:w="1120" w:type="dxa"/>
            <w:noWrap/>
            <w:hideMark/>
          </w:tcPr>
          <w:p w:rsidR="000C0A41" w:rsidRPr="0013015A" w:rsidRDefault="000C0A41" w:rsidP="00CC1507">
            <w:pPr>
              <w:jc w:val="center"/>
              <w:cnfStyle w:val="000000100000" w:firstRow="0" w:lastRow="0" w:firstColumn="0" w:lastColumn="0" w:oddVBand="0" w:evenVBand="0" w:oddHBand="1" w:evenHBand="0" w:firstRowFirstColumn="0" w:firstRowLastColumn="0" w:lastRowFirstColumn="0" w:lastRowLastColumn="0"/>
            </w:pPr>
            <w:r w:rsidRPr="0013015A">
              <w:t>1</w:t>
            </w:r>
          </w:p>
        </w:tc>
        <w:tc>
          <w:tcPr>
            <w:tcW w:w="1120" w:type="dxa"/>
            <w:noWrap/>
            <w:hideMark/>
          </w:tcPr>
          <w:p w:rsidR="000C0A41" w:rsidRPr="0013015A" w:rsidRDefault="000C0A41" w:rsidP="00CC1507">
            <w:pPr>
              <w:jc w:val="center"/>
              <w:cnfStyle w:val="000000100000" w:firstRow="0" w:lastRow="0" w:firstColumn="0" w:lastColumn="0" w:oddVBand="0" w:evenVBand="0" w:oddHBand="1" w:evenHBand="0" w:firstRowFirstColumn="0" w:firstRowLastColumn="0" w:lastRowFirstColumn="0" w:lastRowLastColumn="0"/>
            </w:pPr>
            <w:r w:rsidRPr="0013015A">
              <w:t>.</w:t>
            </w:r>
          </w:p>
        </w:tc>
      </w:tr>
      <w:tr w:rsidR="000C0A41" w:rsidRPr="0013015A" w:rsidTr="00CC1507">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CC1507">
            <w:pPr>
              <w:jc w:val="right"/>
              <w:rPr>
                <w:b w:val="0"/>
              </w:rPr>
            </w:pPr>
            <w:r>
              <w:rPr>
                <w:b w:val="0"/>
              </w:rPr>
              <w:t xml:space="preserve">Age group </w:t>
            </w:r>
            <w:r w:rsidRPr="004415A6">
              <w:rPr>
                <w:b w:val="0"/>
                <w:u w:val="single"/>
              </w:rPr>
              <w:t>&gt;</w:t>
            </w:r>
            <w:r w:rsidRPr="004415A6">
              <w:rPr>
                <w:b w:val="0"/>
              </w:rPr>
              <w:t>80</w:t>
            </w:r>
            <w:r>
              <w:rPr>
                <w:b w:val="0"/>
              </w:rPr>
              <w:t xml:space="preserve"> x current </w:t>
            </w:r>
            <w:r w:rsidRPr="004415A6">
              <w:rPr>
                <w:b w:val="0"/>
              </w:rPr>
              <w:t>smoker</w:t>
            </w:r>
          </w:p>
        </w:tc>
        <w:tc>
          <w:tcPr>
            <w:tcW w:w="1120" w:type="dxa"/>
            <w:noWrap/>
            <w:hideMark/>
          </w:tcPr>
          <w:p w:rsidR="000C0A41" w:rsidRPr="0013015A" w:rsidRDefault="000C0A41" w:rsidP="00CC1507">
            <w:pPr>
              <w:jc w:val="center"/>
              <w:cnfStyle w:val="000000000000" w:firstRow="0" w:lastRow="0" w:firstColumn="0" w:lastColumn="0" w:oddVBand="0" w:evenVBand="0" w:oddHBand="0" w:evenHBand="0" w:firstRowFirstColumn="0" w:firstRowLastColumn="0" w:lastRowFirstColumn="0" w:lastRowLastColumn="0"/>
            </w:pPr>
            <w:r w:rsidRPr="0013015A">
              <w:t>0.862</w:t>
            </w:r>
          </w:p>
        </w:tc>
        <w:tc>
          <w:tcPr>
            <w:tcW w:w="1120" w:type="dxa"/>
            <w:noWrap/>
            <w:hideMark/>
          </w:tcPr>
          <w:p w:rsidR="000C0A41" w:rsidRPr="0013015A" w:rsidRDefault="000C0A41" w:rsidP="00CC1507">
            <w:pPr>
              <w:jc w:val="center"/>
              <w:cnfStyle w:val="000000000000" w:firstRow="0" w:lastRow="0" w:firstColumn="0" w:lastColumn="0" w:oddVBand="0" w:evenVBand="0" w:oddHBand="0" w:evenHBand="0" w:firstRowFirstColumn="0" w:firstRowLastColumn="0" w:lastRowFirstColumn="0" w:lastRowLastColumn="0"/>
            </w:pPr>
            <w:r w:rsidRPr="0013015A">
              <w:t>0.343</w:t>
            </w:r>
          </w:p>
        </w:tc>
        <w:tc>
          <w:tcPr>
            <w:tcW w:w="1120" w:type="dxa"/>
            <w:noWrap/>
            <w:hideMark/>
          </w:tcPr>
          <w:p w:rsidR="000C0A41" w:rsidRPr="0013015A" w:rsidRDefault="000C0A41" w:rsidP="00CC1507">
            <w:pPr>
              <w:jc w:val="center"/>
              <w:cnfStyle w:val="000000000000" w:firstRow="0" w:lastRow="0" w:firstColumn="0" w:lastColumn="0" w:oddVBand="0" w:evenVBand="0" w:oddHBand="0" w:evenHBand="0" w:firstRowFirstColumn="0" w:firstRowLastColumn="0" w:lastRowFirstColumn="0" w:lastRowLastColumn="0"/>
            </w:pPr>
            <w:r w:rsidRPr="0013015A">
              <w:t>2.167</w:t>
            </w:r>
          </w:p>
        </w:tc>
        <w:tc>
          <w:tcPr>
            <w:tcW w:w="1120" w:type="dxa"/>
            <w:noWrap/>
            <w:hideMark/>
          </w:tcPr>
          <w:p w:rsidR="000C0A41" w:rsidRPr="0013015A" w:rsidRDefault="000C0A41" w:rsidP="00CC1507">
            <w:pPr>
              <w:jc w:val="center"/>
              <w:cnfStyle w:val="000000000000" w:firstRow="0" w:lastRow="0" w:firstColumn="0" w:lastColumn="0" w:oddVBand="0" w:evenVBand="0" w:oddHBand="0" w:evenHBand="0" w:firstRowFirstColumn="0" w:firstRowLastColumn="0" w:lastRowFirstColumn="0" w:lastRowLastColumn="0"/>
            </w:pPr>
            <w:r w:rsidRPr="0013015A">
              <w:t>0.753</w:t>
            </w:r>
          </w:p>
        </w:tc>
      </w:tr>
      <w:tr w:rsidR="000C0A41" w:rsidRPr="0013015A" w:rsidTr="00CC15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CC1507">
            <w:pPr>
              <w:jc w:val="right"/>
              <w:rPr>
                <w:b w:val="0"/>
              </w:rPr>
            </w:pPr>
            <w:r>
              <w:rPr>
                <w:b w:val="0"/>
              </w:rPr>
              <w:t xml:space="preserve">Age group </w:t>
            </w:r>
            <w:r w:rsidRPr="004415A6">
              <w:rPr>
                <w:b w:val="0"/>
                <w:u w:val="single"/>
              </w:rPr>
              <w:t>&gt;</w:t>
            </w:r>
            <w:r w:rsidRPr="004415A6">
              <w:rPr>
                <w:b w:val="0"/>
              </w:rPr>
              <w:t>80</w:t>
            </w:r>
            <w:r>
              <w:rPr>
                <w:b w:val="0"/>
              </w:rPr>
              <w:t xml:space="preserve"> x ex</w:t>
            </w:r>
            <w:r w:rsidRPr="004415A6">
              <w:rPr>
                <w:b w:val="0"/>
              </w:rPr>
              <w:t>-smoker</w:t>
            </w:r>
          </w:p>
        </w:tc>
        <w:tc>
          <w:tcPr>
            <w:tcW w:w="1120" w:type="dxa"/>
            <w:noWrap/>
            <w:hideMark/>
          </w:tcPr>
          <w:p w:rsidR="000C0A41" w:rsidRPr="0013015A" w:rsidRDefault="000C0A41" w:rsidP="00CC1507">
            <w:pPr>
              <w:jc w:val="center"/>
              <w:cnfStyle w:val="000000100000" w:firstRow="0" w:lastRow="0" w:firstColumn="0" w:lastColumn="0" w:oddVBand="0" w:evenVBand="0" w:oddHBand="1" w:evenHBand="0" w:firstRowFirstColumn="0" w:firstRowLastColumn="0" w:lastRowFirstColumn="0" w:lastRowLastColumn="0"/>
            </w:pPr>
            <w:r w:rsidRPr="0013015A">
              <w:t>0.866</w:t>
            </w:r>
          </w:p>
        </w:tc>
        <w:tc>
          <w:tcPr>
            <w:tcW w:w="1120" w:type="dxa"/>
            <w:noWrap/>
            <w:hideMark/>
          </w:tcPr>
          <w:p w:rsidR="000C0A41" w:rsidRPr="0013015A" w:rsidRDefault="000C0A41" w:rsidP="00CC1507">
            <w:pPr>
              <w:jc w:val="center"/>
              <w:cnfStyle w:val="000000100000" w:firstRow="0" w:lastRow="0" w:firstColumn="0" w:lastColumn="0" w:oddVBand="0" w:evenVBand="0" w:oddHBand="1" w:evenHBand="0" w:firstRowFirstColumn="0" w:firstRowLastColumn="0" w:lastRowFirstColumn="0" w:lastRowLastColumn="0"/>
            </w:pPr>
            <w:r w:rsidRPr="0013015A">
              <w:t>0.333</w:t>
            </w:r>
          </w:p>
        </w:tc>
        <w:tc>
          <w:tcPr>
            <w:tcW w:w="1120" w:type="dxa"/>
            <w:noWrap/>
            <w:hideMark/>
          </w:tcPr>
          <w:p w:rsidR="000C0A41" w:rsidRPr="0013015A" w:rsidRDefault="000C0A41" w:rsidP="00CC1507">
            <w:pPr>
              <w:jc w:val="center"/>
              <w:cnfStyle w:val="000000100000" w:firstRow="0" w:lastRow="0" w:firstColumn="0" w:lastColumn="0" w:oddVBand="0" w:evenVBand="0" w:oddHBand="1" w:evenHBand="0" w:firstRowFirstColumn="0" w:firstRowLastColumn="0" w:lastRowFirstColumn="0" w:lastRowLastColumn="0"/>
            </w:pPr>
            <w:r w:rsidRPr="0013015A">
              <w:t>2.251</w:t>
            </w:r>
          </w:p>
        </w:tc>
        <w:tc>
          <w:tcPr>
            <w:tcW w:w="1120" w:type="dxa"/>
            <w:noWrap/>
            <w:hideMark/>
          </w:tcPr>
          <w:p w:rsidR="000C0A41" w:rsidRPr="0013015A" w:rsidRDefault="000C0A41" w:rsidP="00CC1507">
            <w:pPr>
              <w:jc w:val="center"/>
              <w:cnfStyle w:val="000000100000" w:firstRow="0" w:lastRow="0" w:firstColumn="0" w:lastColumn="0" w:oddVBand="0" w:evenVBand="0" w:oddHBand="1" w:evenHBand="0" w:firstRowFirstColumn="0" w:firstRowLastColumn="0" w:lastRowFirstColumn="0" w:lastRowLastColumn="0"/>
            </w:pPr>
            <w:r w:rsidRPr="0013015A">
              <w:t>0.768</w:t>
            </w:r>
          </w:p>
        </w:tc>
      </w:tr>
      <w:tr w:rsidR="000C0A41" w:rsidRPr="00CC1507" w:rsidTr="00CC1507">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tcPr>
          <w:p w:rsidR="000C0A41" w:rsidRPr="00CC1507" w:rsidRDefault="000C0A41" w:rsidP="00CC1507">
            <w:pPr>
              <w:jc w:val="left"/>
            </w:pPr>
            <w:r w:rsidRPr="00CC1507">
              <w:t>Deprivation</w:t>
            </w:r>
          </w:p>
        </w:tc>
        <w:tc>
          <w:tcPr>
            <w:tcW w:w="1120" w:type="dxa"/>
            <w:noWrap/>
          </w:tcPr>
          <w:p w:rsidR="000C0A41" w:rsidRPr="00CC1507" w:rsidRDefault="000C0A41" w:rsidP="00CC1507">
            <w:pPr>
              <w:jc w:val="center"/>
              <w:cnfStyle w:val="000000000000" w:firstRow="0" w:lastRow="0" w:firstColumn="0" w:lastColumn="0" w:oddVBand="0" w:evenVBand="0" w:oddHBand="0" w:evenHBand="0" w:firstRowFirstColumn="0" w:firstRowLastColumn="0" w:lastRowFirstColumn="0" w:lastRowLastColumn="0"/>
              <w:rPr>
                <w:b/>
              </w:rPr>
            </w:pPr>
          </w:p>
        </w:tc>
        <w:tc>
          <w:tcPr>
            <w:tcW w:w="1120" w:type="dxa"/>
            <w:noWrap/>
          </w:tcPr>
          <w:p w:rsidR="000C0A41" w:rsidRPr="00CC1507" w:rsidRDefault="000C0A41" w:rsidP="00CC1507">
            <w:pPr>
              <w:jc w:val="center"/>
              <w:cnfStyle w:val="000000000000" w:firstRow="0" w:lastRow="0" w:firstColumn="0" w:lastColumn="0" w:oddVBand="0" w:evenVBand="0" w:oddHBand="0" w:evenHBand="0" w:firstRowFirstColumn="0" w:firstRowLastColumn="0" w:lastRowFirstColumn="0" w:lastRowLastColumn="0"/>
              <w:rPr>
                <w:b/>
              </w:rPr>
            </w:pPr>
          </w:p>
        </w:tc>
        <w:tc>
          <w:tcPr>
            <w:tcW w:w="1120" w:type="dxa"/>
            <w:noWrap/>
          </w:tcPr>
          <w:p w:rsidR="000C0A41" w:rsidRPr="00CC1507" w:rsidRDefault="000C0A41" w:rsidP="00CC1507">
            <w:pPr>
              <w:jc w:val="center"/>
              <w:cnfStyle w:val="000000000000" w:firstRow="0" w:lastRow="0" w:firstColumn="0" w:lastColumn="0" w:oddVBand="0" w:evenVBand="0" w:oddHBand="0" w:evenHBand="0" w:firstRowFirstColumn="0" w:firstRowLastColumn="0" w:lastRowFirstColumn="0" w:lastRowLastColumn="0"/>
              <w:rPr>
                <w:b/>
              </w:rPr>
            </w:pPr>
          </w:p>
        </w:tc>
        <w:tc>
          <w:tcPr>
            <w:tcW w:w="1120" w:type="dxa"/>
            <w:noWrap/>
          </w:tcPr>
          <w:p w:rsidR="000C0A41" w:rsidRPr="00CC1507" w:rsidRDefault="000C0A41" w:rsidP="00CC1507">
            <w:pPr>
              <w:jc w:val="center"/>
              <w:cnfStyle w:val="000000000000" w:firstRow="0" w:lastRow="0" w:firstColumn="0" w:lastColumn="0" w:oddVBand="0" w:evenVBand="0" w:oddHBand="0" w:evenHBand="0" w:firstRowFirstColumn="0" w:firstRowLastColumn="0" w:lastRowFirstColumn="0" w:lastRowLastColumn="0"/>
              <w:rPr>
                <w:b/>
              </w:rPr>
            </w:pPr>
          </w:p>
        </w:tc>
      </w:tr>
      <w:tr w:rsidR="000C0A41" w:rsidRPr="0013015A" w:rsidTr="00CC15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CC1507" w:rsidRDefault="000C0A41" w:rsidP="00CC1507">
            <w:pPr>
              <w:jc w:val="right"/>
              <w:rPr>
                <w:b w:val="0"/>
              </w:rPr>
            </w:pPr>
            <w:r w:rsidRPr="00CC1507">
              <w:rPr>
                <w:b w:val="0"/>
              </w:rPr>
              <w:t>IMD quintile 1 (least deprived)</w:t>
            </w:r>
          </w:p>
        </w:tc>
        <w:tc>
          <w:tcPr>
            <w:tcW w:w="1120" w:type="dxa"/>
            <w:noWrap/>
            <w:hideMark/>
          </w:tcPr>
          <w:p w:rsidR="000C0A41" w:rsidRPr="0013015A" w:rsidRDefault="000C0A41" w:rsidP="00CC1507">
            <w:pPr>
              <w:jc w:val="center"/>
              <w:cnfStyle w:val="000000100000" w:firstRow="0" w:lastRow="0" w:firstColumn="0" w:lastColumn="0" w:oddVBand="0" w:evenVBand="0" w:oddHBand="1" w:evenHBand="0" w:firstRowFirstColumn="0" w:firstRowLastColumn="0" w:lastRowFirstColumn="0" w:lastRowLastColumn="0"/>
            </w:pPr>
            <w:r w:rsidRPr="0013015A">
              <w:t>1</w:t>
            </w:r>
          </w:p>
        </w:tc>
        <w:tc>
          <w:tcPr>
            <w:tcW w:w="1120" w:type="dxa"/>
            <w:noWrap/>
            <w:hideMark/>
          </w:tcPr>
          <w:p w:rsidR="000C0A41" w:rsidRPr="0013015A" w:rsidRDefault="000C0A41" w:rsidP="00CC1507">
            <w:pPr>
              <w:jc w:val="center"/>
              <w:cnfStyle w:val="000000100000" w:firstRow="0" w:lastRow="0" w:firstColumn="0" w:lastColumn="0" w:oddVBand="0" w:evenVBand="0" w:oddHBand="1" w:evenHBand="0" w:firstRowFirstColumn="0" w:firstRowLastColumn="0" w:lastRowFirstColumn="0" w:lastRowLastColumn="0"/>
            </w:pPr>
            <w:r w:rsidRPr="0013015A">
              <w:t>1</w:t>
            </w:r>
          </w:p>
        </w:tc>
        <w:tc>
          <w:tcPr>
            <w:tcW w:w="1120" w:type="dxa"/>
            <w:noWrap/>
            <w:hideMark/>
          </w:tcPr>
          <w:p w:rsidR="000C0A41" w:rsidRPr="0013015A" w:rsidRDefault="000C0A41" w:rsidP="00CC1507">
            <w:pPr>
              <w:jc w:val="center"/>
              <w:cnfStyle w:val="000000100000" w:firstRow="0" w:lastRow="0" w:firstColumn="0" w:lastColumn="0" w:oddVBand="0" w:evenVBand="0" w:oddHBand="1" w:evenHBand="0" w:firstRowFirstColumn="0" w:firstRowLastColumn="0" w:lastRowFirstColumn="0" w:lastRowLastColumn="0"/>
            </w:pPr>
            <w:r w:rsidRPr="0013015A">
              <w:t>1</w:t>
            </w:r>
          </w:p>
        </w:tc>
        <w:tc>
          <w:tcPr>
            <w:tcW w:w="1120" w:type="dxa"/>
            <w:noWrap/>
            <w:hideMark/>
          </w:tcPr>
          <w:p w:rsidR="000C0A41" w:rsidRPr="0013015A" w:rsidRDefault="000C0A41" w:rsidP="00CC1507">
            <w:pPr>
              <w:jc w:val="center"/>
              <w:cnfStyle w:val="000000100000" w:firstRow="0" w:lastRow="0" w:firstColumn="0" w:lastColumn="0" w:oddVBand="0" w:evenVBand="0" w:oddHBand="1" w:evenHBand="0" w:firstRowFirstColumn="0" w:firstRowLastColumn="0" w:lastRowFirstColumn="0" w:lastRowLastColumn="0"/>
            </w:pPr>
            <w:r w:rsidRPr="0013015A">
              <w:t>.</w:t>
            </w:r>
          </w:p>
        </w:tc>
      </w:tr>
      <w:tr w:rsidR="000C0A41" w:rsidRPr="0013015A" w:rsidTr="00CC1507">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CC1507" w:rsidRDefault="000C0A41" w:rsidP="00CC1507">
            <w:pPr>
              <w:jc w:val="right"/>
              <w:rPr>
                <w:b w:val="0"/>
              </w:rPr>
            </w:pPr>
            <w:r w:rsidRPr="00CC1507">
              <w:rPr>
                <w:b w:val="0"/>
              </w:rPr>
              <w:t>IMD quintile 2</w:t>
            </w:r>
          </w:p>
        </w:tc>
        <w:tc>
          <w:tcPr>
            <w:tcW w:w="1120" w:type="dxa"/>
            <w:noWrap/>
            <w:hideMark/>
          </w:tcPr>
          <w:p w:rsidR="000C0A41" w:rsidRPr="00CC1507" w:rsidRDefault="000C0A41" w:rsidP="00CC1507">
            <w:pPr>
              <w:jc w:val="center"/>
              <w:cnfStyle w:val="000000000000" w:firstRow="0" w:lastRow="0" w:firstColumn="0" w:lastColumn="0" w:oddVBand="0" w:evenVBand="0" w:oddHBand="0" w:evenHBand="0" w:firstRowFirstColumn="0" w:firstRowLastColumn="0" w:lastRowFirstColumn="0" w:lastRowLastColumn="0"/>
              <w:rPr>
                <w:highlight w:val="yellow"/>
              </w:rPr>
            </w:pPr>
            <w:r w:rsidRPr="00CC1507">
              <w:rPr>
                <w:highlight w:val="yellow"/>
              </w:rPr>
              <w:t>1.244</w:t>
            </w:r>
          </w:p>
        </w:tc>
        <w:tc>
          <w:tcPr>
            <w:tcW w:w="1120" w:type="dxa"/>
            <w:noWrap/>
            <w:hideMark/>
          </w:tcPr>
          <w:p w:rsidR="000C0A41" w:rsidRPr="0013015A" w:rsidRDefault="000C0A41" w:rsidP="00CC1507">
            <w:pPr>
              <w:jc w:val="center"/>
              <w:cnfStyle w:val="000000000000" w:firstRow="0" w:lastRow="0" w:firstColumn="0" w:lastColumn="0" w:oddVBand="0" w:evenVBand="0" w:oddHBand="0" w:evenHBand="0" w:firstRowFirstColumn="0" w:firstRowLastColumn="0" w:lastRowFirstColumn="0" w:lastRowLastColumn="0"/>
            </w:pPr>
            <w:r w:rsidRPr="0013015A">
              <w:t>1.189</w:t>
            </w:r>
          </w:p>
        </w:tc>
        <w:tc>
          <w:tcPr>
            <w:tcW w:w="1120" w:type="dxa"/>
            <w:noWrap/>
            <w:hideMark/>
          </w:tcPr>
          <w:p w:rsidR="000C0A41" w:rsidRPr="0013015A" w:rsidRDefault="000C0A41" w:rsidP="00CC1507">
            <w:pPr>
              <w:jc w:val="center"/>
              <w:cnfStyle w:val="000000000000" w:firstRow="0" w:lastRow="0" w:firstColumn="0" w:lastColumn="0" w:oddVBand="0" w:evenVBand="0" w:oddHBand="0" w:evenHBand="0" w:firstRowFirstColumn="0" w:firstRowLastColumn="0" w:lastRowFirstColumn="0" w:lastRowLastColumn="0"/>
            </w:pPr>
            <w:r w:rsidRPr="0013015A">
              <w:t>1.302</w:t>
            </w:r>
          </w:p>
        </w:tc>
        <w:tc>
          <w:tcPr>
            <w:tcW w:w="1120" w:type="dxa"/>
            <w:noWrap/>
            <w:hideMark/>
          </w:tcPr>
          <w:p w:rsidR="000C0A41" w:rsidRPr="00CC1507" w:rsidRDefault="000C0A41" w:rsidP="00CC1507">
            <w:pPr>
              <w:jc w:val="center"/>
              <w:cnfStyle w:val="000000000000" w:firstRow="0" w:lastRow="0" w:firstColumn="0" w:lastColumn="0" w:oddVBand="0" w:evenVBand="0" w:oddHBand="0" w:evenHBand="0" w:firstRowFirstColumn="0" w:firstRowLastColumn="0" w:lastRowFirstColumn="0" w:lastRowLastColumn="0"/>
              <w:rPr>
                <w:highlight w:val="yellow"/>
              </w:rPr>
            </w:pPr>
            <w:r w:rsidRPr="00CC1507">
              <w:rPr>
                <w:highlight w:val="yellow"/>
              </w:rPr>
              <w:t>0.000</w:t>
            </w:r>
          </w:p>
        </w:tc>
      </w:tr>
      <w:tr w:rsidR="000C0A41" w:rsidRPr="0013015A" w:rsidTr="00CC15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CC1507" w:rsidRDefault="000C0A41" w:rsidP="00CC1507">
            <w:pPr>
              <w:jc w:val="right"/>
              <w:rPr>
                <w:b w:val="0"/>
              </w:rPr>
            </w:pPr>
            <w:r w:rsidRPr="00CC1507">
              <w:rPr>
                <w:b w:val="0"/>
              </w:rPr>
              <w:t>IMD quintile 3</w:t>
            </w:r>
          </w:p>
        </w:tc>
        <w:tc>
          <w:tcPr>
            <w:tcW w:w="1120" w:type="dxa"/>
            <w:noWrap/>
            <w:hideMark/>
          </w:tcPr>
          <w:p w:rsidR="000C0A41" w:rsidRPr="00CC1507" w:rsidRDefault="000C0A41" w:rsidP="00CC1507">
            <w:pPr>
              <w:jc w:val="center"/>
              <w:cnfStyle w:val="000000100000" w:firstRow="0" w:lastRow="0" w:firstColumn="0" w:lastColumn="0" w:oddVBand="0" w:evenVBand="0" w:oddHBand="1" w:evenHBand="0" w:firstRowFirstColumn="0" w:firstRowLastColumn="0" w:lastRowFirstColumn="0" w:lastRowLastColumn="0"/>
              <w:rPr>
                <w:highlight w:val="yellow"/>
              </w:rPr>
            </w:pPr>
            <w:r w:rsidRPr="00CC1507">
              <w:rPr>
                <w:highlight w:val="yellow"/>
              </w:rPr>
              <w:t>1.446</w:t>
            </w:r>
          </w:p>
        </w:tc>
        <w:tc>
          <w:tcPr>
            <w:tcW w:w="1120" w:type="dxa"/>
            <w:noWrap/>
            <w:hideMark/>
          </w:tcPr>
          <w:p w:rsidR="000C0A41" w:rsidRPr="0013015A" w:rsidRDefault="000C0A41" w:rsidP="00CC1507">
            <w:pPr>
              <w:jc w:val="center"/>
              <w:cnfStyle w:val="000000100000" w:firstRow="0" w:lastRow="0" w:firstColumn="0" w:lastColumn="0" w:oddVBand="0" w:evenVBand="0" w:oddHBand="1" w:evenHBand="0" w:firstRowFirstColumn="0" w:firstRowLastColumn="0" w:lastRowFirstColumn="0" w:lastRowLastColumn="0"/>
            </w:pPr>
            <w:r w:rsidRPr="0013015A">
              <w:t>1.379</w:t>
            </w:r>
          </w:p>
        </w:tc>
        <w:tc>
          <w:tcPr>
            <w:tcW w:w="1120" w:type="dxa"/>
            <w:noWrap/>
            <w:hideMark/>
          </w:tcPr>
          <w:p w:rsidR="000C0A41" w:rsidRPr="0013015A" w:rsidRDefault="000C0A41" w:rsidP="00CC1507">
            <w:pPr>
              <w:jc w:val="center"/>
              <w:cnfStyle w:val="000000100000" w:firstRow="0" w:lastRow="0" w:firstColumn="0" w:lastColumn="0" w:oddVBand="0" w:evenVBand="0" w:oddHBand="1" w:evenHBand="0" w:firstRowFirstColumn="0" w:firstRowLastColumn="0" w:lastRowFirstColumn="0" w:lastRowLastColumn="0"/>
            </w:pPr>
            <w:r w:rsidRPr="0013015A">
              <w:t>1.517</w:t>
            </w:r>
          </w:p>
        </w:tc>
        <w:tc>
          <w:tcPr>
            <w:tcW w:w="1120" w:type="dxa"/>
            <w:noWrap/>
            <w:hideMark/>
          </w:tcPr>
          <w:p w:rsidR="000C0A41" w:rsidRPr="00CC1507" w:rsidRDefault="000C0A41" w:rsidP="00CC1507">
            <w:pPr>
              <w:jc w:val="center"/>
              <w:cnfStyle w:val="000000100000" w:firstRow="0" w:lastRow="0" w:firstColumn="0" w:lastColumn="0" w:oddVBand="0" w:evenVBand="0" w:oddHBand="1" w:evenHBand="0" w:firstRowFirstColumn="0" w:firstRowLastColumn="0" w:lastRowFirstColumn="0" w:lastRowLastColumn="0"/>
              <w:rPr>
                <w:highlight w:val="yellow"/>
              </w:rPr>
            </w:pPr>
            <w:r w:rsidRPr="00CC1507">
              <w:rPr>
                <w:highlight w:val="yellow"/>
              </w:rPr>
              <w:t>0.000</w:t>
            </w:r>
          </w:p>
        </w:tc>
      </w:tr>
      <w:tr w:rsidR="000C0A41" w:rsidRPr="0013015A" w:rsidTr="00CC1507">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CC1507" w:rsidRDefault="000C0A41" w:rsidP="00CC1507">
            <w:pPr>
              <w:jc w:val="right"/>
              <w:rPr>
                <w:b w:val="0"/>
              </w:rPr>
            </w:pPr>
            <w:r w:rsidRPr="00CC1507">
              <w:rPr>
                <w:b w:val="0"/>
              </w:rPr>
              <w:t>IMD quintile 4</w:t>
            </w:r>
          </w:p>
        </w:tc>
        <w:tc>
          <w:tcPr>
            <w:tcW w:w="1120" w:type="dxa"/>
            <w:noWrap/>
            <w:hideMark/>
          </w:tcPr>
          <w:p w:rsidR="000C0A41" w:rsidRPr="00CC1507" w:rsidRDefault="000C0A41" w:rsidP="00CC1507">
            <w:pPr>
              <w:jc w:val="center"/>
              <w:cnfStyle w:val="000000000000" w:firstRow="0" w:lastRow="0" w:firstColumn="0" w:lastColumn="0" w:oddVBand="0" w:evenVBand="0" w:oddHBand="0" w:evenHBand="0" w:firstRowFirstColumn="0" w:firstRowLastColumn="0" w:lastRowFirstColumn="0" w:lastRowLastColumn="0"/>
              <w:rPr>
                <w:highlight w:val="yellow"/>
              </w:rPr>
            </w:pPr>
            <w:r w:rsidRPr="00CC1507">
              <w:rPr>
                <w:highlight w:val="yellow"/>
              </w:rPr>
              <w:t>1.576</w:t>
            </w:r>
          </w:p>
        </w:tc>
        <w:tc>
          <w:tcPr>
            <w:tcW w:w="1120" w:type="dxa"/>
            <w:noWrap/>
            <w:hideMark/>
          </w:tcPr>
          <w:p w:rsidR="000C0A41" w:rsidRPr="0013015A" w:rsidRDefault="000C0A41" w:rsidP="00CC1507">
            <w:pPr>
              <w:jc w:val="center"/>
              <w:cnfStyle w:val="000000000000" w:firstRow="0" w:lastRow="0" w:firstColumn="0" w:lastColumn="0" w:oddVBand="0" w:evenVBand="0" w:oddHBand="0" w:evenHBand="0" w:firstRowFirstColumn="0" w:firstRowLastColumn="0" w:lastRowFirstColumn="0" w:lastRowLastColumn="0"/>
            </w:pPr>
            <w:r w:rsidRPr="0013015A">
              <w:t>1.506</w:t>
            </w:r>
          </w:p>
        </w:tc>
        <w:tc>
          <w:tcPr>
            <w:tcW w:w="1120" w:type="dxa"/>
            <w:noWrap/>
            <w:hideMark/>
          </w:tcPr>
          <w:p w:rsidR="000C0A41" w:rsidRPr="0013015A" w:rsidRDefault="000C0A41" w:rsidP="00CC1507">
            <w:pPr>
              <w:jc w:val="center"/>
              <w:cnfStyle w:val="000000000000" w:firstRow="0" w:lastRow="0" w:firstColumn="0" w:lastColumn="0" w:oddVBand="0" w:evenVBand="0" w:oddHBand="0" w:evenHBand="0" w:firstRowFirstColumn="0" w:firstRowLastColumn="0" w:lastRowFirstColumn="0" w:lastRowLastColumn="0"/>
            </w:pPr>
            <w:r w:rsidRPr="0013015A">
              <w:t>1.650</w:t>
            </w:r>
          </w:p>
        </w:tc>
        <w:tc>
          <w:tcPr>
            <w:tcW w:w="1120" w:type="dxa"/>
            <w:noWrap/>
            <w:hideMark/>
          </w:tcPr>
          <w:p w:rsidR="000C0A41" w:rsidRPr="00CC1507" w:rsidRDefault="000C0A41" w:rsidP="00CC1507">
            <w:pPr>
              <w:jc w:val="center"/>
              <w:cnfStyle w:val="000000000000" w:firstRow="0" w:lastRow="0" w:firstColumn="0" w:lastColumn="0" w:oddVBand="0" w:evenVBand="0" w:oddHBand="0" w:evenHBand="0" w:firstRowFirstColumn="0" w:firstRowLastColumn="0" w:lastRowFirstColumn="0" w:lastRowLastColumn="0"/>
              <w:rPr>
                <w:highlight w:val="yellow"/>
              </w:rPr>
            </w:pPr>
            <w:r w:rsidRPr="00CC1507">
              <w:rPr>
                <w:highlight w:val="yellow"/>
              </w:rPr>
              <w:t>0.000</w:t>
            </w:r>
          </w:p>
        </w:tc>
      </w:tr>
      <w:tr w:rsidR="000C0A41" w:rsidRPr="0013015A" w:rsidTr="00CC15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CC1507" w:rsidRDefault="000C0A41" w:rsidP="00CC1507">
            <w:pPr>
              <w:jc w:val="right"/>
              <w:rPr>
                <w:b w:val="0"/>
              </w:rPr>
            </w:pPr>
            <w:r w:rsidRPr="00CC1507">
              <w:rPr>
                <w:b w:val="0"/>
              </w:rPr>
              <w:t>IMD quintile 5 (most deprived)</w:t>
            </w:r>
          </w:p>
        </w:tc>
        <w:tc>
          <w:tcPr>
            <w:tcW w:w="1120" w:type="dxa"/>
            <w:noWrap/>
            <w:hideMark/>
          </w:tcPr>
          <w:p w:rsidR="000C0A41" w:rsidRPr="00CC1507" w:rsidRDefault="000C0A41" w:rsidP="00CC1507">
            <w:pPr>
              <w:jc w:val="center"/>
              <w:cnfStyle w:val="000000100000" w:firstRow="0" w:lastRow="0" w:firstColumn="0" w:lastColumn="0" w:oddVBand="0" w:evenVBand="0" w:oddHBand="1" w:evenHBand="0" w:firstRowFirstColumn="0" w:firstRowLastColumn="0" w:lastRowFirstColumn="0" w:lastRowLastColumn="0"/>
              <w:rPr>
                <w:highlight w:val="yellow"/>
              </w:rPr>
            </w:pPr>
            <w:r w:rsidRPr="00CC1507">
              <w:rPr>
                <w:highlight w:val="yellow"/>
              </w:rPr>
              <w:t>1.861</w:t>
            </w:r>
          </w:p>
        </w:tc>
        <w:tc>
          <w:tcPr>
            <w:tcW w:w="1120" w:type="dxa"/>
            <w:noWrap/>
            <w:hideMark/>
          </w:tcPr>
          <w:p w:rsidR="000C0A41" w:rsidRPr="0013015A" w:rsidRDefault="000C0A41" w:rsidP="00CC1507">
            <w:pPr>
              <w:jc w:val="center"/>
              <w:cnfStyle w:val="000000100000" w:firstRow="0" w:lastRow="0" w:firstColumn="0" w:lastColumn="0" w:oddVBand="0" w:evenVBand="0" w:oddHBand="1" w:evenHBand="0" w:firstRowFirstColumn="0" w:firstRowLastColumn="0" w:lastRowFirstColumn="0" w:lastRowLastColumn="0"/>
            </w:pPr>
            <w:r w:rsidRPr="0013015A">
              <w:t>1.783</w:t>
            </w:r>
          </w:p>
        </w:tc>
        <w:tc>
          <w:tcPr>
            <w:tcW w:w="1120" w:type="dxa"/>
            <w:noWrap/>
            <w:hideMark/>
          </w:tcPr>
          <w:p w:rsidR="000C0A41" w:rsidRPr="0013015A" w:rsidRDefault="000C0A41" w:rsidP="00CC1507">
            <w:pPr>
              <w:jc w:val="center"/>
              <w:cnfStyle w:val="000000100000" w:firstRow="0" w:lastRow="0" w:firstColumn="0" w:lastColumn="0" w:oddVBand="0" w:evenVBand="0" w:oddHBand="1" w:evenHBand="0" w:firstRowFirstColumn="0" w:firstRowLastColumn="0" w:lastRowFirstColumn="0" w:lastRowLastColumn="0"/>
            </w:pPr>
            <w:r w:rsidRPr="0013015A">
              <w:t>1.943</w:t>
            </w:r>
          </w:p>
        </w:tc>
        <w:tc>
          <w:tcPr>
            <w:tcW w:w="1120" w:type="dxa"/>
            <w:noWrap/>
            <w:hideMark/>
          </w:tcPr>
          <w:p w:rsidR="000C0A41" w:rsidRPr="00CC1507" w:rsidRDefault="000C0A41" w:rsidP="00CC1507">
            <w:pPr>
              <w:jc w:val="center"/>
              <w:cnfStyle w:val="000000100000" w:firstRow="0" w:lastRow="0" w:firstColumn="0" w:lastColumn="0" w:oddVBand="0" w:evenVBand="0" w:oddHBand="1" w:evenHBand="0" w:firstRowFirstColumn="0" w:firstRowLastColumn="0" w:lastRowFirstColumn="0" w:lastRowLastColumn="0"/>
              <w:rPr>
                <w:highlight w:val="yellow"/>
              </w:rPr>
            </w:pPr>
            <w:r w:rsidRPr="00CC1507">
              <w:rPr>
                <w:highlight w:val="yellow"/>
              </w:rPr>
              <w:t>0.000</w:t>
            </w:r>
          </w:p>
        </w:tc>
      </w:tr>
      <w:tr w:rsidR="000C0A41" w:rsidRPr="0013015A" w:rsidTr="00CC1507">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tcPr>
          <w:p w:rsidR="000C0A41" w:rsidRPr="004415A6" w:rsidRDefault="000C0A41" w:rsidP="0013015A">
            <w:pPr>
              <w:rPr>
                <w:b w:val="0"/>
              </w:rPr>
            </w:pPr>
            <w:r>
              <w:rPr>
                <w:b w:val="0"/>
              </w:rPr>
              <w:lastRenderedPageBreak/>
              <w:t>Constant</w:t>
            </w:r>
          </w:p>
        </w:tc>
        <w:tc>
          <w:tcPr>
            <w:tcW w:w="1120" w:type="dxa"/>
            <w:noWrap/>
            <w:hideMark/>
          </w:tcPr>
          <w:p w:rsidR="000C0A41" w:rsidRPr="0013015A" w:rsidRDefault="000C0A41" w:rsidP="00CC1507">
            <w:pPr>
              <w:jc w:val="center"/>
              <w:cnfStyle w:val="000000000000" w:firstRow="0" w:lastRow="0" w:firstColumn="0" w:lastColumn="0" w:oddVBand="0" w:evenVBand="0" w:oddHBand="0" w:evenHBand="0" w:firstRowFirstColumn="0" w:firstRowLastColumn="0" w:lastRowFirstColumn="0" w:lastRowLastColumn="0"/>
            </w:pPr>
            <w:r w:rsidRPr="0013015A">
              <w:t>0.000</w:t>
            </w:r>
          </w:p>
        </w:tc>
        <w:tc>
          <w:tcPr>
            <w:tcW w:w="1120" w:type="dxa"/>
            <w:noWrap/>
            <w:hideMark/>
          </w:tcPr>
          <w:p w:rsidR="000C0A41" w:rsidRPr="0013015A" w:rsidRDefault="000C0A41" w:rsidP="00CC1507">
            <w:pPr>
              <w:jc w:val="center"/>
              <w:cnfStyle w:val="000000000000" w:firstRow="0" w:lastRow="0" w:firstColumn="0" w:lastColumn="0" w:oddVBand="0" w:evenVBand="0" w:oddHBand="0" w:evenHBand="0" w:firstRowFirstColumn="0" w:firstRowLastColumn="0" w:lastRowFirstColumn="0" w:lastRowLastColumn="0"/>
            </w:pPr>
            <w:r w:rsidRPr="0013015A">
              <w:t>0.000</w:t>
            </w:r>
          </w:p>
        </w:tc>
        <w:tc>
          <w:tcPr>
            <w:tcW w:w="1120" w:type="dxa"/>
            <w:noWrap/>
            <w:hideMark/>
          </w:tcPr>
          <w:p w:rsidR="000C0A41" w:rsidRPr="0013015A" w:rsidRDefault="000C0A41" w:rsidP="00CC1507">
            <w:pPr>
              <w:jc w:val="center"/>
              <w:cnfStyle w:val="000000000000" w:firstRow="0" w:lastRow="0" w:firstColumn="0" w:lastColumn="0" w:oddVBand="0" w:evenVBand="0" w:oddHBand="0" w:evenHBand="0" w:firstRowFirstColumn="0" w:firstRowLastColumn="0" w:lastRowFirstColumn="0" w:lastRowLastColumn="0"/>
            </w:pPr>
            <w:r w:rsidRPr="0013015A">
              <w:t>0.000</w:t>
            </w:r>
          </w:p>
        </w:tc>
        <w:tc>
          <w:tcPr>
            <w:tcW w:w="1120" w:type="dxa"/>
            <w:noWrap/>
            <w:hideMark/>
          </w:tcPr>
          <w:p w:rsidR="000C0A41" w:rsidRPr="0013015A" w:rsidRDefault="000C0A41" w:rsidP="00CC1507">
            <w:pPr>
              <w:jc w:val="center"/>
              <w:cnfStyle w:val="000000000000" w:firstRow="0" w:lastRow="0" w:firstColumn="0" w:lastColumn="0" w:oddVBand="0" w:evenVBand="0" w:oddHBand="0" w:evenHBand="0" w:firstRowFirstColumn="0" w:firstRowLastColumn="0" w:lastRowFirstColumn="0" w:lastRowLastColumn="0"/>
            </w:pPr>
            <w:r w:rsidRPr="0013015A">
              <w:t>0.000</w:t>
            </w:r>
          </w:p>
        </w:tc>
      </w:tr>
    </w:tbl>
    <w:p w:rsidR="000C0A41" w:rsidRDefault="000C0A41" w:rsidP="006A4E5A"/>
    <w:p w:rsidR="000C0A41" w:rsidRDefault="000C0A41" w:rsidP="006A4E5A">
      <w:r>
        <w:fldChar w:fldCharType="begin"/>
      </w:r>
      <w:r>
        <w:instrText xml:space="preserve"> REF _Ref457482858 \h </w:instrText>
      </w:r>
      <w:r>
        <w:fldChar w:fldCharType="separate"/>
      </w:r>
      <w:r w:rsidRPr="00B91319">
        <w:t xml:space="preserve">Table </w:t>
      </w:r>
      <w:r>
        <w:rPr>
          <w:noProof/>
        </w:rPr>
        <w:t>16</w:t>
      </w:r>
      <w:r>
        <w:fldChar w:fldCharType="end"/>
      </w:r>
      <w:r>
        <w:t xml:space="preserve"> shows the l</w:t>
      </w:r>
      <w:r w:rsidRPr="00B91319">
        <w:t xml:space="preserve">ogistic regression model including patients </w:t>
      </w:r>
      <w:r>
        <w:t xml:space="preserve">with </w:t>
      </w:r>
      <w:r w:rsidRPr="006A4E5A">
        <w:t xml:space="preserve">only </w:t>
      </w:r>
      <w:r>
        <w:t>HES COPD diagnosis. It is fairly similar to the results for CPRD diagnoses, with some minor differences such as an insignificant difference between males and females.</w:t>
      </w:r>
    </w:p>
    <w:p w:rsidR="000C0A41" w:rsidRPr="00B91319" w:rsidRDefault="000C0A41" w:rsidP="006A4E5A">
      <w:pPr>
        <w:pStyle w:val="Caption"/>
        <w:keepNext/>
        <w:rPr>
          <w:color w:val="auto"/>
          <w:szCs w:val="22"/>
        </w:rPr>
      </w:pPr>
      <w:bookmarkStart w:id="85" w:name="_Ref457482858"/>
      <w:r w:rsidRPr="00B91319">
        <w:rPr>
          <w:color w:val="auto"/>
          <w:szCs w:val="22"/>
        </w:rPr>
        <w:t xml:space="preserve">Table </w:t>
      </w:r>
      <w:r w:rsidRPr="00B91319">
        <w:rPr>
          <w:color w:val="auto"/>
          <w:szCs w:val="22"/>
        </w:rPr>
        <w:fldChar w:fldCharType="begin"/>
      </w:r>
      <w:r w:rsidRPr="00B91319">
        <w:rPr>
          <w:color w:val="auto"/>
          <w:szCs w:val="22"/>
        </w:rPr>
        <w:instrText xml:space="preserve"> SEQ Table \* ARABIC </w:instrText>
      </w:r>
      <w:r w:rsidRPr="00B91319">
        <w:rPr>
          <w:color w:val="auto"/>
          <w:szCs w:val="22"/>
        </w:rPr>
        <w:fldChar w:fldCharType="separate"/>
      </w:r>
      <w:r>
        <w:rPr>
          <w:noProof/>
          <w:color w:val="auto"/>
          <w:szCs w:val="22"/>
        </w:rPr>
        <w:t>16</w:t>
      </w:r>
      <w:r w:rsidRPr="00B91319">
        <w:rPr>
          <w:color w:val="auto"/>
          <w:szCs w:val="22"/>
        </w:rPr>
        <w:fldChar w:fldCharType="end"/>
      </w:r>
      <w:bookmarkEnd w:id="85"/>
      <w:r w:rsidRPr="00B91319">
        <w:rPr>
          <w:color w:val="auto"/>
          <w:szCs w:val="22"/>
        </w:rPr>
        <w:t>: M</w:t>
      </w:r>
      <w:r>
        <w:rPr>
          <w:color w:val="auto"/>
          <w:szCs w:val="22"/>
        </w:rPr>
        <w:t>2</w:t>
      </w:r>
      <w:r w:rsidRPr="00B91319">
        <w:rPr>
          <w:color w:val="auto"/>
          <w:szCs w:val="22"/>
        </w:rPr>
        <w:t xml:space="preserve">- </w:t>
      </w:r>
      <w:r>
        <w:rPr>
          <w:color w:val="auto"/>
          <w:szCs w:val="22"/>
        </w:rPr>
        <w:t>l</w:t>
      </w:r>
      <w:r w:rsidRPr="00B91319">
        <w:rPr>
          <w:color w:val="auto"/>
          <w:szCs w:val="22"/>
        </w:rPr>
        <w:t xml:space="preserve">ogistic regression model including patients </w:t>
      </w:r>
      <w:r>
        <w:rPr>
          <w:color w:val="auto"/>
          <w:szCs w:val="22"/>
        </w:rPr>
        <w:t xml:space="preserve">with </w:t>
      </w:r>
      <w:r w:rsidRPr="006A4E5A">
        <w:rPr>
          <w:color w:val="auto"/>
          <w:szCs w:val="22"/>
        </w:rPr>
        <w:t xml:space="preserve">only </w:t>
      </w:r>
      <w:r>
        <w:rPr>
          <w:color w:val="auto"/>
          <w:szCs w:val="22"/>
        </w:rPr>
        <w:t>HES COPD diagnosis</w:t>
      </w:r>
    </w:p>
    <w:tbl>
      <w:tblPr>
        <w:tblStyle w:val="GridTable4-Accent1"/>
        <w:tblW w:w="0" w:type="auto"/>
        <w:jc w:val="center"/>
        <w:tblLook w:val="04A0" w:firstRow="1" w:lastRow="0" w:firstColumn="1" w:lastColumn="0" w:noHBand="0" w:noVBand="1"/>
      </w:tblPr>
      <w:tblGrid>
        <w:gridCol w:w="4489"/>
        <w:gridCol w:w="1120"/>
        <w:gridCol w:w="1120"/>
        <w:gridCol w:w="1120"/>
        <w:gridCol w:w="1120"/>
      </w:tblGrid>
      <w:tr w:rsidR="000C0A41" w:rsidRPr="00CC1507" w:rsidTr="006A4E5A">
        <w:trPr>
          <w:cnfStyle w:val="100000000000" w:firstRow="1" w:lastRow="0" w:firstColumn="0" w:lastColumn="0" w:oddVBand="0" w:evenVBand="0" w:oddHBand="0" w:evenHBand="0" w:firstRowFirstColumn="0" w:firstRowLastColumn="0" w:lastRowFirstColumn="0" w:lastRowLastColumn="0"/>
          <w:trHeight w:val="300"/>
          <w:tblHeader/>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CC1507" w:rsidRDefault="000C0A41" w:rsidP="006A4E5A">
            <w:pPr>
              <w:jc w:val="center"/>
            </w:pPr>
            <w:r w:rsidRPr="00CC1507">
              <w:t>Parameter</w:t>
            </w:r>
          </w:p>
        </w:tc>
        <w:tc>
          <w:tcPr>
            <w:tcW w:w="1120" w:type="dxa"/>
            <w:noWrap/>
            <w:hideMark/>
          </w:tcPr>
          <w:p w:rsidR="000C0A41" w:rsidRPr="00CC1507" w:rsidRDefault="000C0A41" w:rsidP="006A4E5A">
            <w:pPr>
              <w:jc w:val="center"/>
              <w:cnfStyle w:val="100000000000" w:firstRow="1" w:lastRow="0" w:firstColumn="0" w:lastColumn="0" w:oddVBand="0" w:evenVBand="0" w:oddHBand="0" w:evenHBand="0" w:firstRowFirstColumn="0" w:firstRowLastColumn="0" w:lastRowFirstColumn="0" w:lastRowLastColumn="0"/>
            </w:pPr>
            <w:r w:rsidRPr="00CC1507">
              <w:t>Odds Ratio</w:t>
            </w:r>
          </w:p>
        </w:tc>
        <w:tc>
          <w:tcPr>
            <w:tcW w:w="1120" w:type="dxa"/>
            <w:noWrap/>
            <w:hideMark/>
          </w:tcPr>
          <w:p w:rsidR="000C0A41" w:rsidRPr="00CC1507" w:rsidRDefault="000C0A41" w:rsidP="006A4E5A">
            <w:pPr>
              <w:jc w:val="center"/>
              <w:cnfStyle w:val="100000000000" w:firstRow="1" w:lastRow="0" w:firstColumn="0" w:lastColumn="0" w:oddVBand="0" w:evenVBand="0" w:oddHBand="0" w:evenHBand="0" w:firstRowFirstColumn="0" w:firstRowLastColumn="0" w:lastRowFirstColumn="0" w:lastRowLastColumn="0"/>
            </w:pPr>
            <w:r w:rsidRPr="00CC1507">
              <w:t>Lower 95% CI</w:t>
            </w:r>
          </w:p>
        </w:tc>
        <w:tc>
          <w:tcPr>
            <w:tcW w:w="1120" w:type="dxa"/>
            <w:noWrap/>
            <w:hideMark/>
          </w:tcPr>
          <w:p w:rsidR="000C0A41" w:rsidRPr="00CC1507" w:rsidRDefault="000C0A41" w:rsidP="006A4E5A">
            <w:pPr>
              <w:jc w:val="center"/>
              <w:cnfStyle w:val="100000000000" w:firstRow="1" w:lastRow="0" w:firstColumn="0" w:lastColumn="0" w:oddVBand="0" w:evenVBand="0" w:oddHBand="0" w:evenHBand="0" w:firstRowFirstColumn="0" w:firstRowLastColumn="0" w:lastRowFirstColumn="0" w:lastRowLastColumn="0"/>
            </w:pPr>
            <w:r w:rsidRPr="00CC1507">
              <w:t>Upper 95% CI</w:t>
            </w:r>
          </w:p>
        </w:tc>
        <w:tc>
          <w:tcPr>
            <w:tcW w:w="1120" w:type="dxa"/>
            <w:noWrap/>
            <w:hideMark/>
          </w:tcPr>
          <w:p w:rsidR="000C0A41" w:rsidRPr="00CC1507" w:rsidRDefault="000C0A41" w:rsidP="006A4E5A">
            <w:pPr>
              <w:jc w:val="center"/>
              <w:cnfStyle w:val="100000000000" w:firstRow="1" w:lastRow="0" w:firstColumn="0" w:lastColumn="0" w:oddVBand="0" w:evenVBand="0" w:oddHBand="0" w:evenHBand="0" w:firstRowFirstColumn="0" w:firstRowLastColumn="0" w:lastRowFirstColumn="0" w:lastRowLastColumn="0"/>
            </w:pPr>
            <w:r w:rsidRPr="00CC1507">
              <w:rPr>
                <w:i/>
              </w:rPr>
              <w:t>p</w:t>
            </w:r>
            <w:r w:rsidRPr="00CC1507">
              <w:t xml:space="preserve"> value</w:t>
            </w:r>
          </w:p>
        </w:tc>
      </w:tr>
      <w:tr w:rsidR="000C0A41" w:rsidRPr="004415A6" w:rsidTr="006A4E5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tcPr>
          <w:p w:rsidR="000C0A41" w:rsidRPr="004415A6" w:rsidRDefault="000C0A41" w:rsidP="006A4E5A">
            <w:r w:rsidRPr="004415A6">
              <w:t>Sex</w:t>
            </w:r>
          </w:p>
        </w:tc>
        <w:tc>
          <w:tcPr>
            <w:tcW w:w="1120" w:type="dxa"/>
            <w:noWrap/>
          </w:tcPr>
          <w:p w:rsidR="000C0A41" w:rsidRPr="004415A6" w:rsidRDefault="000C0A41" w:rsidP="006A4E5A">
            <w:pPr>
              <w:jc w:val="center"/>
              <w:cnfStyle w:val="000000100000" w:firstRow="0" w:lastRow="0" w:firstColumn="0" w:lastColumn="0" w:oddVBand="0" w:evenVBand="0" w:oddHBand="1" w:evenHBand="0" w:firstRowFirstColumn="0" w:firstRowLastColumn="0" w:lastRowFirstColumn="0" w:lastRowLastColumn="0"/>
              <w:rPr>
                <w:b/>
              </w:rPr>
            </w:pPr>
          </w:p>
        </w:tc>
        <w:tc>
          <w:tcPr>
            <w:tcW w:w="1120" w:type="dxa"/>
            <w:noWrap/>
          </w:tcPr>
          <w:p w:rsidR="000C0A41" w:rsidRPr="004415A6" w:rsidRDefault="000C0A41" w:rsidP="006A4E5A">
            <w:pPr>
              <w:jc w:val="center"/>
              <w:cnfStyle w:val="000000100000" w:firstRow="0" w:lastRow="0" w:firstColumn="0" w:lastColumn="0" w:oddVBand="0" w:evenVBand="0" w:oddHBand="1" w:evenHBand="0" w:firstRowFirstColumn="0" w:firstRowLastColumn="0" w:lastRowFirstColumn="0" w:lastRowLastColumn="0"/>
              <w:rPr>
                <w:b/>
              </w:rPr>
            </w:pPr>
          </w:p>
        </w:tc>
        <w:tc>
          <w:tcPr>
            <w:tcW w:w="1120" w:type="dxa"/>
            <w:noWrap/>
          </w:tcPr>
          <w:p w:rsidR="000C0A41" w:rsidRPr="004415A6" w:rsidRDefault="000C0A41" w:rsidP="006A4E5A">
            <w:pPr>
              <w:jc w:val="center"/>
              <w:cnfStyle w:val="000000100000" w:firstRow="0" w:lastRow="0" w:firstColumn="0" w:lastColumn="0" w:oddVBand="0" w:evenVBand="0" w:oddHBand="1" w:evenHBand="0" w:firstRowFirstColumn="0" w:firstRowLastColumn="0" w:lastRowFirstColumn="0" w:lastRowLastColumn="0"/>
              <w:rPr>
                <w:b/>
              </w:rPr>
            </w:pPr>
          </w:p>
        </w:tc>
        <w:tc>
          <w:tcPr>
            <w:tcW w:w="1120" w:type="dxa"/>
            <w:noWrap/>
          </w:tcPr>
          <w:p w:rsidR="000C0A41" w:rsidRPr="004415A6" w:rsidRDefault="000C0A41" w:rsidP="006A4E5A">
            <w:pPr>
              <w:jc w:val="center"/>
              <w:cnfStyle w:val="000000100000" w:firstRow="0" w:lastRow="0" w:firstColumn="0" w:lastColumn="0" w:oddVBand="0" w:evenVBand="0" w:oddHBand="1" w:evenHBand="0" w:firstRowFirstColumn="0" w:firstRowLastColumn="0" w:lastRowFirstColumn="0" w:lastRowLastColumn="0"/>
              <w:rPr>
                <w:b/>
              </w:rPr>
            </w:pPr>
          </w:p>
        </w:tc>
      </w:tr>
      <w:tr w:rsidR="000C0A41" w:rsidRPr="0013015A" w:rsidTr="00BC1C97">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BC1C97">
            <w:pPr>
              <w:jc w:val="right"/>
              <w:rPr>
                <w:b w:val="0"/>
              </w:rPr>
            </w:pPr>
            <w:r w:rsidRPr="004415A6">
              <w:rPr>
                <w:b w:val="0"/>
              </w:rPr>
              <w:t>Male</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w:t>
            </w:r>
          </w:p>
        </w:tc>
      </w:tr>
      <w:tr w:rsidR="000C0A41" w:rsidRPr="0013015A" w:rsidTr="00BC1C9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BC1C97">
            <w:pPr>
              <w:jc w:val="right"/>
              <w:rPr>
                <w:b w:val="0"/>
              </w:rPr>
            </w:pPr>
            <w:r w:rsidRPr="004415A6">
              <w:rPr>
                <w:b w:val="0"/>
              </w:rPr>
              <w:t>Female</w:t>
            </w:r>
          </w:p>
        </w:tc>
        <w:tc>
          <w:tcPr>
            <w:tcW w:w="1120" w:type="dxa"/>
            <w:noWrap/>
            <w:vAlign w:val="center"/>
          </w:tcPr>
          <w:p w:rsidR="000C0A41" w:rsidRPr="00CC1507" w:rsidRDefault="000C0A41" w:rsidP="00BC1C97">
            <w:pPr>
              <w:jc w:val="center"/>
              <w:cnfStyle w:val="000000100000" w:firstRow="0" w:lastRow="0" w:firstColumn="0" w:lastColumn="0" w:oddVBand="0" w:evenVBand="0" w:oddHBand="1" w:evenHBand="0" w:firstRowFirstColumn="0" w:firstRowLastColumn="0" w:lastRowFirstColumn="0" w:lastRowLastColumn="0"/>
              <w:rPr>
                <w:highlight w:val="yellow"/>
              </w:rPr>
            </w:pPr>
            <w:r>
              <w:rPr>
                <w:rFonts w:ascii="Calibri" w:hAnsi="Calibri"/>
                <w:color w:val="000000"/>
              </w:rPr>
              <w:t>1.025</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0.984</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1.067</w:t>
            </w:r>
          </w:p>
        </w:tc>
        <w:tc>
          <w:tcPr>
            <w:tcW w:w="1120" w:type="dxa"/>
            <w:noWrap/>
            <w:vAlign w:val="center"/>
          </w:tcPr>
          <w:p w:rsidR="000C0A41" w:rsidRPr="00CC1507" w:rsidRDefault="000C0A41" w:rsidP="00BC1C97">
            <w:pPr>
              <w:jc w:val="center"/>
              <w:cnfStyle w:val="000000100000" w:firstRow="0" w:lastRow="0" w:firstColumn="0" w:lastColumn="0" w:oddVBand="0" w:evenVBand="0" w:oddHBand="1" w:evenHBand="0" w:firstRowFirstColumn="0" w:firstRowLastColumn="0" w:lastRowFirstColumn="0" w:lastRowLastColumn="0"/>
              <w:rPr>
                <w:highlight w:val="yellow"/>
              </w:rPr>
            </w:pPr>
            <w:r>
              <w:rPr>
                <w:rFonts w:ascii="Calibri" w:hAnsi="Calibri"/>
                <w:color w:val="000000"/>
              </w:rPr>
              <w:t>0.241</w:t>
            </w:r>
          </w:p>
        </w:tc>
      </w:tr>
      <w:tr w:rsidR="000C0A41" w:rsidRPr="004415A6" w:rsidTr="006A4E5A">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tcPr>
          <w:p w:rsidR="000C0A41" w:rsidRPr="004415A6" w:rsidRDefault="000C0A41" w:rsidP="006A4E5A">
            <w:pPr>
              <w:jc w:val="left"/>
            </w:pPr>
            <w:r w:rsidRPr="004415A6">
              <w:t>Age group</w:t>
            </w:r>
          </w:p>
        </w:tc>
        <w:tc>
          <w:tcPr>
            <w:tcW w:w="1120" w:type="dxa"/>
            <w:noWrap/>
          </w:tcPr>
          <w:p w:rsidR="000C0A41" w:rsidRPr="004415A6" w:rsidRDefault="000C0A41" w:rsidP="006A4E5A">
            <w:pPr>
              <w:jc w:val="center"/>
              <w:cnfStyle w:val="000000000000" w:firstRow="0" w:lastRow="0" w:firstColumn="0" w:lastColumn="0" w:oddVBand="0" w:evenVBand="0" w:oddHBand="0" w:evenHBand="0" w:firstRowFirstColumn="0" w:firstRowLastColumn="0" w:lastRowFirstColumn="0" w:lastRowLastColumn="0"/>
              <w:rPr>
                <w:b/>
              </w:rPr>
            </w:pPr>
          </w:p>
        </w:tc>
        <w:tc>
          <w:tcPr>
            <w:tcW w:w="1120" w:type="dxa"/>
            <w:noWrap/>
          </w:tcPr>
          <w:p w:rsidR="000C0A41" w:rsidRPr="004415A6" w:rsidRDefault="000C0A41" w:rsidP="006A4E5A">
            <w:pPr>
              <w:jc w:val="center"/>
              <w:cnfStyle w:val="000000000000" w:firstRow="0" w:lastRow="0" w:firstColumn="0" w:lastColumn="0" w:oddVBand="0" w:evenVBand="0" w:oddHBand="0" w:evenHBand="0" w:firstRowFirstColumn="0" w:firstRowLastColumn="0" w:lastRowFirstColumn="0" w:lastRowLastColumn="0"/>
              <w:rPr>
                <w:b/>
              </w:rPr>
            </w:pPr>
          </w:p>
        </w:tc>
        <w:tc>
          <w:tcPr>
            <w:tcW w:w="1120" w:type="dxa"/>
            <w:noWrap/>
          </w:tcPr>
          <w:p w:rsidR="000C0A41" w:rsidRPr="004415A6" w:rsidRDefault="000C0A41" w:rsidP="006A4E5A">
            <w:pPr>
              <w:jc w:val="center"/>
              <w:cnfStyle w:val="000000000000" w:firstRow="0" w:lastRow="0" w:firstColumn="0" w:lastColumn="0" w:oddVBand="0" w:evenVBand="0" w:oddHBand="0" w:evenHBand="0" w:firstRowFirstColumn="0" w:firstRowLastColumn="0" w:lastRowFirstColumn="0" w:lastRowLastColumn="0"/>
              <w:rPr>
                <w:b/>
              </w:rPr>
            </w:pPr>
          </w:p>
        </w:tc>
        <w:tc>
          <w:tcPr>
            <w:tcW w:w="1120" w:type="dxa"/>
            <w:noWrap/>
          </w:tcPr>
          <w:p w:rsidR="000C0A41" w:rsidRPr="004415A6" w:rsidRDefault="000C0A41" w:rsidP="006A4E5A">
            <w:pPr>
              <w:jc w:val="center"/>
              <w:cnfStyle w:val="000000000000" w:firstRow="0" w:lastRow="0" w:firstColumn="0" w:lastColumn="0" w:oddVBand="0" w:evenVBand="0" w:oddHBand="0" w:evenHBand="0" w:firstRowFirstColumn="0" w:firstRowLastColumn="0" w:lastRowFirstColumn="0" w:lastRowLastColumn="0"/>
              <w:rPr>
                <w:b/>
              </w:rPr>
            </w:pPr>
          </w:p>
        </w:tc>
      </w:tr>
      <w:tr w:rsidR="000C0A41" w:rsidRPr="0013015A" w:rsidTr="006A4E5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6A4E5A">
            <w:pPr>
              <w:jc w:val="right"/>
              <w:rPr>
                <w:b w:val="0"/>
              </w:rPr>
            </w:pPr>
            <w:r w:rsidRPr="004415A6">
              <w:rPr>
                <w:b w:val="0"/>
              </w:rPr>
              <w:t>&lt;40</w:t>
            </w:r>
          </w:p>
        </w:tc>
        <w:tc>
          <w:tcPr>
            <w:tcW w:w="1120" w:type="dxa"/>
            <w:noWrap/>
            <w:vAlign w:val="center"/>
          </w:tcPr>
          <w:p w:rsidR="000C0A41" w:rsidRPr="0013015A" w:rsidRDefault="000C0A41" w:rsidP="006A4E5A">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6A4E5A">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6A4E5A">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6A4E5A">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w:t>
            </w:r>
          </w:p>
        </w:tc>
      </w:tr>
      <w:tr w:rsidR="000C0A41" w:rsidRPr="0013015A" w:rsidTr="006A4E5A">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6A4E5A">
            <w:pPr>
              <w:jc w:val="right"/>
              <w:rPr>
                <w:b w:val="0"/>
              </w:rPr>
            </w:pPr>
            <w:r w:rsidRPr="004415A6">
              <w:rPr>
                <w:b w:val="0"/>
                <w:u w:val="single"/>
              </w:rPr>
              <w:t>&gt;</w:t>
            </w:r>
            <w:r w:rsidRPr="004415A6">
              <w:rPr>
                <w:b w:val="0"/>
              </w:rPr>
              <w:t>40 &amp; &lt;50</w:t>
            </w:r>
          </w:p>
        </w:tc>
        <w:tc>
          <w:tcPr>
            <w:tcW w:w="1120" w:type="dxa"/>
            <w:noWrap/>
            <w:vAlign w:val="center"/>
          </w:tcPr>
          <w:p w:rsidR="000C0A41" w:rsidRPr="00BC1C97" w:rsidRDefault="000C0A41" w:rsidP="006A4E5A">
            <w:pPr>
              <w:jc w:val="center"/>
              <w:cnfStyle w:val="000000000000" w:firstRow="0" w:lastRow="0" w:firstColumn="0" w:lastColumn="0" w:oddVBand="0" w:evenVBand="0" w:oddHBand="0" w:evenHBand="0" w:firstRowFirstColumn="0" w:firstRowLastColumn="0" w:lastRowFirstColumn="0" w:lastRowLastColumn="0"/>
              <w:rPr>
                <w:highlight w:val="yellow"/>
              </w:rPr>
            </w:pPr>
            <w:r w:rsidRPr="00BC1C97">
              <w:rPr>
                <w:rFonts w:ascii="Calibri" w:eastAsia="Times New Roman" w:hAnsi="Calibri" w:cs="Times New Roman"/>
                <w:color w:val="000000"/>
                <w:highlight w:val="yellow"/>
                <w:lang w:eastAsia="en-GB"/>
              </w:rPr>
              <w:t>2.668</w:t>
            </w:r>
          </w:p>
        </w:tc>
        <w:tc>
          <w:tcPr>
            <w:tcW w:w="1120" w:type="dxa"/>
            <w:noWrap/>
            <w:vAlign w:val="center"/>
          </w:tcPr>
          <w:p w:rsidR="000C0A41" w:rsidRPr="0013015A" w:rsidRDefault="000C0A41" w:rsidP="006A4E5A">
            <w:pPr>
              <w:jc w:val="center"/>
              <w:cnfStyle w:val="000000000000" w:firstRow="0" w:lastRow="0" w:firstColumn="0" w:lastColumn="0" w:oddVBand="0" w:evenVBand="0" w:oddHBand="0" w:evenHBand="0" w:firstRowFirstColumn="0" w:firstRowLastColumn="0" w:lastRowFirstColumn="0" w:lastRowLastColumn="0"/>
            </w:pPr>
            <w:r w:rsidRPr="006A4E5A">
              <w:rPr>
                <w:rFonts w:ascii="Calibri" w:eastAsia="Times New Roman" w:hAnsi="Calibri" w:cs="Times New Roman"/>
                <w:color w:val="000000"/>
                <w:lang w:eastAsia="en-GB"/>
              </w:rPr>
              <w:t>1.715</w:t>
            </w:r>
          </w:p>
        </w:tc>
        <w:tc>
          <w:tcPr>
            <w:tcW w:w="1120" w:type="dxa"/>
            <w:noWrap/>
            <w:vAlign w:val="center"/>
          </w:tcPr>
          <w:p w:rsidR="000C0A41" w:rsidRPr="0013015A" w:rsidRDefault="000C0A41" w:rsidP="006A4E5A">
            <w:pPr>
              <w:jc w:val="center"/>
              <w:cnfStyle w:val="000000000000" w:firstRow="0" w:lastRow="0" w:firstColumn="0" w:lastColumn="0" w:oddVBand="0" w:evenVBand="0" w:oddHBand="0" w:evenHBand="0" w:firstRowFirstColumn="0" w:firstRowLastColumn="0" w:lastRowFirstColumn="0" w:lastRowLastColumn="0"/>
            </w:pPr>
            <w:r w:rsidRPr="006A4E5A">
              <w:rPr>
                <w:rFonts w:ascii="Calibri" w:eastAsia="Times New Roman" w:hAnsi="Calibri" w:cs="Times New Roman"/>
                <w:color w:val="000000"/>
                <w:lang w:eastAsia="en-GB"/>
              </w:rPr>
              <w:t>4.152</w:t>
            </w:r>
          </w:p>
        </w:tc>
        <w:tc>
          <w:tcPr>
            <w:tcW w:w="1120" w:type="dxa"/>
            <w:noWrap/>
            <w:vAlign w:val="center"/>
          </w:tcPr>
          <w:p w:rsidR="000C0A41" w:rsidRPr="00BC1C97" w:rsidRDefault="000C0A41" w:rsidP="006A4E5A">
            <w:pPr>
              <w:jc w:val="center"/>
              <w:cnfStyle w:val="000000000000" w:firstRow="0" w:lastRow="0" w:firstColumn="0" w:lastColumn="0" w:oddVBand="0" w:evenVBand="0" w:oddHBand="0" w:evenHBand="0" w:firstRowFirstColumn="0" w:firstRowLastColumn="0" w:lastRowFirstColumn="0" w:lastRowLastColumn="0"/>
              <w:rPr>
                <w:highlight w:val="yellow"/>
              </w:rPr>
            </w:pPr>
            <w:r w:rsidRPr="00BC1C97">
              <w:rPr>
                <w:rFonts w:ascii="Calibri" w:eastAsia="Times New Roman" w:hAnsi="Calibri" w:cs="Times New Roman"/>
                <w:color w:val="000000"/>
                <w:highlight w:val="yellow"/>
                <w:lang w:eastAsia="en-GB"/>
              </w:rPr>
              <w:t>0.000</w:t>
            </w:r>
          </w:p>
        </w:tc>
      </w:tr>
      <w:tr w:rsidR="000C0A41" w:rsidRPr="0013015A" w:rsidTr="006A4E5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6A4E5A">
            <w:pPr>
              <w:jc w:val="right"/>
              <w:rPr>
                <w:b w:val="0"/>
              </w:rPr>
            </w:pPr>
            <w:r w:rsidRPr="004415A6">
              <w:rPr>
                <w:b w:val="0"/>
                <w:u w:val="single"/>
              </w:rPr>
              <w:t>&gt;</w:t>
            </w:r>
            <w:r w:rsidRPr="004415A6">
              <w:rPr>
                <w:b w:val="0"/>
              </w:rPr>
              <w:t>50 &amp; &lt;60</w:t>
            </w:r>
          </w:p>
        </w:tc>
        <w:tc>
          <w:tcPr>
            <w:tcW w:w="1120" w:type="dxa"/>
            <w:noWrap/>
            <w:vAlign w:val="center"/>
          </w:tcPr>
          <w:p w:rsidR="000C0A41" w:rsidRPr="00BC1C97" w:rsidRDefault="000C0A41" w:rsidP="006A4E5A">
            <w:pPr>
              <w:jc w:val="center"/>
              <w:cnfStyle w:val="000000100000" w:firstRow="0" w:lastRow="0" w:firstColumn="0" w:lastColumn="0" w:oddVBand="0" w:evenVBand="0" w:oddHBand="1" w:evenHBand="0" w:firstRowFirstColumn="0" w:firstRowLastColumn="0" w:lastRowFirstColumn="0" w:lastRowLastColumn="0"/>
              <w:rPr>
                <w:highlight w:val="yellow"/>
              </w:rPr>
            </w:pPr>
            <w:r w:rsidRPr="00BC1C97">
              <w:rPr>
                <w:rFonts w:ascii="Calibri" w:eastAsia="Times New Roman" w:hAnsi="Calibri" w:cs="Times New Roman"/>
                <w:color w:val="000000"/>
                <w:highlight w:val="yellow"/>
                <w:lang w:eastAsia="en-GB"/>
              </w:rPr>
              <w:t>7.683</w:t>
            </w:r>
          </w:p>
        </w:tc>
        <w:tc>
          <w:tcPr>
            <w:tcW w:w="1120" w:type="dxa"/>
            <w:noWrap/>
            <w:vAlign w:val="center"/>
          </w:tcPr>
          <w:p w:rsidR="000C0A41" w:rsidRPr="0013015A" w:rsidRDefault="000C0A41" w:rsidP="006A4E5A">
            <w:pPr>
              <w:jc w:val="center"/>
              <w:cnfStyle w:val="000000100000" w:firstRow="0" w:lastRow="0" w:firstColumn="0" w:lastColumn="0" w:oddVBand="0" w:evenVBand="0" w:oddHBand="1" w:evenHBand="0" w:firstRowFirstColumn="0" w:firstRowLastColumn="0" w:lastRowFirstColumn="0" w:lastRowLastColumn="0"/>
            </w:pPr>
            <w:r w:rsidRPr="006A4E5A">
              <w:rPr>
                <w:rFonts w:ascii="Calibri" w:eastAsia="Times New Roman" w:hAnsi="Calibri" w:cs="Times New Roman"/>
                <w:color w:val="000000"/>
                <w:lang w:eastAsia="en-GB"/>
              </w:rPr>
              <w:t>5.038</w:t>
            </w:r>
          </w:p>
        </w:tc>
        <w:tc>
          <w:tcPr>
            <w:tcW w:w="1120" w:type="dxa"/>
            <w:noWrap/>
            <w:vAlign w:val="center"/>
          </w:tcPr>
          <w:p w:rsidR="000C0A41" w:rsidRPr="0013015A" w:rsidRDefault="000C0A41" w:rsidP="006A4E5A">
            <w:pPr>
              <w:jc w:val="center"/>
              <w:cnfStyle w:val="000000100000" w:firstRow="0" w:lastRow="0" w:firstColumn="0" w:lastColumn="0" w:oddVBand="0" w:evenVBand="0" w:oddHBand="1" w:evenHBand="0" w:firstRowFirstColumn="0" w:firstRowLastColumn="0" w:lastRowFirstColumn="0" w:lastRowLastColumn="0"/>
            </w:pPr>
            <w:r w:rsidRPr="006A4E5A">
              <w:rPr>
                <w:rFonts w:ascii="Calibri" w:eastAsia="Times New Roman" w:hAnsi="Calibri" w:cs="Times New Roman"/>
                <w:color w:val="000000"/>
                <w:lang w:eastAsia="en-GB"/>
              </w:rPr>
              <w:t>11.718</w:t>
            </w:r>
          </w:p>
        </w:tc>
        <w:tc>
          <w:tcPr>
            <w:tcW w:w="1120" w:type="dxa"/>
            <w:noWrap/>
            <w:vAlign w:val="center"/>
          </w:tcPr>
          <w:p w:rsidR="000C0A41" w:rsidRPr="00BC1C97" w:rsidRDefault="000C0A41" w:rsidP="006A4E5A">
            <w:pPr>
              <w:jc w:val="center"/>
              <w:cnfStyle w:val="000000100000" w:firstRow="0" w:lastRow="0" w:firstColumn="0" w:lastColumn="0" w:oddVBand="0" w:evenVBand="0" w:oddHBand="1" w:evenHBand="0" w:firstRowFirstColumn="0" w:firstRowLastColumn="0" w:lastRowFirstColumn="0" w:lastRowLastColumn="0"/>
              <w:rPr>
                <w:highlight w:val="yellow"/>
              </w:rPr>
            </w:pPr>
            <w:r w:rsidRPr="00BC1C97">
              <w:rPr>
                <w:rFonts w:ascii="Calibri" w:eastAsia="Times New Roman" w:hAnsi="Calibri" w:cs="Times New Roman"/>
                <w:color w:val="000000"/>
                <w:highlight w:val="yellow"/>
                <w:lang w:eastAsia="en-GB"/>
              </w:rPr>
              <w:t>0.000</w:t>
            </w:r>
          </w:p>
        </w:tc>
      </w:tr>
      <w:tr w:rsidR="000C0A41" w:rsidRPr="0013015A" w:rsidTr="006A4E5A">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6A4E5A">
            <w:pPr>
              <w:jc w:val="right"/>
              <w:rPr>
                <w:b w:val="0"/>
              </w:rPr>
            </w:pPr>
            <w:r w:rsidRPr="004415A6">
              <w:rPr>
                <w:b w:val="0"/>
                <w:u w:val="single"/>
              </w:rPr>
              <w:t>&gt;</w:t>
            </w:r>
            <w:r w:rsidRPr="004415A6">
              <w:rPr>
                <w:b w:val="0"/>
              </w:rPr>
              <w:t>60 &amp; &lt;70</w:t>
            </w:r>
          </w:p>
        </w:tc>
        <w:tc>
          <w:tcPr>
            <w:tcW w:w="1120" w:type="dxa"/>
            <w:noWrap/>
            <w:vAlign w:val="center"/>
          </w:tcPr>
          <w:p w:rsidR="000C0A41" w:rsidRPr="00BC1C97" w:rsidRDefault="000C0A41" w:rsidP="006A4E5A">
            <w:pPr>
              <w:jc w:val="center"/>
              <w:cnfStyle w:val="000000000000" w:firstRow="0" w:lastRow="0" w:firstColumn="0" w:lastColumn="0" w:oddVBand="0" w:evenVBand="0" w:oddHBand="0" w:evenHBand="0" w:firstRowFirstColumn="0" w:firstRowLastColumn="0" w:lastRowFirstColumn="0" w:lastRowLastColumn="0"/>
              <w:rPr>
                <w:highlight w:val="yellow"/>
              </w:rPr>
            </w:pPr>
            <w:r w:rsidRPr="00BC1C97">
              <w:rPr>
                <w:rFonts w:ascii="Calibri" w:eastAsia="Times New Roman" w:hAnsi="Calibri" w:cs="Times New Roman"/>
                <w:color w:val="000000"/>
                <w:highlight w:val="yellow"/>
                <w:lang w:eastAsia="en-GB"/>
              </w:rPr>
              <w:t>23.379</w:t>
            </w:r>
          </w:p>
        </w:tc>
        <w:tc>
          <w:tcPr>
            <w:tcW w:w="1120" w:type="dxa"/>
            <w:noWrap/>
            <w:vAlign w:val="center"/>
          </w:tcPr>
          <w:p w:rsidR="000C0A41" w:rsidRPr="0013015A" w:rsidRDefault="000C0A41" w:rsidP="006A4E5A">
            <w:pPr>
              <w:jc w:val="center"/>
              <w:cnfStyle w:val="000000000000" w:firstRow="0" w:lastRow="0" w:firstColumn="0" w:lastColumn="0" w:oddVBand="0" w:evenVBand="0" w:oddHBand="0" w:evenHBand="0" w:firstRowFirstColumn="0" w:firstRowLastColumn="0" w:lastRowFirstColumn="0" w:lastRowLastColumn="0"/>
            </w:pPr>
            <w:r w:rsidRPr="006A4E5A">
              <w:rPr>
                <w:rFonts w:ascii="Calibri" w:eastAsia="Times New Roman" w:hAnsi="Calibri" w:cs="Times New Roman"/>
                <w:color w:val="000000"/>
                <w:lang w:eastAsia="en-GB"/>
              </w:rPr>
              <w:t>15.437</w:t>
            </w:r>
          </w:p>
        </w:tc>
        <w:tc>
          <w:tcPr>
            <w:tcW w:w="1120" w:type="dxa"/>
            <w:noWrap/>
            <w:vAlign w:val="center"/>
          </w:tcPr>
          <w:p w:rsidR="000C0A41" w:rsidRPr="0013015A" w:rsidRDefault="000C0A41" w:rsidP="006A4E5A">
            <w:pPr>
              <w:jc w:val="center"/>
              <w:cnfStyle w:val="000000000000" w:firstRow="0" w:lastRow="0" w:firstColumn="0" w:lastColumn="0" w:oddVBand="0" w:evenVBand="0" w:oddHBand="0" w:evenHBand="0" w:firstRowFirstColumn="0" w:firstRowLastColumn="0" w:lastRowFirstColumn="0" w:lastRowLastColumn="0"/>
            </w:pPr>
            <w:r w:rsidRPr="006A4E5A">
              <w:rPr>
                <w:rFonts w:ascii="Calibri" w:eastAsia="Times New Roman" w:hAnsi="Calibri" w:cs="Times New Roman"/>
                <w:color w:val="000000"/>
                <w:lang w:eastAsia="en-GB"/>
              </w:rPr>
              <w:t>35.408</w:t>
            </w:r>
          </w:p>
        </w:tc>
        <w:tc>
          <w:tcPr>
            <w:tcW w:w="1120" w:type="dxa"/>
            <w:noWrap/>
            <w:vAlign w:val="center"/>
          </w:tcPr>
          <w:p w:rsidR="000C0A41" w:rsidRPr="00BC1C97" w:rsidRDefault="000C0A41" w:rsidP="006A4E5A">
            <w:pPr>
              <w:jc w:val="center"/>
              <w:cnfStyle w:val="000000000000" w:firstRow="0" w:lastRow="0" w:firstColumn="0" w:lastColumn="0" w:oddVBand="0" w:evenVBand="0" w:oddHBand="0" w:evenHBand="0" w:firstRowFirstColumn="0" w:firstRowLastColumn="0" w:lastRowFirstColumn="0" w:lastRowLastColumn="0"/>
              <w:rPr>
                <w:highlight w:val="yellow"/>
              </w:rPr>
            </w:pPr>
            <w:r w:rsidRPr="00BC1C97">
              <w:rPr>
                <w:rFonts w:ascii="Calibri" w:eastAsia="Times New Roman" w:hAnsi="Calibri" w:cs="Times New Roman"/>
                <w:color w:val="000000"/>
                <w:highlight w:val="yellow"/>
                <w:lang w:eastAsia="en-GB"/>
              </w:rPr>
              <w:t>0.000</w:t>
            </w:r>
          </w:p>
        </w:tc>
      </w:tr>
      <w:tr w:rsidR="000C0A41" w:rsidRPr="0013015A" w:rsidTr="006A4E5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6A4E5A">
            <w:pPr>
              <w:jc w:val="right"/>
              <w:rPr>
                <w:b w:val="0"/>
              </w:rPr>
            </w:pPr>
            <w:r w:rsidRPr="004415A6">
              <w:rPr>
                <w:b w:val="0"/>
                <w:u w:val="single"/>
              </w:rPr>
              <w:t>&gt;</w:t>
            </w:r>
            <w:r w:rsidRPr="004415A6">
              <w:rPr>
                <w:b w:val="0"/>
              </w:rPr>
              <w:t>70 &amp; &lt;80</w:t>
            </w:r>
          </w:p>
        </w:tc>
        <w:tc>
          <w:tcPr>
            <w:tcW w:w="1120" w:type="dxa"/>
            <w:noWrap/>
            <w:vAlign w:val="center"/>
          </w:tcPr>
          <w:p w:rsidR="000C0A41" w:rsidRPr="00BC1C97" w:rsidRDefault="000C0A41" w:rsidP="006A4E5A">
            <w:pPr>
              <w:jc w:val="center"/>
              <w:cnfStyle w:val="000000100000" w:firstRow="0" w:lastRow="0" w:firstColumn="0" w:lastColumn="0" w:oddVBand="0" w:evenVBand="0" w:oddHBand="1" w:evenHBand="0" w:firstRowFirstColumn="0" w:firstRowLastColumn="0" w:lastRowFirstColumn="0" w:lastRowLastColumn="0"/>
              <w:rPr>
                <w:highlight w:val="yellow"/>
              </w:rPr>
            </w:pPr>
            <w:r w:rsidRPr="00BC1C97">
              <w:rPr>
                <w:rFonts w:ascii="Calibri" w:eastAsia="Times New Roman" w:hAnsi="Calibri" w:cs="Times New Roman"/>
                <w:color w:val="000000"/>
                <w:highlight w:val="yellow"/>
                <w:lang w:eastAsia="en-GB"/>
              </w:rPr>
              <w:t>55.684</w:t>
            </w:r>
          </w:p>
        </w:tc>
        <w:tc>
          <w:tcPr>
            <w:tcW w:w="1120" w:type="dxa"/>
            <w:noWrap/>
            <w:vAlign w:val="center"/>
          </w:tcPr>
          <w:p w:rsidR="000C0A41" w:rsidRPr="0013015A" w:rsidRDefault="000C0A41" w:rsidP="006A4E5A">
            <w:pPr>
              <w:jc w:val="center"/>
              <w:cnfStyle w:val="000000100000" w:firstRow="0" w:lastRow="0" w:firstColumn="0" w:lastColumn="0" w:oddVBand="0" w:evenVBand="0" w:oddHBand="1" w:evenHBand="0" w:firstRowFirstColumn="0" w:firstRowLastColumn="0" w:lastRowFirstColumn="0" w:lastRowLastColumn="0"/>
            </w:pPr>
            <w:r w:rsidRPr="006A4E5A">
              <w:rPr>
                <w:rFonts w:ascii="Calibri" w:eastAsia="Times New Roman" w:hAnsi="Calibri" w:cs="Times New Roman"/>
                <w:color w:val="000000"/>
                <w:lang w:eastAsia="en-GB"/>
              </w:rPr>
              <w:t>36.839</w:t>
            </w:r>
          </w:p>
        </w:tc>
        <w:tc>
          <w:tcPr>
            <w:tcW w:w="1120" w:type="dxa"/>
            <w:noWrap/>
            <w:vAlign w:val="center"/>
          </w:tcPr>
          <w:p w:rsidR="000C0A41" w:rsidRPr="0013015A" w:rsidRDefault="000C0A41" w:rsidP="006A4E5A">
            <w:pPr>
              <w:jc w:val="center"/>
              <w:cnfStyle w:val="000000100000" w:firstRow="0" w:lastRow="0" w:firstColumn="0" w:lastColumn="0" w:oddVBand="0" w:evenVBand="0" w:oddHBand="1" w:evenHBand="0" w:firstRowFirstColumn="0" w:firstRowLastColumn="0" w:lastRowFirstColumn="0" w:lastRowLastColumn="0"/>
            </w:pPr>
            <w:r w:rsidRPr="006A4E5A">
              <w:rPr>
                <w:rFonts w:ascii="Calibri" w:eastAsia="Times New Roman" w:hAnsi="Calibri" w:cs="Times New Roman"/>
                <w:color w:val="000000"/>
                <w:lang w:eastAsia="en-GB"/>
              </w:rPr>
              <w:t>84.168</w:t>
            </w:r>
          </w:p>
        </w:tc>
        <w:tc>
          <w:tcPr>
            <w:tcW w:w="1120" w:type="dxa"/>
            <w:noWrap/>
            <w:vAlign w:val="center"/>
          </w:tcPr>
          <w:p w:rsidR="000C0A41" w:rsidRPr="00BC1C97" w:rsidRDefault="000C0A41" w:rsidP="006A4E5A">
            <w:pPr>
              <w:jc w:val="center"/>
              <w:cnfStyle w:val="000000100000" w:firstRow="0" w:lastRow="0" w:firstColumn="0" w:lastColumn="0" w:oddVBand="0" w:evenVBand="0" w:oddHBand="1" w:evenHBand="0" w:firstRowFirstColumn="0" w:firstRowLastColumn="0" w:lastRowFirstColumn="0" w:lastRowLastColumn="0"/>
              <w:rPr>
                <w:highlight w:val="yellow"/>
              </w:rPr>
            </w:pPr>
            <w:r w:rsidRPr="00BC1C97">
              <w:rPr>
                <w:rFonts w:ascii="Calibri" w:eastAsia="Times New Roman" w:hAnsi="Calibri" w:cs="Times New Roman"/>
                <w:color w:val="000000"/>
                <w:highlight w:val="yellow"/>
                <w:lang w:eastAsia="en-GB"/>
              </w:rPr>
              <w:t>0.000</w:t>
            </w:r>
          </w:p>
        </w:tc>
      </w:tr>
      <w:tr w:rsidR="000C0A41" w:rsidRPr="0013015A" w:rsidTr="006A4E5A">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6A4E5A">
            <w:pPr>
              <w:jc w:val="right"/>
              <w:rPr>
                <w:b w:val="0"/>
              </w:rPr>
            </w:pPr>
            <w:r w:rsidRPr="004415A6">
              <w:rPr>
                <w:b w:val="0"/>
                <w:u w:val="single"/>
              </w:rPr>
              <w:t>&gt;</w:t>
            </w:r>
            <w:r w:rsidRPr="004415A6">
              <w:rPr>
                <w:b w:val="0"/>
              </w:rPr>
              <w:t>80</w:t>
            </w:r>
          </w:p>
        </w:tc>
        <w:tc>
          <w:tcPr>
            <w:tcW w:w="1120" w:type="dxa"/>
            <w:noWrap/>
            <w:vAlign w:val="center"/>
          </w:tcPr>
          <w:p w:rsidR="000C0A41" w:rsidRPr="00BC1C97" w:rsidRDefault="000C0A41" w:rsidP="006A4E5A">
            <w:pPr>
              <w:jc w:val="center"/>
              <w:cnfStyle w:val="000000000000" w:firstRow="0" w:lastRow="0" w:firstColumn="0" w:lastColumn="0" w:oddVBand="0" w:evenVBand="0" w:oddHBand="0" w:evenHBand="0" w:firstRowFirstColumn="0" w:firstRowLastColumn="0" w:lastRowFirstColumn="0" w:lastRowLastColumn="0"/>
              <w:rPr>
                <w:highlight w:val="yellow"/>
              </w:rPr>
            </w:pPr>
            <w:r w:rsidRPr="00BC1C97">
              <w:rPr>
                <w:rFonts w:ascii="Calibri" w:eastAsia="Times New Roman" w:hAnsi="Calibri" w:cs="Times New Roman"/>
                <w:color w:val="000000"/>
                <w:highlight w:val="yellow"/>
                <w:lang w:eastAsia="en-GB"/>
              </w:rPr>
              <w:t>88.918</w:t>
            </w:r>
          </w:p>
        </w:tc>
        <w:tc>
          <w:tcPr>
            <w:tcW w:w="1120" w:type="dxa"/>
            <w:noWrap/>
            <w:vAlign w:val="center"/>
          </w:tcPr>
          <w:p w:rsidR="000C0A41" w:rsidRPr="0013015A" w:rsidRDefault="000C0A41" w:rsidP="006A4E5A">
            <w:pPr>
              <w:jc w:val="center"/>
              <w:cnfStyle w:val="000000000000" w:firstRow="0" w:lastRow="0" w:firstColumn="0" w:lastColumn="0" w:oddVBand="0" w:evenVBand="0" w:oddHBand="0" w:evenHBand="0" w:firstRowFirstColumn="0" w:firstRowLastColumn="0" w:lastRowFirstColumn="0" w:lastRowLastColumn="0"/>
            </w:pPr>
            <w:r w:rsidRPr="006A4E5A">
              <w:rPr>
                <w:rFonts w:ascii="Calibri" w:eastAsia="Times New Roman" w:hAnsi="Calibri" w:cs="Times New Roman"/>
                <w:color w:val="000000"/>
                <w:lang w:eastAsia="en-GB"/>
              </w:rPr>
              <w:t>58.849</w:t>
            </w:r>
          </w:p>
        </w:tc>
        <w:tc>
          <w:tcPr>
            <w:tcW w:w="1120" w:type="dxa"/>
            <w:noWrap/>
            <w:vAlign w:val="center"/>
          </w:tcPr>
          <w:p w:rsidR="000C0A41" w:rsidRPr="0013015A" w:rsidRDefault="000C0A41" w:rsidP="006A4E5A">
            <w:pPr>
              <w:jc w:val="center"/>
              <w:cnfStyle w:val="000000000000" w:firstRow="0" w:lastRow="0" w:firstColumn="0" w:lastColumn="0" w:oddVBand="0" w:evenVBand="0" w:oddHBand="0" w:evenHBand="0" w:firstRowFirstColumn="0" w:firstRowLastColumn="0" w:lastRowFirstColumn="0" w:lastRowLastColumn="0"/>
            </w:pPr>
            <w:r w:rsidRPr="006A4E5A">
              <w:rPr>
                <w:rFonts w:ascii="Calibri" w:eastAsia="Times New Roman" w:hAnsi="Calibri" w:cs="Times New Roman"/>
                <w:color w:val="000000"/>
                <w:lang w:eastAsia="en-GB"/>
              </w:rPr>
              <w:t>134.351</w:t>
            </w:r>
          </w:p>
        </w:tc>
        <w:tc>
          <w:tcPr>
            <w:tcW w:w="1120" w:type="dxa"/>
            <w:noWrap/>
            <w:vAlign w:val="center"/>
          </w:tcPr>
          <w:p w:rsidR="000C0A41" w:rsidRPr="00BC1C97" w:rsidRDefault="000C0A41" w:rsidP="006A4E5A">
            <w:pPr>
              <w:jc w:val="center"/>
              <w:cnfStyle w:val="000000000000" w:firstRow="0" w:lastRow="0" w:firstColumn="0" w:lastColumn="0" w:oddVBand="0" w:evenVBand="0" w:oddHBand="0" w:evenHBand="0" w:firstRowFirstColumn="0" w:firstRowLastColumn="0" w:lastRowFirstColumn="0" w:lastRowLastColumn="0"/>
              <w:rPr>
                <w:highlight w:val="yellow"/>
              </w:rPr>
            </w:pPr>
            <w:r w:rsidRPr="00BC1C97">
              <w:rPr>
                <w:rFonts w:ascii="Calibri" w:eastAsia="Times New Roman" w:hAnsi="Calibri" w:cs="Times New Roman"/>
                <w:color w:val="000000"/>
                <w:highlight w:val="yellow"/>
                <w:lang w:eastAsia="en-GB"/>
              </w:rPr>
              <w:t>0.000</w:t>
            </w:r>
          </w:p>
        </w:tc>
      </w:tr>
      <w:tr w:rsidR="000C0A41" w:rsidRPr="004415A6" w:rsidTr="006A4E5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tcPr>
          <w:p w:rsidR="000C0A41" w:rsidRPr="004415A6" w:rsidRDefault="000C0A41" w:rsidP="006A4E5A">
            <w:r w:rsidRPr="004415A6">
              <w:t>Smoking</w:t>
            </w:r>
          </w:p>
        </w:tc>
        <w:tc>
          <w:tcPr>
            <w:tcW w:w="1120" w:type="dxa"/>
            <w:noWrap/>
          </w:tcPr>
          <w:p w:rsidR="000C0A41" w:rsidRPr="004415A6" w:rsidRDefault="000C0A41" w:rsidP="006A4E5A">
            <w:pPr>
              <w:jc w:val="center"/>
              <w:cnfStyle w:val="000000100000" w:firstRow="0" w:lastRow="0" w:firstColumn="0" w:lastColumn="0" w:oddVBand="0" w:evenVBand="0" w:oddHBand="1" w:evenHBand="0" w:firstRowFirstColumn="0" w:firstRowLastColumn="0" w:lastRowFirstColumn="0" w:lastRowLastColumn="0"/>
              <w:rPr>
                <w:b/>
              </w:rPr>
            </w:pPr>
          </w:p>
        </w:tc>
        <w:tc>
          <w:tcPr>
            <w:tcW w:w="1120" w:type="dxa"/>
            <w:noWrap/>
          </w:tcPr>
          <w:p w:rsidR="000C0A41" w:rsidRPr="004415A6" w:rsidRDefault="000C0A41" w:rsidP="006A4E5A">
            <w:pPr>
              <w:jc w:val="center"/>
              <w:cnfStyle w:val="000000100000" w:firstRow="0" w:lastRow="0" w:firstColumn="0" w:lastColumn="0" w:oddVBand="0" w:evenVBand="0" w:oddHBand="1" w:evenHBand="0" w:firstRowFirstColumn="0" w:firstRowLastColumn="0" w:lastRowFirstColumn="0" w:lastRowLastColumn="0"/>
              <w:rPr>
                <w:b/>
              </w:rPr>
            </w:pPr>
          </w:p>
        </w:tc>
        <w:tc>
          <w:tcPr>
            <w:tcW w:w="1120" w:type="dxa"/>
            <w:noWrap/>
          </w:tcPr>
          <w:p w:rsidR="000C0A41" w:rsidRPr="004415A6" w:rsidRDefault="000C0A41" w:rsidP="006A4E5A">
            <w:pPr>
              <w:jc w:val="center"/>
              <w:cnfStyle w:val="000000100000" w:firstRow="0" w:lastRow="0" w:firstColumn="0" w:lastColumn="0" w:oddVBand="0" w:evenVBand="0" w:oddHBand="1" w:evenHBand="0" w:firstRowFirstColumn="0" w:firstRowLastColumn="0" w:lastRowFirstColumn="0" w:lastRowLastColumn="0"/>
              <w:rPr>
                <w:b/>
              </w:rPr>
            </w:pPr>
          </w:p>
        </w:tc>
        <w:tc>
          <w:tcPr>
            <w:tcW w:w="1120" w:type="dxa"/>
            <w:noWrap/>
          </w:tcPr>
          <w:p w:rsidR="000C0A41" w:rsidRPr="004415A6" w:rsidRDefault="000C0A41" w:rsidP="006A4E5A">
            <w:pPr>
              <w:jc w:val="center"/>
              <w:cnfStyle w:val="000000100000" w:firstRow="0" w:lastRow="0" w:firstColumn="0" w:lastColumn="0" w:oddVBand="0" w:evenVBand="0" w:oddHBand="1" w:evenHBand="0" w:firstRowFirstColumn="0" w:firstRowLastColumn="0" w:lastRowFirstColumn="0" w:lastRowLastColumn="0"/>
              <w:rPr>
                <w:b/>
              </w:rPr>
            </w:pPr>
          </w:p>
        </w:tc>
      </w:tr>
      <w:tr w:rsidR="000C0A41" w:rsidRPr="0013015A" w:rsidTr="006A4E5A">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6A4E5A">
            <w:pPr>
              <w:jc w:val="right"/>
              <w:rPr>
                <w:b w:val="0"/>
              </w:rPr>
            </w:pPr>
            <w:r>
              <w:rPr>
                <w:b w:val="0"/>
              </w:rPr>
              <w:t>Non-smoker</w:t>
            </w:r>
          </w:p>
        </w:tc>
        <w:tc>
          <w:tcPr>
            <w:tcW w:w="1120" w:type="dxa"/>
            <w:noWrap/>
            <w:vAlign w:val="center"/>
          </w:tcPr>
          <w:p w:rsidR="000C0A41" w:rsidRPr="0013015A" w:rsidRDefault="000C0A41" w:rsidP="006A4E5A">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6A4E5A">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6A4E5A">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6A4E5A">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w:t>
            </w:r>
          </w:p>
        </w:tc>
      </w:tr>
      <w:tr w:rsidR="000C0A41" w:rsidRPr="0013015A" w:rsidTr="006A4E5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tcPr>
          <w:p w:rsidR="000C0A41" w:rsidRPr="004415A6" w:rsidRDefault="000C0A41" w:rsidP="006A4E5A">
            <w:pPr>
              <w:jc w:val="right"/>
              <w:rPr>
                <w:b w:val="0"/>
              </w:rPr>
            </w:pPr>
            <w:r>
              <w:rPr>
                <w:b w:val="0"/>
              </w:rPr>
              <w:t>Current smoker</w:t>
            </w:r>
          </w:p>
        </w:tc>
        <w:tc>
          <w:tcPr>
            <w:tcW w:w="1120" w:type="dxa"/>
            <w:noWrap/>
            <w:vAlign w:val="center"/>
          </w:tcPr>
          <w:p w:rsidR="000C0A41" w:rsidRPr="00CC1507" w:rsidRDefault="000C0A41" w:rsidP="006A4E5A">
            <w:pPr>
              <w:jc w:val="center"/>
              <w:cnfStyle w:val="000000100000" w:firstRow="0" w:lastRow="0" w:firstColumn="0" w:lastColumn="0" w:oddVBand="0" w:evenVBand="0" w:oddHBand="1" w:evenHBand="0" w:firstRowFirstColumn="0" w:firstRowLastColumn="0" w:lastRowFirstColumn="0" w:lastRowLastColumn="0"/>
              <w:rPr>
                <w:highlight w:val="yellow"/>
              </w:rPr>
            </w:pPr>
            <w:r>
              <w:rPr>
                <w:rFonts w:ascii="Calibri" w:hAnsi="Calibri"/>
                <w:color w:val="000000"/>
              </w:rPr>
              <w:t>2.499</w:t>
            </w:r>
          </w:p>
        </w:tc>
        <w:tc>
          <w:tcPr>
            <w:tcW w:w="1120" w:type="dxa"/>
            <w:noWrap/>
            <w:vAlign w:val="center"/>
          </w:tcPr>
          <w:p w:rsidR="000C0A41" w:rsidRPr="0013015A" w:rsidRDefault="000C0A41" w:rsidP="006A4E5A">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1.426</w:t>
            </w:r>
          </w:p>
        </w:tc>
        <w:tc>
          <w:tcPr>
            <w:tcW w:w="1120" w:type="dxa"/>
            <w:noWrap/>
            <w:vAlign w:val="center"/>
          </w:tcPr>
          <w:p w:rsidR="000C0A41" w:rsidRPr="0013015A" w:rsidRDefault="000C0A41" w:rsidP="006A4E5A">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4.381</w:t>
            </w:r>
          </w:p>
        </w:tc>
        <w:tc>
          <w:tcPr>
            <w:tcW w:w="1120" w:type="dxa"/>
            <w:noWrap/>
            <w:vAlign w:val="center"/>
          </w:tcPr>
          <w:p w:rsidR="000C0A41" w:rsidRPr="00CC1507" w:rsidRDefault="000C0A41" w:rsidP="006A4E5A">
            <w:pPr>
              <w:jc w:val="center"/>
              <w:cnfStyle w:val="000000100000" w:firstRow="0" w:lastRow="0" w:firstColumn="0" w:lastColumn="0" w:oddVBand="0" w:evenVBand="0" w:oddHBand="1" w:evenHBand="0" w:firstRowFirstColumn="0" w:firstRowLastColumn="0" w:lastRowFirstColumn="0" w:lastRowLastColumn="0"/>
              <w:rPr>
                <w:highlight w:val="yellow"/>
              </w:rPr>
            </w:pPr>
            <w:r w:rsidRPr="00BC1C97">
              <w:rPr>
                <w:rFonts w:ascii="Calibri" w:hAnsi="Calibri"/>
                <w:color w:val="000000"/>
                <w:highlight w:val="yellow"/>
              </w:rPr>
              <w:t>0.001</w:t>
            </w:r>
          </w:p>
        </w:tc>
      </w:tr>
      <w:tr w:rsidR="000C0A41" w:rsidRPr="0013015A" w:rsidTr="006A4E5A">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6A4E5A">
            <w:pPr>
              <w:jc w:val="right"/>
              <w:rPr>
                <w:b w:val="0"/>
              </w:rPr>
            </w:pPr>
            <w:r>
              <w:rPr>
                <w:b w:val="0"/>
              </w:rPr>
              <w:t>Ex-smoker</w:t>
            </w:r>
          </w:p>
        </w:tc>
        <w:tc>
          <w:tcPr>
            <w:tcW w:w="1120" w:type="dxa"/>
            <w:noWrap/>
            <w:vAlign w:val="center"/>
          </w:tcPr>
          <w:p w:rsidR="000C0A41" w:rsidRPr="00CC1507" w:rsidRDefault="000C0A41" w:rsidP="006A4E5A">
            <w:pPr>
              <w:jc w:val="center"/>
              <w:cnfStyle w:val="000000000000" w:firstRow="0" w:lastRow="0" w:firstColumn="0" w:lastColumn="0" w:oddVBand="0" w:evenVBand="0" w:oddHBand="0" w:evenHBand="0" w:firstRowFirstColumn="0" w:firstRowLastColumn="0" w:lastRowFirstColumn="0" w:lastRowLastColumn="0"/>
              <w:rPr>
                <w:highlight w:val="yellow"/>
              </w:rPr>
            </w:pPr>
            <w:r>
              <w:rPr>
                <w:rFonts w:ascii="Calibri" w:hAnsi="Calibri"/>
                <w:color w:val="000000"/>
              </w:rPr>
              <w:t>1.135</w:t>
            </w:r>
          </w:p>
        </w:tc>
        <w:tc>
          <w:tcPr>
            <w:tcW w:w="1120" w:type="dxa"/>
            <w:noWrap/>
            <w:vAlign w:val="center"/>
          </w:tcPr>
          <w:p w:rsidR="000C0A41" w:rsidRPr="0013015A" w:rsidRDefault="000C0A41" w:rsidP="006A4E5A">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0.525</w:t>
            </w:r>
          </w:p>
        </w:tc>
        <w:tc>
          <w:tcPr>
            <w:tcW w:w="1120" w:type="dxa"/>
            <w:noWrap/>
            <w:vAlign w:val="center"/>
          </w:tcPr>
          <w:p w:rsidR="000C0A41" w:rsidRPr="0013015A" w:rsidRDefault="000C0A41" w:rsidP="006A4E5A">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2.452</w:t>
            </w:r>
          </w:p>
        </w:tc>
        <w:tc>
          <w:tcPr>
            <w:tcW w:w="1120" w:type="dxa"/>
            <w:noWrap/>
            <w:vAlign w:val="center"/>
          </w:tcPr>
          <w:p w:rsidR="000C0A41" w:rsidRPr="00CC1507" w:rsidRDefault="000C0A41" w:rsidP="006A4E5A">
            <w:pPr>
              <w:jc w:val="center"/>
              <w:cnfStyle w:val="000000000000" w:firstRow="0" w:lastRow="0" w:firstColumn="0" w:lastColumn="0" w:oddVBand="0" w:evenVBand="0" w:oddHBand="0" w:evenHBand="0" w:firstRowFirstColumn="0" w:firstRowLastColumn="0" w:lastRowFirstColumn="0" w:lastRowLastColumn="0"/>
              <w:rPr>
                <w:highlight w:val="yellow"/>
              </w:rPr>
            </w:pPr>
            <w:r>
              <w:rPr>
                <w:rFonts w:ascii="Calibri" w:hAnsi="Calibri"/>
                <w:color w:val="000000"/>
              </w:rPr>
              <w:t>0.748</w:t>
            </w:r>
          </w:p>
        </w:tc>
      </w:tr>
      <w:tr w:rsidR="000C0A41" w:rsidRPr="00CC1507" w:rsidTr="006A4E5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tcPr>
          <w:p w:rsidR="000C0A41" w:rsidRPr="00CC1507" w:rsidRDefault="000C0A41" w:rsidP="006A4E5A">
            <w:r w:rsidRPr="00CC1507">
              <w:t>Interaction term age group</w:t>
            </w:r>
            <w:r>
              <w:t xml:space="preserve"> </w:t>
            </w:r>
            <w:r w:rsidRPr="00CC1507">
              <w:t>x smoking</w:t>
            </w:r>
          </w:p>
        </w:tc>
        <w:tc>
          <w:tcPr>
            <w:tcW w:w="1120" w:type="dxa"/>
            <w:noWrap/>
          </w:tcPr>
          <w:p w:rsidR="000C0A41" w:rsidRPr="00CC1507" w:rsidRDefault="000C0A41" w:rsidP="006A4E5A">
            <w:pPr>
              <w:jc w:val="center"/>
              <w:cnfStyle w:val="000000100000" w:firstRow="0" w:lastRow="0" w:firstColumn="0" w:lastColumn="0" w:oddVBand="0" w:evenVBand="0" w:oddHBand="1" w:evenHBand="0" w:firstRowFirstColumn="0" w:firstRowLastColumn="0" w:lastRowFirstColumn="0" w:lastRowLastColumn="0"/>
              <w:rPr>
                <w:b/>
              </w:rPr>
            </w:pPr>
          </w:p>
        </w:tc>
        <w:tc>
          <w:tcPr>
            <w:tcW w:w="1120" w:type="dxa"/>
            <w:noWrap/>
          </w:tcPr>
          <w:p w:rsidR="000C0A41" w:rsidRPr="00CC1507" w:rsidRDefault="000C0A41" w:rsidP="006A4E5A">
            <w:pPr>
              <w:jc w:val="center"/>
              <w:cnfStyle w:val="000000100000" w:firstRow="0" w:lastRow="0" w:firstColumn="0" w:lastColumn="0" w:oddVBand="0" w:evenVBand="0" w:oddHBand="1" w:evenHBand="0" w:firstRowFirstColumn="0" w:firstRowLastColumn="0" w:lastRowFirstColumn="0" w:lastRowLastColumn="0"/>
              <w:rPr>
                <w:b/>
              </w:rPr>
            </w:pPr>
          </w:p>
        </w:tc>
        <w:tc>
          <w:tcPr>
            <w:tcW w:w="1120" w:type="dxa"/>
            <w:noWrap/>
          </w:tcPr>
          <w:p w:rsidR="000C0A41" w:rsidRPr="00CC1507" w:rsidRDefault="000C0A41" w:rsidP="006A4E5A">
            <w:pPr>
              <w:jc w:val="center"/>
              <w:cnfStyle w:val="000000100000" w:firstRow="0" w:lastRow="0" w:firstColumn="0" w:lastColumn="0" w:oddVBand="0" w:evenVBand="0" w:oddHBand="1" w:evenHBand="0" w:firstRowFirstColumn="0" w:firstRowLastColumn="0" w:lastRowFirstColumn="0" w:lastRowLastColumn="0"/>
              <w:rPr>
                <w:b/>
              </w:rPr>
            </w:pPr>
          </w:p>
        </w:tc>
        <w:tc>
          <w:tcPr>
            <w:tcW w:w="1120" w:type="dxa"/>
            <w:noWrap/>
          </w:tcPr>
          <w:p w:rsidR="000C0A41" w:rsidRPr="00CC1507" w:rsidRDefault="000C0A41" w:rsidP="006A4E5A">
            <w:pPr>
              <w:jc w:val="center"/>
              <w:cnfStyle w:val="000000100000" w:firstRow="0" w:lastRow="0" w:firstColumn="0" w:lastColumn="0" w:oddVBand="0" w:evenVBand="0" w:oddHBand="1" w:evenHBand="0" w:firstRowFirstColumn="0" w:firstRowLastColumn="0" w:lastRowFirstColumn="0" w:lastRowLastColumn="0"/>
              <w:rPr>
                <w:b/>
              </w:rPr>
            </w:pPr>
          </w:p>
        </w:tc>
      </w:tr>
      <w:tr w:rsidR="000C0A41" w:rsidRPr="0013015A" w:rsidTr="00BC1C97">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BC1C97">
            <w:pPr>
              <w:jc w:val="right"/>
              <w:rPr>
                <w:b w:val="0"/>
              </w:rPr>
            </w:pPr>
            <w:r>
              <w:rPr>
                <w:b w:val="0"/>
              </w:rPr>
              <w:t>Age group &lt;40 x n</w:t>
            </w:r>
            <w:r w:rsidRPr="004415A6">
              <w:rPr>
                <w:b w:val="0"/>
              </w:rPr>
              <w:t>on-smoker</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w:t>
            </w:r>
          </w:p>
        </w:tc>
      </w:tr>
      <w:tr w:rsidR="000C0A41" w:rsidRPr="0013015A" w:rsidTr="00BC1C9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BC1C97">
            <w:pPr>
              <w:jc w:val="right"/>
              <w:rPr>
                <w:b w:val="0"/>
              </w:rPr>
            </w:pPr>
            <w:r>
              <w:rPr>
                <w:b w:val="0"/>
              </w:rPr>
              <w:t xml:space="preserve">Age group &lt;40 x current </w:t>
            </w:r>
            <w:r w:rsidRPr="004415A6">
              <w:rPr>
                <w:b w:val="0"/>
              </w:rPr>
              <w:t>smoker</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w:t>
            </w:r>
          </w:p>
        </w:tc>
      </w:tr>
      <w:tr w:rsidR="000C0A41" w:rsidRPr="0013015A" w:rsidTr="00BC1C97">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BC1C97">
            <w:pPr>
              <w:jc w:val="right"/>
              <w:rPr>
                <w:b w:val="0"/>
              </w:rPr>
            </w:pPr>
            <w:r>
              <w:rPr>
                <w:b w:val="0"/>
              </w:rPr>
              <w:t>Age group &lt;40 x ex</w:t>
            </w:r>
            <w:r w:rsidRPr="004415A6">
              <w:rPr>
                <w:b w:val="0"/>
              </w:rPr>
              <w:t>-smoker</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w:t>
            </w:r>
          </w:p>
        </w:tc>
      </w:tr>
      <w:tr w:rsidR="000C0A41" w:rsidRPr="0013015A" w:rsidTr="00BC1C9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BC1C97">
            <w:pPr>
              <w:jc w:val="right"/>
              <w:rPr>
                <w:b w:val="0"/>
              </w:rPr>
            </w:pPr>
            <w:r>
              <w:rPr>
                <w:b w:val="0"/>
              </w:rPr>
              <w:t xml:space="preserve">Age group </w:t>
            </w:r>
            <w:r w:rsidRPr="00CC1507">
              <w:rPr>
                <w:b w:val="0"/>
                <w:u w:val="single"/>
              </w:rPr>
              <w:t>&gt;</w:t>
            </w:r>
            <w:r w:rsidRPr="004415A6">
              <w:rPr>
                <w:b w:val="0"/>
              </w:rPr>
              <w:t>40 &amp; &lt;50</w:t>
            </w:r>
            <w:r>
              <w:rPr>
                <w:b w:val="0"/>
              </w:rPr>
              <w:t xml:space="preserve"> x n</w:t>
            </w:r>
            <w:r w:rsidRPr="004415A6">
              <w:rPr>
                <w:b w:val="0"/>
              </w:rPr>
              <w:t>on-smoker</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w:t>
            </w:r>
          </w:p>
        </w:tc>
      </w:tr>
      <w:tr w:rsidR="000C0A41" w:rsidRPr="0013015A" w:rsidTr="00BC1C97">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BC1C97">
            <w:pPr>
              <w:jc w:val="right"/>
              <w:rPr>
                <w:b w:val="0"/>
              </w:rPr>
            </w:pPr>
            <w:r>
              <w:rPr>
                <w:b w:val="0"/>
              </w:rPr>
              <w:t xml:space="preserve">Age group </w:t>
            </w:r>
            <w:r w:rsidRPr="00CC1507">
              <w:rPr>
                <w:b w:val="0"/>
                <w:u w:val="single"/>
              </w:rPr>
              <w:t>&gt;</w:t>
            </w:r>
            <w:r w:rsidRPr="004415A6">
              <w:rPr>
                <w:b w:val="0"/>
              </w:rPr>
              <w:t>40 &amp; &lt;50</w:t>
            </w:r>
            <w:r>
              <w:rPr>
                <w:b w:val="0"/>
              </w:rPr>
              <w:t xml:space="preserve"> x current </w:t>
            </w:r>
            <w:r w:rsidRPr="004415A6">
              <w:rPr>
                <w:b w:val="0"/>
              </w:rPr>
              <w:t>smoker</w:t>
            </w:r>
          </w:p>
        </w:tc>
        <w:tc>
          <w:tcPr>
            <w:tcW w:w="1120" w:type="dxa"/>
            <w:noWrap/>
            <w:vAlign w:val="center"/>
          </w:tcPr>
          <w:p w:rsidR="000C0A41" w:rsidRPr="00CC1507" w:rsidRDefault="000C0A41" w:rsidP="00BC1C97">
            <w:pPr>
              <w:jc w:val="center"/>
              <w:cnfStyle w:val="000000000000" w:firstRow="0" w:lastRow="0" w:firstColumn="0" w:lastColumn="0" w:oddVBand="0" w:evenVBand="0" w:oddHBand="0" w:evenHBand="0" w:firstRowFirstColumn="0" w:firstRowLastColumn="0" w:lastRowFirstColumn="0" w:lastRowLastColumn="0"/>
              <w:rPr>
                <w:highlight w:val="yellow"/>
              </w:rPr>
            </w:pPr>
            <w:r>
              <w:rPr>
                <w:rFonts w:ascii="Calibri" w:hAnsi="Calibri"/>
                <w:color w:val="000000"/>
              </w:rPr>
              <w:t>1.623</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0.891</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2.955</w:t>
            </w:r>
          </w:p>
        </w:tc>
        <w:tc>
          <w:tcPr>
            <w:tcW w:w="1120" w:type="dxa"/>
            <w:noWrap/>
            <w:vAlign w:val="center"/>
          </w:tcPr>
          <w:p w:rsidR="000C0A41" w:rsidRPr="00CC1507" w:rsidRDefault="000C0A41" w:rsidP="00BC1C97">
            <w:pPr>
              <w:jc w:val="center"/>
              <w:cnfStyle w:val="000000000000" w:firstRow="0" w:lastRow="0" w:firstColumn="0" w:lastColumn="0" w:oddVBand="0" w:evenVBand="0" w:oddHBand="0" w:evenHBand="0" w:firstRowFirstColumn="0" w:firstRowLastColumn="0" w:lastRowFirstColumn="0" w:lastRowLastColumn="0"/>
              <w:rPr>
                <w:highlight w:val="yellow"/>
              </w:rPr>
            </w:pPr>
            <w:r>
              <w:rPr>
                <w:rFonts w:ascii="Calibri" w:hAnsi="Calibri"/>
                <w:color w:val="000000"/>
              </w:rPr>
              <w:t>0.113</w:t>
            </w:r>
          </w:p>
        </w:tc>
      </w:tr>
      <w:tr w:rsidR="000C0A41" w:rsidRPr="0013015A" w:rsidTr="00BC1C9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BC1C97">
            <w:pPr>
              <w:jc w:val="right"/>
              <w:rPr>
                <w:b w:val="0"/>
              </w:rPr>
            </w:pPr>
            <w:r>
              <w:rPr>
                <w:b w:val="0"/>
              </w:rPr>
              <w:t xml:space="preserve">Age group </w:t>
            </w:r>
            <w:r w:rsidRPr="00CC1507">
              <w:rPr>
                <w:b w:val="0"/>
                <w:u w:val="single"/>
              </w:rPr>
              <w:t>&gt;</w:t>
            </w:r>
            <w:r w:rsidRPr="004415A6">
              <w:rPr>
                <w:b w:val="0"/>
              </w:rPr>
              <w:t xml:space="preserve">40 &amp; &lt;50 </w:t>
            </w:r>
            <w:r>
              <w:rPr>
                <w:b w:val="0"/>
              </w:rPr>
              <w:t>x ex</w:t>
            </w:r>
            <w:r w:rsidRPr="004415A6">
              <w:rPr>
                <w:b w:val="0"/>
              </w:rPr>
              <w:t>-smoker</w:t>
            </w:r>
          </w:p>
        </w:tc>
        <w:tc>
          <w:tcPr>
            <w:tcW w:w="1120" w:type="dxa"/>
            <w:noWrap/>
            <w:vAlign w:val="center"/>
          </w:tcPr>
          <w:p w:rsidR="000C0A41" w:rsidRPr="00CC1507" w:rsidRDefault="000C0A41" w:rsidP="00BC1C97">
            <w:pPr>
              <w:jc w:val="center"/>
              <w:cnfStyle w:val="000000100000" w:firstRow="0" w:lastRow="0" w:firstColumn="0" w:lastColumn="0" w:oddVBand="0" w:evenVBand="0" w:oddHBand="1" w:evenHBand="0" w:firstRowFirstColumn="0" w:firstRowLastColumn="0" w:lastRowFirstColumn="0" w:lastRowLastColumn="0"/>
              <w:rPr>
                <w:highlight w:val="yellow"/>
              </w:rPr>
            </w:pPr>
            <w:r>
              <w:rPr>
                <w:rFonts w:ascii="Calibri" w:hAnsi="Calibri"/>
                <w:color w:val="000000"/>
              </w:rPr>
              <w:t>1.564</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0.691</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3.538</w:t>
            </w:r>
          </w:p>
        </w:tc>
        <w:tc>
          <w:tcPr>
            <w:tcW w:w="1120" w:type="dxa"/>
            <w:noWrap/>
            <w:vAlign w:val="center"/>
          </w:tcPr>
          <w:p w:rsidR="000C0A41" w:rsidRPr="00CC1507" w:rsidRDefault="000C0A41" w:rsidP="00BC1C97">
            <w:pPr>
              <w:jc w:val="center"/>
              <w:cnfStyle w:val="000000100000" w:firstRow="0" w:lastRow="0" w:firstColumn="0" w:lastColumn="0" w:oddVBand="0" w:evenVBand="0" w:oddHBand="1" w:evenHBand="0" w:firstRowFirstColumn="0" w:firstRowLastColumn="0" w:lastRowFirstColumn="0" w:lastRowLastColumn="0"/>
              <w:rPr>
                <w:highlight w:val="yellow"/>
              </w:rPr>
            </w:pPr>
            <w:r>
              <w:rPr>
                <w:rFonts w:ascii="Calibri" w:hAnsi="Calibri"/>
                <w:color w:val="000000"/>
              </w:rPr>
              <w:t>0.283</w:t>
            </w:r>
          </w:p>
        </w:tc>
      </w:tr>
      <w:tr w:rsidR="000C0A41" w:rsidRPr="0013015A" w:rsidTr="00BC1C97">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BC1C97">
            <w:pPr>
              <w:jc w:val="right"/>
              <w:rPr>
                <w:b w:val="0"/>
              </w:rPr>
            </w:pPr>
            <w:r>
              <w:rPr>
                <w:b w:val="0"/>
              </w:rPr>
              <w:t xml:space="preserve">Age group </w:t>
            </w:r>
            <w:r w:rsidRPr="00CC1507">
              <w:rPr>
                <w:b w:val="0"/>
                <w:u w:val="single"/>
              </w:rPr>
              <w:t>&gt;</w:t>
            </w:r>
            <w:r w:rsidRPr="004415A6">
              <w:rPr>
                <w:b w:val="0"/>
              </w:rPr>
              <w:t>50 &amp; &lt;60</w:t>
            </w:r>
            <w:r>
              <w:rPr>
                <w:b w:val="0"/>
              </w:rPr>
              <w:t xml:space="preserve"> x n</w:t>
            </w:r>
            <w:r w:rsidRPr="004415A6">
              <w:rPr>
                <w:b w:val="0"/>
              </w:rPr>
              <w:t>on-smoker</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w:t>
            </w:r>
          </w:p>
        </w:tc>
      </w:tr>
      <w:tr w:rsidR="000C0A41" w:rsidRPr="0013015A" w:rsidTr="00BC1C9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BC1C97">
            <w:pPr>
              <w:jc w:val="right"/>
              <w:rPr>
                <w:b w:val="0"/>
              </w:rPr>
            </w:pPr>
            <w:r>
              <w:rPr>
                <w:b w:val="0"/>
              </w:rPr>
              <w:t xml:space="preserve">Age group </w:t>
            </w:r>
            <w:r w:rsidRPr="00CC1507">
              <w:rPr>
                <w:b w:val="0"/>
                <w:u w:val="single"/>
              </w:rPr>
              <w:t>&gt;</w:t>
            </w:r>
            <w:r w:rsidRPr="004415A6">
              <w:rPr>
                <w:b w:val="0"/>
              </w:rPr>
              <w:t>50 &amp; &lt;60</w:t>
            </w:r>
            <w:r>
              <w:rPr>
                <w:b w:val="0"/>
              </w:rPr>
              <w:t xml:space="preserve"> x current </w:t>
            </w:r>
            <w:r w:rsidRPr="004415A6">
              <w:rPr>
                <w:b w:val="0"/>
              </w:rPr>
              <w:t>smoker</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sidRPr="00BC1C97">
              <w:rPr>
                <w:rFonts w:ascii="Calibri" w:hAnsi="Calibri"/>
                <w:color w:val="000000"/>
                <w:highlight w:val="yellow"/>
              </w:rPr>
              <w:t>1.849</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1.039</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3.291</w:t>
            </w:r>
          </w:p>
        </w:tc>
        <w:tc>
          <w:tcPr>
            <w:tcW w:w="1120" w:type="dxa"/>
            <w:noWrap/>
            <w:vAlign w:val="center"/>
          </w:tcPr>
          <w:p w:rsidR="000C0A41" w:rsidRPr="00BC1C97" w:rsidRDefault="000C0A41" w:rsidP="00BC1C97">
            <w:pPr>
              <w:jc w:val="center"/>
              <w:cnfStyle w:val="000000100000" w:firstRow="0" w:lastRow="0" w:firstColumn="0" w:lastColumn="0" w:oddVBand="0" w:evenVBand="0" w:oddHBand="1" w:evenHBand="0" w:firstRowFirstColumn="0" w:firstRowLastColumn="0" w:lastRowFirstColumn="0" w:lastRowLastColumn="0"/>
              <w:rPr>
                <w:highlight w:val="yellow"/>
              </w:rPr>
            </w:pPr>
            <w:r w:rsidRPr="00BC1C97">
              <w:rPr>
                <w:rFonts w:ascii="Calibri" w:hAnsi="Calibri"/>
                <w:color w:val="000000"/>
                <w:highlight w:val="yellow"/>
              </w:rPr>
              <w:t>0.037</w:t>
            </w:r>
          </w:p>
        </w:tc>
      </w:tr>
      <w:tr w:rsidR="000C0A41" w:rsidRPr="0013015A" w:rsidTr="00BC1C97">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BC1C97">
            <w:pPr>
              <w:jc w:val="right"/>
              <w:rPr>
                <w:b w:val="0"/>
              </w:rPr>
            </w:pPr>
            <w:r>
              <w:rPr>
                <w:b w:val="0"/>
              </w:rPr>
              <w:t xml:space="preserve">Age group </w:t>
            </w:r>
            <w:r w:rsidRPr="00CC1507">
              <w:rPr>
                <w:b w:val="0"/>
                <w:u w:val="single"/>
              </w:rPr>
              <w:t>&gt;</w:t>
            </w:r>
            <w:r w:rsidRPr="004415A6">
              <w:rPr>
                <w:b w:val="0"/>
              </w:rPr>
              <w:t>50 &amp; &lt;60</w:t>
            </w:r>
            <w:r>
              <w:rPr>
                <w:b w:val="0"/>
              </w:rPr>
              <w:t xml:space="preserve"> x ex</w:t>
            </w:r>
            <w:r w:rsidRPr="004415A6">
              <w:rPr>
                <w:b w:val="0"/>
              </w:rPr>
              <w:t>-smoker</w:t>
            </w:r>
          </w:p>
        </w:tc>
        <w:tc>
          <w:tcPr>
            <w:tcW w:w="1120" w:type="dxa"/>
            <w:noWrap/>
            <w:vAlign w:val="center"/>
          </w:tcPr>
          <w:p w:rsidR="000C0A41" w:rsidRPr="00CC1507" w:rsidRDefault="000C0A41" w:rsidP="00BC1C97">
            <w:pPr>
              <w:jc w:val="center"/>
              <w:cnfStyle w:val="000000000000" w:firstRow="0" w:lastRow="0" w:firstColumn="0" w:lastColumn="0" w:oddVBand="0" w:evenVBand="0" w:oddHBand="0" w:evenHBand="0" w:firstRowFirstColumn="0" w:firstRowLastColumn="0" w:lastRowFirstColumn="0" w:lastRowLastColumn="0"/>
              <w:rPr>
                <w:highlight w:val="yellow"/>
              </w:rPr>
            </w:pPr>
            <w:r>
              <w:rPr>
                <w:rFonts w:ascii="Calibri" w:hAnsi="Calibri"/>
                <w:color w:val="000000"/>
              </w:rPr>
              <w:t>1.727</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0.786</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3.792</w:t>
            </w:r>
          </w:p>
        </w:tc>
        <w:tc>
          <w:tcPr>
            <w:tcW w:w="1120" w:type="dxa"/>
            <w:noWrap/>
            <w:vAlign w:val="center"/>
          </w:tcPr>
          <w:p w:rsidR="000C0A41" w:rsidRPr="00CC1507" w:rsidRDefault="000C0A41" w:rsidP="00BC1C97">
            <w:pPr>
              <w:jc w:val="center"/>
              <w:cnfStyle w:val="000000000000" w:firstRow="0" w:lastRow="0" w:firstColumn="0" w:lastColumn="0" w:oddVBand="0" w:evenVBand="0" w:oddHBand="0" w:evenHBand="0" w:firstRowFirstColumn="0" w:firstRowLastColumn="0" w:lastRowFirstColumn="0" w:lastRowLastColumn="0"/>
              <w:rPr>
                <w:highlight w:val="yellow"/>
              </w:rPr>
            </w:pPr>
            <w:r>
              <w:rPr>
                <w:rFonts w:ascii="Calibri" w:hAnsi="Calibri"/>
                <w:color w:val="000000"/>
              </w:rPr>
              <w:t>0.174</w:t>
            </w:r>
          </w:p>
        </w:tc>
      </w:tr>
      <w:tr w:rsidR="000C0A41" w:rsidRPr="0013015A" w:rsidTr="00BC1C9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BC1C97">
            <w:pPr>
              <w:jc w:val="right"/>
              <w:rPr>
                <w:b w:val="0"/>
              </w:rPr>
            </w:pPr>
            <w:r>
              <w:rPr>
                <w:b w:val="0"/>
              </w:rPr>
              <w:t xml:space="preserve">Age group </w:t>
            </w:r>
            <w:r w:rsidRPr="00CC1507">
              <w:rPr>
                <w:b w:val="0"/>
                <w:u w:val="single"/>
              </w:rPr>
              <w:t>&gt;</w:t>
            </w:r>
            <w:r w:rsidRPr="004415A6">
              <w:rPr>
                <w:b w:val="0"/>
              </w:rPr>
              <w:t>60 &amp; &lt;70</w:t>
            </w:r>
            <w:r>
              <w:rPr>
                <w:b w:val="0"/>
              </w:rPr>
              <w:t xml:space="preserve"> x n</w:t>
            </w:r>
            <w:r w:rsidRPr="004415A6">
              <w:rPr>
                <w:b w:val="0"/>
              </w:rPr>
              <w:t>on-smoker</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w:t>
            </w:r>
          </w:p>
        </w:tc>
      </w:tr>
      <w:tr w:rsidR="000C0A41" w:rsidRPr="0013015A" w:rsidTr="00BC1C97">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BC1C97">
            <w:pPr>
              <w:jc w:val="right"/>
              <w:rPr>
                <w:b w:val="0"/>
              </w:rPr>
            </w:pPr>
            <w:r>
              <w:rPr>
                <w:b w:val="0"/>
              </w:rPr>
              <w:t xml:space="preserve">Age group </w:t>
            </w:r>
            <w:r w:rsidRPr="00CC1507">
              <w:rPr>
                <w:b w:val="0"/>
                <w:u w:val="single"/>
              </w:rPr>
              <w:t>&gt;</w:t>
            </w:r>
            <w:r w:rsidRPr="004415A6">
              <w:rPr>
                <w:b w:val="0"/>
              </w:rPr>
              <w:t>60 &amp; &lt;70</w:t>
            </w:r>
            <w:r>
              <w:rPr>
                <w:b w:val="0"/>
              </w:rPr>
              <w:t xml:space="preserve"> x current </w:t>
            </w:r>
            <w:r w:rsidRPr="004415A6">
              <w:rPr>
                <w:b w:val="0"/>
              </w:rPr>
              <w:t>smoker</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1.291</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0.730</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2.282</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0.380</w:t>
            </w:r>
          </w:p>
        </w:tc>
      </w:tr>
      <w:tr w:rsidR="000C0A41" w:rsidRPr="0013015A" w:rsidTr="00BC1C9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BC1C97">
            <w:pPr>
              <w:jc w:val="right"/>
              <w:rPr>
                <w:b w:val="0"/>
              </w:rPr>
            </w:pPr>
            <w:r>
              <w:rPr>
                <w:b w:val="0"/>
              </w:rPr>
              <w:t xml:space="preserve">Age group </w:t>
            </w:r>
            <w:r w:rsidRPr="00CC1507">
              <w:rPr>
                <w:b w:val="0"/>
                <w:u w:val="single"/>
              </w:rPr>
              <w:t>&gt;</w:t>
            </w:r>
            <w:r w:rsidRPr="004415A6">
              <w:rPr>
                <w:b w:val="0"/>
              </w:rPr>
              <w:t>60 &amp; &lt;70</w:t>
            </w:r>
            <w:r>
              <w:rPr>
                <w:b w:val="0"/>
              </w:rPr>
              <w:t xml:space="preserve"> x ex</w:t>
            </w:r>
            <w:r w:rsidRPr="004415A6">
              <w:rPr>
                <w:b w:val="0"/>
              </w:rPr>
              <w:t>-smoker</w:t>
            </w:r>
          </w:p>
        </w:tc>
        <w:tc>
          <w:tcPr>
            <w:tcW w:w="1120" w:type="dxa"/>
            <w:noWrap/>
            <w:vAlign w:val="center"/>
          </w:tcPr>
          <w:p w:rsidR="000C0A41" w:rsidRPr="00CC1507" w:rsidRDefault="000C0A41" w:rsidP="00BC1C97">
            <w:pPr>
              <w:jc w:val="center"/>
              <w:cnfStyle w:val="000000100000" w:firstRow="0" w:lastRow="0" w:firstColumn="0" w:lastColumn="0" w:oddVBand="0" w:evenVBand="0" w:oddHBand="1" w:evenHBand="0" w:firstRowFirstColumn="0" w:firstRowLastColumn="0" w:lastRowFirstColumn="0" w:lastRowLastColumn="0"/>
              <w:rPr>
                <w:highlight w:val="yellow"/>
              </w:rPr>
            </w:pPr>
            <w:r>
              <w:rPr>
                <w:rFonts w:ascii="Calibri" w:hAnsi="Calibri"/>
                <w:color w:val="000000"/>
              </w:rPr>
              <w:t>1.323</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0.608</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2.879</w:t>
            </w:r>
          </w:p>
        </w:tc>
        <w:tc>
          <w:tcPr>
            <w:tcW w:w="1120" w:type="dxa"/>
            <w:noWrap/>
            <w:vAlign w:val="center"/>
          </w:tcPr>
          <w:p w:rsidR="000C0A41" w:rsidRPr="00CC1507" w:rsidRDefault="000C0A41" w:rsidP="00BC1C97">
            <w:pPr>
              <w:jc w:val="center"/>
              <w:cnfStyle w:val="000000100000" w:firstRow="0" w:lastRow="0" w:firstColumn="0" w:lastColumn="0" w:oddVBand="0" w:evenVBand="0" w:oddHBand="1" w:evenHBand="0" w:firstRowFirstColumn="0" w:firstRowLastColumn="0" w:lastRowFirstColumn="0" w:lastRowLastColumn="0"/>
              <w:rPr>
                <w:highlight w:val="yellow"/>
              </w:rPr>
            </w:pPr>
            <w:r>
              <w:rPr>
                <w:rFonts w:ascii="Calibri" w:hAnsi="Calibri"/>
                <w:color w:val="000000"/>
              </w:rPr>
              <w:t>0.480</w:t>
            </w:r>
          </w:p>
        </w:tc>
      </w:tr>
      <w:tr w:rsidR="000C0A41" w:rsidRPr="0013015A" w:rsidTr="00BC1C97">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BC1C97">
            <w:pPr>
              <w:jc w:val="right"/>
              <w:rPr>
                <w:b w:val="0"/>
              </w:rPr>
            </w:pPr>
            <w:r>
              <w:rPr>
                <w:b w:val="0"/>
              </w:rPr>
              <w:t xml:space="preserve">Age group </w:t>
            </w:r>
            <w:r w:rsidRPr="00CC1507">
              <w:rPr>
                <w:b w:val="0"/>
                <w:u w:val="single"/>
              </w:rPr>
              <w:t>&gt;</w:t>
            </w:r>
            <w:r w:rsidRPr="004415A6">
              <w:rPr>
                <w:b w:val="0"/>
              </w:rPr>
              <w:t>70 &amp; &lt;80</w:t>
            </w:r>
            <w:r>
              <w:rPr>
                <w:b w:val="0"/>
              </w:rPr>
              <w:t xml:space="preserve"> x n</w:t>
            </w:r>
            <w:r w:rsidRPr="004415A6">
              <w:rPr>
                <w:b w:val="0"/>
              </w:rPr>
              <w:t>on-smoker</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w:t>
            </w:r>
          </w:p>
        </w:tc>
      </w:tr>
      <w:tr w:rsidR="000C0A41" w:rsidRPr="0013015A" w:rsidTr="00BC1C9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BC1C97">
            <w:pPr>
              <w:jc w:val="right"/>
              <w:rPr>
                <w:b w:val="0"/>
              </w:rPr>
            </w:pPr>
            <w:r>
              <w:rPr>
                <w:b w:val="0"/>
              </w:rPr>
              <w:t xml:space="preserve">Age group </w:t>
            </w:r>
            <w:r w:rsidRPr="00CC1507">
              <w:rPr>
                <w:b w:val="0"/>
                <w:u w:val="single"/>
              </w:rPr>
              <w:t>&gt;</w:t>
            </w:r>
            <w:r w:rsidRPr="004415A6">
              <w:rPr>
                <w:b w:val="0"/>
              </w:rPr>
              <w:t>70 &amp; &lt;80</w:t>
            </w:r>
            <w:r>
              <w:rPr>
                <w:b w:val="0"/>
              </w:rPr>
              <w:t xml:space="preserve"> x current </w:t>
            </w:r>
            <w:r w:rsidRPr="004415A6">
              <w:rPr>
                <w:b w:val="0"/>
              </w:rPr>
              <w:t>smoker</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0.981</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0.555</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1.734</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0.948</w:t>
            </w:r>
          </w:p>
        </w:tc>
      </w:tr>
      <w:tr w:rsidR="000C0A41" w:rsidRPr="0013015A" w:rsidTr="00BC1C97">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BC1C97">
            <w:pPr>
              <w:jc w:val="right"/>
              <w:rPr>
                <w:b w:val="0"/>
              </w:rPr>
            </w:pPr>
            <w:r>
              <w:rPr>
                <w:b w:val="0"/>
              </w:rPr>
              <w:t xml:space="preserve">Age group </w:t>
            </w:r>
            <w:r w:rsidRPr="00CC1507">
              <w:rPr>
                <w:b w:val="0"/>
              </w:rPr>
              <w:t>&gt;70 &amp; &lt;80</w:t>
            </w:r>
            <w:r>
              <w:rPr>
                <w:b w:val="0"/>
              </w:rPr>
              <w:t xml:space="preserve"> x ex</w:t>
            </w:r>
            <w:r w:rsidRPr="004415A6">
              <w:rPr>
                <w:b w:val="0"/>
              </w:rPr>
              <w:t>-smoker</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1.069</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0.492</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2.320</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0.867</w:t>
            </w:r>
          </w:p>
        </w:tc>
      </w:tr>
      <w:tr w:rsidR="000C0A41" w:rsidRPr="0013015A" w:rsidTr="00BC1C9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BC1C97">
            <w:pPr>
              <w:jc w:val="right"/>
              <w:rPr>
                <w:b w:val="0"/>
              </w:rPr>
            </w:pPr>
            <w:r>
              <w:rPr>
                <w:b w:val="0"/>
              </w:rPr>
              <w:t xml:space="preserve">Age group </w:t>
            </w:r>
            <w:r w:rsidRPr="004415A6">
              <w:rPr>
                <w:b w:val="0"/>
                <w:u w:val="single"/>
              </w:rPr>
              <w:t>&gt;</w:t>
            </w:r>
            <w:r w:rsidRPr="004415A6">
              <w:rPr>
                <w:b w:val="0"/>
              </w:rPr>
              <w:t>80</w:t>
            </w:r>
            <w:r>
              <w:rPr>
                <w:b w:val="0"/>
              </w:rPr>
              <w:t xml:space="preserve"> x n</w:t>
            </w:r>
            <w:r w:rsidRPr="004415A6">
              <w:rPr>
                <w:b w:val="0"/>
              </w:rPr>
              <w:t>on-smoker</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w:t>
            </w:r>
          </w:p>
        </w:tc>
      </w:tr>
      <w:tr w:rsidR="000C0A41" w:rsidRPr="0013015A" w:rsidTr="00BC1C97">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BC1C97">
            <w:pPr>
              <w:jc w:val="right"/>
              <w:rPr>
                <w:b w:val="0"/>
              </w:rPr>
            </w:pPr>
            <w:r>
              <w:rPr>
                <w:b w:val="0"/>
              </w:rPr>
              <w:t xml:space="preserve">Age group </w:t>
            </w:r>
            <w:r w:rsidRPr="004415A6">
              <w:rPr>
                <w:b w:val="0"/>
                <w:u w:val="single"/>
              </w:rPr>
              <w:t>&gt;</w:t>
            </w:r>
            <w:r w:rsidRPr="004415A6">
              <w:rPr>
                <w:b w:val="0"/>
              </w:rPr>
              <w:t>80</w:t>
            </w:r>
            <w:r>
              <w:rPr>
                <w:b w:val="0"/>
              </w:rPr>
              <w:t xml:space="preserve"> x current </w:t>
            </w:r>
            <w:r w:rsidRPr="004415A6">
              <w:rPr>
                <w:b w:val="0"/>
              </w:rPr>
              <w:t>smoker</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0.881</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0.496</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1.563</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0.664</w:t>
            </w:r>
          </w:p>
        </w:tc>
      </w:tr>
      <w:tr w:rsidR="000C0A41" w:rsidRPr="0013015A" w:rsidTr="00BC1C9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BC1C97">
            <w:pPr>
              <w:jc w:val="right"/>
              <w:rPr>
                <w:b w:val="0"/>
              </w:rPr>
            </w:pPr>
            <w:r>
              <w:rPr>
                <w:b w:val="0"/>
              </w:rPr>
              <w:t xml:space="preserve">Age group </w:t>
            </w:r>
            <w:r w:rsidRPr="004415A6">
              <w:rPr>
                <w:b w:val="0"/>
                <w:u w:val="single"/>
              </w:rPr>
              <w:t>&gt;</w:t>
            </w:r>
            <w:r w:rsidRPr="004415A6">
              <w:rPr>
                <w:b w:val="0"/>
              </w:rPr>
              <w:t>80</w:t>
            </w:r>
            <w:r>
              <w:rPr>
                <w:b w:val="0"/>
              </w:rPr>
              <w:t xml:space="preserve"> x ex</w:t>
            </w:r>
            <w:r w:rsidRPr="004415A6">
              <w:rPr>
                <w:b w:val="0"/>
              </w:rPr>
              <w:t>-smoker</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1.053</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0.485</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2.285</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0.897</w:t>
            </w:r>
          </w:p>
        </w:tc>
      </w:tr>
      <w:tr w:rsidR="000C0A41" w:rsidRPr="00CC1507" w:rsidTr="006A4E5A">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tcPr>
          <w:p w:rsidR="000C0A41" w:rsidRPr="00CC1507" w:rsidRDefault="000C0A41" w:rsidP="006A4E5A">
            <w:pPr>
              <w:jc w:val="left"/>
            </w:pPr>
            <w:r w:rsidRPr="00CC1507">
              <w:t>Deprivation</w:t>
            </w:r>
          </w:p>
        </w:tc>
        <w:tc>
          <w:tcPr>
            <w:tcW w:w="1120" w:type="dxa"/>
            <w:noWrap/>
          </w:tcPr>
          <w:p w:rsidR="000C0A41" w:rsidRPr="00CC1507" w:rsidRDefault="000C0A41" w:rsidP="006A4E5A">
            <w:pPr>
              <w:jc w:val="center"/>
              <w:cnfStyle w:val="000000000000" w:firstRow="0" w:lastRow="0" w:firstColumn="0" w:lastColumn="0" w:oddVBand="0" w:evenVBand="0" w:oddHBand="0" w:evenHBand="0" w:firstRowFirstColumn="0" w:firstRowLastColumn="0" w:lastRowFirstColumn="0" w:lastRowLastColumn="0"/>
              <w:rPr>
                <w:b/>
              </w:rPr>
            </w:pPr>
          </w:p>
        </w:tc>
        <w:tc>
          <w:tcPr>
            <w:tcW w:w="1120" w:type="dxa"/>
            <w:noWrap/>
          </w:tcPr>
          <w:p w:rsidR="000C0A41" w:rsidRPr="00CC1507" w:rsidRDefault="000C0A41" w:rsidP="006A4E5A">
            <w:pPr>
              <w:jc w:val="center"/>
              <w:cnfStyle w:val="000000000000" w:firstRow="0" w:lastRow="0" w:firstColumn="0" w:lastColumn="0" w:oddVBand="0" w:evenVBand="0" w:oddHBand="0" w:evenHBand="0" w:firstRowFirstColumn="0" w:firstRowLastColumn="0" w:lastRowFirstColumn="0" w:lastRowLastColumn="0"/>
              <w:rPr>
                <w:b/>
              </w:rPr>
            </w:pPr>
          </w:p>
        </w:tc>
        <w:tc>
          <w:tcPr>
            <w:tcW w:w="1120" w:type="dxa"/>
            <w:noWrap/>
          </w:tcPr>
          <w:p w:rsidR="000C0A41" w:rsidRPr="00CC1507" w:rsidRDefault="000C0A41" w:rsidP="006A4E5A">
            <w:pPr>
              <w:jc w:val="center"/>
              <w:cnfStyle w:val="000000000000" w:firstRow="0" w:lastRow="0" w:firstColumn="0" w:lastColumn="0" w:oddVBand="0" w:evenVBand="0" w:oddHBand="0" w:evenHBand="0" w:firstRowFirstColumn="0" w:firstRowLastColumn="0" w:lastRowFirstColumn="0" w:lastRowLastColumn="0"/>
              <w:rPr>
                <w:b/>
              </w:rPr>
            </w:pPr>
          </w:p>
        </w:tc>
        <w:tc>
          <w:tcPr>
            <w:tcW w:w="1120" w:type="dxa"/>
            <w:noWrap/>
          </w:tcPr>
          <w:p w:rsidR="000C0A41" w:rsidRPr="00CC1507" w:rsidRDefault="000C0A41" w:rsidP="006A4E5A">
            <w:pPr>
              <w:jc w:val="center"/>
              <w:cnfStyle w:val="000000000000" w:firstRow="0" w:lastRow="0" w:firstColumn="0" w:lastColumn="0" w:oddVBand="0" w:evenVBand="0" w:oddHBand="0" w:evenHBand="0" w:firstRowFirstColumn="0" w:firstRowLastColumn="0" w:lastRowFirstColumn="0" w:lastRowLastColumn="0"/>
              <w:rPr>
                <w:b/>
              </w:rPr>
            </w:pPr>
          </w:p>
        </w:tc>
      </w:tr>
      <w:tr w:rsidR="000C0A41" w:rsidRPr="0013015A" w:rsidTr="00BC1C9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CC1507" w:rsidRDefault="000C0A41" w:rsidP="00BC1C97">
            <w:pPr>
              <w:jc w:val="right"/>
              <w:rPr>
                <w:b w:val="0"/>
              </w:rPr>
            </w:pPr>
            <w:r w:rsidRPr="00CC1507">
              <w:rPr>
                <w:b w:val="0"/>
              </w:rPr>
              <w:lastRenderedPageBreak/>
              <w:t>IMD quintile 1 (least deprived)</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w:t>
            </w:r>
          </w:p>
        </w:tc>
      </w:tr>
      <w:tr w:rsidR="000C0A41" w:rsidRPr="0013015A" w:rsidTr="00BC1C97">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CC1507" w:rsidRDefault="000C0A41" w:rsidP="00BC1C97">
            <w:pPr>
              <w:jc w:val="right"/>
              <w:rPr>
                <w:b w:val="0"/>
              </w:rPr>
            </w:pPr>
            <w:r w:rsidRPr="00CC1507">
              <w:rPr>
                <w:b w:val="0"/>
              </w:rPr>
              <w:t>IMD quintile 2</w:t>
            </w:r>
          </w:p>
        </w:tc>
        <w:tc>
          <w:tcPr>
            <w:tcW w:w="1120" w:type="dxa"/>
            <w:noWrap/>
            <w:vAlign w:val="center"/>
          </w:tcPr>
          <w:p w:rsidR="000C0A41" w:rsidRPr="00BC1C97" w:rsidRDefault="000C0A41" w:rsidP="00BC1C97">
            <w:pPr>
              <w:jc w:val="center"/>
              <w:cnfStyle w:val="000000000000" w:firstRow="0" w:lastRow="0" w:firstColumn="0" w:lastColumn="0" w:oddVBand="0" w:evenVBand="0" w:oddHBand="0" w:evenHBand="0" w:firstRowFirstColumn="0" w:firstRowLastColumn="0" w:lastRowFirstColumn="0" w:lastRowLastColumn="0"/>
              <w:rPr>
                <w:highlight w:val="yellow"/>
              </w:rPr>
            </w:pPr>
            <w:r w:rsidRPr="00BC1C97">
              <w:rPr>
                <w:rFonts w:ascii="Calibri" w:hAnsi="Calibri"/>
                <w:color w:val="000000"/>
                <w:highlight w:val="yellow"/>
              </w:rPr>
              <w:t>1.216</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1.130</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1.309</w:t>
            </w:r>
          </w:p>
        </w:tc>
        <w:tc>
          <w:tcPr>
            <w:tcW w:w="1120" w:type="dxa"/>
            <w:noWrap/>
            <w:vAlign w:val="center"/>
          </w:tcPr>
          <w:p w:rsidR="000C0A41" w:rsidRPr="00BC1C97" w:rsidRDefault="000C0A41" w:rsidP="00BC1C97">
            <w:pPr>
              <w:jc w:val="center"/>
              <w:cnfStyle w:val="000000000000" w:firstRow="0" w:lastRow="0" w:firstColumn="0" w:lastColumn="0" w:oddVBand="0" w:evenVBand="0" w:oddHBand="0" w:evenHBand="0" w:firstRowFirstColumn="0" w:firstRowLastColumn="0" w:lastRowFirstColumn="0" w:lastRowLastColumn="0"/>
              <w:rPr>
                <w:highlight w:val="yellow"/>
              </w:rPr>
            </w:pPr>
            <w:r w:rsidRPr="00BC1C97">
              <w:rPr>
                <w:rFonts w:ascii="Calibri" w:hAnsi="Calibri"/>
                <w:color w:val="000000"/>
                <w:highlight w:val="yellow"/>
              </w:rPr>
              <w:t>0.000</w:t>
            </w:r>
          </w:p>
        </w:tc>
      </w:tr>
      <w:tr w:rsidR="000C0A41" w:rsidRPr="0013015A" w:rsidTr="00BC1C9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CC1507" w:rsidRDefault="000C0A41" w:rsidP="00BC1C97">
            <w:pPr>
              <w:jc w:val="right"/>
              <w:rPr>
                <w:b w:val="0"/>
              </w:rPr>
            </w:pPr>
            <w:r w:rsidRPr="00CC1507">
              <w:rPr>
                <w:b w:val="0"/>
              </w:rPr>
              <w:t>IMD quintile 3</w:t>
            </w:r>
          </w:p>
        </w:tc>
        <w:tc>
          <w:tcPr>
            <w:tcW w:w="1120" w:type="dxa"/>
            <w:noWrap/>
            <w:vAlign w:val="center"/>
          </w:tcPr>
          <w:p w:rsidR="000C0A41" w:rsidRPr="00BC1C97" w:rsidRDefault="000C0A41" w:rsidP="00BC1C97">
            <w:pPr>
              <w:jc w:val="center"/>
              <w:cnfStyle w:val="000000100000" w:firstRow="0" w:lastRow="0" w:firstColumn="0" w:lastColumn="0" w:oddVBand="0" w:evenVBand="0" w:oddHBand="1" w:evenHBand="0" w:firstRowFirstColumn="0" w:firstRowLastColumn="0" w:lastRowFirstColumn="0" w:lastRowLastColumn="0"/>
              <w:rPr>
                <w:highlight w:val="yellow"/>
              </w:rPr>
            </w:pPr>
            <w:r w:rsidRPr="00BC1C97">
              <w:rPr>
                <w:rFonts w:ascii="Calibri" w:hAnsi="Calibri"/>
                <w:color w:val="000000"/>
                <w:highlight w:val="yellow"/>
              </w:rPr>
              <w:t>1.450</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1.342</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1.567</w:t>
            </w:r>
          </w:p>
        </w:tc>
        <w:tc>
          <w:tcPr>
            <w:tcW w:w="1120" w:type="dxa"/>
            <w:noWrap/>
            <w:vAlign w:val="center"/>
          </w:tcPr>
          <w:p w:rsidR="000C0A41" w:rsidRPr="00BC1C97" w:rsidRDefault="000C0A41" w:rsidP="00BC1C97">
            <w:pPr>
              <w:jc w:val="center"/>
              <w:cnfStyle w:val="000000100000" w:firstRow="0" w:lastRow="0" w:firstColumn="0" w:lastColumn="0" w:oddVBand="0" w:evenVBand="0" w:oddHBand="1" w:evenHBand="0" w:firstRowFirstColumn="0" w:firstRowLastColumn="0" w:lastRowFirstColumn="0" w:lastRowLastColumn="0"/>
              <w:rPr>
                <w:highlight w:val="yellow"/>
              </w:rPr>
            </w:pPr>
            <w:r w:rsidRPr="00BC1C97">
              <w:rPr>
                <w:rFonts w:ascii="Calibri" w:hAnsi="Calibri"/>
                <w:color w:val="000000"/>
                <w:highlight w:val="yellow"/>
              </w:rPr>
              <w:t>0.000</w:t>
            </w:r>
          </w:p>
        </w:tc>
      </w:tr>
      <w:tr w:rsidR="000C0A41" w:rsidRPr="0013015A" w:rsidTr="00BC1C97">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CC1507" w:rsidRDefault="000C0A41" w:rsidP="00BC1C97">
            <w:pPr>
              <w:jc w:val="right"/>
              <w:rPr>
                <w:b w:val="0"/>
              </w:rPr>
            </w:pPr>
            <w:r w:rsidRPr="00CC1507">
              <w:rPr>
                <w:b w:val="0"/>
              </w:rPr>
              <w:t>IMD quintile 4</w:t>
            </w:r>
          </w:p>
        </w:tc>
        <w:tc>
          <w:tcPr>
            <w:tcW w:w="1120" w:type="dxa"/>
            <w:noWrap/>
            <w:vAlign w:val="center"/>
          </w:tcPr>
          <w:p w:rsidR="000C0A41" w:rsidRPr="00BC1C97" w:rsidRDefault="000C0A41" w:rsidP="00BC1C97">
            <w:pPr>
              <w:jc w:val="center"/>
              <w:cnfStyle w:val="000000000000" w:firstRow="0" w:lastRow="0" w:firstColumn="0" w:lastColumn="0" w:oddVBand="0" w:evenVBand="0" w:oddHBand="0" w:evenHBand="0" w:firstRowFirstColumn="0" w:firstRowLastColumn="0" w:lastRowFirstColumn="0" w:lastRowLastColumn="0"/>
              <w:rPr>
                <w:highlight w:val="yellow"/>
              </w:rPr>
            </w:pPr>
            <w:r w:rsidRPr="00BC1C97">
              <w:rPr>
                <w:rFonts w:ascii="Calibri" w:hAnsi="Calibri"/>
                <w:color w:val="000000"/>
                <w:highlight w:val="yellow"/>
              </w:rPr>
              <w:t>1.717</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1.597</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1.847</w:t>
            </w:r>
          </w:p>
        </w:tc>
        <w:tc>
          <w:tcPr>
            <w:tcW w:w="1120" w:type="dxa"/>
            <w:noWrap/>
            <w:vAlign w:val="center"/>
          </w:tcPr>
          <w:p w:rsidR="000C0A41" w:rsidRPr="00BC1C97" w:rsidRDefault="000C0A41" w:rsidP="00BC1C97">
            <w:pPr>
              <w:jc w:val="center"/>
              <w:cnfStyle w:val="000000000000" w:firstRow="0" w:lastRow="0" w:firstColumn="0" w:lastColumn="0" w:oddVBand="0" w:evenVBand="0" w:oddHBand="0" w:evenHBand="0" w:firstRowFirstColumn="0" w:firstRowLastColumn="0" w:lastRowFirstColumn="0" w:lastRowLastColumn="0"/>
              <w:rPr>
                <w:highlight w:val="yellow"/>
              </w:rPr>
            </w:pPr>
            <w:r w:rsidRPr="00BC1C97">
              <w:rPr>
                <w:rFonts w:ascii="Calibri" w:hAnsi="Calibri"/>
                <w:color w:val="000000"/>
                <w:highlight w:val="yellow"/>
              </w:rPr>
              <w:t>0.000</w:t>
            </w:r>
          </w:p>
        </w:tc>
      </w:tr>
      <w:tr w:rsidR="000C0A41" w:rsidRPr="0013015A" w:rsidTr="00BC1C9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CC1507" w:rsidRDefault="000C0A41" w:rsidP="00BC1C97">
            <w:pPr>
              <w:jc w:val="right"/>
              <w:rPr>
                <w:b w:val="0"/>
              </w:rPr>
            </w:pPr>
            <w:r w:rsidRPr="00CC1507">
              <w:rPr>
                <w:b w:val="0"/>
              </w:rPr>
              <w:t>IMD quintile 5 (most deprived)</w:t>
            </w:r>
          </w:p>
        </w:tc>
        <w:tc>
          <w:tcPr>
            <w:tcW w:w="1120" w:type="dxa"/>
            <w:noWrap/>
            <w:vAlign w:val="center"/>
          </w:tcPr>
          <w:p w:rsidR="000C0A41" w:rsidRPr="00BC1C97" w:rsidRDefault="000C0A41" w:rsidP="00BC1C97">
            <w:pPr>
              <w:jc w:val="center"/>
              <w:cnfStyle w:val="000000100000" w:firstRow="0" w:lastRow="0" w:firstColumn="0" w:lastColumn="0" w:oddVBand="0" w:evenVBand="0" w:oddHBand="1" w:evenHBand="0" w:firstRowFirstColumn="0" w:firstRowLastColumn="0" w:lastRowFirstColumn="0" w:lastRowLastColumn="0"/>
              <w:rPr>
                <w:highlight w:val="yellow"/>
              </w:rPr>
            </w:pPr>
            <w:r w:rsidRPr="00BC1C97">
              <w:rPr>
                <w:rFonts w:ascii="Calibri" w:hAnsi="Calibri"/>
                <w:color w:val="000000"/>
                <w:highlight w:val="yellow"/>
              </w:rPr>
              <w:t>2.069</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1.931</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2.217</w:t>
            </w:r>
          </w:p>
        </w:tc>
        <w:tc>
          <w:tcPr>
            <w:tcW w:w="1120" w:type="dxa"/>
            <w:noWrap/>
            <w:vAlign w:val="center"/>
          </w:tcPr>
          <w:p w:rsidR="000C0A41" w:rsidRPr="00BC1C97" w:rsidRDefault="000C0A41" w:rsidP="00BC1C97">
            <w:pPr>
              <w:jc w:val="center"/>
              <w:cnfStyle w:val="000000100000" w:firstRow="0" w:lastRow="0" w:firstColumn="0" w:lastColumn="0" w:oddVBand="0" w:evenVBand="0" w:oddHBand="1" w:evenHBand="0" w:firstRowFirstColumn="0" w:firstRowLastColumn="0" w:lastRowFirstColumn="0" w:lastRowLastColumn="0"/>
              <w:rPr>
                <w:highlight w:val="yellow"/>
              </w:rPr>
            </w:pPr>
            <w:r w:rsidRPr="00BC1C97">
              <w:rPr>
                <w:rFonts w:ascii="Calibri" w:hAnsi="Calibri"/>
                <w:color w:val="000000"/>
                <w:highlight w:val="yellow"/>
              </w:rPr>
              <w:t>0.000</w:t>
            </w:r>
          </w:p>
        </w:tc>
      </w:tr>
      <w:tr w:rsidR="000C0A41" w:rsidRPr="0013015A" w:rsidTr="006A4E5A">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tcPr>
          <w:p w:rsidR="000C0A41" w:rsidRPr="004415A6" w:rsidRDefault="000C0A41" w:rsidP="006A4E5A">
            <w:pPr>
              <w:rPr>
                <w:b w:val="0"/>
              </w:rPr>
            </w:pPr>
            <w:r>
              <w:rPr>
                <w:b w:val="0"/>
              </w:rPr>
              <w:t>Constant</w:t>
            </w:r>
          </w:p>
        </w:tc>
        <w:tc>
          <w:tcPr>
            <w:tcW w:w="1120" w:type="dxa"/>
            <w:noWrap/>
          </w:tcPr>
          <w:p w:rsidR="000C0A41" w:rsidRPr="0013015A" w:rsidRDefault="000C0A41" w:rsidP="006A4E5A">
            <w:pPr>
              <w:jc w:val="center"/>
              <w:cnfStyle w:val="000000000000" w:firstRow="0" w:lastRow="0" w:firstColumn="0" w:lastColumn="0" w:oddVBand="0" w:evenVBand="0" w:oddHBand="0" w:evenHBand="0" w:firstRowFirstColumn="0" w:firstRowLastColumn="0" w:lastRowFirstColumn="0" w:lastRowLastColumn="0"/>
            </w:pPr>
          </w:p>
        </w:tc>
        <w:tc>
          <w:tcPr>
            <w:tcW w:w="1120" w:type="dxa"/>
            <w:noWrap/>
          </w:tcPr>
          <w:p w:rsidR="000C0A41" w:rsidRPr="0013015A" w:rsidRDefault="000C0A41" w:rsidP="006A4E5A">
            <w:pPr>
              <w:jc w:val="center"/>
              <w:cnfStyle w:val="000000000000" w:firstRow="0" w:lastRow="0" w:firstColumn="0" w:lastColumn="0" w:oddVBand="0" w:evenVBand="0" w:oddHBand="0" w:evenHBand="0" w:firstRowFirstColumn="0" w:firstRowLastColumn="0" w:lastRowFirstColumn="0" w:lastRowLastColumn="0"/>
            </w:pPr>
          </w:p>
        </w:tc>
        <w:tc>
          <w:tcPr>
            <w:tcW w:w="1120" w:type="dxa"/>
            <w:noWrap/>
          </w:tcPr>
          <w:p w:rsidR="000C0A41" w:rsidRPr="0013015A" w:rsidRDefault="000C0A41" w:rsidP="006A4E5A">
            <w:pPr>
              <w:jc w:val="center"/>
              <w:cnfStyle w:val="000000000000" w:firstRow="0" w:lastRow="0" w:firstColumn="0" w:lastColumn="0" w:oddVBand="0" w:evenVBand="0" w:oddHBand="0" w:evenHBand="0" w:firstRowFirstColumn="0" w:firstRowLastColumn="0" w:lastRowFirstColumn="0" w:lastRowLastColumn="0"/>
            </w:pPr>
          </w:p>
        </w:tc>
        <w:tc>
          <w:tcPr>
            <w:tcW w:w="1120" w:type="dxa"/>
            <w:noWrap/>
          </w:tcPr>
          <w:p w:rsidR="000C0A41" w:rsidRPr="0013015A" w:rsidRDefault="000C0A41" w:rsidP="006A4E5A">
            <w:pPr>
              <w:jc w:val="center"/>
              <w:cnfStyle w:val="000000000000" w:firstRow="0" w:lastRow="0" w:firstColumn="0" w:lastColumn="0" w:oddVBand="0" w:evenVBand="0" w:oddHBand="0" w:evenHBand="0" w:firstRowFirstColumn="0" w:firstRowLastColumn="0" w:lastRowFirstColumn="0" w:lastRowLastColumn="0"/>
            </w:pPr>
          </w:p>
        </w:tc>
      </w:tr>
    </w:tbl>
    <w:p w:rsidR="000C0A41" w:rsidRDefault="000C0A41" w:rsidP="006A4E5A"/>
    <w:p w:rsidR="000C0A41" w:rsidRDefault="000C0A41" w:rsidP="006A4E5A">
      <w:r>
        <w:fldChar w:fldCharType="begin"/>
      </w:r>
      <w:r>
        <w:instrText xml:space="preserve"> REF _Ref457482341 \h </w:instrText>
      </w:r>
      <w:r>
        <w:fldChar w:fldCharType="separate"/>
      </w:r>
      <w:r w:rsidRPr="00B91319">
        <w:t xml:space="preserve">Table </w:t>
      </w:r>
      <w:r>
        <w:rPr>
          <w:noProof/>
        </w:rPr>
        <w:t>17</w:t>
      </w:r>
      <w:r>
        <w:fldChar w:fldCharType="end"/>
      </w:r>
      <w:r>
        <w:t xml:space="preserve"> shows the l</w:t>
      </w:r>
      <w:r w:rsidRPr="00B91319">
        <w:t xml:space="preserve">ogistic regression model </w:t>
      </w:r>
      <w:r>
        <w:t xml:space="preserve">for </w:t>
      </w:r>
      <w:r w:rsidRPr="00B91319">
        <w:t xml:space="preserve">patients </w:t>
      </w:r>
      <w:r>
        <w:t xml:space="preserve">with </w:t>
      </w:r>
      <w:r w:rsidRPr="006A4E5A">
        <w:t xml:space="preserve">only </w:t>
      </w:r>
      <w:r>
        <w:t>algorithm/possible COPD diagnosis (</w:t>
      </w:r>
      <w:r w:rsidRPr="004344B3">
        <w:t>smoking history and 2+ symptoms and 2+ prescriptions for inhaled COPD therapy</w:t>
      </w:r>
      <w:r>
        <w:t>), and excluding those with HES or CPRD COPD diagnoses. In contrast to the models for doctor-diagnosed COPD, the ORs we obtained were very dissimilar to the other models and to what we would expect from the literature. Females have a higher OR, prevalence decreases with age, as does ORs for more deprived populations. The algorithm appears to select a different and much younger population who nevertheless are smokers who meet the criteria. The PPV for this group from the 2014 paper by Quint et al was 45%, so a significant proportion of them should have similar ORs to those with diagnoses. However we did not have the time or resource to investigate this group in more detail, which would involve as a first step  determing how many do have COPD e.g from spirometry data, and we decided not to include them in the final model.</w:t>
      </w:r>
    </w:p>
    <w:p w:rsidR="000C0A41" w:rsidRPr="00B91319" w:rsidRDefault="000C0A41" w:rsidP="006A4E5A">
      <w:pPr>
        <w:pStyle w:val="Caption"/>
        <w:keepNext/>
        <w:rPr>
          <w:color w:val="auto"/>
          <w:szCs w:val="22"/>
        </w:rPr>
      </w:pPr>
      <w:bookmarkStart w:id="86" w:name="_Ref457482341"/>
      <w:r w:rsidRPr="00B91319">
        <w:rPr>
          <w:color w:val="auto"/>
          <w:szCs w:val="22"/>
        </w:rPr>
        <w:t xml:space="preserve">Table </w:t>
      </w:r>
      <w:r w:rsidRPr="00B91319">
        <w:rPr>
          <w:color w:val="auto"/>
          <w:szCs w:val="22"/>
        </w:rPr>
        <w:fldChar w:fldCharType="begin"/>
      </w:r>
      <w:r w:rsidRPr="00B91319">
        <w:rPr>
          <w:color w:val="auto"/>
          <w:szCs w:val="22"/>
        </w:rPr>
        <w:instrText xml:space="preserve"> SEQ Table \* ARABIC </w:instrText>
      </w:r>
      <w:r w:rsidRPr="00B91319">
        <w:rPr>
          <w:color w:val="auto"/>
          <w:szCs w:val="22"/>
        </w:rPr>
        <w:fldChar w:fldCharType="separate"/>
      </w:r>
      <w:r>
        <w:rPr>
          <w:noProof/>
          <w:color w:val="auto"/>
          <w:szCs w:val="22"/>
        </w:rPr>
        <w:t>17</w:t>
      </w:r>
      <w:r w:rsidRPr="00B91319">
        <w:rPr>
          <w:color w:val="auto"/>
          <w:szCs w:val="22"/>
        </w:rPr>
        <w:fldChar w:fldCharType="end"/>
      </w:r>
      <w:bookmarkEnd w:id="86"/>
      <w:r w:rsidRPr="00B91319">
        <w:rPr>
          <w:color w:val="auto"/>
          <w:szCs w:val="22"/>
        </w:rPr>
        <w:t>: M</w:t>
      </w:r>
      <w:r>
        <w:rPr>
          <w:color w:val="auto"/>
          <w:szCs w:val="22"/>
        </w:rPr>
        <w:t>3</w:t>
      </w:r>
      <w:r w:rsidRPr="00B91319">
        <w:rPr>
          <w:color w:val="auto"/>
          <w:szCs w:val="22"/>
        </w:rPr>
        <w:t xml:space="preserve">- </w:t>
      </w:r>
      <w:r>
        <w:rPr>
          <w:color w:val="auto"/>
          <w:szCs w:val="22"/>
        </w:rPr>
        <w:t>l</w:t>
      </w:r>
      <w:r w:rsidRPr="00B91319">
        <w:rPr>
          <w:color w:val="auto"/>
          <w:szCs w:val="22"/>
        </w:rPr>
        <w:t xml:space="preserve">ogistic regression model including patients </w:t>
      </w:r>
      <w:r>
        <w:rPr>
          <w:color w:val="auto"/>
          <w:szCs w:val="22"/>
        </w:rPr>
        <w:t xml:space="preserve">with </w:t>
      </w:r>
      <w:r w:rsidRPr="006A4E5A">
        <w:rPr>
          <w:color w:val="auto"/>
          <w:szCs w:val="22"/>
        </w:rPr>
        <w:t xml:space="preserve">only </w:t>
      </w:r>
      <w:r>
        <w:rPr>
          <w:color w:val="auto"/>
          <w:szCs w:val="22"/>
        </w:rPr>
        <w:t>algorithm/possible COPD diagnosis (</w:t>
      </w:r>
      <w:r w:rsidRPr="004344B3">
        <w:rPr>
          <w:color w:val="auto"/>
          <w:szCs w:val="22"/>
        </w:rPr>
        <w:t>smoking history and 2+ symptoms and 2+ prescriptions for inhaled COPD therapy</w:t>
      </w:r>
      <w:r>
        <w:rPr>
          <w:color w:val="auto"/>
          <w:szCs w:val="22"/>
        </w:rPr>
        <w:t>)</w:t>
      </w:r>
    </w:p>
    <w:tbl>
      <w:tblPr>
        <w:tblStyle w:val="GridTable4-Accent1"/>
        <w:tblW w:w="0" w:type="auto"/>
        <w:jc w:val="center"/>
        <w:tblLook w:val="04A0" w:firstRow="1" w:lastRow="0" w:firstColumn="1" w:lastColumn="0" w:noHBand="0" w:noVBand="1"/>
      </w:tblPr>
      <w:tblGrid>
        <w:gridCol w:w="4489"/>
        <w:gridCol w:w="1120"/>
        <w:gridCol w:w="1120"/>
        <w:gridCol w:w="1120"/>
        <w:gridCol w:w="1120"/>
      </w:tblGrid>
      <w:tr w:rsidR="000C0A41" w:rsidRPr="00CC1507" w:rsidTr="006A4E5A">
        <w:trPr>
          <w:cnfStyle w:val="100000000000" w:firstRow="1" w:lastRow="0" w:firstColumn="0" w:lastColumn="0" w:oddVBand="0" w:evenVBand="0" w:oddHBand="0" w:evenHBand="0" w:firstRowFirstColumn="0" w:firstRowLastColumn="0" w:lastRowFirstColumn="0" w:lastRowLastColumn="0"/>
          <w:trHeight w:val="300"/>
          <w:tblHeader/>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CC1507" w:rsidRDefault="000C0A41" w:rsidP="006A4E5A">
            <w:pPr>
              <w:jc w:val="center"/>
            </w:pPr>
            <w:r w:rsidRPr="00CC1507">
              <w:t>Parameter</w:t>
            </w:r>
          </w:p>
        </w:tc>
        <w:tc>
          <w:tcPr>
            <w:tcW w:w="1120" w:type="dxa"/>
            <w:noWrap/>
            <w:hideMark/>
          </w:tcPr>
          <w:p w:rsidR="000C0A41" w:rsidRPr="00CC1507" w:rsidRDefault="000C0A41" w:rsidP="006A4E5A">
            <w:pPr>
              <w:jc w:val="center"/>
              <w:cnfStyle w:val="100000000000" w:firstRow="1" w:lastRow="0" w:firstColumn="0" w:lastColumn="0" w:oddVBand="0" w:evenVBand="0" w:oddHBand="0" w:evenHBand="0" w:firstRowFirstColumn="0" w:firstRowLastColumn="0" w:lastRowFirstColumn="0" w:lastRowLastColumn="0"/>
            </w:pPr>
            <w:r w:rsidRPr="00CC1507">
              <w:t>Odds Ratio</w:t>
            </w:r>
          </w:p>
        </w:tc>
        <w:tc>
          <w:tcPr>
            <w:tcW w:w="1120" w:type="dxa"/>
            <w:noWrap/>
            <w:hideMark/>
          </w:tcPr>
          <w:p w:rsidR="000C0A41" w:rsidRPr="00CC1507" w:rsidRDefault="000C0A41" w:rsidP="006A4E5A">
            <w:pPr>
              <w:jc w:val="center"/>
              <w:cnfStyle w:val="100000000000" w:firstRow="1" w:lastRow="0" w:firstColumn="0" w:lastColumn="0" w:oddVBand="0" w:evenVBand="0" w:oddHBand="0" w:evenHBand="0" w:firstRowFirstColumn="0" w:firstRowLastColumn="0" w:lastRowFirstColumn="0" w:lastRowLastColumn="0"/>
            </w:pPr>
            <w:r w:rsidRPr="00CC1507">
              <w:t>Lower 95% CI</w:t>
            </w:r>
          </w:p>
        </w:tc>
        <w:tc>
          <w:tcPr>
            <w:tcW w:w="1120" w:type="dxa"/>
            <w:noWrap/>
            <w:hideMark/>
          </w:tcPr>
          <w:p w:rsidR="000C0A41" w:rsidRPr="00CC1507" w:rsidRDefault="000C0A41" w:rsidP="006A4E5A">
            <w:pPr>
              <w:jc w:val="center"/>
              <w:cnfStyle w:val="100000000000" w:firstRow="1" w:lastRow="0" w:firstColumn="0" w:lastColumn="0" w:oddVBand="0" w:evenVBand="0" w:oddHBand="0" w:evenHBand="0" w:firstRowFirstColumn="0" w:firstRowLastColumn="0" w:lastRowFirstColumn="0" w:lastRowLastColumn="0"/>
            </w:pPr>
            <w:r w:rsidRPr="00CC1507">
              <w:t>Upper 95% CI</w:t>
            </w:r>
          </w:p>
        </w:tc>
        <w:tc>
          <w:tcPr>
            <w:tcW w:w="1120" w:type="dxa"/>
            <w:noWrap/>
            <w:hideMark/>
          </w:tcPr>
          <w:p w:rsidR="000C0A41" w:rsidRPr="00CC1507" w:rsidRDefault="000C0A41" w:rsidP="006A4E5A">
            <w:pPr>
              <w:jc w:val="center"/>
              <w:cnfStyle w:val="100000000000" w:firstRow="1" w:lastRow="0" w:firstColumn="0" w:lastColumn="0" w:oddVBand="0" w:evenVBand="0" w:oddHBand="0" w:evenHBand="0" w:firstRowFirstColumn="0" w:firstRowLastColumn="0" w:lastRowFirstColumn="0" w:lastRowLastColumn="0"/>
            </w:pPr>
            <w:r w:rsidRPr="00CC1507">
              <w:rPr>
                <w:i/>
              </w:rPr>
              <w:t>p</w:t>
            </w:r>
            <w:r w:rsidRPr="00CC1507">
              <w:t xml:space="preserve"> value</w:t>
            </w:r>
          </w:p>
        </w:tc>
      </w:tr>
      <w:tr w:rsidR="000C0A41" w:rsidRPr="004415A6" w:rsidTr="006A4E5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tcPr>
          <w:p w:rsidR="000C0A41" w:rsidRPr="004415A6" w:rsidRDefault="000C0A41" w:rsidP="006A4E5A">
            <w:r w:rsidRPr="004415A6">
              <w:t>Sex</w:t>
            </w:r>
          </w:p>
        </w:tc>
        <w:tc>
          <w:tcPr>
            <w:tcW w:w="1120" w:type="dxa"/>
            <w:noWrap/>
          </w:tcPr>
          <w:p w:rsidR="000C0A41" w:rsidRPr="004415A6" w:rsidRDefault="000C0A41" w:rsidP="006A4E5A">
            <w:pPr>
              <w:jc w:val="center"/>
              <w:cnfStyle w:val="000000100000" w:firstRow="0" w:lastRow="0" w:firstColumn="0" w:lastColumn="0" w:oddVBand="0" w:evenVBand="0" w:oddHBand="1" w:evenHBand="0" w:firstRowFirstColumn="0" w:firstRowLastColumn="0" w:lastRowFirstColumn="0" w:lastRowLastColumn="0"/>
              <w:rPr>
                <w:b/>
              </w:rPr>
            </w:pPr>
          </w:p>
        </w:tc>
        <w:tc>
          <w:tcPr>
            <w:tcW w:w="1120" w:type="dxa"/>
            <w:noWrap/>
          </w:tcPr>
          <w:p w:rsidR="000C0A41" w:rsidRPr="004415A6" w:rsidRDefault="000C0A41" w:rsidP="006A4E5A">
            <w:pPr>
              <w:jc w:val="center"/>
              <w:cnfStyle w:val="000000100000" w:firstRow="0" w:lastRow="0" w:firstColumn="0" w:lastColumn="0" w:oddVBand="0" w:evenVBand="0" w:oddHBand="1" w:evenHBand="0" w:firstRowFirstColumn="0" w:firstRowLastColumn="0" w:lastRowFirstColumn="0" w:lastRowLastColumn="0"/>
              <w:rPr>
                <w:b/>
              </w:rPr>
            </w:pPr>
          </w:p>
        </w:tc>
        <w:tc>
          <w:tcPr>
            <w:tcW w:w="1120" w:type="dxa"/>
            <w:noWrap/>
          </w:tcPr>
          <w:p w:rsidR="000C0A41" w:rsidRPr="004415A6" w:rsidRDefault="000C0A41" w:rsidP="006A4E5A">
            <w:pPr>
              <w:jc w:val="center"/>
              <w:cnfStyle w:val="000000100000" w:firstRow="0" w:lastRow="0" w:firstColumn="0" w:lastColumn="0" w:oddVBand="0" w:evenVBand="0" w:oddHBand="1" w:evenHBand="0" w:firstRowFirstColumn="0" w:firstRowLastColumn="0" w:lastRowFirstColumn="0" w:lastRowLastColumn="0"/>
              <w:rPr>
                <w:b/>
              </w:rPr>
            </w:pPr>
          </w:p>
        </w:tc>
        <w:tc>
          <w:tcPr>
            <w:tcW w:w="1120" w:type="dxa"/>
            <w:noWrap/>
          </w:tcPr>
          <w:p w:rsidR="000C0A41" w:rsidRPr="004415A6" w:rsidRDefault="000C0A41" w:rsidP="006A4E5A">
            <w:pPr>
              <w:jc w:val="center"/>
              <w:cnfStyle w:val="000000100000" w:firstRow="0" w:lastRow="0" w:firstColumn="0" w:lastColumn="0" w:oddVBand="0" w:evenVBand="0" w:oddHBand="1" w:evenHBand="0" w:firstRowFirstColumn="0" w:firstRowLastColumn="0" w:lastRowFirstColumn="0" w:lastRowLastColumn="0"/>
              <w:rPr>
                <w:b/>
              </w:rPr>
            </w:pPr>
          </w:p>
        </w:tc>
      </w:tr>
      <w:tr w:rsidR="000C0A41" w:rsidRPr="0013015A" w:rsidTr="00BC1C97">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BC1C97">
            <w:pPr>
              <w:jc w:val="right"/>
              <w:rPr>
                <w:b w:val="0"/>
              </w:rPr>
            </w:pPr>
            <w:r w:rsidRPr="004415A6">
              <w:rPr>
                <w:b w:val="0"/>
              </w:rPr>
              <w:t>Male</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w:t>
            </w:r>
          </w:p>
        </w:tc>
      </w:tr>
      <w:tr w:rsidR="000C0A41" w:rsidRPr="00BC1C97" w:rsidTr="00BC1C9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BC1C97">
            <w:pPr>
              <w:jc w:val="right"/>
              <w:rPr>
                <w:b w:val="0"/>
              </w:rPr>
            </w:pPr>
            <w:r w:rsidRPr="004415A6">
              <w:rPr>
                <w:b w:val="0"/>
              </w:rPr>
              <w:t>Female</w:t>
            </w:r>
          </w:p>
        </w:tc>
        <w:tc>
          <w:tcPr>
            <w:tcW w:w="1120" w:type="dxa"/>
            <w:noWrap/>
            <w:vAlign w:val="center"/>
          </w:tcPr>
          <w:p w:rsidR="000C0A41" w:rsidRPr="00BC1C97" w:rsidRDefault="000C0A41" w:rsidP="00BC1C97">
            <w:pPr>
              <w:jc w:val="center"/>
              <w:cnfStyle w:val="000000100000" w:firstRow="0" w:lastRow="0" w:firstColumn="0" w:lastColumn="0" w:oddVBand="0" w:evenVBand="0" w:oddHBand="1" w:evenHBand="0" w:firstRowFirstColumn="0" w:firstRowLastColumn="0" w:lastRowFirstColumn="0" w:lastRowLastColumn="0"/>
              <w:rPr>
                <w:highlight w:val="yellow"/>
              </w:rPr>
            </w:pPr>
            <w:r w:rsidRPr="00BC1C97">
              <w:rPr>
                <w:rFonts w:ascii="Calibri" w:hAnsi="Calibri"/>
                <w:color w:val="000000"/>
                <w:highlight w:val="yellow"/>
              </w:rPr>
              <w:t>1.229</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1.198</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1.261</w:t>
            </w:r>
          </w:p>
        </w:tc>
        <w:tc>
          <w:tcPr>
            <w:tcW w:w="1120" w:type="dxa"/>
            <w:noWrap/>
            <w:vAlign w:val="center"/>
          </w:tcPr>
          <w:p w:rsidR="000C0A41" w:rsidRPr="00BC1C97" w:rsidRDefault="000C0A41" w:rsidP="00BC1C97">
            <w:pPr>
              <w:jc w:val="center"/>
              <w:cnfStyle w:val="000000100000" w:firstRow="0" w:lastRow="0" w:firstColumn="0" w:lastColumn="0" w:oddVBand="0" w:evenVBand="0" w:oddHBand="1" w:evenHBand="0" w:firstRowFirstColumn="0" w:firstRowLastColumn="0" w:lastRowFirstColumn="0" w:lastRowLastColumn="0"/>
              <w:rPr>
                <w:highlight w:val="yellow"/>
              </w:rPr>
            </w:pPr>
            <w:r w:rsidRPr="00BC1C97">
              <w:rPr>
                <w:rFonts w:ascii="Calibri" w:hAnsi="Calibri"/>
                <w:color w:val="000000"/>
                <w:highlight w:val="yellow"/>
              </w:rPr>
              <w:t>0.000</w:t>
            </w:r>
          </w:p>
        </w:tc>
      </w:tr>
      <w:tr w:rsidR="000C0A41" w:rsidRPr="004415A6" w:rsidTr="006A4E5A">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tcPr>
          <w:p w:rsidR="000C0A41" w:rsidRPr="004415A6" w:rsidRDefault="000C0A41" w:rsidP="006A4E5A">
            <w:pPr>
              <w:jc w:val="left"/>
            </w:pPr>
            <w:r w:rsidRPr="004415A6">
              <w:t>Age group</w:t>
            </w:r>
          </w:p>
        </w:tc>
        <w:tc>
          <w:tcPr>
            <w:tcW w:w="1120" w:type="dxa"/>
            <w:noWrap/>
          </w:tcPr>
          <w:p w:rsidR="000C0A41" w:rsidRPr="004415A6" w:rsidRDefault="000C0A41" w:rsidP="006A4E5A">
            <w:pPr>
              <w:jc w:val="center"/>
              <w:cnfStyle w:val="000000000000" w:firstRow="0" w:lastRow="0" w:firstColumn="0" w:lastColumn="0" w:oddVBand="0" w:evenVBand="0" w:oddHBand="0" w:evenHBand="0" w:firstRowFirstColumn="0" w:firstRowLastColumn="0" w:lastRowFirstColumn="0" w:lastRowLastColumn="0"/>
              <w:rPr>
                <w:b/>
              </w:rPr>
            </w:pPr>
          </w:p>
        </w:tc>
        <w:tc>
          <w:tcPr>
            <w:tcW w:w="1120" w:type="dxa"/>
            <w:noWrap/>
          </w:tcPr>
          <w:p w:rsidR="000C0A41" w:rsidRPr="004415A6" w:rsidRDefault="000C0A41" w:rsidP="006A4E5A">
            <w:pPr>
              <w:jc w:val="center"/>
              <w:cnfStyle w:val="000000000000" w:firstRow="0" w:lastRow="0" w:firstColumn="0" w:lastColumn="0" w:oddVBand="0" w:evenVBand="0" w:oddHBand="0" w:evenHBand="0" w:firstRowFirstColumn="0" w:firstRowLastColumn="0" w:lastRowFirstColumn="0" w:lastRowLastColumn="0"/>
              <w:rPr>
                <w:b/>
              </w:rPr>
            </w:pPr>
          </w:p>
        </w:tc>
        <w:tc>
          <w:tcPr>
            <w:tcW w:w="1120" w:type="dxa"/>
            <w:noWrap/>
          </w:tcPr>
          <w:p w:rsidR="000C0A41" w:rsidRPr="004415A6" w:rsidRDefault="000C0A41" w:rsidP="006A4E5A">
            <w:pPr>
              <w:jc w:val="center"/>
              <w:cnfStyle w:val="000000000000" w:firstRow="0" w:lastRow="0" w:firstColumn="0" w:lastColumn="0" w:oddVBand="0" w:evenVBand="0" w:oddHBand="0" w:evenHBand="0" w:firstRowFirstColumn="0" w:firstRowLastColumn="0" w:lastRowFirstColumn="0" w:lastRowLastColumn="0"/>
              <w:rPr>
                <w:b/>
              </w:rPr>
            </w:pPr>
          </w:p>
        </w:tc>
        <w:tc>
          <w:tcPr>
            <w:tcW w:w="1120" w:type="dxa"/>
            <w:noWrap/>
          </w:tcPr>
          <w:p w:rsidR="000C0A41" w:rsidRPr="004415A6" w:rsidRDefault="000C0A41" w:rsidP="006A4E5A">
            <w:pPr>
              <w:jc w:val="center"/>
              <w:cnfStyle w:val="000000000000" w:firstRow="0" w:lastRow="0" w:firstColumn="0" w:lastColumn="0" w:oddVBand="0" w:evenVBand="0" w:oddHBand="0" w:evenHBand="0" w:firstRowFirstColumn="0" w:firstRowLastColumn="0" w:lastRowFirstColumn="0" w:lastRowLastColumn="0"/>
              <w:rPr>
                <w:b/>
              </w:rPr>
            </w:pPr>
          </w:p>
        </w:tc>
      </w:tr>
      <w:tr w:rsidR="000C0A41" w:rsidRPr="0013015A" w:rsidTr="00BC1C9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BC1C97">
            <w:pPr>
              <w:jc w:val="right"/>
              <w:rPr>
                <w:b w:val="0"/>
              </w:rPr>
            </w:pPr>
            <w:r w:rsidRPr="004415A6">
              <w:rPr>
                <w:b w:val="0"/>
              </w:rPr>
              <w:t>&lt;40</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w:t>
            </w:r>
          </w:p>
        </w:tc>
      </w:tr>
      <w:tr w:rsidR="000C0A41" w:rsidRPr="0013015A" w:rsidTr="00BC1C97">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BC1C97">
            <w:pPr>
              <w:jc w:val="right"/>
              <w:rPr>
                <w:b w:val="0"/>
              </w:rPr>
            </w:pPr>
            <w:r w:rsidRPr="004415A6">
              <w:rPr>
                <w:b w:val="0"/>
                <w:u w:val="single"/>
              </w:rPr>
              <w:t>&gt;</w:t>
            </w:r>
            <w:r w:rsidRPr="004415A6">
              <w:rPr>
                <w:b w:val="0"/>
              </w:rPr>
              <w:t>40 &amp; &lt;50</w:t>
            </w:r>
          </w:p>
        </w:tc>
        <w:tc>
          <w:tcPr>
            <w:tcW w:w="1120" w:type="dxa"/>
            <w:noWrap/>
            <w:vAlign w:val="center"/>
          </w:tcPr>
          <w:p w:rsidR="000C0A41" w:rsidRPr="00BC1C97" w:rsidRDefault="000C0A41" w:rsidP="00BC1C97">
            <w:pPr>
              <w:jc w:val="center"/>
              <w:cnfStyle w:val="000000000000" w:firstRow="0" w:lastRow="0" w:firstColumn="0" w:lastColumn="0" w:oddVBand="0" w:evenVBand="0" w:oddHBand="0" w:evenHBand="0" w:firstRowFirstColumn="0" w:firstRowLastColumn="0" w:lastRowFirstColumn="0" w:lastRowLastColumn="0"/>
              <w:rPr>
                <w:highlight w:val="yellow"/>
              </w:rPr>
            </w:pPr>
            <w:r w:rsidRPr="00BC1C97">
              <w:rPr>
                <w:rFonts w:ascii="Calibri" w:hAnsi="Calibri"/>
                <w:color w:val="000000"/>
                <w:highlight w:val="yellow"/>
              </w:rPr>
              <w:t>0.267</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0.191</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0.373</w:t>
            </w:r>
          </w:p>
        </w:tc>
        <w:tc>
          <w:tcPr>
            <w:tcW w:w="1120" w:type="dxa"/>
            <w:noWrap/>
            <w:vAlign w:val="center"/>
          </w:tcPr>
          <w:p w:rsidR="000C0A41" w:rsidRPr="00BC1C97" w:rsidRDefault="000C0A41" w:rsidP="00BC1C97">
            <w:pPr>
              <w:jc w:val="center"/>
              <w:cnfStyle w:val="000000000000" w:firstRow="0" w:lastRow="0" w:firstColumn="0" w:lastColumn="0" w:oddVBand="0" w:evenVBand="0" w:oddHBand="0" w:evenHBand="0" w:firstRowFirstColumn="0" w:firstRowLastColumn="0" w:lastRowFirstColumn="0" w:lastRowLastColumn="0"/>
              <w:rPr>
                <w:highlight w:val="yellow"/>
              </w:rPr>
            </w:pPr>
            <w:r w:rsidRPr="00BC1C97">
              <w:rPr>
                <w:rFonts w:ascii="Calibri" w:hAnsi="Calibri"/>
                <w:color w:val="000000"/>
                <w:highlight w:val="yellow"/>
              </w:rPr>
              <w:t>0.000</w:t>
            </w:r>
          </w:p>
        </w:tc>
      </w:tr>
      <w:tr w:rsidR="000C0A41" w:rsidRPr="0013015A" w:rsidTr="00BC1C9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BC1C97">
            <w:pPr>
              <w:jc w:val="right"/>
              <w:rPr>
                <w:b w:val="0"/>
              </w:rPr>
            </w:pPr>
            <w:r w:rsidRPr="004415A6">
              <w:rPr>
                <w:b w:val="0"/>
                <w:u w:val="single"/>
              </w:rPr>
              <w:t>&gt;</w:t>
            </w:r>
            <w:r w:rsidRPr="004415A6">
              <w:rPr>
                <w:b w:val="0"/>
              </w:rPr>
              <w:t>50 &amp; &lt;60</w:t>
            </w:r>
          </w:p>
        </w:tc>
        <w:tc>
          <w:tcPr>
            <w:tcW w:w="1120" w:type="dxa"/>
            <w:noWrap/>
            <w:vAlign w:val="center"/>
          </w:tcPr>
          <w:p w:rsidR="000C0A41" w:rsidRPr="00BC1C97" w:rsidRDefault="000C0A41" w:rsidP="00BC1C97">
            <w:pPr>
              <w:jc w:val="center"/>
              <w:cnfStyle w:val="000000100000" w:firstRow="0" w:lastRow="0" w:firstColumn="0" w:lastColumn="0" w:oddVBand="0" w:evenVBand="0" w:oddHBand="1" w:evenHBand="0" w:firstRowFirstColumn="0" w:firstRowLastColumn="0" w:lastRowFirstColumn="0" w:lastRowLastColumn="0"/>
              <w:rPr>
                <w:highlight w:val="yellow"/>
              </w:rPr>
            </w:pPr>
            <w:r w:rsidRPr="00BC1C97">
              <w:rPr>
                <w:rFonts w:ascii="Calibri" w:hAnsi="Calibri"/>
                <w:color w:val="000000"/>
                <w:highlight w:val="yellow"/>
              </w:rPr>
              <w:t>0.091</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0.066</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0.126</w:t>
            </w:r>
          </w:p>
        </w:tc>
        <w:tc>
          <w:tcPr>
            <w:tcW w:w="1120" w:type="dxa"/>
            <w:noWrap/>
            <w:vAlign w:val="center"/>
          </w:tcPr>
          <w:p w:rsidR="000C0A41" w:rsidRPr="00BC1C97" w:rsidRDefault="000C0A41" w:rsidP="00BC1C97">
            <w:pPr>
              <w:jc w:val="center"/>
              <w:cnfStyle w:val="000000100000" w:firstRow="0" w:lastRow="0" w:firstColumn="0" w:lastColumn="0" w:oddVBand="0" w:evenVBand="0" w:oddHBand="1" w:evenHBand="0" w:firstRowFirstColumn="0" w:firstRowLastColumn="0" w:lastRowFirstColumn="0" w:lastRowLastColumn="0"/>
              <w:rPr>
                <w:highlight w:val="yellow"/>
              </w:rPr>
            </w:pPr>
            <w:r w:rsidRPr="00BC1C97">
              <w:rPr>
                <w:rFonts w:ascii="Calibri" w:hAnsi="Calibri"/>
                <w:color w:val="000000"/>
                <w:highlight w:val="yellow"/>
              </w:rPr>
              <w:t>0.000</w:t>
            </w:r>
          </w:p>
        </w:tc>
      </w:tr>
      <w:tr w:rsidR="000C0A41" w:rsidRPr="0013015A" w:rsidTr="00BC1C97">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BC1C97">
            <w:pPr>
              <w:jc w:val="right"/>
              <w:rPr>
                <w:b w:val="0"/>
              </w:rPr>
            </w:pPr>
            <w:r w:rsidRPr="004415A6">
              <w:rPr>
                <w:b w:val="0"/>
                <w:u w:val="single"/>
              </w:rPr>
              <w:t>&gt;</w:t>
            </w:r>
            <w:r w:rsidRPr="004415A6">
              <w:rPr>
                <w:b w:val="0"/>
              </w:rPr>
              <w:t>60 &amp; &lt;70</w:t>
            </w:r>
          </w:p>
        </w:tc>
        <w:tc>
          <w:tcPr>
            <w:tcW w:w="1120" w:type="dxa"/>
            <w:noWrap/>
            <w:vAlign w:val="center"/>
          </w:tcPr>
          <w:p w:rsidR="000C0A41" w:rsidRPr="00BC1C97" w:rsidRDefault="000C0A41" w:rsidP="00BC1C97">
            <w:pPr>
              <w:jc w:val="center"/>
              <w:cnfStyle w:val="000000000000" w:firstRow="0" w:lastRow="0" w:firstColumn="0" w:lastColumn="0" w:oddVBand="0" w:evenVBand="0" w:oddHBand="0" w:evenHBand="0" w:firstRowFirstColumn="0" w:firstRowLastColumn="0" w:lastRowFirstColumn="0" w:lastRowLastColumn="0"/>
              <w:rPr>
                <w:highlight w:val="yellow"/>
              </w:rPr>
            </w:pPr>
            <w:r w:rsidRPr="00BC1C97">
              <w:rPr>
                <w:rFonts w:ascii="Calibri" w:hAnsi="Calibri"/>
                <w:color w:val="000000"/>
                <w:highlight w:val="yellow"/>
              </w:rPr>
              <w:t>0.035</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0.026</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0.049</w:t>
            </w:r>
          </w:p>
        </w:tc>
        <w:tc>
          <w:tcPr>
            <w:tcW w:w="1120" w:type="dxa"/>
            <w:noWrap/>
            <w:vAlign w:val="center"/>
          </w:tcPr>
          <w:p w:rsidR="000C0A41" w:rsidRPr="00BC1C97" w:rsidRDefault="000C0A41" w:rsidP="00BC1C97">
            <w:pPr>
              <w:jc w:val="center"/>
              <w:cnfStyle w:val="000000000000" w:firstRow="0" w:lastRow="0" w:firstColumn="0" w:lastColumn="0" w:oddVBand="0" w:evenVBand="0" w:oddHBand="0" w:evenHBand="0" w:firstRowFirstColumn="0" w:firstRowLastColumn="0" w:lastRowFirstColumn="0" w:lastRowLastColumn="0"/>
              <w:rPr>
                <w:highlight w:val="yellow"/>
              </w:rPr>
            </w:pPr>
            <w:r w:rsidRPr="00BC1C97">
              <w:rPr>
                <w:rFonts w:ascii="Calibri" w:hAnsi="Calibri"/>
                <w:color w:val="000000"/>
                <w:highlight w:val="yellow"/>
              </w:rPr>
              <w:t>0.000</w:t>
            </w:r>
          </w:p>
        </w:tc>
      </w:tr>
      <w:tr w:rsidR="000C0A41" w:rsidRPr="0013015A" w:rsidTr="00BC1C9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BC1C97">
            <w:pPr>
              <w:jc w:val="right"/>
              <w:rPr>
                <w:b w:val="0"/>
              </w:rPr>
            </w:pPr>
            <w:r w:rsidRPr="004415A6">
              <w:rPr>
                <w:b w:val="0"/>
                <w:u w:val="single"/>
              </w:rPr>
              <w:t>&gt;</w:t>
            </w:r>
            <w:r w:rsidRPr="004415A6">
              <w:rPr>
                <w:b w:val="0"/>
              </w:rPr>
              <w:t>70 &amp; &lt;80</w:t>
            </w:r>
          </w:p>
        </w:tc>
        <w:tc>
          <w:tcPr>
            <w:tcW w:w="1120" w:type="dxa"/>
            <w:noWrap/>
            <w:vAlign w:val="center"/>
          </w:tcPr>
          <w:p w:rsidR="000C0A41" w:rsidRPr="00BC1C97" w:rsidRDefault="000C0A41" w:rsidP="00BC1C97">
            <w:pPr>
              <w:jc w:val="center"/>
              <w:cnfStyle w:val="000000100000" w:firstRow="0" w:lastRow="0" w:firstColumn="0" w:lastColumn="0" w:oddVBand="0" w:evenVBand="0" w:oddHBand="1" w:evenHBand="0" w:firstRowFirstColumn="0" w:firstRowLastColumn="0" w:lastRowFirstColumn="0" w:lastRowLastColumn="0"/>
              <w:rPr>
                <w:highlight w:val="yellow"/>
              </w:rPr>
            </w:pPr>
            <w:r w:rsidRPr="00BC1C97">
              <w:rPr>
                <w:rFonts w:ascii="Calibri" w:hAnsi="Calibri"/>
                <w:color w:val="000000"/>
                <w:highlight w:val="yellow"/>
              </w:rPr>
              <w:t>0.020</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0.015</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0.028</w:t>
            </w:r>
          </w:p>
        </w:tc>
        <w:tc>
          <w:tcPr>
            <w:tcW w:w="1120" w:type="dxa"/>
            <w:noWrap/>
            <w:vAlign w:val="center"/>
          </w:tcPr>
          <w:p w:rsidR="000C0A41" w:rsidRPr="00BC1C97" w:rsidRDefault="000C0A41" w:rsidP="00BC1C97">
            <w:pPr>
              <w:jc w:val="center"/>
              <w:cnfStyle w:val="000000100000" w:firstRow="0" w:lastRow="0" w:firstColumn="0" w:lastColumn="0" w:oddVBand="0" w:evenVBand="0" w:oddHBand="1" w:evenHBand="0" w:firstRowFirstColumn="0" w:firstRowLastColumn="0" w:lastRowFirstColumn="0" w:lastRowLastColumn="0"/>
              <w:rPr>
                <w:highlight w:val="yellow"/>
              </w:rPr>
            </w:pPr>
            <w:r w:rsidRPr="00BC1C97">
              <w:rPr>
                <w:rFonts w:ascii="Calibri" w:hAnsi="Calibri"/>
                <w:color w:val="000000"/>
                <w:highlight w:val="yellow"/>
              </w:rPr>
              <w:t>0.000</w:t>
            </w:r>
          </w:p>
        </w:tc>
      </w:tr>
      <w:tr w:rsidR="000C0A41" w:rsidRPr="0013015A" w:rsidTr="00BC1C97">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BC1C97">
            <w:pPr>
              <w:jc w:val="right"/>
              <w:rPr>
                <w:b w:val="0"/>
              </w:rPr>
            </w:pPr>
            <w:r w:rsidRPr="004415A6">
              <w:rPr>
                <w:b w:val="0"/>
                <w:u w:val="single"/>
              </w:rPr>
              <w:t>&gt;</w:t>
            </w:r>
            <w:r w:rsidRPr="004415A6">
              <w:rPr>
                <w:b w:val="0"/>
              </w:rPr>
              <w:t>80</w:t>
            </w:r>
          </w:p>
        </w:tc>
        <w:tc>
          <w:tcPr>
            <w:tcW w:w="1120" w:type="dxa"/>
            <w:noWrap/>
            <w:vAlign w:val="center"/>
          </w:tcPr>
          <w:p w:rsidR="000C0A41" w:rsidRPr="00BC1C97" w:rsidRDefault="000C0A41" w:rsidP="00BC1C97">
            <w:pPr>
              <w:jc w:val="center"/>
              <w:cnfStyle w:val="000000000000" w:firstRow="0" w:lastRow="0" w:firstColumn="0" w:lastColumn="0" w:oddVBand="0" w:evenVBand="0" w:oddHBand="0" w:evenHBand="0" w:firstRowFirstColumn="0" w:firstRowLastColumn="0" w:lastRowFirstColumn="0" w:lastRowLastColumn="0"/>
              <w:rPr>
                <w:highlight w:val="yellow"/>
              </w:rPr>
            </w:pPr>
            <w:r w:rsidRPr="00BC1C97">
              <w:rPr>
                <w:rFonts w:ascii="Calibri" w:hAnsi="Calibri"/>
                <w:color w:val="000000"/>
                <w:highlight w:val="yellow"/>
              </w:rPr>
              <w:t>0.017</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0.012</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0.023</w:t>
            </w:r>
          </w:p>
        </w:tc>
        <w:tc>
          <w:tcPr>
            <w:tcW w:w="1120" w:type="dxa"/>
            <w:noWrap/>
            <w:vAlign w:val="center"/>
          </w:tcPr>
          <w:p w:rsidR="000C0A41" w:rsidRPr="00BC1C97" w:rsidRDefault="000C0A41" w:rsidP="00BC1C97">
            <w:pPr>
              <w:jc w:val="center"/>
              <w:cnfStyle w:val="000000000000" w:firstRow="0" w:lastRow="0" w:firstColumn="0" w:lastColumn="0" w:oddVBand="0" w:evenVBand="0" w:oddHBand="0" w:evenHBand="0" w:firstRowFirstColumn="0" w:firstRowLastColumn="0" w:lastRowFirstColumn="0" w:lastRowLastColumn="0"/>
              <w:rPr>
                <w:highlight w:val="yellow"/>
              </w:rPr>
            </w:pPr>
            <w:r w:rsidRPr="00BC1C97">
              <w:rPr>
                <w:rFonts w:ascii="Calibri" w:hAnsi="Calibri"/>
                <w:color w:val="000000"/>
                <w:highlight w:val="yellow"/>
              </w:rPr>
              <w:t>0.000</w:t>
            </w:r>
          </w:p>
        </w:tc>
      </w:tr>
      <w:tr w:rsidR="000C0A41" w:rsidRPr="004415A6" w:rsidTr="006A4E5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tcPr>
          <w:p w:rsidR="000C0A41" w:rsidRPr="004415A6" w:rsidRDefault="000C0A41" w:rsidP="006A4E5A">
            <w:r w:rsidRPr="004415A6">
              <w:t>Smoking</w:t>
            </w:r>
          </w:p>
        </w:tc>
        <w:tc>
          <w:tcPr>
            <w:tcW w:w="1120" w:type="dxa"/>
            <w:noWrap/>
          </w:tcPr>
          <w:p w:rsidR="000C0A41" w:rsidRPr="004415A6" w:rsidRDefault="000C0A41" w:rsidP="006A4E5A">
            <w:pPr>
              <w:jc w:val="center"/>
              <w:cnfStyle w:val="000000100000" w:firstRow="0" w:lastRow="0" w:firstColumn="0" w:lastColumn="0" w:oddVBand="0" w:evenVBand="0" w:oddHBand="1" w:evenHBand="0" w:firstRowFirstColumn="0" w:firstRowLastColumn="0" w:lastRowFirstColumn="0" w:lastRowLastColumn="0"/>
              <w:rPr>
                <w:b/>
              </w:rPr>
            </w:pPr>
          </w:p>
        </w:tc>
        <w:tc>
          <w:tcPr>
            <w:tcW w:w="1120" w:type="dxa"/>
            <w:noWrap/>
          </w:tcPr>
          <w:p w:rsidR="000C0A41" w:rsidRPr="004415A6" w:rsidRDefault="000C0A41" w:rsidP="006A4E5A">
            <w:pPr>
              <w:jc w:val="center"/>
              <w:cnfStyle w:val="000000100000" w:firstRow="0" w:lastRow="0" w:firstColumn="0" w:lastColumn="0" w:oddVBand="0" w:evenVBand="0" w:oddHBand="1" w:evenHBand="0" w:firstRowFirstColumn="0" w:firstRowLastColumn="0" w:lastRowFirstColumn="0" w:lastRowLastColumn="0"/>
              <w:rPr>
                <w:b/>
              </w:rPr>
            </w:pPr>
          </w:p>
        </w:tc>
        <w:tc>
          <w:tcPr>
            <w:tcW w:w="1120" w:type="dxa"/>
            <w:noWrap/>
          </w:tcPr>
          <w:p w:rsidR="000C0A41" w:rsidRPr="004415A6" w:rsidRDefault="000C0A41" w:rsidP="006A4E5A">
            <w:pPr>
              <w:jc w:val="center"/>
              <w:cnfStyle w:val="000000100000" w:firstRow="0" w:lastRow="0" w:firstColumn="0" w:lastColumn="0" w:oddVBand="0" w:evenVBand="0" w:oddHBand="1" w:evenHBand="0" w:firstRowFirstColumn="0" w:firstRowLastColumn="0" w:lastRowFirstColumn="0" w:lastRowLastColumn="0"/>
              <w:rPr>
                <w:b/>
              </w:rPr>
            </w:pPr>
          </w:p>
        </w:tc>
        <w:tc>
          <w:tcPr>
            <w:tcW w:w="1120" w:type="dxa"/>
            <w:noWrap/>
          </w:tcPr>
          <w:p w:rsidR="000C0A41" w:rsidRPr="004415A6" w:rsidRDefault="000C0A41" w:rsidP="006A4E5A">
            <w:pPr>
              <w:jc w:val="center"/>
              <w:cnfStyle w:val="000000100000" w:firstRow="0" w:lastRow="0" w:firstColumn="0" w:lastColumn="0" w:oddVBand="0" w:evenVBand="0" w:oddHBand="1" w:evenHBand="0" w:firstRowFirstColumn="0" w:firstRowLastColumn="0" w:lastRowFirstColumn="0" w:lastRowLastColumn="0"/>
              <w:rPr>
                <w:b/>
              </w:rPr>
            </w:pPr>
          </w:p>
        </w:tc>
      </w:tr>
      <w:tr w:rsidR="000C0A41" w:rsidRPr="0013015A" w:rsidTr="00BC1C97">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BC1C97">
            <w:pPr>
              <w:jc w:val="right"/>
              <w:rPr>
                <w:b w:val="0"/>
              </w:rPr>
            </w:pPr>
            <w:r>
              <w:rPr>
                <w:b w:val="0"/>
              </w:rPr>
              <w:t>Non-smoker</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w:t>
            </w:r>
          </w:p>
        </w:tc>
      </w:tr>
      <w:tr w:rsidR="000C0A41" w:rsidRPr="0013015A" w:rsidTr="00BC1C9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tcPr>
          <w:p w:rsidR="000C0A41" w:rsidRPr="004415A6" w:rsidRDefault="000C0A41" w:rsidP="00BC1C97">
            <w:pPr>
              <w:jc w:val="right"/>
              <w:rPr>
                <w:b w:val="0"/>
              </w:rPr>
            </w:pPr>
            <w:r>
              <w:rPr>
                <w:b w:val="0"/>
              </w:rPr>
              <w:t>Current smoker</w:t>
            </w:r>
          </w:p>
        </w:tc>
        <w:tc>
          <w:tcPr>
            <w:tcW w:w="1120" w:type="dxa"/>
            <w:noWrap/>
            <w:vAlign w:val="center"/>
          </w:tcPr>
          <w:p w:rsidR="000C0A41" w:rsidRPr="00BC1C97" w:rsidRDefault="000C0A41" w:rsidP="00BC1C97">
            <w:pPr>
              <w:jc w:val="center"/>
              <w:cnfStyle w:val="000000100000" w:firstRow="0" w:lastRow="0" w:firstColumn="0" w:lastColumn="0" w:oddVBand="0" w:evenVBand="0" w:oddHBand="1" w:evenHBand="0" w:firstRowFirstColumn="0" w:firstRowLastColumn="0" w:lastRowFirstColumn="0" w:lastRowLastColumn="0"/>
              <w:rPr>
                <w:highlight w:val="yellow"/>
              </w:rPr>
            </w:pPr>
            <w:r w:rsidRPr="00BC1C97">
              <w:rPr>
                <w:rFonts w:ascii="Calibri" w:hAnsi="Calibri"/>
                <w:color w:val="000000"/>
                <w:highlight w:val="yellow"/>
              </w:rPr>
              <w:t>0.583</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0.397</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0.856</w:t>
            </w:r>
          </w:p>
        </w:tc>
        <w:tc>
          <w:tcPr>
            <w:tcW w:w="1120" w:type="dxa"/>
            <w:noWrap/>
            <w:vAlign w:val="center"/>
          </w:tcPr>
          <w:p w:rsidR="000C0A41" w:rsidRPr="00BC1C97" w:rsidRDefault="000C0A41" w:rsidP="00BC1C97">
            <w:pPr>
              <w:jc w:val="center"/>
              <w:cnfStyle w:val="000000100000" w:firstRow="0" w:lastRow="0" w:firstColumn="0" w:lastColumn="0" w:oddVBand="0" w:evenVBand="0" w:oddHBand="1" w:evenHBand="0" w:firstRowFirstColumn="0" w:firstRowLastColumn="0" w:lastRowFirstColumn="0" w:lastRowLastColumn="0"/>
              <w:rPr>
                <w:highlight w:val="yellow"/>
              </w:rPr>
            </w:pPr>
            <w:r w:rsidRPr="00BC1C97">
              <w:rPr>
                <w:rFonts w:ascii="Calibri" w:hAnsi="Calibri"/>
                <w:color w:val="000000"/>
                <w:highlight w:val="yellow"/>
              </w:rPr>
              <w:t>0.006</w:t>
            </w:r>
          </w:p>
        </w:tc>
      </w:tr>
      <w:tr w:rsidR="000C0A41" w:rsidRPr="0013015A" w:rsidTr="00BC1C97">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BC1C97">
            <w:pPr>
              <w:jc w:val="right"/>
              <w:rPr>
                <w:b w:val="0"/>
              </w:rPr>
            </w:pPr>
            <w:r>
              <w:rPr>
                <w:b w:val="0"/>
              </w:rPr>
              <w:t>Ex-smoker</w:t>
            </w:r>
          </w:p>
        </w:tc>
        <w:tc>
          <w:tcPr>
            <w:tcW w:w="1120" w:type="dxa"/>
            <w:noWrap/>
            <w:vAlign w:val="center"/>
          </w:tcPr>
          <w:p w:rsidR="000C0A41" w:rsidRPr="00CC1507" w:rsidRDefault="000C0A41" w:rsidP="00BC1C97">
            <w:pPr>
              <w:jc w:val="center"/>
              <w:cnfStyle w:val="000000000000" w:firstRow="0" w:lastRow="0" w:firstColumn="0" w:lastColumn="0" w:oddVBand="0" w:evenVBand="0" w:oddHBand="0" w:evenHBand="0" w:firstRowFirstColumn="0" w:firstRowLastColumn="0" w:lastRowFirstColumn="0" w:lastRowLastColumn="0"/>
              <w:rPr>
                <w:highlight w:val="yellow"/>
              </w:rPr>
            </w:pPr>
            <w:r>
              <w:rPr>
                <w:rFonts w:ascii="Calibri" w:hAnsi="Calibri"/>
                <w:color w:val="000000"/>
              </w:rPr>
              <w:t>1.000</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1.000</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1.000</w:t>
            </w:r>
          </w:p>
        </w:tc>
        <w:tc>
          <w:tcPr>
            <w:tcW w:w="1120" w:type="dxa"/>
            <w:noWrap/>
            <w:vAlign w:val="center"/>
          </w:tcPr>
          <w:p w:rsidR="000C0A41" w:rsidRPr="00CC1507" w:rsidRDefault="000C0A41" w:rsidP="00BC1C97">
            <w:pPr>
              <w:jc w:val="center"/>
              <w:cnfStyle w:val="000000000000" w:firstRow="0" w:lastRow="0" w:firstColumn="0" w:lastColumn="0" w:oddVBand="0" w:evenVBand="0" w:oddHBand="0" w:evenHBand="0" w:firstRowFirstColumn="0" w:firstRowLastColumn="0" w:lastRowFirstColumn="0" w:lastRowLastColumn="0"/>
              <w:rPr>
                <w:highlight w:val="yellow"/>
              </w:rPr>
            </w:pPr>
            <w:r>
              <w:rPr>
                <w:rFonts w:ascii="Calibri" w:hAnsi="Calibri"/>
                <w:color w:val="000000"/>
              </w:rPr>
              <w:t>.</w:t>
            </w:r>
          </w:p>
        </w:tc>
      </w:tr>
      <w:tr w:rsidR="000C0A41" w:rsidRPr="00CC1507" w:rsidTr="006A4E5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tcPr>
          <w:p w:rsidR="000C0A41" w:rsidRPr="00CC1507" w:rsidRDefault="000C0A41" w:rsidP="006A4E5A">
            <w:r w:rsidRPr="00CC1507">
              <w:t>Interaction term age group</w:t>
            </w:r>
            <w:r>
              <w:t xml:space="preserve"> </w:t>
            </w:r>
            <w:r w:rsidRPr="00CC1507">
              <w:t>x smoking</w:t>
            </w:r>
          </w:p>
        </w:tc>
        <w:tc>
          <w:tcPr>
            <w:tcW w:w="1120" w:type="dxa"/>
            <w:noWrap/>
          </w:tcPr>
          <w:p w:rsidR="000C0A41" w:rsidRPr="00CC1507" w:rsidRDefault="000C0A41" w:rsidP="006A4E5A">
            <w:pPr>
              <w:jc w:val="center"/>
              <w:cnfStyle w:val="000000100000" w:firstRow="0" w:lastRow="0" w:firstColumn="0" w:lastColumn="0" w:oddVBand="0" w:evenVBand="0" w:oddHBand="1" w:evenHBand="0" w:firstRowFirstColumn="0" w:firstRowLastColumn="0" w:lastRowFirstColumn="0" w:lastRowLastColumn="0"/>
              <w:rPr>
                <w:b/>
              </w:rPr>
            </w:pPr>
          </w:p>
        </w:tc>
        <w:tc>
          <w:tcPr>
            <w:tcW w:w="1120" w:type="dxa"/>
            <w:noWrap/>
          </w:tcPr>
          <w:p w:rsidR="000C0A41" w:rsidRPr="00CC1507" w:rsidRDefault="000C0A41" w:rsidP="006A4E5A">
            <w:pPr>
              <w:jc w:val="center"/>
              <w:cnfStyle w:val="000000100000" w:firstRow="0" w:lastRow="0" w:firstColumn="0" w:lastColumn="0" w:oddVBand="0" w:evenVBand="0" w:oddHBand="1" w:evenHBand="0" w:firstRowFirstColumn="0" w:firstRowLastColumn="0" w:lastRowFirstColumn="0" w:lastRowLastColumn="0"/>
              <w:rPr>
                <w:b/>
              </w:rPr>
            </w:pPr>
          </w:p>
        </w:tc>
        <w:tc>
          <w:tcPr>
            <w:tcW w:w="1120" w:type="dxa"/>
            <w:noWrap/>
          </w:tcPr>
          <w:p w:rsidR="000C0A41" w:rsidRPr="00CC1507" w:rsidRDefault="000C0A41" w:rsidP="006A4E5A">
            <w:pPr>
              <w:jc w:val="center"/>
              <w:cnfStyle w:val="000000100000" w:firstRow="0" w:lastRow="0" w:firstColumn="0" w:lastColumn="0" w:oddVBand="0" w:evenVBand="0" w:oddHBand="1" w:evenHBand="0" w:firstRowFirstColumn="0" w:firstRowLastColumn="0" w:lastRowFirstColumn="0" w:lastRowLastColumn="0"/>
              <w:rPr>
                <w:b/>
              </w:rPr>
            </w:pPr>
          </w:p>
        </w:tc>
        <w:tc>
          <w:tcPr>
            <w:tcW w:w="1120" w:type="dxa"/>
            <w:noWrap/>
          </w:tcPr>
          <w:p w:rsidR="000C0A41" w:rsidRPr="00CC1507" w:rsidRDefault="000C0A41" w:rsidP="006A4E5A">
            <w:pPr>
              <w:jc w:val="center"/>
              <w:cnfStyle w:val="000000100000" w:firstRow="0" w:lastRow="0" w:firstColumn="0" w:lastColumn="0" w:oddVBand="0" w:evenVBand="0" w:oddHBand="1" w:evenHBand="0" w:firstRowFirstColumn="0" w:firstRowLastColumn="0" w:lastRowFirstColumn="0" w:lastRowLastColumn="0"/>
              <w:rPr>
                <w:b/>
              </w:rPr>
            </w:pPr>
          </w:p>
        </w:tc>
      </w:tr>
      <w:tr w:rsidR="000C0A41" w:rsidRPr="0013015A" w:rsidTr="00BC1C97">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BC1C97">
            <w:pPr>
              <w:jc w:val="right"/>
              <w:rPr>
                <w:b w:val="0"/>
              </w:rPr>
            </w:pPr>
            <w:r>
              <w:rPr>
                <w:b w:val="0"/>
              </w:rPr>
              <w:t>Age group &lt;40 x n</w:t>
            </w:r>
            <w:r w:rsidRPr="004415A6">
              <w:rPr>
                <w:b w:val="0"/>
              </w:rPr>
              <w:t>on-smoker</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w:t>
            </w:r>
          </w:p>
        </w:tc>
      </w:tr>
      <w:tr w:rsidR="000C0A41" w:rsidRPr="0013015A" w:rsidTr="00BC1C9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BC1C97">
            <w:pPr>
              <w:jc w:val="right"/>
              <w:rPr>
                <w:b w:val="0"/>
              </w:rPr>
            </w:pPr>
            <w:r>
              <w:rPr>
                <w:b w:val="0"/>
              </w:rPr>
              <w:t xml:space="preserve">Age group &lt;40 x current </w:t>
            </w:r>
            <w:r w:rsidRPr="004415A6">
              <w:rPr>
                <w:b w:val="0"/>
              </w:rPr>
              <w:t>smoker</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w:t>
            </w:r>
          </w:p>
        </w:tc>
      </w:tr>
      <w:tr w:rsidR="000C0A41" w:rsidRPr="0013015A" w:rsidTr="00BC1C97">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BC1C97">
            <w:pPr>
              <w:jc w:val="right"/>
              <w:rPr>
                <w:b w:val="0"/>
              </w:rPr>
            </w:pPr>
            <w:r>
              <w:rPr>
                <w:b w:val="0"/>
              </w:rPr>
              <w:t>Age group &lt;40 x ex</w:t>
            </w:r>
            <w:r w:rsidRPr="004415A6">
              <w:rPr>
                <w:b w:val="0"/>
              </w:rPr>
              <w:t>-smoker</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w:t>
            </w:r>
          </w:p>
        </w:tc>
      </w:tr>
      <w:tr w:rsidR="000C0A41" w:rsidRPr="0013015A" w:rsidTr="00BC1C9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BC1C97">
            <w:pPr>
              <w:jc w:val="right"/>
              <w:rPr>
                <w:b w:val="0"/>
              </w:rPr>
            </w:pPr>
            <w:r>
              <w:rPr>
                <w:b w:val="0"/>
              </w:rPr>
              <w:t xml:space="preserve">Age group </w:t>
            </w:r>
            <w:r w:rsidRPr="00CC1507">
              <w:rPr>
                <w:b w:val="0"/>
                <w:u w:val="single"/>
              </w:rPr>
              <w:t>&gt;</w:t>
            </w:r>
            <w:r w:rsidRPr="004415A6">
              <w:rPr>
                <w:b w:val="0"/>
              </w:rPr>
              <w:t>40 &amp; &lt;50</w:t>
            </w:r>
            <w:r>
              <w:rPr>
                <w:b w:val="0"/>
              </w:rPr>
              <w:t xml:space="preserve"> x n</w:t>
            </w:r>
            <w:r w:rsidRPr="004415A6">
              <w:rPr>
                <w:b w:val="0"/>
              </w:rPr>
              <w:t>on-smoker</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w:t>
            </w:r>
          </w:p>
        </w:tc>
      </w:tr>
      <w:tr w:rsidR="000C0A41" w:rsidRPr="0013015A" w:rsidTr="00BC1C97">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BC1C97">
            <w:pPr>
              <w:jc w:val="right"/>
              <w:rPr>
                <w:b w:val="0"/>
              </w:rPr>
            </w:pPr>
            <w:r>
              <w:rPr>
                <w:b w:val="0"/>
              </w:rPr>
              <w:t xml:space="preserve">Age group </w:t>
            </w:r>
            <w:r w:rsidRPr="00CC1507">
              <w:rPr>
                <w:b w:val="0"/>
                <w:u w:val="single"/>
              </w:rPr>
              <w:t>&gt;</w:t>
            </w:r>
            <w:r w:rsidRPr="004415A6">
              <w:rPr>
                <w:b w:val="0"/>
              </w:rPr>
              <w:t>40 &amp; &lt;50</w:t>
            </w:r>
            <w:r>
              <w:rPr>
                <w:b w:val="0"/>
              </w:rPr>
              <w:t xml:space="preserve"> x current </w:t>
            </w:r>
            <w:r w:rsidRPr="004415A6">
              <w:rPr>
                <w:b w:val="0"/>
              </w:rPr>
              <w:t>smoker</w:t>
            </w:r>
          </w:p>
        </w:tc>
        <w:tc>
          <w:tcPr>
            <w:tcW w:w="1120" w:type="dxa"/>
            <w:noWrap/>
            <w:vAlign w:val="center"/>
          </w:tcPr>
          <w:p w:rsidR="000C0A41" w:rsidRPr="00CC1507" w:rsidRDefault="000C0A41" w:rsidP="00BC1C97">
            <w:pPr>
              <w:jc w:val="center"/>
              <w:cnfStyle w:val="000000000000" w:firstRow="0" w:lastRow="0" w:firstColumn="0" w:lastColumn="0" w:oddVBand="0" w:evenVBand="0" w:oddHBand="0" w:evenHBand="0" w:firstRowFirstColumn="0" w:firstRowLastColumn="0" w:lastRowFirstColumn="0" w:lastRowLastColumn="0"/>
              <w:rPr>
                <w:highlight w:val="yellow"/>
              </w:rPr>
            </w:pPr>
            <w:r>
              <w:rPr>
                <w:rFonts w:ascii="Calibri" w:hAnsi="Calibri"/>
                <w:color w:val="000000"/>
              </w:rPr>
              <w:t>0.730</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0.488</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1.091</w:t>
            </w:r>
          </w:p>
        </w:tc>
        <w:tc>
          <w:tcPr>
            <w:tcW w:w="1120" w:type="dxa"/>
            <w:noWrap/>
            <w:vAlign w:val="center"/>
          </w:tcPr>
          <w:p w:rsidR="000C0A41" w:rsidRPr="00CC1507" w:rsidRDefault="000C0A41" w:rsidP="00BC1C97">
            <w:pPr>
              <w:jc w:val="center"/>
              <w:cnfStyle w:val="000000000000" w:firstRow="0" w:lastRow="0" w:firstColumn="0" w:lastColumn="0" w:oddVBand="0" w:evenVBand="0" w:oddHBand="0" w:evenHBand="0" w:firstRowFirstColumn="0" w:firstRowLastColumn="0" w:lastRowFirstColumn="0" w:lastRowLastColumn="0"/>
              <w:rPr>
                <w:highlight w:val="yellow"/>
              </w:rPr>
            </w:pPr>
            <w:r>
              <w:rPr>
                <w:rFonts w:ascii="Calibri" w:hAnsi="Calibri"/>
                <w:color w:val="000000"/>
              </w:rPr>
              <w:t>0.125</w:t>
            </w:r>
          </w:p>
        </w:tc>
      </w:tr>
      <w:tr w:rsidR="000C0A41" w:rsidRPr="0013015A" w:rsidTr="00BC1C9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BC1C97">
            <w:pPr>
              <w:jc w:val="right"/>
              <w:rPr>
                <w:b w:val="0"/>
              </w:rPr>
            </w:pPr>
            <w:r>
              <w:rPr>
                <w:b w:val="0"/>
              </w:rPr>
              <w:t xml:space="preserve">Age group </w:t>
            </w:r>
            <w:r w:rsidRPr="00CC1507">
              <w:rPr>
                <w:b w:val="0"/>
                <w:u w:val="single"/>
              </w:rPr>
              <w:t>&gt;</w:t>
            </w:r>
            <w:r w:rsidRPr="004415A6">
              <w:rPr>
                <w:b w:val="0"/>
              </w:rPr>
              <w:t xml:space="preserve">40 &amp; &lt;50 </w:t>
            </w:r>
            <w:r>
              <w:rPr>
                <w:b w:val="0"/>
              </w:rPr>
              <w:t>x ex</w:t>
            </w:r>
            <w:r w:rsidRPr="004415A6">
              <w:rPr>
                <w:b w:val="0"/>
              </w:rPr>
              <w:t>-smoker</w:t>
            </w:r>
          </w:p>
        </w:tc>
        <w:tc>
          <w:tcPr>
            <w:tcW w:w="1120" w:type="dxa"/>
            <w:noWrap/>
            <w:vAlign w:val="center"/>
          </w:tcPr>
          <w:p w:rsidR="000C0A41" w:rsidRPr="00CC1507" w:rsidRDefault="000C0A41" w:rsidP="00BC1C97">
            <w:pPr>
              <w:jc w:val="center"/>
              <w:cnfStyle w:val="000000100000" w:firstRow="0" w:lastRow="0" w:firstColumn="0" w:lastColumn="0" w:oddVBand="0" w:evenVBand="0" w:oddHBand="1" w:evenHBand="0" w:firstRowFirstColumn="0" w:firstRowLastColumn="0" w:lastRowFirstColumn="0" w:lastRowLastColumn="0"/>
              <w:rPr>
                <w:highlight w:val="yellow"/>
              </w:rPr>
            </w:pPr>
            <w:r>
              <w:rPr>
                <w:rFonts w:ascii="Calibri" w:hAnsi="Calibri"/>
                <w:color w:val="000000"/>
              </w:rPr>
              <w:t>1</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w:t>
            </w:r>
          </w:p>
        </w:tc>
        <w:tc>
          <w:tcPr>
            <w:tcW w:w="1120" w:type="dxa"/>
            <w:noWrap/>
            <w:vAlign w:val="center"/>
          </w:tcPr>
          <w:p w:rsidR="000C0A41" w:rsidRPr="00CC1507" w:rsidRDefault="000C0A41" w:rsidP="00BC1C97">
            <w:pPr>
              <w:jc w:val="center"/>
              <w:cnfStyle w:val="000000100000" w:firstRow="0" w:lastRow="0" w:firstColumn="0" w:lastColumn="0" w:oddVBand="0" w:evenVBand="0" w:oddHBand="1" w:evenHBand="0" w:firstRowFirstColumn="0" w:firstRowLastColumn="0" w:lastRowFirstColumn="0" w:lastRowLastColumn="0"/>
              <w:rPr>
                <w:highlight w:val="yellow"/>
              </w:rPr>
            </w:pPr>
            <w:r>
              <w:rPr>
                <w:rFonts w:ascii="Calibri" w:hAnsi="Calibri"/>
                <w:color w:val="000000"/>
              </w:rPr>
              <w:t>.</w:t>
            </w:r>
          </w:p>
        </w:tc>
      </w:tr>
      <w:tr w:rsidR="000C0A41" w:rsidRPr="0013015A" w:rsidTr="00BC1C97">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BC1C97">
            <w:pPr>
              <w:jc w:val="right"/>
              <w:rPr>
                <w:b w:val="0"/>
              </w:rPr>
            </w:pPr>
            <w:r>
              <w:rPr>
                <w:b w:val="0"/>
              </w:rPr>
              <w:lastRenderedPageBreak/>
              <w:t xml:space="preserve">Age group </w:t>
            </w:r>
            <w:r w:rsidRPr="00CC1507">
              <w:rPr>
                <w:b w:val="0"/>
                <w:u w:val="single"/>
              </w:rPr>
              <w:t>&gt;</w:t>
            </w:r>
            <w:r w:rsidRPr="004415A6">
              <w:rPr>
                <w:b w:val="0"/>
              </w:rPr>
              <w:t>50 &amp; &lt;60</w:t>
            </w:r>
            <w:r>
              <w:rPr>
                <w:b w:val="0"/>
              </w:rPr>
              <w:t xml:space="preserve"> x n</w:t>
            </w:r>
            <w:r w:rsidRPr="004415A6">
              <w:rPr>
                <w:b w:val="0"/>
              </w:rPr>
              <w:t>on-smoker</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w:t>
            </w:r>
          </w:p>
        </w:tc>
      </w:tr>
      <w:tr w:rsidR="000C0A41" w:rsidRPr="0013015A" w:rsidTr="00BC1C9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BC1C97">
            <w:pPr>
              <w:jc w:val="right"/>
              <w:rPr>
                <w:b w:val="0"/>
              </w:rPr>
            </w:pPr>
            <w:r>
              <w:rPr>
                <w:b w:val="0"/>
              </w:rPr>
              <w:t xml:space="preserve">Age group </w:t>
            </w:r>
            <w:r w:rsidRPr="00CC1507">
              <w:rPr>
                <w:b w:val="0"/>
                <w:u w:val="single"/>
              </w:rPr>
              <w:t>&gt;</w:t>
            </w:r>
            <w:r w:rsidRPr="004415A6">
              <w:rPr>
                <w:b w:val="0"/>
              </w:rPr>
              <w:t>50 &amp; &lt;60</w:t>
            </w:r>
            <w:r>
              <w:rPr>
                <w:b w:val="0"/>
              </w:rPr>
              <w:t xml:space="preserve"> x current </w:t>
            </w:r>
            <w:r w:rsidRPr="004415A6">
              <w:rPr>
                <w:b w:val="0"/>
              </w:rPr>
              <w:t>smoker</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0.679</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0.459</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1.003</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0.052</w:t>
            </w:r>
          </w:p>
        </w:tc>
      </w:tr>
      <w:tr w:rsidR="000C0A41" w:rsidRPr="0013015A" w:rsidTr="00BC1C97">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BC1C97">
            <w:pPr>
              <w:jc w:val="right"/>
              <w:rPr>
                <w:b w:val="0"/>
              </w:rPr>
            </w:pPr>
            <w:r>
              <w:rPr>
                <w:b w:val="0"/>
              </w:rPr>
              <w:t xml:space="preserve">Age group </w:t>
            </w:r>
            <w:r w:rsidRPr="00CC1507">
              <w:rPr>
                <w:b w:val="0"/>
                <w:u w:val="single"/>
              </w:rPr>
              <w:t>&gt;</w:t>
            </w:r>
            <w:r w:rsidRPr="004415A6">
              <w:rPr>
                <w:b w:val="0"/>
              </w:rPr>
              <w:t>50 &amp; &lt;60</w:t>
            </w:r>
            <w:r>
              <w:rPr>
                <w:b w:val="0"/>
              </w:rPr>
              <w:t xml:space="preserve"> x ex</w:t>
            </w:r>
            <w:r w:rsidRPr="004415A6">
              <w:rPr>
                <w:b w:val="0"/>
              </w:rPr>
              <w:t>-smoker</w:t>
            </w:r>
          </w:p>
        </w:tc>
        <w:tc>
          <w:tcPr>
            <w:tcW w:w="1120" w:type="dxa"/>
            <w:noWrap/>
            <w:vAlign w:val="center"/>
          </w:tcPr>
          <w:p w:rsidR="000C0A41" w:rsidRPr="00CC1507" w:rsidRDefault="000C0A41" w:rsidP="00BC1C97">
            <w:pPr>
              <w:jc w:val="center"/>
              <w:cnfStyle w:val="000000000000" w:firstRow="0" w:lastRow="0" w:firstColumn="0" w:lastColumn="0" w:oddVBand="0" w:evenVBand="0" w:oddHBand="0" w:evenHBand="0" w:firstRowFirstColumn="0" w:firstRowLastColumn="0" w:lastRowFirstColumn="0" w:lastRowLastColumn="0"/>
              <w:rPr>
                <w:highlight w:val="yellow"/>
              </w:rPr>
            </w:pPr>
            <w:r>
              <w:rPr>
                <w:rFonts w:ascii="Calibri" w:hAnsi="Calibri"/>
                <w:color w:val="000000"/>
              </w:rPr>
              <w:t>1.000</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1.000</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1.000</w:t>
            </w:r>
          </w:p>
        </w:tc>
        <w:tc>
          <w:tcPr>
            <w:tcW w:w="1120" w:type="dxa"/>
            <w:noWrap/>
            <w:vAlign w:val="center"/>
          </w:tcPr>
          <w:p w:rsidR="000C0A41" w:rsidRPr="00CC1507" w:rsidRDefault="000C0A41" w:rsidP="00BC1C97">
            <w:pPr>
              <w:jc w:val="center"/>
              <w:cnfStyle w:val="000000000000" w:firstRow="0" w:lastRow="0" w:firstColumn="0" w:lastColumn="0" w:oddVBand="0" w:evenVBand="0" w:oddHBand="0" w:evenHBand="0" w:firstRowFirstColumn="0" w:firstRowLastColumn="0" w:lastRowFirstColumn="0" w:lastRowLastColumn="0"/>
              <w:rPr>
                <w:highlight w:val="yellow"/>
              </w:rPr>
            </w:pPr>
            <w:r>
              <w:rPr>
                <w:rFonts w:ascii="Calibri" w:hAnsi="Calibri"/>
                <w:color w:val="000000"/>
              </w:rPr>
              <w:t>.</w:t>
            </w:r>
          </w:p>
        </w:tc>
      </w:tr>
      <w:tr w:rsidR="000C0A41" w:rsidRPr="0013015A" w:rsidTr="00BC1C9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BC1C97">
            <w:pPr>
              <w:jc w:val="right"/>
              <w:rPr>
                <w:b w:val="0"/>
              </w:rPr>
            </w:pPr>
            <w:r>
              <w:rPr>
                <w:b w:val="0"/>
              </w:rPr>
              <w:t xml:space="preserve">Age group </w:t>
            </w:r>
            <w:r w:rsidRPr="00CC1507">
              <w:rPr>
                <w:b w:val="0"/>
                <w:u w:val="single"/>
              </w:rPr>
              <w:t>&gt;</w:t>
            </w:r>
            <w:r w:rsidRPr="004415A6">
              <w:rPr>
                <w:b w:val="0"/>
              </w:rPr>
              <w:t>60 &amp; &lt;70</w:t>
            </w:r>
            <w:r>
              <w:rPr>
                <w:b w:val="0"/>
              </w:rPr>
              <w:t xml:space="preserve"> x n</w:t>
            </w:r>
            <w:r w:rsidRPr="004415A6">
              <w:rPr>
                <w:b w:val="0"/>
              </w:rPr>
              <w:t>on-smoker</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w:t>
            </w:r>
          </w:p>
        </w:tc>
      </w:tr>
      <w:tr w:rsidR="000C0A41" w:rsidRPr="0013015A" w:rsidTr="00BC1C97">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BC1C97">
            <w:pPr>
              <w:jc w:val="right"/>
              <w:rPr>
                <w:b w:val="0"/>
              </w:rPr>
            </w:pPr>
            <w:r>
              <w:rPr>
                <w:b w:val="0"/>
              </w:rPr>
              <w:t xml:space="preserve">Age group </w:t>
            </w:r>
            <w:r w:rsidRPr="00CC1507">
              <w:rPr>
                <w:b w:val="0"/>
                <w:u w:val="single"/>
              </w:rPr>
              <w:t>&gt;</w:t>
            </w:r>
            <w:r w:rsidRPr="004415A6">
              <w:rPr>
                <w:b w:val="0"/>
              </w:rPr>
              <w:t>60 &amp; &lt;70</w:t>
            </w:r>
            <w:r>
              <w:rPr>
                <w:b w:val="0"/>
              </w:rPr>
              <w:t xml:space="preserve"> x current </w:t>
            </w:r>
            <w:r w:rsidRPr="004415A6">
              <w:rPr>
                <w:b w:val="0"/>
              </w:rPr>
              <w:t>smoker</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0.749</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0.508</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1.103</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0.143</w:t>
            </w:r>
          </w:p>
        </w:tc>
      </w:tr>
      <w:tr w:rsidR="000C0A41" w:rsidRPr="0013015A" w:rsidTr="00BC1C9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BC1C97">
            <w:pPr>
              <w:jc w:val="right"/>
              <w:rPr>
                <w:b w:val="0"/>
              </w:rPr>
            </w:pPr>
            <w:r>
              <w:rPr>
                <w:b w:val="0"/>
              </w:rPr>
              <w:t xml:space="preserve">Age group </w:t>
            </w:r>
            <w:r w:rsidRPr="00CC1507">
              <w:rPr>
                <w:b w:val="0"/>
                <w:u w:val="single"/>
              </w:rPr>
              <w:t>&gt;</w:t>
            </w:r>
            <w:r w:rsidRPr="004415A6">
              <w:rPr>
                <w:b w:val="0"/>
              </w:rPr>
              <w:t>60 &amp; &lt;70</w:t>
            </w:r>
            <w:r>
              <w:rPr>
                <w:b w:val="0"/>
              </w:rPr>
              <w:t xml:space="preserve"> x ex</w:t>
            </w:r>
            <w:r w:rsidRPr="004415A6">
              <w:rPr>
                <w:b w:val="0"/>
              </w:rPr>
              <w:t>-smoker</w:t>
            </w:r>
          </w:p>
        </w:tc>
        <w:tc>
          <w:tcPr>
            <w:tcW w:w="1120" w:type="dxa"/>
            <w:noWrap/>
            <w:vAlign w:val="center"/>
          </w:tcPr>
          <w:p w:rsidR="000C0A41" w:rsidRPr="00CC1507" w:rsidRDefault="000C0A41" w:rsidP="00BC1C97">
            <w:pPr>
              <w:jc w:val="center"/>
              <w:cnfStyle w:val="000000100000" w:firstRow="0" w:lastRow="0" w:firstColumn="0" w:lastColumn="0" w:oddVBand="0" w:evenVBand="0" w:oddHBand="1" w:evenHBand="0" w:firstRowFirstColumn="0" w:firstRowLastColumn="0" w:lastRowFirstColumn="0" w:lastRowLastColumn="0"/>
              <w:rPr>
                <w:highlight w:val="yellow"/>
              </w:rPr>
            </w:pPr>
            <w:r>
              <w:rPr>
                <w:rFonts w:ascii="Calibri" w:hAnsi="Calibri"/>
                <w:color w:val="000000"/>
              </w:rPr>
              <w:t>1.000</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1.000</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1.000</w:t>
            </w:r>
          </w:p>
        </w:tc>
        <w:tc>
          <w:tcPr>
            <w:tcW w:w="1120" w:type="dxa"/>
            <w:noWrap/>
            <w:vAlign w:val="center"/>
          </w:tcPr>
          <w:p w:rsidR="000C0A41" w:rsidRPr="00CC1507" w:rsidRDefault="000C0A41" w:rsidP="00BC1C97">
            <w:pPr>
              <w:jc w:val="center"/>
              <w:cnfStyle w:val="000000100000" w:firstRow="0" w:lastRow="0" w:firstColumn="0" w:lastColumn="0" w:oddVBand="0" w:evenVBand="0" w:oddHBand="1" w:evenHBand="0" w:firstRowFirstColumn="0" w:firstRowLastColumn="0" w:lastRowFirstColumn="0" w:lastRowLastColumn="0"/>
              <w:rPr>
                <w:highlight w:val="yellow"/>
              </w:rPr>
            </w:pPr>
            <w:r>
              <w:rPr>
                <w:rFonts w:ascii="Calibri" w:hAnsi="Calibri"/>
                <w:color w:val="000000"/>
              </w:rPr>
              <w:t>.</w:t>
            </w:r>
          </w:p>
        </w:tc>
      </w:tr>
      <w:tr w:rsidR="000C0A41" w:rsidRPr="0013015A" w:rsidTr="00BC1C97">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BC1C97">
            <w:pPr>
              <w:jc w:val="right"/>
              <w:rPr>
                <w:b w:val="0"/>
              </w:rPr>
            </w:pPr>
            <w:r>
              <w:rPr>
                <w:b w:val="0"/>
              </w:rPr>
              <w:t xml:space="preserve">Age group </w:t>
            </w:r>
            <w:r w:rsidRPr="00CC1507">
              <w:rPr>
                <w:b w:val="0"/>
                <w:u w:val="single"/>
              </w:rPr>
              <w:t>&gt;</w:t>
            </w:r>
            <w:r w:rsidRPr="004415A6">
              <w:rPr>
                <w:b w:val="0"/>
              </w:rPr>
              <w:t>70 &amp; &lt;80</w:t>
            </w:r>
            <w:r>
              <w:rPr>
                <w:b w:val="0"/>
              </w:rPr>
              <w:t xml:space="preserve"> x n</w:t>
            </w:r>
            <w:r w:rsidRPr="004415A6">
              <w:rPr>
                <w:b w:val="0"/>
              </w:rPr>
              <w:t>on-smoker</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w:t>
            </w:r>
          </w:p>
        </w:tc>
      </w:tr>
      <w:tr w:rsidR="000C0A41" w:rsidRPr="0013015A" w:rsidTr="00BC1C9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BC1C97">
            <w:pPr>
              <w:jc w:val="right"/>
              <w:rPr>
                <w:b w:val="0"/>
              </w:rPr>
            </w:pPr>
            <w:r>
              <w:rPr>
                <w:b w:val="0"/>
              </w:rPr>
              <w:t xml:space="preserve">Age group </w:t>
            </w:r>
            <w:r w:rsidRPr="00CC1507">
              <w:rPr>
                <w:b w:val="0"/>
                <w:u w:val="single"/>
              </w:rPr>
              <w:t>&gt;</w:t>
            </w:r>
            <w:r w:rsidRPr="004415A6">
              <w:rPr>
                <w:b w:val="0"/>
              </w:rPr>
              <w:t>70 &amp; &lt;80</w:t>
            </w:r>
            <w:r>
              <w:rPr>
                <w:b w:val="0"/>
              </w:rPr>
              <w:t xml:space="preserve"> x current </w:t>
            </w:r>
            <w:r w:rsidRPr="004415A6">
              <w:rPr>
                <w:b w:val="0"/>
              </w:rPr>
              <w:t>smoker</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0.790</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0.536</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1.165</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0.235</w:t>
            </w:r>
          </w:p>
        </w:tc>
      </w:tr>
      <w:tr w:rsidR="000C0A41" w:rsidRPr="0013015A" w:rsidTr="00BC1C97">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BC1C97">
            <w:pPr>
              <w:jc w:val="right"/>
              <w:rPr>
                <w:b w:val="0"/>
              </w:rPr>
            </w:pPr>
            <w:r>
              <w:rPr>
                <w:b w:val="0"/>
              </w:rPr>
              <w:t xml:space="preserve">Age group </w:t>
            </w:r>
            <w:r w:rsidRPr="00CC1507">
              <w:rPr>
                <w:b w:val="0"/>
              </w:rPr>
              <w:t>&gt;70 &amp; &lt;80</w:t>
            </w:r>
            <w:r>
              <w:rPr>
                <w:b w:val="0"/>
              </w:rPr>
              <w:t xml:space="preserve"> x ex</w:t>
            </w:r>
            <w:r w:rsidRPr="004415A6">
              <w:rPr>
                <w:b w:val="0"/>
              </w:rPr>
              <w:t>-smoker</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w:t>
            </w:r>
          </w:p>
        </w:tc>
      </w:tr>
      <w:tr w:rsidR="000C0A41" w:rsidRPr="0013015A" w:rsidTr="00BC1C9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BC1C97">
            <w:pPr>
              <w:jc w:val="right"/>
              <w:rPr>
                <w:b w:val="0"/>
              </w:rPr>
            </w:pPr>
            <w:r>
              <w:rPr>
                <w:b w:val="0"/>
              </w:rPr>
              <w:t xml:space="preserve">Age group </w:t>
            </w:r>
            <w:r w:rsidRPr="004415A6">
              <w:rPr>
                <w:b w:val="0"/>
                <w:u w:val="single"/>
              </w:rPr>
              <w:t>&gt;</w:t>
            </w:r>
            <w:r w:rsidRPr="004415A6">
              <w:rPr>
                <w:b w:val="0"/>
              </w:rPr>
              <w:t>80</w:t>
            </w:r>
            <w:r>
              <w:rPr>
                <w:b w:val="0"/>
              </w:rPr>
              <w:t xml:space="preserve"> x n</w:t>
            </w:r>
            <w:r w:rsidRPr="004415A6">
              <w:rPr>
                <w:b w:val="0"/>
              </w:rPr>
              <w:t>on-smoker</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w:t>
            </w:r>
          </w:p>
        </w:tc>
      </w:tr>
      <w:tr w:rsidR="000C0A41" w:rsidRPr="0013015A" w:rsidTr="00BC1C97">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BC1C97">
            <w:pPr>
              <w:jc w:val="right"/>
              <w:rPr>
                <w:b w:val="0"/>
              </w:rPr>
            </w:pPr>
            <w:r>
              <w:rPr>
                <w:b w:val="0"/>
              </w:rPr>
              <w:t xml:space="preserve">Age group </w:t>
            </w:r>
            <w:r w:rsidRPr="004415A6">
              <w:rPr>
                <w:b w:val="0"/>
                <w:u w:val="single"/>
              </w:rPr>
              <w:t>&gt;</w:t>
            </w:r>
            <w:r w:rsidRPr="004415A6">
              <w:rPr>
                <w:b w:val="0"/>
              </w:rPr>
              <w:t>80</w:t>
            </w:r>
            <w:r>
              <w:rPr>
                <w:b w:val="0"/>
              </w:rPr>
              <w:t xml:space="preserve"> x current </w:t>
            </w:r>
            <w:r w:rsidRPr="004415A6">
              <w:rPr>
                <w:b w:val="0"/>
              </w:rPr>
              <w:t>smoker</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0.911</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0.616</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1.348</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0.643</w:t>
            </w:r>
          </w:p>
        </w:tc>
      </w:tr>
      <w:tr w:rsidR="000C0A41" w:rsidRPr="0013015A" w:rsidTr="00BC1C9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BC1C97">
            <w:pPr>
              <w:jc w:val="right"/>
              <w:rPr>
                <w:b w:val="0"/>
              </w:rPr>
            </w:pPr>
            <w:r>
              <w:rPr>
                <w:b w:val="0"/>
              </w:rPr>
              <w:t xml:space="preserve">Age group </w:t>
            </w:r>
            <w:r w:rsidRPr="004415A6">
              <w:rPr>
                <w:b w:val="0"/>
                <w:u w:val="single"/>
              </w:rPr>
              <w:t>&gt;</w:t>
            </w:r>
            <w:r w:rsidRPr="004415A6">
              <w:rPr>
                <w:b w:val="0"/>
              </w:rPr>
              <w:t>80</w:t>
            </w:r>
            <w:r>
              <w:rPr>
                <w:b w:val="0"/>
              </w:rPr>
              <w:t xml:space="preserve"> x ex</w:t>
            </w:r>
            <w:r w:rsidRPr="004415A6">
              <w:rPr>
                <w:b w:val="0"/>
              </w:rPr>
              <w:t>-smoker</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1.000</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1.000</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1.000</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w:t>
            </w:r>
          </w:p>
        </w:tc>
      </w:tr>
      <w:tr w:rsidR="000C0A41" w:rsidRPr="00CC1507" w:rsidTr="006A4E5A">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tcPr>
          <w:p w:rsidR="000C0A41" w:rsidRPr="00CC1507" w:rsidRDefault="000C0A41" w:rsidP="006A4E5A">
            <w:pPr>
              <w:jc w:val="left"/>
            </w:pPr>
            <w:r w:rsidRPr="00CC1507">
              <w:t>Deprivation</w:t>
            </w:r>
          </w:p>
        </w:tc>
        <w:tc>
          <w:tcPr>
            <w:tcW w:w="1120" w:type="dxa"/>
            <w:noWrap/>
          </w:tcPr>
          <w:p w:rsidR="000C0A41" w:rsidRPr="00CC1507" w:rsidRDefault="000C0A41" w:rsidP="006A4E5A">
            <w:pPr>
              <w:jc w:val="center"/>
              <w:cnfStyle w:val="000000000000" w:firstRow="0" w:lastRow="0" w:firstColumn="0" w:lastColumn="0" w:oddVBand="0" w:evenVBand="0" w:oddHBand="0" w:evenHBand="0" w:firstRowFirstColumn="0" w:firstRowLastColumn="0" w:lastRowFirstColumn="0" w:lastRowLastColumn="0"/>
              <w:rPr>
                <w:b/>
              </w:rPr>
            </w:pPr>
          </w:p>
        </w:tc>
        <w:tc>
          <w:tcPr>
            <w:tcW w:w="1120" w:type="dxa"/>
            <w:noWrap/>
          </w:tcPr>
          <w:p w:rsidR="000C0A41" w:rsidRPr="00CC1507" w:rsidRDefault="000C0A41" w:rsidP="006A4E5A">
            <w:pPr>
              <w:jc w:val="center"/>
              <w:cnfStyle w:val="000000000000" w:firstRow="0" w:lastRow="0" w:firstColumn="0" w:lastColumn="0" w:oddVBand="0" w:evenVBand="0" w:oddHBand="0" w:evenHBand="0" w:firstRowFirstColumn="0" w:firstRowLastColumn="0" w:lastRowFirstColumn="0" w:lastRowLastColumn="0"/>
              <w:rPr>
                <w:b/>
              </w:rPr>
            </w:pPr>
          </w:p>
        </w:tc>
        <w:tc>
          <w:tcPr>
            <w:tcW w:w="1120" w:type="dxa"/>
            <w:noWrap/>
          </w:tcPr>
          <w:p w:rsidR="000C0A41" w:rsidRPr="00CC1507" w:rsidRDefault="000C0A41" w:rsidP="006A4E5A">
            <w:pPr>
              <w:jc w:val="center"/>
              <w:cnfStyle w:val="000000000000" w:firstRow="0" w:lastRow="0" w:firstColumn="0" w:lastColumn="0" w:oddVBand="0" w:evenVBand="0" w:oddHBand="0" w:evenHBand="0" w:firstRowFirstColumn="0" w:firstRowLastColumn="0" w:lastRowFirstColumn="0" w:lastRowLastColumn="0"/>
              <w:rPr>
                <w:b/>
              </w:rPr>
            </w:pPr>
          </w:p>
        </w:tc>
        <w:tc>
          <w:tcPr>
            <w:tcW w:w="1120" w:type="dxa"/>
            <w:noWrap/>
          </w:tcPr>
          <w:p w:rsidR="000C0A41" w:rsidRPr="00CC1507" w:rsidRDefault="000C0A41" w:rsidP="006A4E5A">
            <w:pPr>
              <w:jc w:val="center"/>
              <w:cnfStyle w:val="000000000000" w:firstRow="0" w:lastRow="0" w:firstColumn="0" w:lastColumn="0" w:oddVBand="0" w:evenVBand="0" w:oddHBand="0" w:evenHBand="0" w:firstRowFirstColumn="0" w:firstRowLastColumn="0" w:lastRowFirstColumn="0" w:lastRowLastColumn="0"/>
              <w:rPr>
                <w:b/>
              </w:rPr>
            </w:pPr>
          </w:p>
        </w:tc>
      </w:tr>
      <w:tr w:rsidR="000C0A41" w:rsidRPr="0013015A" w:rsidTr="00BC1C9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CC1507" w:rsidRDefault="000C0A41" w:rsidP="00BC1C97">
            <w:pPr>
              <w:jc w:val="right"/>
              <w:rPr>
                <w:b w:val="0"/>
              </w:rPr>
            </w:pPr>
            <w:r w:rsidRPr="00CC1507">
              <w:rPr>
                <w:b w:val="0"/>
              </w:rPr>
              <w:t>IMD quintile 1 (least deprived)</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w:t>
            </w:r>
          </w:p>
        </w:tc>
      </w:tr>
      <w:tr w:rsidR="000C0A41" w:rsidRPr="0013015A" w:rsidTr="00BC1C97">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CC1507" w:rsidRDefault="000C0A41" w:rsidP="00BC1C97">
            <w:pPr>
              <w:jc w:val="right"/>
              <w:rPr>
                <w:b w:val="0"/>
              </w:rPr>
            </w:pPr>
            <w:r w:rsidRPr="00CC1507">
              <w:rPr>
                <w:b w:val="0"/>
              </w:rPr>
              <w:t>IMD quintile 2</w:t>
            </w:r>
          </w:p>
        </w:tc>
        <w:tc>
          <w:tcPr>
            <w:tcW w:w="1120" w:type="dxa"/>
            <w:noWrap/>
            <w:vAlign w:val="center"/>
          </w:tcPr>
          <w:p w:rsidR="000C0A41" w:rsidRPr="00BC1C97" w:rsidRDefault="000C0A41" w:rsidP="00BC1C97">
            <w:pPr>
              <w:jc w:val="center"/>
              <w:cnfStyle w:val="000000000000" w:firstRow="0" w:lastRow="0" w:firstColumn="0" w:lastColumn="0" w:oddVBand="0" w:evenVBand="0" w:oddHBand="0" w:evenHBand="0" w:firstRowFirstColumn="0" w:firstRowLastColumn="0" w:lastRowFirstColumn="0" w:lastRowLastColumn="0"/>
              <w:rPr>
                <w:highlight w:val="yellow"/>
              </w:rPr>
            </w:pPr>
            <w:r w:rsidRPr="00BC1C97">
              <w:rPr>
                <w:rFonts w:ascii="Calibri" w:hAnsi="Calibri"/>
                <w:color w:val="000000"/>
                <w:highlight w:val="yellow"/>
              </w:rPr>
              <w:t>0.828</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0.791</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0.866</w:t>
            </w:r>
          </w:p>
        </w:tc>
        <w:tc>
          <w:tcPr>
            <w:tcW w:w="1120" w:type="dxa"/>
            <w:noWrap/>
            <w:vAlign w:val="center"/>
          </w:tcPr>
          <w:p w:rsidR="000C0A41" w:rsidRPr="00BC1C97" w:rsidRDefault="000C0A41" w:rsidP="00BC1C97">
            <w:pPr>
              <w:jc w:val="center"/>
              <w:cnfStyle w:val="000000000000" w:firstRow="0" w:lastRow="0" w:firstColumn="0" w:lastColumn="0" w:oddVBand="0" w:evenVBand="0" w:oddHBand="0" w:evenHBand="0" w:firstRowFirstColumn="0" w:firstRowLastColumn="0" w:lastRowFirstColumn="0" w:lastRowLastColumn="0"/>
              <w:rPr>
                <w:highlight w:val="yellow"/>
              </w:rPr>
            </w:pPr>
            <w:r w:rsidRPr="00BC1C97">
              <w:rPr>
                <w:rFonts w:ascii="Calibri" w:hAnsi="Calibri"/>
                <w:color w:val="000000"/>
                <w:highlight w:val="yellow"/>
              </w:rPr>
              <w:t>0.000</w:t>
            </w:r>
          </w:p>
        </w:tc>
      </w:tr>
      <w:tr w:rsidR="000C0A41" w:rsidRPr="0013015A" w:rsidTr="00BC1C9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CC1507" w:rsidRDefault="000C0A41" w:rsidP="00BC1C97">
            <w:pPr>
              <w:jc w:val="right"/>
              <w:rPr>
                <w:b w:val="0"/>
              </w:rPr>
            </w:pPr>
            <w:r w:rsidRPr="00CC1507">
              <w:rPr>
                <w:b w:val="0"/>
              </w:rPr>
              <w:t>IMD quintile 3</w:t>
            </w:r>
          </w:p>
        </w:tc>
        <w:tc>
          <w:tcPr>
            <w:tcW w:w="1120" w:type="dxa"/>
            <w:noWrap/>
            <w:vAlign w:val="center"/>
          </w:tcPr>
          <w:p w:rsidR="000C0A41" w:rsidRPr="00BC1C97" w:rsidRDefault="000C0A41" w:rsidP="00BC1C97">
            <w:pPr>
              <w:jc w:val="center"/>
              <w:cnfStyle w:val="000000100000" w:firstRow="0" w:lastRow="0" w:firstColumn="0" w:lastColumn="0" w:oddVBand="0" w:evenVBand="0" w:oddHBand="1" w:evenHBand="0" w:firstRowFirstColumn="0" w:firstRowLastColumn="0" w:lastRowFirstColumn="0" w:lastRowLastColumn="0"/>
              <w:rPr>
                <w:highlight w:val="yellow"/>
              </w:rPr>
            </w:pPr>
            <w:r w:rsidRPr="00BC1C97">
              <w:rPr>
                <w:rFonts w:ascii="Calibri" w:hAnsi="Calibri"/>
                <w:color w:val="000000"/>
                <w:highlight w:val="yellow"/>
              </w:rPr>
              <w:t>0.711</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0.677</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0.745</w:t>
            </w:r>
          </w:p>
        </w:tc>
        <w:tc>
          <w:tcPr>
            <w:tcW w:w="1120" w:type="dxa"/>
            <w:noWrap/>
            <w:vAlign w:val="center"/>
          </w:tcPr>
          <w:p w:rsidR="000C0A41" w:rsidRPr="00BC1C97" w:rsidRDefault="000C0A41" w:rsidP="00BC1C97">
            <w:pPr>
              <w:jc w:val="center"/>
              <w:cnfStyle w:val="000000100000" w:firstRow="0" w:lastRow="0" w:firstColumn="0" w:lastColumn="0" w:oddVBand="0" w:evenVBand="0" w:oddHBand="1" w:evenHBand="0" w:firstRowFirstColumn="0" w:firstRowLastColumn="0" w:lastRowFirstColumn="0" w:lastRowLastColumn="0"/>
              <w:rPr>
                <w:highlight w:val="yellow"/>
              </w:rPr>
            </w:pPr>
            <w:r w:rsidRPr="00BC1C97">
              <w:rPr>
                <w:rFonts w:ascii="Calibri" w:hAnsi="Calibri"/>
                <w:color w:val="000000"/>
                <w:highlight w:val="yellow"/>
              </w:rPr>
              <w:t>0.000</w:t>
            </w:r>
          </w:p>
        </w:tc>
      </w:tr>
      <w:tr w:rsidR="000C0A41" w:rsidRPr="0013015A" w:rsidTr="00BC1C97">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CC1507" w:rsidRDefault="000C0A41" w:rsidP="00BC1C97">
            <w:pPr>
              <w:jc w:val="right"/>
              <w:rPr>
                <w:b w:val="0"/>
              </w:rPr>
            </w:pPr>
            <w:r w:rsidRPr="00CC1507">
              <w:rPr>
                <w:b w:val="0"/>
              </w:rPr>
              <w:t>IMD quintile 4</w:t>
            </w:r>
          </w:p>
        </w:tc>
        <w:tc>
          <w:tcPr>
            <w:tcW w:w="1120" w:type="dxa"/>
            <w:noWrap/>
            <w:vAlign w:val="center"/>
          </w:tcPr>
          <w:p w:rsidR="000C0A41" w:rsidRPr="00BC1C97" w:rsidRDefault="000C0A41" w:rsidP="00BC1C97">
            <w:pPr>
              <w:jc w:val="center"/>
              <w:cnfStyle w:val="000000000000" w:firstRow="0" w:lastRow="0" w:firstColumn="0" w:lastColumn="0" w:oddVBand="0" w:evenVBand="0" w:oddHBand="0" w:evenHBand="0" w:firstRowFirstColumn="0" w:firstRowLastColumn="0" w:lastRowFirstColumn="0" w:lastRowLastColumn="0"/>
              <w:rPr>
                <w:highlight w:val="yellow"/>
              </w:rPr>
            </w:pPr>
            <w:r w:rsidRPr="00BC1C97">
              <w:rPr>
                <w:rFonts w:ascii="Calibri" w:hAnsi="Calibri"/>
                <w:color w:val="000000"/>
                <w:highlight w:val="yellow"/>
              </w:rPr>
              <w:t>0.655</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0.626</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0.685</w:t>
            </w:r>
          </w:p>
        </w:tc>
        <w:tc>
          <w:tcPr>
            <w:tcW w:w="1120" w:type="dxa"/>
            <w:noWrap/>
            <w:vAlign w:val="center"/>
          </w:tcPr>
          <w:p w:rsidR="000C0A41" w:rsidRPr="00BC1C97" w:rsidRDefault="000C0A41" w:rsidP="00BC1C97">
            <w:pPr>
              <w:jc w:val="center"/>
              <w:cnfStyle w:val="000000000000" w:firstRow="0" w:lastRow="0" w:firstColumn="0" w:lastColumn="0" w:oddVBand="0" w:evenVBand="0" w:oddHBand="0" w:evenHBand="0" w:firstRowFirstColumn="0" w:firstRowLastColumn="0" w:lastRowFirstColumn="0" w:lastRowLastColumn="0"/>
              <w:rPr>
                <w:highlight w:val="yellow"/>
              </w:rPr>
            </w:pPr>
            <w:r w:rsidRPr="00BC1C97">
              <w:rPr>
                <w:rFonts w:ascii="Calibri" w:hAnsi="Calibri"/>
                <w:color w:val="000000"/>
                <w:highlight w:val="yellow"/>
              </w:rPr>
              <w:t>0.000</w:t>
            </w:r>
          </w:p>
        </w:tc>
      </w:tr>
      <w:tr w:rsidR="000C0A41" w:rsidRPr="0013015A" w:rsidTr="00BC1C9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CC1507" w:rsidRDefault="000C0A41" w:rsidP="00BC1C97">
            <w:pPr>
              <w:jc w:val="right"/>
              <w:rPr>
                <w:b w:val="0"/>
              </w:rPr>
            </w:pPr>
            <w:r w:rsidRPr="00CC1507">
              <w:rPr>
                <w:b w:val="0"/>
              </w:rPr>
              <w:t>IMD quintile 5 (most deprived)</w:t>
            </w:r>
          </w:p>
        </w:tc>
        <w:tc>
          <w:tcPr>
            <w:tcW w:w="1120" w:type="dxa"/>
            <w:noWrap/>
            <w:vAlign w:val="center"/>
          </w:tcPr>
          <w:p w:rsidR="000C0A41" w:rsidRPr="00BC1C97" w:rsidRDefault="000C0A41" w:rsidP="00BC1C97">
            <w:pPr>
              <w:jc w:val="center"/>
              <w:cnfStyle w:val="000000100000" w:firstRow="0" w:lastRow="0" w:firstColumn="0" w:lastColumn="0" w:oddVBand="0" w:evenVBand="0" w:oddHBand="1" w:evenHBand="0" w:firstRowFirstColumn="0" w:firstRowLastColumn="0" w:lastRowFirstColumn="0" w:lastRowLastColumn="0"/>
              <w:rPr>
                <w:highlight w:val="yellow"/>
              </w:rPr>
            </w:pPr>
            <w:r w:rsidRPr="00BC1C97">
              <w:rPr>
                <w:rFonts w:ascii="Calibri" w:hAnsi="Calibri"/>
                <w:color w:val="000000"/>
                <w:highlight w:val="yellow"/>
              </w:rPr>
              <w:t>0.574</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0.550</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0.599</w:t>
            </w:r>
          </w:p>
        </w:tc>
        <w:tc>
          <w:tcPr>
            <w:tcW w:w="1120" w:type="dxa"/>
            <w:noWrap/>
            <w:vAlign w:val="center"/>
          </w:tcPr>
          <w:p w:rsidR="000C0A41" w:rsidRPr="00BC1C97" w:rsidRDefault="000C0A41" w:rsidP="00BC1C97">
            <w:pPr>
              <w:jc w:val="center"/>
              <w:cnfStyle w:val="000000100000" w:firstRow="0" w:lastRow="0" w:firstColumn="0" w:lastColumn="0" w:oddVBand="0" w:evenVBand="0" w:oddHBand="1" w:evenHBand="0" w:firstRowFirstColumn="0" w:firstRowLastColumn="0" w:lastRowFirstColumn="0" w:lastRowLastColumn="0"/>
              <w:rPr>
                <w:highlight w:val="yellow"/>
              </w:rPr>
            </w:pPr>
            <w:r w:rsidRPr="00BC1C97">
              <w:rPr>
                <w:rFonts w:ascii="Calibri" w:hAnsi="Calibri"/>
                <w:color w:val="000000"/>
                <w:highlight w:val="yellow"/>
              </w:rPr>
              <w:t>0.000</w:t>
            </w:r>
          </w:p>
        </w:tc>
      </w:tr>
      <w:tr w:rsidR="000C0A41" w:rsidRPr="0013015A" w:rsidTr="00BC1C97">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tcPr>
          <w:p w:rsidR="000C0A41" w:rsidRPr="004415A6" w:rsidRDefault="000C0A41" w:rsidP="00BC1C97">
            <w:pPr>
              <w:rPr>
                <w:b w:val="0"/>
              </w:rPr>
            </w:pPr>
            <w:r>
              <w:rPr>
                <w:b w:val="0"/>
              </w:rPr>
              <w:t>Constant</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238.960</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173.374</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329.356</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0.000</w:t>
            </w:r>
          </w:p>
        </w:tc>
      </w:tr>
    </w:tbl>
    <w:p w:rsidR="000C0A41" w:rsidRDefault="000C0A41" w:rsidP="008C5013">
      <w:pPr>
        <w:rPr>
          <w:b/>
        </w:rPr>
      </w:pPr>
    </w:p>
    <w:p w:rsidR="000C0A41" w:rsidRDefault="000C0A41" w:rsidP="008C5013">
      <w:pPr>
        <w:rPr>
          <w:rFonts w:ascii="Calibri" w:hAnsi="Calibri"/>
          <w:color w:val="000000"/>
        </w:rPr>
      </w:pPr>
      <w:r>
        <w:rPr>
          <w:rFonts w:ascii="Calibri" w:hAnsi="Calibri"/>
          <w:color w:val="000000"/>
        </w:rPr>
        <w:fldChar w:fldCharType="begin"/>
      </w:r>
      <w:r>
        <w:rPr>
          <w:rFonts w:ascii="Calibri" w:hAnsi="Calibri"/>
          <w:color w:val="000000"/>
        </w:rPr>
        <w:instrText xml:space="preserve"> REF _Ref457482580 \h </w:instrText>
      </w:r>
      <w:r>
        <w:rPr>
          <w:rFonts w:ascii="Calibri" w:hAnsi="Calibri"/>
          <w:color w:val="000000"/>
        </w:rPr>
      </w:r>
      <w:r>
        <w:rPr>
          <w:rFonts w:ascii="Calibri" w:hAnsi="Calibri"/>
          <w:color w:val="000000"/>
        </w:rPr>
        <w:fldChar w:fldCharType="separate"/>
      </w:r>
      <w:r w:rsidRPr="00370182">
        <w:t xml:space="preserve">Table </w:t>
      </w:r>
      <w:r>
        <w:rPr>
          <w:noProof/>
        </w:rPr>
        <w:t>18</w:t>
      </w:r>
      <w:r>
        <w:rPr>
          <w:rFonts w:ascii="Calibri" w:hAnsi="Calibri"/>
          <w:color w:val="000000"/>
        </w:rPr>
        <w:fldChar w:fldCharType="end"/>
      </w:r>
      <w:r>
        <w:rPr>
          <w:rFonts w:ascii="Calibri" w:hAnsi="Calibri"/>
          <w:color w:val="000000"/>
        </w:rPr>
        <w:t xml:space="preserve"> therefore shows the final complete </w:t>
      </w:r>
      <w:r>
        <w:t>l</w:t>
      </w:r>
      <w:r w:rsidRPr="00370182">
        <w:t xml:space="preserve">ogistic regression model including patients </w:t>
      </w:r>
      <w:r>
        <w:t xml:space="preserve">with CPRD doctor-diagnosed COPD and </w:t>
      </w:r>
      <w:r w:rsidRPr="00370182">
        <w:t xml:space="preserve">HES </w:t>
      </w:r>
      <w:r>
        <w:t xml:space="preserve">COPD </w:t>
      </w:r>
      <w:r w:rsidRPr="00370182">
        <w:t>diagnosis</w:t>
      </w:r>
      <w:r>
        <w:t xml:space="preserve"> only. The modelling also demonstrated a significant  interaction between age group and smoking status. All the variables included in the final national model were available at the local level (apart from the missing data already described), so this represents the local estimates as well.</w:t>
      </w:r>
    </w:p>
    <w:p w:rsidR="000C0A41" w:rsidRPr="00370182" w:rsidRDefault="000C0A41" w:rsidP="00370182">
      <w:pPr>
        <w:pStyle w:val="Caption"/>
        <w:keepNext/>
        <w:rPr>
          <w:color w:val="auto"/>
          <w:szCs w:val="22"/>
        </w:rPr>
      </w:pPr>
      <w:bookmarkStart w:id="87" w:name="_Ref457482580"/>
      <w:r w:rsidRPr="00370182">
        <w:rPr>
          <w:color w:val="auto"/>
          <w:szCs w:val="22"/>
        </w:rPr>
        <w:t xml:space="preserve">Table </w:t>
      </w:r>
      <w:r w:rsidRPr="00370182">
        <w:rPr>
          <w:color w:val="auto"/>
          <w:szCs w:val="22"/>
        </w:rPr>
        <w:fldChar w:fldCharType="begin"/>
      </w:r>
      <w:r w:rsidRPr="00370182">
        <w:rPr>
          <w:color w:val="auto"/>
          <w:szCs w:val="22"/>
        </w:rPr>
        <w:instrText xml:space="preserve"> SEQ Table \* ARABIC </w:instrText>
      </w:r>
      <w:r w:rsidRPr="00370182">
        <w:rPr>
          <w:color w:val="auto"/>
          <w:szCs w:val="22"/>
        </w:rPr>
        <w:fldChar w:fldCharType="separate"/>
      </w:r>
      <w:r>
        <w:rPr>
          <w:noProof/>
          <w:color w:val="auto"/>
          <w:szCs w:val="22"/>
        </w:rPr>
        <w:t>18</w:t>
      </w:r>
      <w:r w:rsidRPr="00370182">
        <w:rPr>
          <w:color w:val="auto"/>
          <w:szCs w:val="22"/>
        </w:rPr>
        <w:fldChar w:fldCharType="end"/>
      </w:r>
      <w:bookmarkEnd w:id="87"/>
      <w:r w:rsidRPr="00370182">
        <w:rPr>
          <w:color w:val="auto"/>
          <w:szCs w:val="22"/>
        </w:rPr>
        <w:t>: M</w:t>
      </w:r>
      <w:r>
        <w:rPr>
          <w:color w:val="auto"/>
          <w:szCs w:val="22"/>
        </w:rPr>
        <w:t>4</w:t>
      </w:r>
      <w:r w:rsidRPr="00370182">
        <w:rPr>
          <w:color w:val="auto"/>
          <w:szCs w:val="22"/>
        </w:rPr>
        <w:t xml:space="preserve">- </w:t>
      </w:r>
      <w:r>
        <w:rPr>
          <w:color w:val="auto"/>
          <w:szCs w:val="22"/>
        </w:rPr>
        <w:t>final l</w:t>
      </w:r>
      <w:r w:rsidRPr="00370182">
        <w:rPr>
          <w:color w:val="auto"/>
          <w:szCs w:val="22"/>
        </w:rPr>
        <w:t xml:space="preserve">ogistic regression model including patients </w:t>
      </w:r>
      <w:r>
        <w:rPr>
          <w:color w:val="auto"/>
          <w:szCs w:val="22"/>
        </w:rPr>
        <w:t xml:space="preserve">with CPRD doctor-diagnosed COPD and </w:t>
      </w:r>
      <w:r w:rsidRPr="00370182">
        <w:rPr>
          <w:color w:val="auto"/>
          <w:szCs w:val="22"/>
        </w:rPr>
        <w:t xml:space="preserve">HES </w:t>
      </w:r>
      <w:r>
        <w:rPr>
          <w:color w:val="auto"/>
          <w:szCs w:val="22"/>
        </w:rPr>
        <w:t xml:space="preserve">COPD </w:t>
      </w:r>
      <w:r w:rsidRPr="00370182">
        <w:rPr>
          <w:color w:val="auto"/>
          <w:szCs w:val="22"/>
        </w:rPr>
        <w:t>diagnosis</w:t>
      </w:r>
      <w:r>
        <w:rPr>
          <w:color w:val="auto"/>
          <w:szCs w:val="22"/>
        </w:rPr>
        <w:t xml:space="preserve"> only</w:t>
      </w:r>
    </w:p>
    <w:tbl>
      <w:tblPr>
        <w:tblStyle w:val="GridTable4-Accent1"/>
        <w:tblW w:w="0" w:type="auto"/>
        <w:jc w:val="center"/>
        <w:tblLook w:val="04A0" w:firstRow="1" w:lastRow="0" w:firstColumn="1" w:lastColumn="0" w:noHBand="0" w:noVBand="1"/>
      </w:tblPr>
      <w:tblGrid>
        <w:gridCol w:w="4489"/>
        <w:gridCol w:w="1120"/>
        <w:gridCol w:w="1120"/>
        <w:gridCol w:w="1120"/>
        <w:gridCol w:w="1120"/>
      </w:tblGrid>
      <w:tr w:rsidR="000C0A41" w:rsidRPr="00CC1507" w:rsidTr="006A4E5A">
        <w:trPr>
          <w:cnfStyle w:val="100000000000" w:firstRow="1" w:lastRow="0" w:firstColumn="0" w:lastColumn="0" w:oddVBand="0" w:evenVBand="0" w:oddHBand="0" w:evenHBand="0" w:firstRowFirstColumn="0" w:firstRowLastColumn="0" w:lastRowFirstColumn="0" w:lastRowLastColumn="0"/>
          <w:trHeight w:val="300"/>
          <w:tblHeader/>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CC1507" w:rsidRDefault="000C0A41" w:rsidP="006A4E5A">
            <w:pPr>
              <w:jc w:val="center"/>
            </w:pPr>
            <w:r w:rsidRPr="00CC1507">
              <w:t>Parameter</w:t>
            </w:r>
          </w:p>
        </w:tc>
        <w:tc>
          <w:tcPr>
            <w:tcW w:w="1120" w:type="dxa"/>
            <w:noWrap/>
            <w:hideMark/>
          </w:tcPr>
          <w:p w:rsidR="000C0A41" w:rsidRPr="00CC1507" w:rsidRDefault="000C0A41" w:rsidP="006A4E5A">
            <w:pPr>
              <w:jc w:val="center"/>
              <w:cnfStyle w:val="100000000000" w:firstRow="1" w:lastRow="0" w:firstColumn="0" w:lastColumn="0" w:oddVBand="0" w:evenVBand="0" w:oddHBand="0" w:evenHBand="0" w:firstRowFirstColumn="0" w:firstRowLastColumn="0" w:lastRowFirstColumn="0" w:lastRowLastColumn="0"/>
            </w:pPr>
            <w:r w:rsidRPr="00CC1507">
              <w:t>Odds Ratio</w:t>
            </w:r>
          </w:p>
        </w:tc>
        <w:tc>
          <w:tcPr>
            <w:tcW w:w="1120" w:type="dxa"/>
            <w:noWrap/>
            <w:hideMark/>
          </w:tcPr>
          <w:p w:rsidR="000C0A41" w:rsidRPr="00CC1507" w:rsidRDefault="000C0A41" w:rsidP="006A4E5A">
            <w:pPr>
              <w:jc w:val="center"/>
              <w:cnfStyle w:val="100000000000" w:firstRow="1" w:lastRow="0" w:firstColumn="0" w:lastColumn="0" w:oddVBand="0" w:evenVBand="0" w:oddHBand="0" w:evenHBand="0" w:firstRowFirstColumn="0" w:firstRowLastColumn="0" w:lastRowFirstColumn="0" w:lastRowLastColumn="0"/>
            </w:pPr>
            <w:r w:rsidRPr="00CC1507">
              <w:t>Lower 95% CI</w:t>
            </w:r>
          </w:p>
        </w:tc>
        <w:tc>
          <w:tcPr>
            <w:tcW w:w="1120" w:type="dxa"/>
            <w:noWrap/>
            <w:hideMark/>
          </w:tcPr>
          <w:p w:rsidR="000C0A41" w:rsidRPr="00CC1507" w:rsidRDefault="000C0A41" w:rsidP="006A4E5A">
            <w:pPr>
              <w:jc w:val="center"/>
              <w:cnfStyle w:val="100000000000" w:firstRow="1" w:lastRow="0" w:firstColumn="0" w:lastColumn="0" w:oddVBand="0" w:evenVBand="0" w:oddHBand="0" w:evenHBand="0" w:firstRowFirstColumn="0" w:firstRowLastColumn="0" w:lastRowFirstColumn="0" w:lastRowLastColumn="0"/>
            </w:pPr>
            <w:r w:rsidRPr="00CC1507">
              <w:t>Upper 95% CI</w:t>
            </w:r>
          </w:p>
        </w:tc>
        <w:tc>
          <w:tcPr>
            <w:tcW w:w="1120" w:type="dxa"/>
            <w:noWrap/>
            <w:hideMark/>
          </w:tcPr>
          <w:p w:rsidR="000C0A41" w:rsidRPr="00CC1507" w:rsidRDefault="000C0A41" w:rsidP="006A4E5A">
            <w:pPr>
              <w:jc w:val="center"/>
              <w:cnfStyle w:val="100000000000" w:firstRow="1" w:lastRow="0" w:firstColumn="0" w:lastColumn="0" w:oddVBand="0" w:evenVBand="0" w:oddHBand="0" w:evenHBand="0" w:firstRowFirstColumn="0" w:firstRowLastColumn="0" w:lastRowFirstColumn="0" w:lastRowLastColumn="0"/>
            </w:pPr>
            <w:r w:rsidRPr="00CC1507">
              <w:rPr>
                <w:i/>
              </w:rPr>
              <w:t>p</w:t>
            </w:r>
            <w:r w:rsidRPr="00CC1507">
              <w:t xml:space="preserve"> value</w:t>
            </w:r>
          </w:p>
        </w:tc>
      </w:tr>
      <w:tr w:rsidR="000C0A41" w:rsidRPr="004415A6" w:rsidTr="006A4E5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tcPr>
          <w:p w:rsidR="000C0A41" w:rsidRPr="004415A6" w:rsidRDefault="000C0A41" w:rsidP="006A4E5A">
            <w:r w:rsidRPr="004415A6">
              <w:t>Sex</w:t>
            </w:r>
          </w:p>
        </w:tc>
        <w:tc>
          <w:tcPr>
            <w:tcW w:w="1120" w:type="dxa"/>
            <w:noWrap/>
          </w:tcPr>
          <w:p w:rsidR="000C0A41" w:rsidRPr="004415A6" w:rsidRDefault="000C0A41" w:rsidP="006A4E5A">
            <w:pPr>
              <w:jc w:val="center"/>
              <w:cnfStyle w:val="000000100000" w:firstRow="0" w:lastRow="0" w:firstColumn="0" w:lastColumn="0" w:oddVBand="0" w:evenVBand="0" w:oddHBand="1" w:evenHBand="0" w:firstRowFirstColumn="0" w:firstRowLastColumn="0" w:lastRowFirstColumn="0" w:lastRowLastColumn="0"/>
              <w:rPr>
                <w:b/>
              </w:rPr>
            </w:pPr>
          </w:p>
        </w:tc>
        <w:tc>
          <w:tcPr>
            <w:tcW w:w="1120" w:type="dxa"/>
            <w:noWrap/>
          </w:tcPr>
          <w:p w:rsidR="000C0A41" w:rsidRPr="004415A6" w:rsidRDefault="000C0A41" w:rsidP="006A4E5A">
            <w:pPr>
              <w:jc w:val="center"/>
              <w:cnfStyle w:val="000000100000" w:firstRow="0" w:lastRow="0" w:firstColumn="0" w:lastColumn="0" w:oddVBand="0" w:evenVBand="0" w:oddHBand="1" w:evenHBand="0" w:firstRowFirstColumn="0" w:firstRowLastColumn="0" w:lastRowFirstColumn="0" w:lastRowLastColumn="0"/>
              <w:rPr>
                <w:b/>
              </w:rPr>
            </w:pPr>
          </w:p>
        </w:tc>
        <w:tc>
          <w:tcPr>
            <w:tcW w:w="1120" w:type="dxa"/>
            <w:noWrap/>
          </w:tcPr>
          <w:p w:rsidR="000C0A41" w:rsidRPr="004415A6" w:rsidRDefault="000C0A41" w:rsidP="006A4E5A">
            <w:pPr>
              <w:jc w:val="center"/>
              <w:cnfStyle w:val="000000100000" w:firstRow="0" w:lastRow="0" w:firstColumn="0" w:lastColumn="0" w:oddVBand="0" w:evenVBand="0" w:oddHBand="1" w:evenHBand="0" w:firstRowFirstColumn="0" w:firstRowLastColumn="0" w:lastRowFirstColumn="0" w:lastRowLastColumn="0"/>
              <w:rPr>
                <w:b/>
              </w:rPr>
            </w:pPr>
          </w:p>
        </w:tc>
        <w:tc>
          <w:tcPr>
            <w:tcW w:w="1120" w:type="dxa"/>
            <w:noWrap/>
          </w:tcPr>
          <w:p w:rsidR="000C0A41" w:rsidRPr="004415A6" w:rsidRDefault="000C0A41" w:rsidP="006A4E5A">
            <w:pPr>
              <w:jc w:val="center"/>
              <w:cnfStyle w:val="000000100000" w:firstRow="0" w:lastRow="0" w:firstColumn="0" w:lastColumn="0" w:oddVBand="0" w:evenVBand="0" w:oddHBand="1" w:evenHBand="0" w:firstRowFirstColumn="0" w:firstRowLastColumn="0" w:lastRowFirstColumn="0" w:lastRowLastColumn="0"/>
              <w:rPr>
                <w:b/>
              </w:rPr>
            </w:pPr>
          </w:p>
        </w:tc>
      </w:tr>
      <w:tr w:rsidR="000C0A41" w:rsidRPr="0013015A" w:rsidTr="00BC1C97">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BC1C97">
            <w:pPr>
              <w:jc w:val="right"/>
              <w:rPr>
                <w:b w:val="0"/>
              </w:rPr>
            </w:pPr>
            <w:r w:rsidRPr="004415A6">
              <w:rPr>
                <w:b w:val="0"/>
              </w:rPr>
              <w:t>Male</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w:t>
            </w:r>
          </w:p>
        </w:tc>
      </w:tr>
      <w:tr w:rsidR="000C0A41" w:rsidRPr="0013015A" w:rsidTr="00BC1C9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BC1C97">
            <w:pPr>
              <w:jc w:val="right"/>
              <w:rPr>
                <w:b w:val="0"/>
              </w:rPr>
            </w:pPr>
            <w:r w:rsidRPr="004415A6">
              <w:rPr>
                <w:b w:val="0"/>
              </w:rPr>
              <w:t>Female</w:t>
            </w:r>
          </w:p>
        </w:tc>
        <w:tc>
          <w:tcPr>
            <w:tcW w:w="1120" w:type="dxa"/>
            <w:noWrap/>
            <w:vAlign w:val="center"/>
          </w:tcPr>
          <w:p w:rsidR="000C0A41" w:rsidRPr="00BC1C97" w:rsidRDefault="000C0A41" w:rsidP="00BC1C97">
            <w:pPr>
              <w:jc w:val="center"/>
              <w:cnfStyle w:val="000000100000" w:firstRow="0" w:lastRow="0" w:firstColumn="0" w:lastColumn="0" w:oddVBand="0" w:evenVBand="0" w:oddHBand="1" w:evenHBand="0" w:firstRowFirstColumn="0" w:firstRowLastColumn="0" w:lastRowFirstColumn="0" w:lastRowLastColumn="0"/>
              <w:rPr>
                <w:highlight w:val="yellow"/>
              </w:rPr>
            </w:pPr>
            <w:r w:rsidRPr="00BC1C97">
              <w:rPr>
                <w:rFonts w:ascii="Calibri" w:hAnsi="Calibri"/>
                <w:color w:val="000000"/>
                <w:highlight w:val="yellow"/>
              </w:rPr>
              <w:t>0.974</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0.953</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0.995</w:t>
            </w:r>
          </w:p>
        </w:tc>
        <w:tc>
          <w:tcPr>
            <w:tcW w:w="1120" w:type="dxa"/>
            <w:noWrap/>
            <w:vAlign w:val="center"/>
          </w:tcPr>
          <w:p w:rsidR="000C0A41" w:rsidRPr="00BC1C97" w:rsidRDefault="000C0A41" w:rsidP="00BC1C97">
            <w:pPr>
              <w:jc w:val="center"/>
              <w:cnfStyle w:val="000000100000" w:firstRow="0" w:lastRow="0" w:firstColumn="0" w:lastColumn="0" w:oddVBand="0" w:evenVBand="0" w:oddHBand="1" w:evenHBand="0" w:firstRowFirstColumn="0" w:firstRowLastColumn="0" w:lastRowFirstColumn="0" w:lastRowLastColumn="0"/>
              <w:rPr>
                <w:highlight w:val="yellow"/>
              </w:rPr>
            </w:pPr>
            <w:r w:rsidRPr="00BC1C97">
              <w:rPr>
                <w:rFonts w:ascii="Calibri" w:hAnsi="Calibri"/>
                <w:color w:val="000000"/>
                <w:highlight w:val="yellow"/>
              </w:rPr>
              <w:t>0.017</w:t>
            </w:r>
          </w:p>
        </w:tc>
      </w:tr>
      <w:tr w:rsidR="000C0A41" w:rsidRPr="004415A6" w:rsidTr="006A4E5A">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tcPr>
          <w:p w:rsidR="000C0A41" w:rsidRPr="004415A6" w:rsidRDefault="000C0A41" w:rsidP="006A4E5A">
            <w:pPr>
              <w:jc w:val="left"/>
            </w:pPr>
            <w:r w:rsidRPr="004415A6">
              <w:t>Age group</w:t>
            </w:r>
          </w:p>
        </w:tc>
        <w:tc>
          <w:tcPr>
            <w:tcW w:w="1120" w:type="dxa"/>
            <w:noWrap/>
          </w:tcPr>
          <w:p w:rsidR="000C0A41" w:rsidRPr="004415A6" w:rsidRDefault="000C0A41" w:rsidP="006A4E5A">
            <w:pPr>
              <w:jc w:val="center"/>
              <w:cnfStyle w:val="000000000000" w:firstRow="0" w:lastRow="0" w:firstColumn="0" w:lastColumn="0" w:oddVBand="0" w:evenVBand="0" w:oddHBand="0" w:evenHBand="0" w:firstRowFirstColumn="0" w:firstRowLastColumn="0" w:lastRowFirstColumn="0" w:lastRowLastColumn="0"/>
              <w:rPr>
                <w:b/>
              </w:rPr>
            </w:pPr>
          </w:p>
        </w:tc>
        <w:tc>
          <w:tcPr>
            <w:tcW w:w="1120" w:type="dxa"/>
            <w:noWrap/>
          </w:tcPr>
          <w:p w:rsidR="000C0A41" w:rsidRPr="004415A6" w:rsidRDefault="000C0A41" w:rsidP="006A4E5A">
            <w:pPr>
              <w:jc w:val="center"/>
              <w:cnfStyle w:val="000000000000" w:firstRow="0" w:lastRow="0" w:firstColumn="0" w:lastColumn="0" w:oddVBand="0" w:evenVBand="0" w:oddHBand="0" w:evenHBand="0" w:firstRowFirstColumn="0" w:firstRowLastColumn="0" w:lastRowFirstColumn="0" w:lastRowLastColumn="0"/>
              <w:rPr>
                <w:b/>
              </w:rPr>
            </w:pPr>
          </w:p>
        </w:tc>
        <w:tc>
          <w:tcPr>
            <w:tcW w:w="1120" w:type="dxa"/>
            <w:noWrap/>
          </w:tcPr>
          <w:p w:rsidR="000C0A41" w:rsidRPr="004415A6" w:rsidRDefault="000C0A41" w:rsidP="006A4E5A">
            <w:pPr>
              <w:jc w:val="center"/>
              <w:cnfStyle w:val="000000000000" w:firstRow="0" w:lastRow="0" w:firstColumn="0" w:lastColumn="0" w:oddVBand="0" w:evenVBand="0" w:oddHBand="0" w:evenHBand="0" w:firstRowFirstColumn="0" w:firstRowLastColumn="0" w:lastRowFirstColumn="0" w:lastRowLastColumn="0"/>
              <w:rPr>
                <w:b/>
              </w:rPr>
            </w:pPr>
          </w:p>
        </w:tc>
        <w:tc>
          <w:tcPr>
            <w:tcW w:w="1120" w:type="dxa"/>
            <w:noWrap/>
          </w:tcPr>
          <w:p w:rsidR="000C0A41" w:rsidRPr="004415A6" w:rsidRDefault="000C0A41" w:rsidP="006A4E5A">
            <w:pPr>
              <w:jc w:val="center"/>
              <w:cnfStyle w:val="000000000000" w:firstRow="0" w:lastRow="0" w:firstColumn="0" w:lastColumn="0" w:oddVBand="0" w:evenVBand="0" w:oddHBand="0" w:evenHBand="0" w:firstRowFirstColumn="0" w:firstRowLastColumn="0" w:lastRowFirstColumn="0" w:lastRowLastColumn="0"/>
              <w:rPr>
                <w:b/>
              </w:rPr>
            </w:pPr>
          </w:p>
        </w:tc>
      </w:tr>
      <w:tr w:rsidR="000C0A41" w:rsidRPr="0013015A" w:rsidTr="00BC1C9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BC1C97">
            <w:pPr>
              <w:jc w:val="right"/>
              <w:rPr>
                <w:b w:val="0"/>
              </w:rPr>
            </w:pPr>
            <w:r w:rsidRPr="004415A6">
              <w:rPr>
                <w:b w:val="0"/>
              </w:rPr>
              <w:t>&lt;40</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w:t>
            </w:r>
          </w:p>
        </w:tc>
      </w:tr>
      <w:tr w:rsidR="000C0A41" w:rsidRPr="0013015A" w:rsidTr="00BC1C97">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BC1C97">
            <w:pPr>
              <w:jc w:val="right"/>
              <w:rPr>
                <w:b w:val="0"/>
              </w:rPr>
            </w:pPr>
            <w:r w:rsidRPr="004415A6">
              <w:rPr>
                <w:b w:val="0"/>
                <w:u w:val="single"/>
              </w:rPr>
              <w:t>&gt;</w:t>
            </w:r>
            <w:r w:rsidRPr="004415A6">
              <w:rPr>
                <w:b w:val="0"/>
              </w:rPr>
              <w:t>40 &amp; &lt;50</w:t>
            </w:r>
          </w:p>
        </w:tc>
        <w:tc>
          <w:tcPr>
            <w:tcW w:w="1120" w:type="dxa"/>
            <w:noWrap/>
            <w:vAlign w:val="center"/>
          </w:tcPr>
          <w:p w:rsidR="000C0A41" w:rsidRPr="00BC1C97" w:rsidRDefault="000C0A41" w:rsidP="00BC1C97">
            <w:pPr>
              <w:jc w:val="center"/>
              <w:cnfStyle w:val="000000000000" w:firstRow="0" w:lastRow="0" w:firstColumn="0" w:lastColumn="0" w:oddVBand="0" w:evenVBand="0" w:oddHBand="0" w:evenHBand="0" w:firstRowFirstColumn="0" w:firstRowLastColumn="0" w:lastRowFirstColumn="0" w:lastRowLastColumn="0"/>
              <w:rPr>
                <w:highlight w:val="yellow"/>
              </w:rPr>
            </w:pPr>
            <w:r w:rsidRPr="00BC1C97">
              <w:rPr>
                <w:rFonts w:ascii="Calibri" w:hAnsi="Calibri"/>
                <w:color w:val="000000"/>
                <w:highlight w:val="yellow"/>
              </w:rPr>
              <w:t>5.182</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3.521</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7.627</w:t>
            </w:r>
          </w:p>
        </w:tc>
        <w:tc>
          <w:tcPr>
            <w:tcW w:w="1120" w:type="dxa"/>
            <w:noWrap/>
            <w:vAlign w:val="center"/>
          </w:tcPr>
          <w:p w:rsidR="000C0A41" w:rsidRPr="00BC1C97" w:rsidRDefault="000C0A41" w:rsidP="00BC1C97">
            <w:pPr>
              <w:jc w:val="center"/>
              <w:cnfStyle w:val="000000000000" w:firstRow="0" w:lastRow="0" w:firstColumn="0" w:lastColumn="0" w:oddVBand="0" w:evenVBand="0" w:oddHBand="0" w:evenHBand="0" w:firstRowFirstColumn="0" w:firstRowLastColumn="0" w:lastRowFirstColumn="0" w:lastRowLastColumn="0"/>
              <w:rPr>
                <w:highlight w:val="yellow"/>
              </w:rPr>
            </w:pPr>
            <w:r w:rsidRPr="00BC1C97">
              <w:rPr>
                <w:rFonts w:ascii="Calibri" w:hAnsi="Calibri"/>
                <w:color w:val="000000"/>
                <w:highlight w:val="yellow"/>
              </w:rPr>
              <w:t>0.000</w:t>
            </w:r>
          </w:p>
        </w:tc>
      </w:tr>
      <w:tr w:rsidR="000C0A41" w:rsidRPr="0013015A" w:rsidTr="00BC1C9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BC1C97">
            <w:pPr>
              <w:jc w:val="right"/>
              <w:rPr>
                <w:b w:val="0"/>
              </w:rPr>
            </w:pPr>
            <w:r w:rsidRPr="004415A6">
              <w:rPr>
                <w:b w:val="0"/>
                <w:u w:val="single"/>
              </w:rPr>
              <w:t>&gt;</w:t>
            </w:r>
            <w:r w:rsidRPr="004415A6">
              <w:rPr>
                <w:b w:val="0"/>
              </w:rPr>
              <w:t>50 &amp; &lt;60</w:t>
            </w:r>
          </w:p>
        </w:tc>
        <w:tc>
          <w:tcPr>
            <w:tcW w:w="1120" w:type="dxa"/>
            <w:noWrap/>
            <w:vAlign w:val="center"/>
          </w:tcPr>
          <w:p w:rsidR="000C0A41" w:rsidRPr="00BC1C97" w:rsidRDefault="000C0A41" w:rsidP="00BC1C97">
            <w:pPr>
              <w:jc w:val="center"/>
              <w:cnfStyle w:val="000000100000" w:firstRow="0" w:lastRow="0" w:firstColumn="0" w:lastColumn="0" w:oddVBand="0" w:evenVBand="0" w:oddHBand="1" w:evenHBand="0" w:firstRowFirstColumn="0" w:firstRowLastColumn="0" w:lastRowFirstColumn="0" w:lastRowLastColumn="0"/>
              <w:rPr>
                <w:highlight w:val="yellow"/>
              </w:rPr>
            </w:pPr>
            <w:r w:rsidRPr="00BC1C97">
              <w:rPr>
                <w:rFonts w:ascii="Calibri" w:hAnsi="Calibri"/>
                <w:color w:val="000000"/>
                <w:highlight w:val="yellow"/>
              </w:rPr>
              <w:t>16.061</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11.024</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23.400</w:t>
            </w:r>
          </w:p>
        </w:tc>
        <w:tc>
          <w:tcPr>
            <w:tcW w:w="1120" w:type="dxa"/>
            <w:noWrap/>
            <w:vAlign w:val="center"/>
          </w:tcPr>
          <w:p w:rsidR="000C0A41" w:rsidRPr="00BC1C97" w:rsidRDefault="000C0A41" w:rsidP="00BC1C97">
            <w:pPr>
              <w:jc w:val="center"/>
              <w:cnfStyle w:val="000000100000" w:firstRow="0" w:lastRow="0" w:firstColumn="0" w:lastColumn="0" w:oddVBand="0" w:evenVBand="0" w:oddHBand="1" w:evenHBand="0" w:firstRowFirstColumn="0" w:firstRowLastColumn="0" w:lastRowFirstColumn="0" w:lastRowLastColumn="0"/>
              <w:rPr>
                <w:highlight w:val="yellow"/>
              </w:rPr>
            </w:pPr>
            <w:r w:rsidRPr="00BC1C97">
              <w:rPr>
                <w:rFonts w:ascii="Calibri" w:hAnsi="Calibri"/>
                <w:color w:val="000000"/>
                <w:highlight w:val="yellow"/>
              </w:rPr>
              <w:t>0.000</w:t>
            </w:r>
          </w:p>
        </w:tc>
      </w:tr>
      <w:tr w:rsidR="000C0A41" w:rsidRPr="0013015A" w:rsidTr="00BC1C97">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BC1C97">
            <w:pPr>
              <w:jc w:val="right"/>
              <w:rPr>
                <w:b w:val="0"/>
              </w:rPr>
            </w:pPr>
            <w:r w:rsidRPr="004415A6">
              <w:rPr>
                <w:b w:val="0"/>
                <w:u w:val="single"/>
              </w:rPr>
              <w:t>&gt;</w:t>
            </w:r>
            <w:r w:rsidRPr="004415A6">
              <w:rPr>
                <w:b w:val="0"/>
              </w:rPr>
              <w:t>60 &amp; &lt;70</w:t>
            </w:r>
          </w:p>
        </w:tc>
        <w:tc>
          <w:tcPr>
            <w:tcW w:w="1120" w:type="dxa"/>
            <w:noWrap/>
            <w:vAlign w:val="center"/>
          </w:tcPr>
          <w:p w:rsidR="000C0A41" w:rsidRPr="00BC1C97" w:rsidRDefault="000C0A41" w:rsidP="00BC1C97">
            <w:pPr>
              <w:jc w:val="center"/>
              <w:cnfStyle w:val="000000000000" w:firstRow="0" w:lastRow="0" w:firstColumn="0" w:lastColumn="0" w:oddVBand="0" w:evenVBand="0" w:oddHBand="0" w:evenHBand="0" w:firstRowFirstColumn="0" w:firstRowLastColumn="0" w:lastRowFirstColumn="0" w:lastRowLastColumn="0"/>
              <w:rPr>
                <w:highlight w:val="yellow"/>
              </w:rPr>
            </w:pPr>
            <w:r w:rsidRPr="00BC1C97">
              <w:rPr>
                <w:rFonts w:ascii="Calibri" w:hAnsi="Calibri"/>
                <w:color w:val="000000"/>
                <w:highlight w:val="yellow"/>
              </w:rPr>
              <w:t>44.932</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30.926</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65.281</w:t>
            </w:r>
          </w:p>
        </w:tc>
        <w:tc>
          <w:tcPr>
            <w:tcW w:w="1120" w:type="dxa"/>
            <w:noWrap/>
            <w:vAlign w:val="center"/>
          </w:tcPr>
          <w:p w:rsidR="000C0A41" w:rsidRPr="00BC1C97" w:rsidRDefault="000C0A41" w:rsidP="00BC1C97">
            <w:pPr>
              <w:jc w:val="center"/>
              <w:cnfStyle w:val="000000000000" w:firstRow="0" w:lastRow="0" w:firstColumn="0" w:lastColumn="0" w:oddVBand="0" w:evenVBand="0" w:oddHBand="0" w:evenHBand="0" w:firstRowFirstColumn="0" w:firstRowLastColumn="0" w:lastRowFirstColumn="0" w:lastRowLastColumn="0"/>
              <w:rPr>
                <w:highlight w:val="yellow"/>
              </w:rPr>
            </w:pPr>
            <w:r w:rsidRPr="00BC1C97">
              <w:rPr>
                <w:rFonts w:ascii="Calibri" w:hAnsi="Calibri"/>
                <w:color w:val="000000"/>
                <w:highlight w:val="yellow"/>
              </w:rPr>
              <w:t>0.000</w:t>
            </w:r>
          </w:p>
        </w:tc>
      </w:tr>
      <w:tr w:rsidR="000C0A41" w:rsidRPr="0013015A" w:rsidTr="00BC1C9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BC1C97">
            <w:pPr>
              <w:jc w:val="right"/>
              <w:rPr>
                <w:b w:val="0"/>
              </w:rPr>
            </w:pPr>
            <w:r w:rsidRPr="004415A6">
              <w:rPr>
                <w:b w:val="0"/>
                <w:u w:val="single"/>
              </w:rPr>
              <w:t>&gt;</w:t>
            </w:r>
            <w:r w:rsidRPr="004415A6">
              <w:rPr>
                <w:b w:val="0"/>
              </w:rPr>
              <w:t>70 &amp; &lt;80</w:t>
            </w:r>
          </w:p>
        </w:tc>
        <w:tc>
          <w:tcPr>
            <w:tcW w:w="1120" w:type="dxa"/>
            <w:noWrap/>
            <w:vAlign w:val="center"/>
          </w:tcPr>
          <w:p w:rsidR="000C0A41" w:rsidRPr="00BC1C97" w:rsidRDefault="000C0A41" w:rsidP="00BC1C97">
            <w:pPr>
              <w:jc w:val="center"/>
              <w:cnfStyle w:val="000000100000" w:firstRow="0" w:lastRow="0" w:firstColumn="0" w:lastColumn="0" w:oddVBand="0" w:evenVBand="0" w:oddHBand="1" w:evenHBand="0" w:firstRowFirstColumn="0" w:firstRowLastColumn="0" w:lastRowFirstColumn="0" w:lastRowLastColumn="0"/>
              <w:rPr>
                <w:highlight w:val="yellow"/>
              </w:rPr>
            </w:pPr>
            <w:r w:rsidRPr="00BC1C97">
              <w:rPr>
                <w:rFonts w:ascii="Calibri" w:hAnsi="Calibri"/>
                <w:color w:val="000000"/>
                <w:highlight w:val="yellow"/>
              </w:rPr>
              <w:t>83.552</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57.527</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121.351</w:t>
            </w:r>
          </w:p>
        </w:tc>
        <w:tc>
          <w:tcPr>
            <w:tcW w:w="1120" w:type="dxa"/>
            <w:noWrap/>
            <w:vAlign w:val="center"/>
          </w:tcPr>
          <w:p w:rsidR="000C0A41" w:rsidRPr="00BC1C97" w:rsidRDefault="000C0A41" w:rsidP="00BC1C97">
            <w:pPr>
              <w:jc w:val="center"/>
              <w:cnfStyle w:val="000000100000" w:firstRow="0" w:lastRow="0" w:firstColumn="0" w:lastColumn="0" w:oddVBand="0" w:evenVBand="0" w:oddHBand="1" w:evenHBand="0" w:firstRowFirstColumn="0" w:firstRowLastColumn="0" w:lastRowFirstColumn="0" w:lastRowLastColumn="0"/>
              <w:rPr>
                <w:highlight w:val="yellow"/>
              </w:rPr>
            </w:pPr>
            <w:r w:rsidRPr="00BC1C97">
              <w:rPr>
                <w:rFonts w:ascii="Calibri" w:hAnsi="Calibri"/>
                <w:color w:val="000000"/>
                <w:highlight w:val="yellow"/>
              </w:rPr>
              <w:t>0.000</w:t>
            </w:r>
          </w:p>
        </w:tc>
      </w:tr>
      <w:tr w:rsidR="000C0A41" w:rsidRPr="0013015A" w:rsidTr="00BC1C97">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BC1C97">
            <w:pPr>
              <w:jc w:val="right"/>
              <w:rPr>
                <w:b w:val="0"/>
              </w:rPr>
            </w:pPr>
            <w:r w:rsidRPr="004415A6">
              <w:rPr>
                <w:b w:val="0"/>
                <w:u w:val="single"/>
              </w:rPr>
              <w:t>&gt;</w:t>
            </w:r>
            <w:r w:rsidRPr="004415A6">
              <w:rPr>
                <w:b w:val="0"/>
              </w:rPr>
              <w:t>80</w:t>
            </w:r>
          </w:p>
        </w:tc>
        <w:tc>
          <w:tcPr>
            <w:tcW w:w="1120" w:type="dxa"/>
            <w:noWrap/>
            <w:vAlign w:val="center"/>
          </w:tcPr>
          <w:p w:rsidR="000C0A41" w:rsidRPr="00BC1C97" w:rsidRDefault="000C0A41" w:rsidP="00BC1C97">
            <w:pPr>
              <w:jc w:val="center"/>
              <w:cnfStyle w:val="000000000000" w:firstRow="0" w:lastRow="0" w:firstColumn="0" w:lastColumn="0" w:oddVBand="0" w:evenVBand="0" w:oddHBand="0" w:evenHBand="0" w:firstRowFirstColumn="0" w:firstRowLastColumn="0" w:lastRowFirstColumn="0" w:lastRowLastColumn="0"/>
              <w:rPr>
                <w:highlight w:val="yellow"/>
              </w:rPr>
            </w:pPr>
            <w:r w:rsidRPr="00BC1C97">
              <w:rPr>
                <w:rFonts w:ascii="Calibri" w:hAnsi="Calibri"/>
                <w:color w:val="000000"/>
                <w:highlight w:val="yellow"/>
              </w:rPr>
              <w:t>97.312</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66.960</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141.421</w:t>
            </w:r>
          </w:p>
        </w:tc>
        <w:tc>
          <w:tcPr>
            <w:tcW w:w="1120" w:type="dxa"/>
            <w:noWrap/>
            <w:vAlign w:val="center"/>
          </w:tcPr>
          <w:p w:rsidR="000C0A41" w:rsidRPr="00BC1C97" w:rsidRDefault="000C0A41" w:rsidP="00BC1C97">
            <w:pPr>
              <w:jc w:val="center"/>
              <w:cnfStyle w:val="000000000000" w:firstRow="0" w:lastRow="0" w:firstColumn="0" w:lastColumn="0" w:oddVBand="0" w:evenVBand="0" w:oddHBand="0" w:evenHBand="0" w:firstRowFirstColumn="0" w:firstRowLastColumn="0" w:lastRowFirstColumn="0" w:lastRowLastColumn="0"/>
              <w:rPr>
                <w:highlight w:val="yellow"/>
              </w:rPr>
            </w:pPr>
            <w:r w:rsidRPr="00BC1C97">
              <w:rPr>
                <w:rFonts w:ascii="Calibri" w:hAnsi="Calibri"/>
                <w:color w:val="000000"/>
                <w:highlight w:val="yellow"/>
              </w:rPr>
              <w:t>0.000</w:t>
            </w:r>
          </w:p>
        </w:tc>
      </w:tr>
      <w:tr w:rsidR="000C0A41" w:rsidRPr="004415A6" w:rsidTr="006A4E5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tcPr>
          <w:p w:rsidR="000C0A41" w:rsidRPr="004415A6" w:rsidRDefault="000C0A41" w:rsidP="006A4E5A">
            <w:r w:rsidRPr="004415A6">
              <w:t>Smoking</w:t>
            </w:r>
          </w:p>
        </w:tc>
        <w:tc>
          <w:tcPr>
            <w:tcW w:w="1120" w:type="dxa"/>
            <w:noWrap/>
          </w:tcPr>
          <w:p w:rsidR="000C0A41" w:rsidRPr="004415A6" w:rsidRDefault="000C0A41" w:rsidP="006A4E5A">
            <w:pPr>
              <w:jc w:val="center"/>
              <w:cnfStyle w:val="000000100000" w:firstRow="0" w:lastRow="0" w:firstColumn="0" w:lastColumn="0" w:oddVBand="0" w:evenVBand="0" w:oddHBand="1" w:evenHBand="0" w:firstRowFirstColumn="0" w:firstRowLastColumn="0" w:lastRowFirstColumn="0" w:lastRowLastColumn="0"/>
              <w:rPr>
                <w:b/>
              </w:rPr>
            </w:pPr>
          </w:p>
        </w:tc>
        <w:tc>
          <w:tcPr>
            <w:tcW w:w="1120" w:type="dxa"/>
            <w:noWrap/>
          </w:tcPr>
          <w:p w:rsidR="000C0A41" w:rsidRPr="004415A6" w:rsidRDefault="000C0A41" w:rsidP="006A4E5A">
            <w:pPr>
              <w:jc w:val="center"/>
              <w:cnfStyle w:val="000000100000" w:firstRow="0" w:lastRow="0" w:firstColumn="0" w:lastColumn="0" w:oddVBand="0" w:evenVBand="0" w:oddHBand="1" w:evenHBand="0" w:firstRowFirstColumn="0" w:firstRowLastColumn="0" w:lastRowFirstColumn="0" w:lastRowLastColumn="0"/>
              <w:rPr>
                <w:b/>
              </w:rPr>
            </w:pPr>
          </w:p>
        </w:tc>
        <w:tc>
          <w:tcPr>
            <w:tcW w:w="1120" w:type="dxa"/>
            <w:noWrap/>
          </w:tcPr>
          <w:p w:rsidR="000C0A41" w:rsidRPr="004415A6" w:rsidRDefault="000C0A41" w:rsidP="006A4E5A">
            <w:pPr>
              <w:jc w:val="center"/>
              <w:cnfStyle w:val="000000100000" w:firstRow="0" w:lastRow="0" w:firstColumn="0" w:lastColumn="0" w:oddVBand="0" w:evenVBand="0" w:oddHBand="1" w:evenHBand="0" w:firstRowFirstColumn="0" w:firstRowLastColumn="0" w:lastRowFirstColumn="0" w:lastRowLastColumn="0"/>
              <w:rPr>
                <w:b/>
              </w:rPr>
            </w:pPr>
          </w:p>
        </w:tc>
        <w:tc>
          <w:tcPr>
            <w:tcW w:w="1120" w:type="dxa"/>
            <w:noWrap/>
          </w:tcPr>
          <w:p w:rsidR="000C0A41" w:rsidRPr="004415A6" w:rsidRDefault="000C0A41" w:rsidP="006A4E5A">
            <w:pPr>
              <w:jc w:val="center"/>
              <w:cnfStyle w:val="000000100000" w:firstRow="0" w:lastRow="0" w:firstColumn="0" w:lastColumn="0" w:oddVBand="0" w:evenVBand="0" w:oddHBand="1" w:evenHBand="0" w:firstRowFirstColumn="0" w:firstRowLastColumn="0" w:lastRowFirstColumn="0" w:lastRowLastColumn="0"/>
              <w:rPr>
                <w:b/>
              </w:rPr>
            </w:pPr>
          </w:p>
        </w:tc>
      </w:tr>
      <w:tr w:rsidR="000C0A41" w:rsidRPr="0013015A" w:rsidTr="00BC1C97">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BC1C97">
            <w:pPr>
              <w:jc w:val="right"/>
              <w:rPr>
                <w:b w:val="0"/>
              </w:rPr>
            </w:pPr>
            <w:r>
              <w:rPr>
                <w:b w:val="0"/>
              </w:rPr>
              <w:t>Non-smoker</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w:t>
            </w:r>
          </w:p>
        </w:tc>
      </w:tr>
      <w:tr w:rsidR="000C0A41" w:rsidRPr="0013015A" w:rsidTr="00BC1C9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tcPr>
          <w:p w:rsidR="000C0A41" w:rsidRPr="004415A6" w:rsidRDefault="000C0A41" w:rsidP="00BC1C97">
            <w:pPr>
              <w:jc w:val="right"/>
              <w:rPr>
                <w:b w:val="0"/>
              </w:rPr>
            </w:pPr>
            <w:r>
              <w:rPr>
                <w:b w:val="0"/>
              </w:rPr>
              <w:t>Current smoker</w:t>
            </w:r>
          </w:p>
        </w:tc>
        <w:tc>
          <w:tcPr>
            <w:tcW w:w="1120" w:type="dxa"/>
            <w:noWrap/>
            <w:vAlign w:val="center"/>
          </w:tcPr>
          <w:p w:rsidR="000C0A41" w:rsidRPr="00BC1C97" w:rsidRDefault="000C0A41" w:rsidP="00BC1C97">
            <w:pPr>
              <w:jc w:val="center"/>
              <w:cnfStyle w:val="000000100000" w:firstRow="0" w:lastRow="0" w:firstColumn="0" w:lastColumn="0" w:oddVBand="0" w:evenVBand="0" w:oddHBand="1" w:evenHBand="0" w:firstRowFirstColumn="0" w:firstRowLastColumn="0" w:lastRowFirstColumn="0" w:lastRowLastColumn="0"/>
              <w:rPr>
                <w:highlight w:val="yellow"/>
              </w:rPr>
            </w:pPr>
            <w:r w:rsidRPr="00BC1C97">
              <w:rPr>
                <w:rFonts w:ascii="Calibri" w:hAnsi="Calibri"/>
                <w:color w:val="000000"/>
                <w:highlight w:val="yellow"/>
              </w:rPr>
              <w:t>6.645</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4.332</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10.194</w:t>
            </w:r>
          </w:p>
        </w:tc>
        <w:tc>
          <w:tcPr>
            <w:tcW w:w="1120" w:type="dxa"/>
            <w:noWrap/>
            <w:vAlign w:val="center"/>
          </w:tcPr>
          <w:p w:rsidR="000C0A41" w:rsidRPr="00BC1C97" w:rsidRDefault="000C0A41" w:rsidP="00BC1C97">
            <w:pPr>
              <w:jc w:val="center"/>
              <w:cnfStyle w:val="000000100000" w:firstRow="0" w:lastRow="0" w:firstColumn="0" w:lastColumn="0" w:oddVBand="0" w:evenVBand="0" w:oddHBand="1" w:evenHBand="0" w:firstRowFirstColumn="0" w:firstRowLastColumn="0" w:lastRowFirstColumn="0" w:lastRowLastColumn="0"/>
              <w:rPr>
                <w:highlight w:val="yellow"/>
              </w:rPr>
            </w:pPr>
            <w:r w:rsidRPr="00BC1C97">
              <w:rPr>
                <w:rFonts w:ascii="Calibri" w:hAnsi="Calibri"/>
                <w:color w:val="000000"/>
                <w:highlight w:val="yellow"/>
              </w:rPr>
              <w:t>0.000</w:t>
            </w:r>
          </w:p>
        </w:tc>
      </w:tr>
      <w:tr w:rsidR="000C0A41" w:rsidRPr="0013015A" w:rsidTr="00BC1C97">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BC1C97">
            <w:pPr>
              <w:jc w:val="right"/>
              <w:rPr>
                <w:b w:val="0"/>
              </w:rPr>
            </w:pPr>
            <w:r>
              <w:rPr>
                <w:b w:val="0"/>
              </w:rPr>
              <w:lastRenderedPageBreak/>
              <w:t>Ex-smoker</w:t>
            </w:r>
          </w:p>
        </w:tc>
        <w:tc>
          <w:tcPr>
            <w:tcW w:w="1120" w:type="dxa"/>
            <w:noWrap/>
            <w:vAlign w:val="center"/>
          </w:tcPr>
          <w:p w:rsidR="000C0A41" w:rsidRPr="00BC1C97" w:rsidRDefault="000C0A41" w:rsidP="00BC1C97">
            <w:pPr>
              <w:jc w:val="center"/>
              <w:cnfStyle w:val="000000000000" w:firstRow="0" w:lastRow="0" w:firstColumn="0" w:lastColumn="0" w:oddVBand="0" w:evenVBand="0" w:oddHBand="0" w:evenHBand="0" w:firstRowFirstColumn="0" w:firstRowLastColumn="0" w:lastRowFirstColumn="0" w:lastRowLastColumn="0"/>
              <w:rPr>
                <w:highlight w:val="yellow"/>
              </w:rPr>
            </w:pPr>
            <w:r w:rsidRPr="00BC1C97">
              <w:rPr>
                <w:rFonts w:ascii="Calibri" w:hAnsi="Calibri"/>
                <w:color w:val="000000"/>
                <w:highlight w:val="yellow"/>
              </w:rPr>
              <w:t>3.935</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2.415</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6.413</w:t>
            </w:r>
          </w:p>
        </w:tc>
        <w:tc>
          <w:tcPr>
            <w:tcW w:w="1120" w:type="dxa"/>
            <w:noWrap/>
            <w:vAlign w:val="center"/>
          </w:tcPr>
          <w:p w:rsidR="000C0A41" w:rsidRPr="00BC1C97" w:rsidRDefault="000C0A41" w:rsidP="00BC1C97">
            <w:pPr>
              <w:jc w:val="center"/>
              <w:cnfStyle w:val="000000000000" w:firstRow="0" w:lastRow="0" w:firstColumn="0" w:lastColumn="0" w:oddVBand="0" w:evenVBand="0" w:oddHBand="0" w:evenHBand="0" w:firstRowFirstColumn="0" w:firstRowLastColumn="0" w:lastRowFirstColumn="0" w:lastRowLastColumn="0"/>
              <w:rPr>
                <w:highlight w:val="yellow"/>
              </w:rPr>
            </w:pPr>
            <w:r w:rsidRPr="00BC1C97">
              <w:rPr>
                <w:rFonts w:ascii="Calibri" w:hAnsi="Calibri"/>
                <w:color w:val="000000"/>
                <w:highlight w:val="yellow"/>
              </w:rPr>
              <w:t>0.000</w:t>
            </w:r>
          </w:p>
        </w:tc>
      </w:tr>
      <w:tr w:rsidR="000C0A41" w:rsidRPr="00CC1507" w:rsidTr="006A4E5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tcPr>
          <w:p w:rsidR="000C0A41" w:rsidRPr="00CC1507" w:rsidRDefault="000C0A41" w:rsidP="006A4E5A">
            <w:r w:rsidRPr="00CC1507">
              <w:t>Interaction term age group</w:t>
            </w:r>
            <w:r>
              <w:t xml:space="preserve"> </w:t>
            </w:r>
            <w:r w:rsidRPr="00CC1507">
              <w:t>x smoking</w:t>
            </w:r>
          </w:p>
        </w:tc>
        <w:tc>
          <w:tcPr>
            <w:tcW w:w="1120" w:type="dxa"/>
            <w:noWrap/>
          </w:tcPr>
          <w:p w:rsidR="000C0A41" w:rsidRPr="00CC1507" w:rsidRDefault="000C0A41" w:rsidP="006A4E5A">
            <w:pPr>
              <w:jc w:val="center"/>
              <w:cnfStyle w:val="000000100000" w:firstRow="0" w:lastRow="0" w:firstColumn="0" w:lastColumn="0" w:oddVBand="0" w:evenVBand="0" w:oddHBand="1" w:evenHBand="0" w:firstRowFirstColumn="0" w:firstRowLastColumn="0" w:lastRowFirstColumn="0" w:lastRowLastColumn="0"/>
              <w:rPr>
                <w:b/>
              </w:rPr>
            </w:pPr>
          </w:p>
        </w:tc>
        <w:tc>
          <w:tcPr>
            <w:tcW w:w="1120" w:type="dxa"/>
            <w:noWrap/>
          </w:tcPr>
          <w:p w:rsidR="000C0A41" w:rsidRPr="00CC1507" w:rsidRDefault="000C0A41" w:rsidP="006A4E5A">
            <w:pPr>
              <w:jc w:val="center"/>
              <w:cnfStyle w:val="000000100000" w:firstRow="0" w:lastRow="0" w:firstColumn="0" w:lastColumn="0" w:oddVBand="0" w:evenVBand="0" w:oddHBand="1" w:evenHBand="0" w:firstRowFirstColumn="0" w:firstRowLastColumn="0" w:lastRowFirstColumn="0" w:lastRowLastColumn="0"/>
              <w:rPr>
                <w:b/>
              </w:rPr>
            </w:pPr>
          </w:p>
        </w:tc>
        <w:tc>
          <w:tcPr>
            <w:tcW w:w="1120" w:type="dxa"/>
            <w:noWrap/>
          </w:tcPr>
          <w:p w:rsidR="000C0A41" w:rsidRPr="00CC1507" w:rsidRDefault="000C0A41" w:rsidP="006A4E5A">
            <w:pPr>
              <w:jc w:val="center"/>
              <w:cnfStyle w:val="000000100000" w:firstRow="0" w:lastRow="0" w:firstColumn="0" w:lastColumn="0" w:oddVBand="0" w:evenVBand="0" w:oddHBand="1" w:evenHBand="0" w:firstRowFirstColumn="0" w:firstRowLastColumn="0" w:lastRowFirstColumn="0" w:lastRowLastColumn="0"/>
              <w:rPr>
                <w:b/>
              </w:rPr>
            </w:pPr>
          </w:p>
        </w:tc>
        <w:tc>
          <w:tcPr>
            <w:tcW w:w="1120" w:type="dxa"/>
            <w:noWrap/>
          </w:tcPr>
          <w:p w:rsidR="000C0A41" w:rsidRPr="00CC1507" w:rsidRDefault="000C0A41" w:rsidP="006A4E5A">
            <w:pPr>
              <w:jc w:val="center"/>
              <w:cnfStyle w:val="000000100000" w:firstRow="0" w:lastRow="0" w:firstColumn="0" w:lastColumn="0" w:oddVBand="0" w:evenVBand="0" w:oddHBand="1" w:evenHBand="0" w:firstRowFirstColumn="0" w:firstRowLastColumn="0" w:lastRowFirstColumn="0" w:lastRowLastColumn="0"/>
              <w:rPr>
                <w:b/>
              </w:rPr>
            </w:pPr>
          </w:p>
        </w:tc>
      </w:tr>
      <w:tr w:rsidR="000C0A41" w:rsidRPr="0013015A" w:rsidTr="00BC1C97">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BC1C97">
            <w:pPr>
              <w:jc w:val="right"/>
              <w:rPr>
                <w:b w:val="0"/>
              </w:rPr>
            </w:pPr>
            <w:r>
              <w:rPr>
                <w:b w:val="0"/>
              </w:rPr>
              <w:t>Age group &lt;40 x n</w:t>
            </w:r>
            <w:r w:rsidRPr="004415A6">
              <w:rPr>
                <w:b w:val="0"/>
              </w:rPr>
              <w:t>on-smoker</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w:t>
            </w:r>
          </w:p>
        </w:tc>
      </w:tr>
      <w:tr w:rsidR="000C0A41" w:rsidRPr="0013015A" w:rsidTr="00BC1C9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BC1C97">
            <w:pPr>
              <w:jc w:val="right"/>
              <w:rPr>
                <w:b w:val="0"/>
              </w:rPr>
            </w:pPr>
            <w:r>
              <w:rPr>
                <w:b w:val="0"/>
              </w:rPr>
              <w:t xml:space="preserve">Age group &lt;40 x current </w:t>
            </w:r>
            <w:r w:rsidRPr="004415A6">
              <w:rPr>
                <w:b w:val="0"/>
              </w:rPr>
              <w:t>smoker</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w:t>
            </w:r>
          </w:p>
        </w:tc>
      </w:tr>
      <w:tr w:rsidR="000C0A41" w:rsidRPr="0013015A" w:rsidTr="00BC1C97">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BC1C97">
            <w:pPr>
              <w:jc w:val="right"/>
              <w:rPr>
                <w:b w:val="0"/>
              </w:rPr>
            </w:pPr>
            <w:r>
              <w:rPr>
                <w:b w:val="0"/>
              </w:rPr>
              <w:t>Age group &lt;40 x ex</w:t>
            </w:r>
            <w:r w:rsidRPr="004415A6">
              <w:rPr>
                <w:b w:val="0"/>
              </w:rPr>
              <w:t>-smoker</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w:t>
            </w:r>
          </w:p>
        </w:tc>
      </w:tr>
      <w:tr w:rsidR="000C0A41" w:rsidRPr="0013015A" w:rsidTr="00BC1C9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BC1C97">
            <w:pPr>
              <w:jc w:val="right"/>
              <w:rPr>
                <w:b w:val="0"/>
              </w:rPr>
            </w:pPr>
            <w:r>
              <w:rPr>
                <w:b w:val="0"/>
              </w:rPr>
              <w:t xml:space="preserve">Age group </w:t>
            </w:r>
            <w:r w:rsidRPr="00CC1507">
              <w:rPr>
                <w:b w:val="0"/>
                <w:u w:val="single"/>
              </w:rPr>
              <w:t>&gt;</w:t>
            </w:r>
            <w:r w:rsidRPr="004415A6">
              <w:rPr>
                <w:b w:val="0"/>
              </w:rPr>
              <w:t>40 &amp; &lt;50</w:t>
            </w:r>
            <w:r>
              <w:rPr>
                <w:b w:val="0"/>
              </w:rPr>
              <w:t xml:space="preserve"> x n</w:t>
            </w:r>
            <w:r w:rsidRPr="004415A6">
              <w:rPr>
                <w:b w:val="0"/>
              </w:rPr>
              <w:t>on-smoker</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w:t>
            </w:r>
          </w:p>
        </w:tc>
      </w:tr>
      <w:tr w:rsidR="000C0A41" w:rsidRPr="0013015A" w:rsidTr="00BC1C97">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BC1C97">
            <w:pPr>
              <w:jc w:val="right"/>
              <w:rPr>
                <w:b w:val="0"/>
              </w:rPr>
            </w:pPr>
            <w:r>
              <w:rPr>
                <w:b w:val="0"/>
              </w:rPr>
              <w:t xml:space="preserve">Age group </w:t>
            </w:r>
            <w:r w:rsidRPr="00CC1507">
              <w:rPr>
                <w:b w:val="0"/>
                <w:u w:val="single"/>
              </w:rPr>
              <w:t>&gt;</w:t>
            </w:r>
            <w:r w:rsidRPr="004415A6">
              <w:rPr>
                <w:b w:val="0"/>
              </w:rPr>
              <w:t>40 &amp; &lt;50</w:t>
            </w:r>
            <w:r>
              <w:rPr>
                <w:b w:val="0"/>
              </w:rPr>
              <w:t xml:space="preserve"> x current </w:t>
            </w:r>
            <w:r w:rsidRPr="004415A6">
              <w:rPr>
                <w:b w:val="0"/>
              </w:rPr>
              <w:t>smoker</w:t>
            </w:r>
          </w:p>
        </w:tc>
        <w:tc>
          <w:tcPr>
            <w:tcW w:w="1120" w:type="dxa"/>
            <w:noWrap/>
            <w:vAlign w:val="center"/>
          </w:tcPr>
          <w:p w:rsidR="000C0A41" w:rsidRPr="00CC1507" w:rsidRDefault="000C0A41" w:rsidP="00BC1C97">
            <w:pPr>
              <w:jc w:val="center"/>
              <w:cnfStyle w:val="000000000000" w:firstRow="0" w:lastRow="0" w:firstColumn="0" w:lastColumn="0" w:oddVBand="0" w:evenVBand="0" w:oddHBand="0" w:evenHBand="0" w:firstRowFirstColumn="0" w:firstRowLastColumn="0" w:lastRowFirstColumn="0" w:lastRowLastColumn="0"/>
              <w:rPr>
                <w:highlight w:val="yellow"/>
              </w:rPr>
            </w:pPr>
            <w:r>
              <w:rPr>
                <w:rFonts w:ascii="Calibri" w:hAnsi="Calibri"/>
                <w:color w:val="000000"/>
              </w:rPr>
              <w:t>1.089</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0.697</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1.701</w:t>
            </w:r>
          </w:p>
        </w:tc>
        <w:tc>
          <w:tcPr>
            <w:tcW w:w="1120" w:type="dxa"/>
            <w:noWrap/>
            <w:vAlign w:val="center"/>
          </w:tcPr>
          <w:p w:rsidR="000C0A41" w:rsidRPr="00CC1507" w:rsidRDefault="000C0A41" w:rsidP="00BC1C97">
            <w:pPr>
              <w:jc w:val="center"/>
              <w:cnfStyle w:val="000000000000" w:firstRow="0" w:lastRow="0" w:firstColumn="0" w:lastColumn="0" w:oddVBand="0" w:evenVBand="0" w:oddHBand="0" w:evenHBand="0" w:firstRowFirstColumn="0" w:firstRowLastColumn="0" w:lastRowFirstColumn="0" w:lastRowLastColumn="0"/>
              <w:rPr>
                <w:highlight w:val="yellow"/>
              </w:rPr>
            </w:pPr>
            <w:r>
              <w:rPr>
                <w:rFonts w:ascii="Calibri" w:hAnsi="Calibri"/>
                <w:color w:val="000000"/>
              </w:rPr>
              <w:t>0.708</w:t>
            </w:r>
          </w:p>
        </w:tc>
      </w:tr>
      <w:tr w:rsidR="000C0A41" w:rsidRPr="0013015A" w:rsidTr="00BC1C9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BC1C97">
            <w:pPr>
              <w:jc w:val="right"/>
              <w:rPr>
                <w:b w:val="0"/>
              </w:rPr>
            </w:pPr>
            <w:r>
              <w:rPr>
                <w:b w:val="0"/>
              </w:rPr>
              <w:t xml:space="preserve">Age group </w:t>
            </w:r>
            <w:r w:rsidRPr="00CC1507">
              <w:rPr>
                <w:b w:val="0"/>
                <w:u w:val="single"/>
              </w:rPr>
              <w:t>&gt;</w:t>
            </w:r>
            <w:r w:rsidRPr="004415A6">
              <w:rPr>
                <w:b w:val="0"/>
              </w:rPr>
              <w:t xml:space="preserve">40 &amp; &lt;50 </w:t>
            </w:r>
            <w:r>
              <w:rPr>
                <w:b w:val="0"/>
              </w:rPr>
              <w:t>x ex</w:t>
            </w:r>
            <w:r w:rsidRPr="004415A6">
              <w:rPr>
                <w:b w:val="0"/>
              </w:rPr>
              <w:t>-smoker</w:t>
            </w:r>
          </w:p>
        </w:tc>
        <w:tc>
          <w:tcPr>
            <w:tcW w:w="1120" w:type="dxa"/>
            <w:noWrap/>
            <w:vAlign w:val="center"/>
          </w:tcPr>
          <w:p w:rsidR="000C0A41" w:rsidRPr="00CC1507" w:rsidRDefault="000C0A41" w:rsidP="00BC1C97">
            <w:pPr>
              <w:jc w:val="center"/>
              <w:cnfStyle w:val="000000100000" w:firstRow="0" w:lastRow="0" w:firstColumn="0" w:lastColumn="0" w:oddVBand="0" w:evenVBand="0" w:oddHBand="1" w:evenHBand="0" w:firstRowFirstColumn="0" w:firstRowLastColumn="0" w:lastRowFirstColumn="0" w:lastRowLastColumn="0"/>
              <w:rPr>
                <w:highlight w:val="yellow"/>
              </w:rPr>
            </w:pPr>
            <w:r>
              <w:rPr>
                <w:rFonts w:ascii="Calibri" w:hAnsi="Calibri"/>
                <w:color w:val="000000"/>
              </w:rPr>
              <w:t>0.844</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0.506</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1.405</w:t>
            </w:r>
          </w:p>
        </w:tc>
        <w:tc>
          <w:tcPr>
            <w:tcW w:w="1120" w:type="dxa"/>
            <w:noWrap/>
            <w:vAlign w:val="center"/>
          </w:tcPr>
          <w:p w:rsidR="000C0A41" w:rsidRPr="00CC1507" w:rsidRDefault="000C0A41" w:rsidP="00BC1C97">
            <w:pPr>
              <w:jc w:val="center"/>
              <w:cnfStyle w:val="000000100000" w:firstRow="0" w:lastRow="0" w:firstColumn="0" w:lastColumn="0" w:oddVBand="0" w:evenVBand="0" w:oddHBand="1" w:evenHBand="0" w:firstRowFirstColumn="0" w:firstRowLastColumn="0" w:lastRowFirstColumn="0" w:lastRowLastColumn="0"/>
              <w:rPr>
                <w:highlight w:val="yellow"/>
              </w:rPr>
            </w:pPr>
            <w:r>
              <w:rPr>
                <w:rFonts w:ascii="Calibri" w:hAnsi="Calibri"/>
                <w:color w:val="000000"/>
              </w:rPr>
              <w:t>0.514</w:t>
            </w:r>
          </w:p>
        </w:tc>
      </w:tr>
      <w:tr w:rsidR="000C0A41" w:rsidRPr="0013015A" w:rsidTr="00BC1C97">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BC1C97">
            <w:pPr>
              <w:jc w:val="right"/>
              <w:rPr>
                <w:b w:val="0"/>
              </w:rPr>
            </w:pPr>
            <w:r>
              <w:rPr>
                <w:b w:val="0"/>
              </w:rPr>
              <w:t xml:space="preserve">Age group </w:t>
            </w:r>
            <w:r w:rsidRPr="00CC1507">
              <w:rPr>
                <w:b w:val="0"/>
                <w:u w:val="single"/>
              </w:rPr>
              <w:t>&gt;</w:t>
            </w:r>
            <w:r w:rsidRPr="004415A6">
              <w:rPr>
                <w:b w:val="0"/>
              </w:rPr>
              <w:t>50 &amp; &lt;60</w:t>
            </w:r>
            <w:r>
              <w:rPr>
                <w:b w:val="0"/>
              </w:rPr>
              <w:t xml:space="preserve"> x n</w:t>
            </w:r>
            <w:r w:rsidRPr="004415A6">
              <w:rPr>
                <w:b w:val="0"/>
              </w:rPr>
              <w:t>on-smoker</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w:t>
            </w:r>
          </w:p>
        </w:tc>
      </w:tr>
      <w:tr w:rsidR="000C0A41" w:rsidRPr="0013015A" w:rsidTr="00BC1C9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BC1C97">
            <w:pPr>
              <w:jc w:val="right"/>
              <w:rPr>
                <w:b w:val="0"/>
              </w:rPr>
            </w:pPr>
            <w:r>
              <w:rPr>
                <w:b w:val="0"/>
              </w:rPr>
              <w:t xml:space="preserve">Age group </w:t>
            </w:r>
            <w:r w:rsidRPr="00CC1507">
              <w:rPr>
                <w:b w:val="0"/>
                <w:u w:val="single"/>
              </w:rPr>
              <w:t>&gt;</w:t>
            </w:r>
            <w:r w:rsidRPr="004415A6">
              <w:rPr>
                <w:b w:val="0"/>
              </w:rPr>
              <w:t>50 &amp; &lt;60</w:t>
            </w:r>
            <w:r>
              <w:rPr>
                <w:b w:val="0"/>
              </w:rPr>
              <w:t xml:space="preserve"> x current </w:t>
            </w:r>
            <w:r w:rsidRPr="004415A6">
              <w:rPr>
                <w:b w:val="0"/>
              </w:rPr>
              <w:t>smoker</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1.260</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0.816</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1.947</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0.297</w:t>
            </w:r>
          </w:p>
        </w:tc>
      </w:tr>
      <w:tr w:rsidR="000C0A41" w:rsidRPr="0013015A" w:rsidTr="00BC1C97">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BC1C97">
            <w:pPr>
              <w:jc w:val="right"/>
              <w:rPr>
                <w:b w:val="0"/>
              </w:rPr>
            </w:pPr>
            <w:r>
              <w:rPr>
                <w:b w:val="0"/>
              </w:rPr>
              <w:t xml:space="preserve">Age group </w:t>
            </w:r>
            <w:r w:rsidRPr="00CC1507">
              <w:rPr>
                <w:b w:val="0"/>
                <w:u w:val="single"/>
              </w:rPr>
              <w:t>&gt;</w:t>
            </w:r>
            <w:r w:rsidRPr="004415A6">
              <w:rPr>
                <w:b w:val="0"/>
              </w:rPr>
              <w:t>50 &amp; &lt;60</w:t>
            </w:r>
            <w:r>
              <w:rPr>
                <w:b w:val="0"/>
              </w:rPr>
              <w:t xml:space="preserve"> x ex</w:t>
            </w:r>
            <w:r w:rsidRPr="004415A6">
              <w:rPr>
                <w:b w:val="0"/>
              </w:rPr>
              <w:t>-smoker</w:t>
            </w:r>
          </w:p>
        </w:tc>
        <w:tc>
          <w:tcPr>
            <w:tcW w:w="1120" w:type="dxa"/>
            <w:noWrap/>
            <w:vAlign w:val="center"/>
          </w:tcPr>
          <w:p w:rsidR="000C0A41" w:rsidRPr="00CC1507" w:rsidRDefault="000C0A41" w:rsidP="00BC1C97">
            <w:pPr>
              <w:jc w:val="center"/>
              <w:cnfStyle w:val="000000000000" w:firstRow="0" w:lastRow="0" w:firstColumn="0" w:lastColumn="0" w:oddVBand="0" w:evenVBand="0" w:oddHBand="0" w:evenHBand="0" w:firstRowFirstColumn="0" w:firstRowLastColumn="0" w:lastRowFirstColumn="0" w:lastRowLastColumn="0"/>
              <w:rPr>
                <w:highlight w:val="yellow"/>
              </w:rPr>
            </w:pPr>
            <w:r>
              <w:rPr>
                <w:rFonts w:ascii="Calibri" w:hAnsi="Calibri"/>
                <w:color w:val="000000"/>
              </w:rPr>
              <w:t>0.918</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0.559</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1.508</w:t>
            </w:r>
          </w:p>
        </w:tc>
        <w:tc>
          <w:tcPr>
            <w:tcW w:w="1120" w:type="dxa"/>
            <w:noWrap/>
            <w:vAlign w:val="center"/>
          </w:tcPr>
          <w:p w:rsidR="000C0A41" w:rsidRPr="00CC1507" w:rsidRDefault="000C0A41" w:rsidP="00BC1C97">
            <w:pPr>
              <w:jc w:val="center"/>
              <w:cnfStyle w:val="000000000000" w:firstRow="0" w:lastRow="0" w:firstColumn="0" w:lastColumn="0" w:oddVBand="0" w:evenVBand="0" w:oddHBand="0" w:evenHBand="0" w:firstRowFirstColumn="0" w:firstRowLastColumn="0" w:lastRowFirstColumn="0" w:lastRowLastColumn="0"/>
              <w:rPr>
                <w:highlight w:val="yellow"/>
              </w:rPr>
            </w:pPr>
            <w:r>
              <w:rPr>
                <w:rFonts w:ascii="Calibri" w:hAnsi="Calibri"/>
                <w:color w:val="000000"/>
              </w:rPr>
              <w:t>0.737</w:t>
            </w:r>
          </w:p>
        </w:tc>
      </w:tr>
      <w:tr w:rsidR="000C0A41" w:rsidRPr="0013015A" w:rsidTr="00BC1C9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BC1C97">
            <w:pPr>
              <w:jc w:val="right"/>
              <w:rPr>
                <w:b w:val="0"/>
              </w:rPr>
            </w:pPr>
            <w:r>
              <w:rPr>
                <w:b w:val="0"/>
              </w:rPr>
              <w:t xml:space="preserve">Age group </w:t>
            </w:r>
            <w:r w:rsidRPr="00CC1507">
              <w:rPr>
                <w:b w:val="0"/>
                <w:u w:val="single"/>
              </w:rPr>
              <w:t>&gt;</w:t>
            </w:r>
            <w:r w:rsidRPr="004415A6">
              <w:rPr>
                <w:b w:val="0"/>
              </w:rPr>
              <w:t>60 &amp; &lt;70</w:t>
            </w:r>
            <w:r>
              <w:rPr>
                <w:b w:val="0"/>
              </w:rPr>
              <w:t xml:space="preserve"> x n</w:t>
            </w:r>
            <w:r w:rsidRPr="004415A6">
              <w:rPr>
                <w:b w:val="0"/>
              </w:rPr>
              <w:t>on-smoker</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w:t>
            </w:r>
          </w:p>
        </w:tc>
      </w:tr>
      <w:tr w:rsidR="000C0A41" w:rsidRPr="0013015A" w:rsidTr="00BC1C97">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BC1C97">
            <w:pPr>
              <w:jc w:val="right"/>
              <w:rPr>
                <w:b w:val="0"/>
              </w:rPr>
            </w:pPr>
            <w:r>
              <w:rPr>
                <w:b w:val="0"/>
              </w:rPr>
              <w:t xml:space="preserve">Age group </w:t>
            </w:r>
            <w:r w:rsidRPr="00CC1507">
              <w:rPr>
                <w:b w:val="0"/>
                <w:u w:val="single"/>
              </w:rPr>
              <w:t>&gt;</w:t>
            </w:r>
            <w:r w:rsidRPr="004415A6">
              <w:rPr>
                <w:b w:val="0"/>
              </w:rPr>
              <w:t>60 &amp; &lt;70</w:t>
            </w:r>
            <w:r>
              <w:rPr>
                <w:b w:val="0"/>
              </w:rPr>
              <w:t xml:space="preserve"> x current </w:t>
            </w:r>
            <w:r w:rsidRPr="004415A6">
              <w:rPr>
                <w:b w:val="0"/>
              </w:rPr>
              <w:t>smoker</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1.191</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0.773</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1.834</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0.428</w:t>
            </w:r>
          </w:p>
        </w:tc>
      </w:tr>
      <w:tr w:rsidR="000C0A41" w:rsidRPr="0013015A" w:rsidTr="00BC1C9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BC1C97">
            <w:pPr>
              <w:jc w:val="right"/>
              <w:rPr>
                <w:b w:val="0"/>
              </w:rPr>
            </w:pPr>
            <w:r>
              <w:rPr>
                <w:b w:val="0"/>
              </w:rPr>
              <w:t xml:space="preserve">Age group </w:t>
            </w:r>
            <w:r w:rsidRPr="00CC1507">
              <w:rPr>
                <w:b w:val="0"/>
                <w:u w:val="single"/>
              </w:rPr>
              <w:t>&gt;</w:t>
            </w:r>
            <w:r w:rsidRPr="004415A6">
              <w:rPr>
                <w:b w:val="0"/>
              </w:rPr>
              <w:t>60 &amp; &lt;70</w:t>
            </w:r>
            <w:r>
              <w:rPr>
                <w:b w:val="0"/>
              </w:rPr>
              <w:t xml:space="preserve"> x ex</w:t>
            </w:r>
            <w:r w:rsidRPr="004415A6">
              <w:rPr>
                <w:b w:val="0"/>
              </w:rPr>
              <w:t>-smoker</w:t>
            </w:r>
          </w:p>
        </w:tc>
        <w:tc>
          <w:tcPr>
            <w:tcW w:w="1120" w:type="dxa"/>
            <w:noWrap/>
            <w:vAlign w:val="center"/>
          </w:tcPr>
          <w:p w:rsidR="000C0A41" w:rsidRPr="00CC1507" w:rsidRDefault="000C0A41" w:rsidP="00BC1C97">
            <w:pPr>
              <w:jc w:val="center"/>
              <w:cnfStyle w:val="000000100000" w:firstRow="0" w:lastRow="0" w:firstColumn="0" w:lastColumn="0" w:oddVBand="0" w:evenVBand="0" w:oddHBand="1" w:evenHBand="0" w:firstRowFirstColumn="0" w:firstRowLastColumn="0" w:lastRowFirstColumn="0" w:lastRowLastColumn="0"/>
              <w:rPr>
                <w:highlight w:val="yellow"/>
              </w:rPr>
            </w:pPr>
            <w:r>
              <w:rPr>
                <w:rFonts w:ascii="Calibri" w:hAnsi="Calibri"/>
                <w:color w:val="000000"/>
              </w:rPr>
              <w:t>0.971</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0.594</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1.588</w:t>
            </w:r>
          </w:p>
        </w:tc>
        <w:tc>
          <w:tcPr>
            <w:tcW w:w="1120" w:type="dxa"/>
            <w:noWrap/>
            <w:vAlign w:val="center"/>
          </w:tcPr>
          <w:p w:rsidR="000C0A41" w:rsidRPr="00CC1507" w:rsidRDefault="000C0A41" w:rsidP="00BC1C97">
            <w:pPr>
              <w:jc w:val="center"/>
              <w:cnfStyle w:val="000000100000" w:firstRow="0" w:lastRow="0" w:firstColumn="0" w:lastColumn="0" w:oddVBand="0" w:evenVBand="0" w:oddHBand="1" w:evenHBand="0" w:firstRowFirstColumn="0" w:firstRowLastColumn="0" w:lastRowFirstColumn="0" w:lastRowLastColumn="0"/>
              <w:rPr>
                <w:highlight w:val="yellow"/>
              </w:rPr>
            </w:pPr>
            <w:r>
              <w:rPr>
                <w:rFonts w:ascii="Calibri" w:hAnsi="Calibri"/>
                <w:color w:val="000000"/>
              </w:rPr>
              <w:t>0.906</w:t>
            </w:r>
          </w:p>
        </w:tc>
      </w:tr>
      <w:tr w:rsidR="000C0A41" w:rsidRPr="0013015A" w:rsidTr="00BC1C97">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BC1C97">
            <w:pPr>
              <w:jc w:val="right"/>
              <w:rPr>
                <w:b w:val="0"/>
              </w:rPr>
            </w:pPr>
            <w:r>
              <w:rPr>
                <w:b w:val="0"/>
              </w:rPr>
              <w:t xml:space="preserve">Age group </w:t>
            </w:r>
            <w:r w:rsidRPr="00CC1507">
              <w:rPr>
                <w:b w:val="0"/>
                <w:u w:val="single"/>
              </w:rPr>
              <w:t>&gt;</w:t>
            </w:r>
            <w:r w:rsidRPr="004415A6">
              <w:rPr>
                <w:b w:val="0"/>
              </w:rPr>
              <w:t>70 &amp; &lt;80</w:t>
            </w:r>
            <w:r>
              <w:rPr>
                <w:b w:val="0"/>
              </w:rPr>
              <w:t xml:space="preserve"> x n</w:t>
            </w:r>
            <w:r w:rsidRPr="004415A6">
              <w:rPr>
                <w:b w:val="0"/>
              </w:rPr>
              <w:t>on-smoker</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w:t>
            </w:r>
          </w:p>
        </w:tc>
      </w:tr>
      <w:tr w:rsidR="000C0A41" w:rsidRPr="0013015A" w:rsidTr="00BC1C9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BC1C97">
            <w:pPr>
              <w:jc w:val="right"/>
              <w:rPr>
                <w:b w:val="0"/>
              </w:rPr>
            </w:pPr>
            <w:r>
              <w:rPr>
                <w:b w:val="0"/>
              </w:rPr>
              <w:t xml:space="preserve">Age group </w:t>
            </w:r>
            <w:r w:rsidRPr="00CC1507">
              <w:rPr>
                <w:b w:val="0"/>
                <w:u w:val="single"/>
              </w:rPr>
              <w:t>&gt;</w:t>
            </w:r>
            <w:r w:rsidRPr="004415A6">
              <w:rPr>
                <w:b w:val="0"/>
              </w:rPr>
              <w:t>70 &amp; &lt;80</w:t>
            </w:r>
            <w:r>
              <w:rPr>
                <w:b w:val="0"/>
              </w:rPr>
              <w:t xml:space="preserve"> x current </w:t>
            </w:r>
            <w:r w:rsidRPr="004415A6">
              <w:rPr>
                <w:b w:val="0"/>
              </w:rPr>
              <w:t>smoker</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1.168</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0.758</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1.799</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0.482</w:t>
            </w:r>
          </w:p>
        </w:tc>
      </w:tr>
      <w:tr w:rsidR="000C0A41" w:rsidRPr="0013015A" w:rsidTr="00BC1C97">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BC1C97">
            <w:pPr>
              <w:jc w:val="right"/>
              <w:rPr>
                <w:b w:val="0"/>
              </w:rPr>
            </w:pPr>
            <w:r>
              <w:rPr>
                <w:b w:val="0"/>
              </w:rPr>
              <w:t xml:space="preserve">Age group </w:t>
            </w:r>
            <w:r w:rsidRPr="00CC1507">
              <w:rPr>
                <w:b w:val="0"/>
              </w:rPr>
              <w:t>&gt;70 &amp; &lt;80</w:t>
            </w:r>
            <w:r>
              <w:rPr>
                <w:b w:val="0"/>
              </w:rPr>
              <w:t xml:space="preserve"> x ex</w:t>
            </w:r>
            <w:r w:rsidRPr="004415A6">
              <w:rPr>
                <w:b w:val="0"/>
              </w:rPr>
              <w:t>-smoker</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1.031</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0.631</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1.685</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0.902</w:t>
            </w:r>
          </w:p>
        </w:tc>
      </w:tr>
      <w:tr w:rsidR="000C0A41" w:rsidRPr="0013015A" w:rsidTr="00BC1C9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BC1C97">
            <w:pPr>
              <w:jc w:val="right"/>
              <w:rPr>
                <w:b w:val="0"/>
              </w:rPr>
            </w:pPr>
            <w:r>
              <w:rPr>
                <w:b w:val="0"/>
              </w:rPr>
              <w:t xml:space="preserve">Age group </w:t>
            </w:r>
            <w:r w:rsidRPr="004415A6">
              <w:rPr>
                <w:b w:val="0"/>
                <w:u w:val="single"/>
              </w:rPr>
              <w:t>&gt;</w:t>
            </w:r>
            <w:r w:rsidRPr="004415A6">
              <w:rPr>
                <w:b w:val="0"/>
              </w:rPr>
              <w:t>80</w:t>
            </w:r>
            <w:r>
              <w:rPr>
                <w:b w:val="0"/>
              </w:rPr>
              <w:t xml:space="preserve"> x n</w:t>
            </w:r>
            <w:r w:rsidRPr="004415A6">
              <w:rPr>
                <w:b w:val="0"/>
              </w:rPr>
              <w:t>on-smoker</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w:t>
            </w:r>
          </w:p>
        </w:tc>
      </w:tr>
      <w:tr w:rsidR="000C0A41" w:rsidRPr="0013015A" w:rsidTr="00BC1C97">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BC1C97">
            <w:pPr>
              <w:jc w:val="right"/>
              <w:rPr>
                <w:b w:val="0"/>
              </w:rPr>
            </w:pPr>
            <w:r>
              <w:rPr>
                <w:b w:val="0"/>
              </w:rPr>
              <w:t xml:space="preserve">Age group </w:t>
            </w:r>
            <w:r w:rsidRPr="004415A6">
              <w:rPr>
                <w:b w:val="0"/>
                <w:u w:val="single"/>
              </w:rPr>
              <w:t>&gt;</w:t>
            </w:r>
            <w:r w:rsidRPr="004415A6">
              <w:rPr>
                <w:b w:val="0"/>
              </w:rPr>
              <w:t>80</w:t>
            </w:r>
            <w:r>
              <w:rPr>
                <w:b w:val="0"/>
              </w:rPr>
              <w:t xml:space="preserve"> x current </w:t>
            </w:r>
            <w:r w:rsidRPr="004415A6">
              <w:rPr>
                <w:b w:val="0"/>
              </w:rPr>
              <w:t>smoker</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1.144</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0.740</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1.768</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0.545</w:t>
            </w:r>
          </w:p>
        </w:tc>
      </w:tr>
      <w:tr w:rsidR="000C0A41" w:rsidRPr="0013015A" w:rsidTr="00BC1C9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4415A6" w:rsidRDefault="000C0A41" w:rsidP="00BC1C97">
            <w:pPr>
              <w:jc w:val="right"/>
              <w:rPr>
                <w:b w:val="0"/>
              </w:rPr>
            </w:pPr>
            <w:r>
              <w:rPr>
                <w:b w:val="0"/>
              </w:rPr>
              <w:t xml:space="preserve">Age group </w:t>
            </w:r>
            <w:r w:rsidRPr="004415A6">
              <w:rPr>
                <w:b w:val="0"/>
                <w:u w:val="single"/>
              </w:rPr>
              <w:t>&gt;</w:t>
            </w:r>
            <w:r w:rsidRPr="004415A6">
              <w:rPr>
                <w:b w:val="0"/>
              </w:rPr>
              <w:t>80</w:t>
            </w:r>
            <w:r>
              <w:rPr>
                <w:b w:val="0"/>
              </w:rPr>
              <w:t xml:space="preserve"> x ex</w:t>
            </w:r>
            <w:r w:rsidRPr="004415A6">
              <w:rPr>
                <w:b w:val="0"/>
              </w:rPr>
              <w:t>-smoker</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1.145</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0.700</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1.872</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0.589</w:t>
            </w:r>
          </w:p>
        </w:tc>
      </w:tr>
      <w:tr w:rsidR="000C0A41" w:rsidRPr="00CC1507" w:rsidTr="006A4E5A">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tcPr>
          <w:p w:rsidR="000C0A41" w:rsidRPr="00CC1507" w:rsidRDefault="000C0A41" w:rsidP="006A4E5A">
            <w:pPr>
              <w:jc w:val="left"/>
            </w:pPr>
            <w:r w:rsidRPr="00CC1507">
              <w:t>Deprivation</w:t>
            </w:r>
          </w:p>
        </w:tc>
        <w:tc>
          <w:tcPr>
            <w:tcW w:w="1120" w:type="dxa"/>
            <w:noWrap/>
          </w:tcPr>
          <w:p w:rsidR="000C0A41" w:rsidRPr="00CC1507" w:rsidRDefault="000C0A41" w:rsidP="006A4E5A">
            <w:pPr>
              <w:jc w:val="center"/>
              <w:cnfStyle w:val="000000000000" w:firstRow="0" w:lastRow="0" w:firstColumn="0" w:lastColumn="0" w:oddVBand="0" w:evenVBand="0" w:oddHBand="0" w:evenHBand="0" w:firstRowFirstColumn="0" w:firstRowLastColumn="0" w:lastRowFirstColumn="0" w:lastRowLastColumn="0"/>
              <w:rPr>
                <w:b/>
              </w:rPr>
            </w:pPr>
          </w:p>
        </w:tc>
        <w:tc>
          <w:tcPr>
            <w:tcW w:w="1120" w:type="dxa"/>
            <w:noWrap/>
          </w:tcPr>
          <w:p w:rsidR="000C0A41" w:rsidRPr="00CC1507" w:rsidRDefault="000C0A41" w:rsidP="006A4E5A">
            <w:pPr>
              <w:jc w:val="center"/>
              <w:cnfStyle w:val="000000000000" w:firstRow="0" w:lastRow="0" w:firstColumn="0" w:lastColumn="0" w:oddVBand="0" w:evenVBand="0" w:oddHBand="0" w:evenHBand="0" w:firstRowFirstColumn="0" w:firstRowLastColumn="0" w:lastRowFirstColumn="0" w:lastRowLastColumn="0"/>
              <w:rPr>
                <w:b/>
              </w:rPr>
            </w:pPr>
          </w:p>
        </w:tc>
        <w:tc>
          <w:tcPr>
            <w:tcW w:w="1120" w:type="dxa"/>
            <w:noWrap/>
          </w:tcPr>
          <w:p w:rsidR="000C0A41" w:rsidRPr="00CC1507" w:rsidRDefault="000C0A41" w:rsidP="006A4E5A">
            <w:pPr>
              <w:jc w:val="center"/>
              <w:cnfStyle w:val="000000000000" w:firstRow="0" w:lastRow="0" w:firstColumn="0" w:lastColumn="0" w:oddVBand="0" w:evenVBand="0" w:oddHBand="0" w:evenHBand="0" w:firstRowFirstColumn="0" w:firstRowLastColumn="0" w:lastRowFirstColumn="0" w:lastRowLastColumn="0"/>
              <w:rPr>
                <w:b/>
              </w:rPr>
            </w:pPr>
          </w:p>
        </w:tc>
        <w:tc>
          <w:tcPr>
            <w:tcW w:w="1120" w:type="dxa"/>
            <w:noWrap/>
          </w:tcPr>
          <w:p w:rsidR="000C0A41" w:rsidRPr="00CC1507" w:rsidRDefault="000C0A41" w:rsidP="006A4E5A">
            <w:pPr>
              <w:jc w:val="center"/>
              <w:cnfStyle w:val="000000000000" w:firstRow="0" w:lastRow="0" w:firstColumn="0" w:lastColumn="0" w:oddVBand="0" w:evenVBand="0" w:oddHBand="0" w:evenHBand="0" w:firstRowFirstColumn="0" w:firstRowLastColumn="0" w:lastRowFirstColumn="0" w:lastRowLastColumn="0"/>
              <w:rPr>
                <w:b/>
              </w:rPr>
            </w:pPr>
          </w:p>
        </w:tc>
      </w:tr>
      <w:tr w:rsidR="000C0A41" w:rsidRPr="0013015A" w:rsidTr="00BC1C9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CC1507" w:rsidRDefault="000C0A41" w:rsidP="00BC1C97">
            <w:pPr>
              <w:jc w:val="right"/>
              <w:rPr>
                <w:b w:val="0"/>
              </w:rPr>
            </w:pPr>
            <w:r w:rsidRPr="00CC1507">
              <w:rPr>
                <w:b w:val="0"/>
              </w:rPr>
              <w:t>IMD quintile 1 (least deprived)</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w:t>
            </w:r>
          </w:p>
        </w:tc>
      </w:tr>
      <w:tr w:rsidR="000C0A41" w:rsidRPr="0013015A" w:rsidTr="00BC1C97">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CC1507" w:rsidRDefault="000C0A41" w:rsidP="00BC1C97">
            <w:pPr>
              <w:jc w:val="right"/>
              <w:rPr>
                <w:b w:val="0"/>
              </w:rPr>
            </w:pPr>
            <w:r w:rsidRPr="00CC1507">
              <w:rPr>
                <w:b w:val="0"/>
              </w:rPr>
              <w:t>IMD quintile 2</w:t>
            </w:r>
          </w:p>
        </w:tc>
        <w:tc>
          <w:tcPr>
            <w:tcW w:w="1120" w:type="dxa"/>
            <w:noWrap/>
            <w:vAlign w:val="center"/>
          </w:tcPr>
          <w:p w:rsidR="000C0A41" w:rsidRPr="00BC1C97" w:rsidRDefault="000C0A41" w:rsidP="00BC1C97">
            <w:pPr>
              <w:jc w:val="center"/>
              <w:cnfStyle w:val="000000000000" w:firstRow="0" w:lastRow="0" w:firstColumn="0" w:lastColumn="0" w:oddVBand="0" w:evenVBand="0" w:oddHBand="0" w:evenHBand="0" w:firstRowFirstColumn="0" w:firstRowLastColumn="0" w:lastRowFirstColumn="0" w:lastRowLastColumn="0"/>
              <w:rPr>
                <w:highlight w:val="yellow"/>
              </w:rPr>
            </w:pPr>
            <w:r w:rsidRPr="00BC1C97">
              <w:rPr>
                <w:rFonts w:ascii="Calibri" w:hAnsi="Calibri"/>
                <w:color w:val="000000"/>
                <w:highlight w:val="yellow"/>
              </w:rPr>
              <w:t>1.244</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1.197</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1.294</w:t>
            </w:r>
          </w:p>
        </w:tc>
        <w:tc>
          <w:tcPr>
            <w:tcW w:w="1120" w:type="dxa"/>
            <w:noWrap/>
            <w:vAlign w:val="center"/>
          </w:tcPr>
          <w:p w:rsidR="000C0A41" w:rsidRPr="00BC1C97" w:rsidRDefault="000C0A41" w:rsidP="00BC1C97">
            <w:pPr>
              <w:jc w:val="center"/>
              <w:cnfStyle w:val="000000000000" w:firstRow="0" w:lastRow="0" w:firstColumn="0" w:lastColumn="0" w:oddVBand="0" w:evenVBand="0" w:oddHBand="0" w:evenHBand="0" w:firstRowFirstColumn="0" w:firstRowLastColumn="0" w:lastRowFirstColumn="0" w:lastRowLastColumn="0"/>
              <w:rPr>
                <w:highlight w:val="yellow"/>
              </w:rPr>
            </w:pPr>
            <w:r w:rsidRPr="00BC1C97">
              <w:rPr>
                <w:rFonts w:ascii="Calibri" w:hAnsi="Calibri"/>
                <w:color w:val="000000"/>
                <w:highlight w:val="yellow"/>
              </w:rPr>
              <w:t>0.000</w:t>
            </w:r>
          </w:p>
        </w:tc>
      </w:tr>
      <w:tr w:rsidR="000C0A41" w:rsidRPr="0013015A" w:rsidTr="00BC1C9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CC1507" w:rsidRDefault="000C0A41" w:rsidP="00BC1C97">
            <w:pPr>
              <w:jc w:val="right"/>
              <w:rPr>
                <w:b w:val="0"/>
              </w:rPr>
            </w:pPr>
            <w:r w:rsidRPr="00CC1507">
              <w:rPr>
                <w:b w:val="0"/>
              </w:rPr>
              <w:t>IMD quintile 3</w:t>
            </w:r>
          </w:p>
        </w:tc>
        <w:tc>
          <w:tcPr>
            <w:tcW w:w="1120" w:type="dxa"/>
            <w:noWrap/>
            <w:vAlign w:val="center"/>
          </w:tcPr>
          <w:p w:rsidR="000C0A41" w:rsidRPr="00BC1C97" w:rsidRDefault="000C0A41" w:rsidP="00BC1C97">
            <w:pPr>
              <w:jc w:val="center"/>
              <w:cnfStyle w:val="000000100000" w:firstRow="0" w:lastRow="0" w:firstColumn="0" w:lastColumn="0" w:oddVBand="0" w:evenVBand="0" w:oddHBand="1" w:evenHBand="0" w:firstRowFirstColumn="0" w:firstRowLastColumn="0" w:lastRowFirstColumn="0" w:lastRowLastColumn="0"/>
              <w:rPr>
                <w:highlight w:val="yellow"/>
              </w:rPr>
            </w:pPr>
            <w:r w:rsidRPr="00BC1C97">
              <w:rPr>
                <w:rFonts w:ascii="Calibri" w:hAnsi="Calibri"/>
                <w:color w:val="000000"/>
                <w:highlight w:val="yellow"/>
              </w:rPr>
              <w:t>1.465</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1.406</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1.526</w:t>
            </w:r>
          </w:p>
        </w:tc>
        <w:tc>
          <w:tcPr>
            <w:tcW w:w="1120" w:type="dxa"/>
            <w:noWrap/>
            <w:vAlign w:val="center"/>
          </w:tcPr>
          <w:p w:rsidR="000C0A41" w:rsidRPr="00BC1C97" w:rsidRDefault="000C0A41" w:rsidP="00BC1C97">
            <w:pPr>
              <w:jc w:val="center"/>
              <w:cnfStyle w:val="000000100000" w:firstRow="0" w:lastRow="0" w:firstColumn="0" w:lastColumn="0" w:oddVBand="0" w:evenVBand="0" w:oddHBand="1" w:evenHBand="0" w:firstRowFirstColumn="0" w:firstRowLastColumn="0" w:lastRowFirstColumn="0" w:lastRowLastColumn="0"/>
              <w:rPr>
                <w:highlight w:val="yellow"/>
              </w:rPr>
            </w:pPr>
            <w:r w:rsidRPr="00BC1C97">
              <w:rPr>
                <w:rFonts w:ascii="Calibri" w:hAnsi="Calibri"/>
                <w:color w:val="000000"/>
                <w:highlight w:val="yellow"/>
              </w:rPr>
              <w:t>0.000</w:t>
            </w:r>
          </w:p>
        </w:tc>
      </w:tr>
      <w:tr w:rsidR="000C0A41" w:rsidRPr="0013015A" w:rsidTr="00BC1C97">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CC1507" w:rsidRDefault="000C0A41" w:rsidP="00BC1C97">
            <w:pPr>
              <w:jc w:val="right"/>
              <w:rPr>
                <w:b w:val="0"/>
              </w:rPr>
            </w:pPr>
            <w:r w:rsidRPr="00CC1507">
              <w:rPr>
                <w:b w:val="0"/>
              </w:rPr>
              <w:t>IMD quintile 4</w:t>
            </w:r>
          </w:p>
        </w:tc>
        <w:tc>
          <w:tcPr>
            <w:tcW w:w="1120" w:type="dxa"/>
            <w:noWrap/>
            <w:vAlign w:val="center"/>
          </w:tcPr>
          <w:p w:rsidR="000C0A41" w:rsidRPr="00BC1C97" w:rsidRDefault="000C0A41" w:rsidP="00BC1C97">
            <w:pPr>
              <w:jc w:val="center"/>
              <w:cnfStyle w:val="000000000000" w:firstRow="0" w:lastRow="0" w:firstColumn="0" w:lastColumn="0" w:oddVBand="0" w:evenVBand="0" w:oddHBand="0" w:evenHBand="0" w:firstRowFirstColumn="0" w:firstRowLastColumn="0" w:lastRowFirstColumn="0" w:lastRowLastColumn="0"/>
              <w:rPr>
                <w:highlight w:val="yellow"/>
              </w:rPr>
            </w:pPr>
            <w:r w:rsidRPr="00BC1C97">
              <w:rPr>
                <w:rFonts w:ascii="Calibri" w:hAnsi="Calibri"/>
                <w:color w:val="000000"/>
                <w:highlight w:val="yellow"/>
              </w:rPr>
              <w:t>1.642</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1.579</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1.708</w:t>
            </w:r>
          </w:p>
        </w:tc>
        <w:tc>
          <w:tcPr>
            <w:tcW w:w="1120" w:type="dxa"/>
            <w:noWrap/>
            <w:vAlign w:val="center"/>
          </w:tcPr>
          <w:p w:rsidR="000C0A41" w:rsidRPr="00BC1C97" w:rsidRDefault="000C0A41" w:rsidP="00BC1C97">
            <w:pPr>
              <w:jc w:val="center"/>
              <w:cnfStyle w:val="000000000000" w:firstRow="0" w:lastRow="0" w:firstColumn="0" w:lastColumn="0" w:oddVBand="0" w:evenVBand="0" w:oddHBand="0" w:evenHBand="0" w:firstRowFirstColumn="0" w:firstRowLastColumn="0" w:lastRowFirstColumn="0" w:lastRowLastColumn="0"/>
              <w:rPr>
                <w:highlight w:val="yellow"/>
              </w:rPr>
            </w:pPr>
            <w:r w:rsidRPr="00BC1C97">
              <w:rPr>
                <w:rFonts w:ascii="Calibri" w:hAnsi="Calibri"/>
                <w:color w:val="000000"/>
                <w:highlight w:val="yellow"/>
              </w:rPr>
              <w:t>0.000</w:t>
            </w:r>
          </w:p>
        </w:tc>
      </w:tr>
      <w:tr w:rsidR="000C0A41" w:rsidRPr="0013015A" w:rsidTr="00BC1C9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hideMark/>
          </w:tcPr>
          <w:p w:rsidR="000C0A41" w:rsidRPr="00CC1507" w:rsidRDefault="000C0A41" w:rsidP="00BC1C97">
            <w:pPr>
              <w:jc w:val="right"/>
              <w:rPr>
                <w:b w:val="0"/>
              </w:rPr>
            </w:pPr>
            <w:r w:rsidRPr="00CC1507">
              <w:rPr>
                <w:b w:val="0"/>
              </w:rPr>
              <w:t>IMD quintile 5 (most deprived)</w:t>
            </w:r>
          </w:p>
        </w:tc>
        <w:tc>
          <w:tcPr>
            <w:tcW w:w="1120" w:type="dxa"/>
            <w:noWrap/>
            <w:vAlign w:val="center"/>
          </w:tcPr>
          <w:p w:rsidR="000C0A41" w:rsidRPr="00BC1C97" w:rsidRDefault="000C0A41" w:rsidP="00BC1C97">
            <w:pPr>
              <w:jc w:val="center"/>
              <w:cnfStyle w:val="000000100000" w:firstRow="0" w:lastRow="0" w:firstColumn="0" w:lastColumn="0" w:oddVBand="0" w:evenVBand="0" w:oddHBand="1" w:evenHBand="0" w:firstRowFirstColumn="0" w:firstRowLastColumn="0" w:lastRowFirstColumn="0" w:lastRowLastColumn="0"/>
              <w:rPr>
                <w:highlight w:val="yellow"/>
              </w:rPr>
            </w:pPr>
            <w:r w:rsidRPr="00BC1C97">
              <w:rPr>
                <w:rFonts w:ascii="Calibri" w:hAnsi="Calibri"/>
                <w:color w:val="000000"/>
                <w:highlight w:val="yellow"/>
              </w:rPr>
              <w:t>1.968</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1.896</w:t>
            </w:r>
          </w:p>
        </w:tc>
        <w:tc>
          <w:tcPr>
            <w:tcW w:w="1120" w:type="dxa"/>
            <w:noWrap/>
            <w:vAlign w:val="center"/>
          </w:tcPr>
          <w:p w:rsidR="000C0A41" w:rsidRPr="0013015A" w:rsidRDefault="000C0A41" w:rsidP="00BC1C97">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2.042</w:t>
            </w:r>
          </w:p>
        </w:tc>
        <w:tc>
          <w:tcPr>
            <w:tcW w:w="1120" w:type="dxa"/>
            <w:noWrap/>
            <w:vAlign w:val="center"/>
          </w:tcPr>
          <w:p w:rsidR="000C0A41" w:rsidRPr="00BC1C97" w:rsidRDefault="000C0A41" w:rsidP="00BC1C97">
            <w:pPr>
              <w:jc w:val="center"/>
              <w:cnfStyle w:val="000000100000" w:firstRow="0" w:lastRow="0" w:firstColumn="0" w:lastColumn="0" w:oddVBand="0" w:evenVBand="0" w:oddHBand="1" w:evenHBand="0" w:firstRowFirstColumn="0" w:firstRowLastColumn="0" w:lastRowFirstColumn="0" w:lastRowLastColumn="0"/>
              <w:rPr>
                <w:highlight w:val="yellow"/>
              </w:rPr>
            </w:pPr>
            <w:r w:rsidRPr="00BC1C97">
              <w:rPr>
                <w:rFonts w:ascii="Calibri" w:hAnsi="Calibri"/>
                <w:color w:val="000000"/>
                <w:highlight w:val="yellow"/>
              </w:rPr>
              <w:t>0.000</w:t>
            </w:r>
          </w:p>
        </w:tc>
      </w:tr>
      <w:tr w:rsidR="000C0A41" w:rsidRPr="0013015A" w:rsidTr="00BC1C97">
        <w:trPr>
          <w:trHeight w:val="300"/>
          <w:jc w:val="center"/>
        </w:trPr>
        <w:tc>
          <w:tcPr>
            <w:cnfStyle w:val="001000000000" w:firstRow="0" w:lastRow="0" w:firstColumn="1" w:lastColumn="0" w:oddVBand="0" w:evenVBand="0" w:oddHBand="0" w:evenHBand="0" w:firstRowFirstColumn="0" w:firstRowLastColumn="0" w:lastRowFirstColumn="0" w:lastRowLastColumn="0"/>
            <w:tcW w:w="4489" w:type="dxa"/>
            <w:noWrap/>
          </w:tcPr>
          <w:p w:rsidR="000C0A41" w:rsidRPr="004415A6" w:rsidRDefault="000C0A41" w:rsidP="00BC1C97">
            <w:pPr>
              <w:rPr>
                <w:b w:val="0"/>
              </w:rPr>
            </w:pPr>
            <w:r>
              <w:rPr>
                <w:b w:val="0"/>
              </w:rPr>
              <w:t>Constant</w:t>
            </w:r>
          </w:p>
        </w:tc>
        <w:tc>
          <w:tcPr>
            <w:tcW w:w="1120" w:type="dxa"/>
            <w:noWrap/>
            <w:vAlign w:val="center"/>
          </w:tcPr>
          <w:p w:rsidR="000C0A41" w:rsidRPr="00BC1C97" w:rsidRDefault="000C0A41" w:rsidP="00BC1C97">
            <w:pPr>
              <w:jc w:val="center"/>
              <w:cnfStyle w:val="000000000000" w:firstRow="0" w:lastRow="0" w:firstColumn="0" w:lastColumn="0" w:oddVBand="0" w:evenVBand="0" w:oddHBand="0" w:evenHBand="0" w:firstRowFirstColumn="0" w:firstRowLastColumn="0" w:lastRowFirstColumn="0" w:lastRowLastColumn="0"/>
              <w:rPr>
                <w:highlight w:val="yellow"/>
              </w:rPr>
            </w:pPr>
            <w:r w:rsidRPr="00BC1C97">
              <w:rPr>
                <w:rFonts w:ascii="Calibri" w:hAnsi="Calibri"/>
                <w:color w:val="000000"/>
                <w:highlight w:val="yellow"/>
              </w:rPr>
              <w:t>0.000</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0.000</w:t>
            </w:r>
          </w:p>
        </w:tc>
        <w:tc>
          <w:tcPr>
            <w:tcW w:w="1120" w:type="dxa"/>
            <w:noWrap/>
            <w:vAlign w:val="center"/>
          </w:tcPr>
          <w:p w:rsidR="000C0A41" w:rsidRPr="0013015A" w:rsidRDefault="000C0A41" w:rsidP="00BC1C9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0.000</w:t>
            </w:r>
          </w:p>
        </w:tc>
        <w:tc>
          <w:tcPr>
            <w:tcW w:w="1120" w:type="dxa"/>
            <w:noWrap/>
            <w:vAlign w:val="center"/>
          </w:tcPr>
          <w:p w:rsidR="000C0A41" w:rsidRPr="00BC1C97" w:rsidRDefault="000C0A41" w:rsidP="00BC1C97">
            <w:pPr>
              <w:jc w:val="center"/>
              <w:cnfStyle w:val="000000000000" w:firstRow="0" w:lastRow="0" w:firstColumn="0" w:lastColumn="0" w:oddVBand="0" w:evenVBand="0" w:oddHBand="0" w:evenHBand="0" w:firstRowFirstColumn="0" w:firstRowLastColumn="0" w:lastRowFirstColumn="0" w:lastRowLastColumn="0"/>
              <w:rPr>
                <w:highlight w:val="yellow"/>
              </w:rPr>
            </w:pPr>
            <w:r w:rsidRPr="00BC1C97">
              <w:rPr>
                <w:rFonts w:ascii="Calibri" w:hAnsi="Calibri"/>
                <w:color w:val="000000"/>
                <w:highlight w:val="yellow"/>
              </w:rPr>
              <w:t>0.000</w:t>
            </w:r>
          </w:p>
        </w:tc>
      </w:tr>
    </w:tbl>
    <w:p w:rsidR="000C0A41" w:rsidRDefault="000C0A41" w:rsidP="005F7501"/>
    <w:p w:rsidR="000C0A41" w:rsidRDefault="000C0A41" w:rsidP="00AF3171">
      <w:r>
        <w:br w:type="page"/>
      </w:r>
    </w:p>
    <w:p w:rsidR="000C0A41" w:rsidRDefault="000C0A41" w:rsidP="005F7501">
      <w:pPr>
        <w:pStyle w:val="Heading3"/>
      </w:pPr>
      <w:bookmarkStart w:id="88" w:name="_Toc458185283"/>
      <w:r>
        <w:lastRenderedPageBreak/>
        <w:t>ROC curves</w:t>
      </w:r>
      <w:bookmarkEnd w:id="88"/>
    </w:p>
    <w:p w:rsidR="000C0A41" w:rsidRDefault="000C0A41" w:rsidP="00590783">
      <w:r w:rsidRPr="00590783">
        <w:t xml:space="preserve">We next examined the receiver operating characteristics (ROC) curves for the various models. The best ROC curve which predicts data perfectly will touch the top-left corner of the plot (area 1.0), and the larger the area under the ROC curve the better the prediction. An area of 0.5 signifies a prediction no better than chance. </w:t>
      </w:r>
      <w:r>
        <w:t xml:space="preserve">The results are summarised in </w:t>
      </w:r>
      <w:r>
        <w:fldChar w:fldCharType="begin"/>
      </w:r>
      <w:r>
        <w:instrText xml:space="preserve"> REF _Ref444516323 \h </w:instrText>
      </w:r>
      <w:r>
        <w:fldChar w:fldCharType="separate"/>
      </w:r>
      <w:r>
        <w:t xml:space="preserve">Table </w:t>
      </w:r>
      <w:r>
        <w:rPr>
          <w:noProof/>
        </w:rPr>
        <w:t>19</w:t>
      </w:r>
      <w:r>
        <w:fldChar w:fldCharType="end"/>
      </w:r>
      <w:r>
        <w:t xml:space="preserve">, and in </w:t>
      </w:r>
      <w:r>
        <w:fldChar w:fldCharType="begin"/>
      </w:r>
      <w:r>
        <w:instrText xml:space="preserve"> REF _Ref458179450 \h </w:instrText>
      </w:r>
      <w:r>
        <w:fldChar w:fldCharType="separate"/>
      </w:r>
      <w:r>
        <w:t xml:space="preserve">Figure </w:t>
      </w:r>
      <w:r>
        <w:rPr>
          <w:noProof/>
        </w:rPr>
        <w:t>5</w:t>
      </w:r>
      <w:r>
        <w:fldChar w:fldCharType="end"/>
      </w:r>
      <w:r>
        <w:t xml:space="preserve"> (we have only shown the actual ROC curve for the choden model M2 for illustrative purposes. Models M1-M3 all have very good and acceptable c statistics of around 90%. M2 was chosen for the local estimates as it maximises the number of cases without using algorithm diagnosed cases which are compromised by their risk factor ORs.</w:t>
      </w:r>
    </w:p>
    <w:p w:rsidR="000C0A41" w:rsidRDefault="000C0A41" w:rsidP="00590783"/>
    <w:p w:rsidR="000C0A41" w:rsidRDefault="000C0A41" w:rsidP="00614822">
      <w:r>
        <w:t>The c statistics are simply a method of assessing how well the model predicts caseness given the dataset used. Model M4 predicts algorithm-positivity acceptably, but we excluded doctor (HES or CPRD) diagnosed COPD (N= 56,134) before fitting the model. The model suggests that this population is made up of much younger people who are smokers and meet the prescribing and symptoms criteria but do not yet have COPD.</w:t>
      </w:r>
    </w:p>
    <w:p w:rsidR="000C0A41" w:rsidRDefault="000C0A41" w:rsidP="004E4291">
      <w:pPr>
        <w:pStyle w:val="Caption"/>
      </w:pPr>
      <w:bookmarkStart w:id="89" w:name="_Ref444516323"/>
      <w:r>
        <w:t xml:space="preserve">Table </w:t>
      </w:r>
      <w:fldSimple w:instr=" SEQ Table \* ARABIC ">
        <w:r>
          <w:rPr>
            <w:noProof/>
          </w:rPr>
          <w:t>19</w:t>
        </w:r>
      </w:fldSimple>
      <w:bookmarkEnd w:id="89"/>
      <w:r>
        <w:t xml:space="preserve">: </w:t>
      </w:r>
      <w:r w:rsidRPr="00590783">
        <w:t>receiver operating characteristics (ROC) curves</w:t>
      </w:r>
      <w:r>
        <w:t xml:space="preserve">/c statistics </w:t>
      </w:r>
      <w:r w:rsidRPr="00590783">
        <w:t>for the various</w:t>
      </w:r>
      <w:r>
        <w:t xml:space="preserve"> CPRD</w:t>
      </w:r>
      <w:r w:rsidRPr="00590783">
        <w:t xml:space="preserve"> models</w:t>
      </w:r>
    </w:p>
    <w:tbl>
      <w:tblPr>
        <w:tblStyle w:val="GridTable4-Accent1"/>
        <w:tblW w:w="9918" w:type="dxa"/>
        <w:jc w:val="center"/>
        <w:tblLook w:val="04A0" w:firstRow="1" w:lastRow="0" w:firstColumn="1" w:lastColumn="0" w:noHBand="0" w:noVBand="1"/>
      </w:tblPr>
      <w:tblGrid>
        <w:gridCol w:w="3932"/>
        <w:gridCol w:w="810"/>
        <w:gridCol w:w="1654"/>
        <w:gridCol w:w="830"/>
        <w:gridCol w:w="830"/>
        <w:gridCol w:w="1862"/>
      </w:tblGrid>
      <w:tr w:rsidR="000C0A41" w:rsidRPr="00614822" w:rsidTr="00846D4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42" w:type="dxa"/>
          </w:tcPr>
          <w:p w:rsidR="000C0A41" w:rsidRPr="00614822" w:rsidRDefault="000C0A41" w:rsidP="000B143D">
            <w:pPr>
              <w:jc w:val="center"/>
            </w:pPr>
            <w:r w:rsidRPr="00614822">
              <w:t>Model description</w:t>
            </w:r>
          </w:p>
        </w:tc>
        <w:tc>
          <w:tcPr>
            <w:tcW w:w="796" w:type="dxa"/>
          </w:tcPr>
          <w:p w:rsidR="000C0A41" w:rsidRPr="00614822" w:rsidRDefault="000C0A41" w:rsidP="000B143D">
            <w:pPr>
              <w:jc w:val="center"/>
              <w:cnfStyle w:val="100000000000" w:firstRow="1" w:lastRow="0" w:firstColumn="0" w:lastColumn="0" w:oddVBand="0" w:evenVBand="0" w:oddHBand="0" w:evenHBand="0" w:firstRowFirstColumn="0" w:firstRowLastColumn="0" w:lastRowFirstColumn="0" w:lastRowLastColumn="0"/>
            </w:pPr>
            <w:r w:rsidRPr="00614822">
              <w:t>Model</w:t>
            </w:r>
          </w:p>
        </w:tc>
        <w:tc>
          <w:tcPr>
            <w:tcW w:w="1655" w:type="dxa"/>
          </w:tcPr>
          <w:p w:rsidR="000C0A41" w:rsidRPr="00614822" w:rsidRDefault="000C0A41" w:rsidP="000B143D">
            <w:pPr>
              <w:jc w:val="center"/>
              <w:cnfStyle w:val="100000000000" w:firstRow="1" w:lastRow="0" w:firstColumn="0" w:lastColumn="0" w:oddVBand="0" w:evenVBand="0" w:oddHBand="0" w:evenHBand="0" w:firstRowFirstColumn="0" w:firstRowLastColumn="0" w:lastRowFirstColumn="0" w:lastRowLastColumn="0"/>
            </w:pPr>
            <w:r w:rsidRPr="00614822">
              <w:t>Observations</w:t>
            </w:r>
          </w:p>
        </w:tc>
        <w:tc>
          <w:tcPr>
            <w:tcW w:w="0" w:type="auto"/>
          </w:tcPr>
          <w:p w:rsidR="000C0A41" w:rsidRPr="00614822" w:rsidRDefault="000C0A41" w:rsidP="000B143D">
            <w:pPr>
              <w:jc w:val="center"/>
              <w:cnfStyle w:val="100000000000" w:firstRow="1" w:lastRow="0" w:firstColumn="0" w:lastColumn="0" w:oddVBand="0" w:evenVBand="0" w:oddHBand="0" w:evenHBand="0" w:firstRowFirstColumn="0" w:firstRowLastColumn="0" w:lastRowFirstColumn="0" w:lastRowLastColumn="0"/>
            </w:pPr>
            <w:r w:rsidRPr="00614822">
              <w:t>ROC area</w:t>
            </w:r>
          </w:p>
        </w:tc>
        <w:tc>
          <w:tcPr>
            <w:tcW w:w="0" w:type="auto"/>
          </w:tcPr>
          <w:p w:rsidR="000C0A41" w:rsidRPr="00614822" w:rsidRDefault="000C0A41" w:rsidP="000B143D">
            <w:pPr>
              <w:jc w:val="center"/>
              <w:cnfStyle w:val="100000000000" w:firstRow="1" w:lastRow="0" w:firstColumn="0" w:lastColumn="0" w:oddVBand="0" w:evenVBand="0" w:oddHBand="0" w:evenHBand="0" w:firstRowFirstColumn="0" w:firstRowLastColumn="0" w:lastRowFirstColumn="0" w:lastRowLastColumn="0"/>
            </w:pPr>
            <w:r w:rsidRPr="00614822">
              <w:t>SE</w:t>
            </w:r>
          </w:p>
        </w:tc>
        <w:tc>
          <w:tcPr>
            <w:tcW w:w="1865" w:type="dxa"/>
          </w:tcPr>
          <w:p w:rsidR="000C0A41" w:rsidRPr="00614822" w:rsidRDefault="000C0A41" w:rsidP="000B143D">
            <w:pPr>
              <w:jc w:val="center"/>
              <w:cnfStyle w:val="100000000000" w:firstRow="1" w:lastRow="0" w:firstColumn="0" w:lastColumn="0" w:oddVBand="0" w:evenVBand="0" w:oddHBand="0" w:evenHBand="0" w:firstRowFirstColumn="0" w:firstRowLastColumn="0" w:lastRowFirstColumn="0" w:lastRowLastColumn="0"/>
            </w:pPr>
            <w:r w:rsidRPr="00614822">
              <w:t>95% CI</w:t>
            </w:r>
          </w:p>
        </w:tc>
      </w:tr>
      <w:tr w:rsidR="000C0A41" w:rsidRPr="00013E19" w:rsidTr="00846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42" w:type="dxa"/>
          </w:tcPr>
          <w:p w:rsidR="000C0A41" w:rsidRPr="004E4291" w:rsidRDefault="000C0A41" w:rsidP="0010520F">
            <w:pPr>
              <w:jc w:val="left"/>
              <w:rPr>
                <w:b w:val="0"/>
              </w:rPr>
            </w:pPr>
            <w:r>
              <w:rPr>
                <w:b w:val="0"/>
              </w:rPr>
              <w:t>P</w:t>
            </w:r>
            <w:r w:rsidRPr="004E4291">
              <w:rPr>
                <w:b w:val="0"/>
              </w:rPr>
              <w:t xml:space="preserve">atients </w:t>
            </w:r>
            <w:r>
              <w:rPr>
                <w:b w:val="0"/>
              </w:rPr>
              <w:t xml:space="preserve">with </w:t>
            </w:r>
            <w:r w:rsidRPr="004E4291">
              <w:rPr>
                <w:b w:val="0"/>
              </w:rPr>
              <w:t>on</w:t>
            </w:r>
            <w:r>
              <w:rPr>
                <w:b w:val="0"/>
              </w:rPr>
              <w:t>ly CPRD doctor-diagnosed COPD</w:t>
            </w:r>
          </w:p>
        </w:tc>
        <w:tc>
          <w:tcPr>
            <w:tcW w:w="796" w:type="dxa"/>
          </w:tcPr>
          <w:p w:rsidR="000C0A41" w:rsidRPr="00013E19" w:rsidRDefault="000C0A41" w:rsidP="00EC7073">
            <w:pPr>
              <w:jc w:val="center"/>
              <w:cnfStyle w:val="000000100000" w:firstRow="0" w:lastRow="0" w:firstColumn="0" w:lastColumn="0" w:oddVBand="0" w:evenVBand="0" w:oddHBand="1" w:evenHBand="0" w:firstRowFirstColumn="0" w:firstRowLastColumn="0" w:lastRowFirstColumn="0" w:lastRowLastColumn="0"/>
            </w:pPr>
            <w:r>
              <w:t>M1</w:t>
            </w:r>
          </w:p>
        </w:tc>
        <w:tc>
          <w:tcPr>
            <w:tcW w:w="1655" w:type="dxa"/>
          </w:tcPr>
          <w:p w:rsidR="000C0A41" w:rsidRPr="00013E19" w:rsidRDefault="000C0A41" w:rsidP="001A61DD">
            <w:pPr>
              <w:cnfStyle w:val="000000100000" w:firstRow="0" w:lastRow="0" w:firstColumn="0" w:lastColumn="0" w:oddVBand="0" w:evenVBand="0" w:oddHBand="1" w:evenHBand="0" w:firstRowFirstColumn="0" w:firstRowLastColumn="0" w:lastRowFirstColumn="0" w:lastRowLastColumn="0"/>
            </w:pPr>
            <w:r w:rsidRPr="00D73641">
              <w:t>1,743,485</w:t>
            </w:r>
          </w:p>
        </w:tc>
        <w:tc>
          <w:tcPr>
            <w:tcW w:w="0" w:type="auto"/>
          </w:tcPr>
          <w:p w:rsidR="000C0A41" w:rsidRPr="00013E19" w:rsidRDefault="000C0A41" w:rsidP="001A61DD">
            <w:pPr>
              <w:cnfStyle w:val="000000100000" w:firstRow="0" w:lastRow="0" w:firstColumn="0" w:lastColumn="0" w:oddVBand="0" w:evenVBand="0" w:oddHBand="1" w:evenHBand="0" w:firstRowFirstColumn="0" w:firstRowLastColumn="0" w:lastRowFirstColumn="0" w:lastRowLastColumn="0"/>
            </w:pPr>
            <w:r w:rsidRPr="00D73641">
              <w:t>0.9180</w:t>
            </w:r>
          </w:p>
        </w:tc>
        <w:tc>
          <w:tcPr>
            <w:tcW w:w="0" w:type="auto"/>
          </w:tcPr>
          <w:p w:rsidR="000C0A41" w:rsidRPr="00013E19" w:rsidRDefault="000C0A41" w:rsidP="001A61DD">
            <w:pPr>
              <w:cnfStyle w:val="000000100000" w:firstRow="0" w:lastRow="0" w:firstColumn="0" w:lastColumn="0" w:oddVBand="0" w:evenVBand="0" w:oddHBand="1" w:evenHBand="0" w:firstRowFirstColumn="0" w:firstRowLastColumn="0" w:lastRowFirstColumn="0" w:lastRowLastColumn="0"/>
            </w:pPr>
            <w:r w:rsidRPr="00846D42">
              <w:t>0.0006</w:t>
            </w:r>
          </w:p>
        </w:tc>
        <w:tc>
          <w:tcPr>
            <w:tcW w:w="1865" w:type="dxa"/>
          </w:tcPr>
          <w:p w:rsidR="000C0A41" w:rsidRPr="00013E19" w:rsidRDefault="000C0A41" w:rsidP="001A61DD">
            <w:pPr>
              <w:cnfStyle w:val="000000100000" w:firstRow="0" w:lastRow="0" w:firstColumn="0" w:lastColumn="0" w:oddVBand="0" w:evenVBand="0" w:oddHBand="1" w:evenHBand="0" w:firstRowFirstColumn="0" w:firstRowLastColumn="0" w:lastRowFirstColumn="0" w:lastRowLastColumn="0"/>
            </w:pPr>
            <w:r w:rsidRPr="00846D42">
              <w:t>0.91762</w:t>
            </w:r>
            <w:r>
              <w:t>-</w:t>
            </w:r>
            <w:r w:rsidRPr="00846D42">
              <w:t>0.91843</w:t>
            </w:r>
          </w:p>
        </w:tc>
      </w:tr>
      <w:tr w:rsidR="000C0A41" w:rsidRPr="00013E19" w:rsidTr="00846D42">
        <w:trPr>
          <w:jc w:val="center"/>
        </w:trPr>
        <w:tc>
          <w:tcPr>
            <w:cnfStyle w:val="001000000000" w:firstRow="0" w:lastRow="0" w:firstColumn="1" w:lastColumn="0" w:oddVBand="0" w:evenVBand="0" w:oddHBand="0" w:evenHBand="0" w:firstRowFirstColumn="0" w:firstRowLastColumn="0" w:lastRowFirstColumn="0" w:lastRowLastColumn="0"/>
            <w:tcW w:w="3942" w:type="dxa"/>
          </w:tcPr>
          <w:p w:rsidR="000C0A41" w:rsidRPr="004E4291" w:rsidRDefault="000C0A41" w:rsidP="0010520F">
            <w:pPr>
              <w:jc w:val="left"/>
              <w:rPr>
                <w:b w:val="0"/>
              </w:rPr>
            </w:pPr>
            <w:r>
              <w:rPr>
                <w:b w:val="0"/>
              </w:rPr>
              <w:t>P</w:t>
            </w:r>
            <w:r w:rsidRPr="004E4291">
              <w:rPr>
                <w:b w:val="0"/>
              </w:rPr>
              <w:t xml:space="preserve">atients with </w:t>
            </w:r>
            <w:r>
              <w:rPr>
                <w:b w:val="0"/>
              </w:rPr>
              <w:t>CPRD doctor-</w:t>
            </w:r>
            <w:r w:rsidRPr="004E4291">
              <w:rPr>
                <w:b w:val="0"/>
              </w:rPr>
              <w:t xml:space="preserve">diagnosed </w:t>
            </w:r>
            <w:r>
              <w:rPr>
                <w:b w:val="0"/>
              </w:rPr>
              <w:t xml:space="preserve">COPD </w:t>
            </w:r>
            <w:r w:rsidRPr="004E4291">
              <w:rPr>
                <w:b w:val="0"/>
              </w:rPr>
              <w:t xml:space="preserve">and HES </w:t>
            </w:r>
            <w:r>
              <w:rPr>
                <w:b w:val="0"/>
              </w:rPr>
              <w:t xml:space="preserve">COPD </w:t>
            </w:r>
            <w:r w:rsidRPr="004E4291">
              <w:rPr>
                <w:b w:val="0"/>
              </w:rPr>
              <w:t>diagnosis</w:t>
            </w:r>
          </w:p>
        </w:tc>
        <w:tc>
          <w:tcPr>
            <w:tcW w:w="796" w:type="dxa"/>
          </w:tcPr>
          <w:p w:rsidR="000C0A41" w:rsidRPr="00013E19" w:rsidRDefault="000C0A41" w:rsidP="00D73641">
            <w:pPr>
              <w:jc w:val="center"/>
              <w:cnfStyle w:val="000000000000" w:firstRow="0" w:lastRow="0" w:firstColumn="0" w:lastColumn="0" w:oddVBand="0" w:evenVBand="0" w:oddHBand="0" w:evenHBand="0" w:firstRowFirstColumn="0" w:firstRowLastColumn="0" w:lastRowFirstColumn="0" w:lastRowLastColumn="0"/>
            </w:pPr>
            <w:r>
              <w:t>M2</w:t>
            </w:r>
          </w:p>
        </w:tc>
        <w:tc>
          <w:tcPr>
            <w:tcW w:w="1655" w:type="dxa"/>
          </w:tcPr>
          <w:p w:rsidR="000C0A41" w:rsidRPr="005C7EDE" w:rsidRDefault="000C0A41" w:rsidP="00D73641">
            <w:pPr>
              <w:cnfStyle w:val="000000000000" w:firstRow="0" w:lastRow="0" w:firstColumn="0" w:lastColumn="0" w:oddVBand="0" w:evenVBand="0" w:oddHBand="0" w:evenHBand="0" w:firstRowFirstColumn="0" w:firstRowLastColumn="0" w:lastRowFirstColumn="0" w:lastRowLastColumn="0"/>
            </w:pPr>
            <w:r w:rsidRPr="0077559C">
              <w:t>1,743,485</w:t>
            </w:r>
          </w:p>
        </w:tc>
        <w:tc>
          <w:tcPr>
            <w:tcW w:w="0" w:type="auto"/>
          </w:tcPr>
          <w:p w:rsidR="000C0A41" w:rsidRPr="005C7EDE" w:rsidRDefault="000C0A41" w:rsidP="00D73641">
            <w:pPr>
              <w:cnfStyle w:val="000000000000" w:firstRow="0" w:lastRow="0" w:firstColumn="0" w:lastColumn="0" w:oddVBand="0" w:evenVBand="0" w:oddHBand="0" w:evenHBand="0" w:firstRowFirstColumn="0" w:firstRowLastColumn="0" w:lastRowFirstColumn="0" w:lastRowLastColumn="0"/>
            </w:pPr>
            <w:r w:rsidRPr="0077559C">
              <w:t>0.9071</w:t>
            </w:r>
          </w:p>
        </w:tc>
        <w:tc>
          <w:tcPr>
            <w:tcW w:w="0" w:type="auto"/>
          </w:tcPr>
          <w:p w:rsidR="000C0A41" w:rsidRPr="005C7EDE" w:rsidRDefault="000C0A41" w:rsidP="00D73641">
            <w:pPr>
              <w:cnfStyle w:val="000000000000" w:firstRow="0" w:lastRow="0" w:firstColumn="0" w:lastColumn="0" w:oddVBand="0" w:evenVBand="0" w:oddHBand="0" w:evenHBand="0" w:firstRowFirstColumn="0" w:firstRowLastColumn="0" w:lastRowFirstColumn="0" w:lastRowLastColumn="0"/>
            </w:pPr>
            <w:r w:rsidRPr="0077559C">
              <w:t>0.0006</w:t>
            </w:r>
          </w:p>
        </w:tc>
        <w:tc>
          <w:tcPr>
            <w:tcW w:w="1865" w:type="dxa"/>
          </w:tcPr>
          <w:p w:rsidR="000C0A41" w:rsidRDefault="000C0A41" w:rsidP="00D73641">
            <w:pPr>
              <w:cnfStyle w:val="000000000000" w:firstRow="0" w:lastRow="0" w:firstColumn="0" w:lastColumn="0" w:oddVBand="0" w:evenVBand="0" w:oddHBand="0" w:evenHBand="0" w:firstRowFirstColumn="0" w:firstRowLastColumn="0" w:lastRowFirstColumn="0" w:lastRowLastColumn="0"/>
            </w:pPr>
            <w:r w:rsidRPr="0077559C">
              <w:t>0.90671</w:t>
            </w:r>
            <w:r>
              <w:t>-</w:t>
            </w:r>
            <w:r w:rsidRPr="00D73641">
              <w:t>0.90757</w:t>
            </w:r>
          </w:p>
        </w:tc>
      </w:tr>
      <w:tr w:rsidR="000C0A41" w:rsidRPr="006B11E6" w:rsidTr="00846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42" w:type="dxa"/>
          </w:tcPr>
          <w:p w:rsidR="000C0A41" w:rsidRDefault="000C0A41" w:rsidP="0010520F">
            <w:pPr>
              <w:jc w:val="left"/>
              <w:rPr>
                <w:b w:val="0"/>
              </w:rPr>
            </w:pPr>
            <w:r>
              <w:rPr>
                <w:b w:val="0"/>
              </w:rPr>
              <w:t>P</w:t>
            </w:r>
            <w:r w:rsidRPr="004E4291">
              <w:rPr>
                <w:b w:val="0"/>
              </w:rPr>
              <w:t xml:space="preserve">atients with </w:t>
            </w:r>
            <w:r>
              <w:rPr>
                <w:b w:val="0"/>
              </w:rPr>
              <w:t>HES-only doctor-</w:t>
            </w:r>
            <w:r w:rsidRPr="004E4291">
              <w:rPr>
                <w:b w:val="0"/>
              </w:rPr>
              <w:t xml:space="preserve">diagnosed </w:t>
            </w:r>
            <w:r>
              <w:rPr>
                <w:b w:val="0"/>
              </w:rPr>
              <w:t xml:space="preserve">COPD </w:t>
            </w:r>
          </w:p>
        </w:tc>
        <w:tc>
          <w:tcPr>
            <w:tcW w:w="796" w:type="dxa"/>
          </w:tcPr>
          <w:p w:rsidR="000C0A41" w:rsidRDefault="000C0A41" w:rsidP="00846D42">
            <w:pPr>
              <w:jc w:val="center"/>
              <w:cnfStyle w:val="000000100000" w:firstRow="0" w:lastRow="0" w:firstColumn="0" w:lastColumn="0" w:oddVBand="0" w:evenVBand="0" w:oddHBand="1" w:evenHBand="0" w:firstRowFirstColumn="0" w:firstRowLastColumn="0" w:lastRowFirstColumn="0" w:lastRowLastColumn="0"/>
            </w:pPr>
            <w:r>
              <w:t>M3</w:t>
            </w:r>
          </w:p>
        </w:tc>
        <w:tc>
          <w:tcPr>
            <w:tcW w:w="1655" w:type="dxa"/>
          </w:tcPr>
          <w:p w:rsidR="000C0A41" w:rsidRPr="006B11E6" w:rsidRDefault="000C0A41" w:rsidP="00846D42">
            <w:pPr>
              <w:cnfStyle w:val="000000100000" w:firstRow="0" w:lastRow="0" w:firstColumn="0" w:lastColumn="0" w:oddVBand="0" w:evenVBand="0" w:oddHBand="1" w:evenHBand="0" w:firstRowFirstColumn="0" w:firstRowLastColumn="0" w:lastRowFirstColumn="0" w:lastRowLastColumn="0"/>
            </w:pPr>
            <w:r w:rsidRPr="00846D42">
              <w:t>1,743,485</w:t>
            </w:r>
          </w:p>
        </w:tc>
        <w:tc>
          <w:tcPr>
            <w:tcW w:w="0" w:type="auto"/>
          </w:tcPr>
          <w:p w:rsidR="000C0A41" w:rsidRPr="006B11E6" w:rsidRDefault="000C0A41" w:rsidP="00846D42">
            <w:pPr>
              <w:cnfStyle w:val="000000100000" w:firstRow="0" w:lastRow="0" w:firstColumn="0" w:lastColumn="0" w:oddVBand="0" w:evenVBand="0" w:oddHBand="1" w:evenHBand="0" w:firstRowFirstColumn="0" w:firstRowLastColumn="0" w:lastRowFirstColumn="0" w:lastRowLastColumn="0"/>
            </w:pPr>
            <w:r w:rsidRPr="0010520F">
              <w:t>0.8785</w:t>
            </w:r>
          </w:p>
        </w:tc>
        <w:tc>
          <w:tcPr>
            <w:tcW w:w="0" w:type="auto"/>
          </w:tcPr>
          <w:p w:rsidR="000C0A41" w:rsidRPr="006B11E6" w:rsidRDefault="000C0A41" w:rsidP="00846D42">
            <w:pPr>
              <w:cnfStyle w:val="000000100000" w:firstRow="0" w:lastRow="0" w:firstColumn="0" w:lastColumn="0" w:oddVBand="0" w:evenVBand="0" w:oddHBand="1" w:evenHBand="0" w:firstRowFirstColumn="0" w:firstRowLastColumn="0" w:lastRowFirstColumn="0" w:lastRowLastColumn="0"/>
            </w:pPr>
            <w:r w:rsidRPr="0010520F">
              <w:t>0.0013</w:t>
            </w:r>
          </w:p>
        </w:tc>
        <w:tc>
          <w:tcPr>
            <w:tcW w:w="1865" w:type="dxa"/>
          </w:tcPr>
          <w:p w:rsidR="000C0A41" w:rsidRPr="006B11E6" w:rsidRDefault="000C0A41" w:rsidP="00846D42">
            <w:pPr>
              <w:cnfStyle w:val="000000100000" w:firstRow="0" w:lastRow="0" w:firstColumn="0" w:lastColumn="0" w:oddVBand="0" w:evenVBand="0" w:oddHBand="1" w:evenHBand="0" w:firstRowFirstColumn="0" w:firstRowLastColumn="0" w:lastRowFirstColumn="0" w:lastRowLastColumn="0"/>
            </w:pPr>
            <w:r w:rsidRPr="0010520F">
              <w:t>0.87799</w:t>
            </w:r>
            <w:r>
              <w:t>-</w:t>
            </w:r>
            <w:r w:rsidRPr="0010520F">
              <w:t>0.87896</w:t>
            </w:r>
          </w:p>
        </w:tc>
      </w:tr>
      <w:tr w:rsidR="000C0A41" w:rsidRPr="006B11E6" w:rsidTr="00846D42">
        <w:trPr>
          <w:jc w:val="center"/>
        </w:trPr>
        <w:tc>
          <w:tcPr>
            <w:cnfStyle w:val="001000000000" w:firstRow="0" w:lastRow="0" w:firstColumn="1" w:lastColumn="0" w:oddVBand="0" w:evenVBand="0" w:oddHBand="0" w:evenHBand="0" w:firstRowFirstColumn="0" w:firstRowLastColumn="0" w:lastRowFirstColumn="0" w:lastRowLastColumn="0"/>
            <w:tcW w:w="3942" w:type="dxa"/>
          </w:tcPr>
          <w:p w:rsidR="000C0A41" w:rsidRPr="004E4291" w:rsidRDefault="000C0A41" w:rsidP="0010520F">
            <w:pPr>
              <w:jc w:val="left"/>
              <w:rPr>
                <w:b w:val="0"/>
              </w:rPr>
            </w:pPr>
            <w:r>
              <w:rPr>
                <w:b w:val="0"/>
              </w:rPr>
              <w:t>P</w:t>
            </w:r>
            <w:r w:rsidRPr="004E4291">
              <w:rPr>
                <w:b w:val="0"/>
              </w:rPr>
              <w:t>atients only with algorithm</w:t>
            </w:r>
            <w:r>
              <w:rPr>
                <w:b w:val="0"/>
              </w:rPr>
              <w:t>-</w:t>
            </w:r>
            <w:r w:rsidRPr="004E4291">
              <w:rPr>
                <w:b w:val="0"/>
              </w:rPr>
              <w:t xml:space="preserve">defined </w:t>
            </w:r>
            <w:r>
              <w:rPr>
                <w:b w:val="0"/>
              </w:rPr>
              <w:t xml:space="preserve">COPD </w:t>
            </w:r>
            <w:r w:rsidRPr="004E4291">
              <w:rPr>
                <w:b w:val="0"/>
              </w:rPr>
              <w:t>cases</w:t>
            </w:r>
          </w:p>
        </w:tc>
        <w:tc>
          <w:tcPr>
            <w:tcW w:w="796" w:type="dxa"/>
          </w:tcPr>
          <w:p w:rsidR="000C0A41" w:rsidRDefault="000C0A41" w:rsidP="00846D42">
            <w:pPr>
              <w:jc w:val="center"/>
              <w:cnfStyle w:val="000000000000" w:firstRow="0" w:lastRow="0" w:firstColumn="0" w:lastColumn="0" w:oddVBand="0" w:evenVBand="0" w:oddHBand="0" w:evenHBand="0" w:firstRowFirstColumn="0" w:firstRowLastColumn="0" w:lastRowFirstColumn="0" w:lastRowLastColumn="0"/>
            </w:pPr>
            <w:r>
              <w:t>M4</w:t>
            </w:r>
          </w:p>
        </w:tc>
        <w:tc>
          <w:tcPr>
            <w:tcW w:w="1655" w:type="dxa"/>
          </w:tcPr>
          <w:p w:rsidR="000C0A41" w:rsidRPr="00DB3B5B" w:rsidRDefault="000C0A41" w:rsidP="00846D42">
            <w:pPr>
              <w:cnfStyle w:val="000000000000" w:firstRow="0" w:lastRow="0" w:firstColumn="0" w:lastColumn="0" w:oddVBand="0" w:evenVBand="0" w:oddHBand="0" w:evenHBand="0" w:firstRowFirstColumn="0" w:firstRowLastColumn="0" w:lastRowFirstColumn="0" w:lastRowLastColumn="0"/>
            </w:pPr>
            <w:r w:rsidRPr="0010520F">
              <w:t>282,353</w:t>
            </w:r>
          </w:p>
        </w:tc>
        <w:tc>
          <w:tcPr>
            <w:tcW w:w="0" w:type="auto"/>
          </w:tcPr>
          <w:p w:rsidR="000C0A41" w:rsidRPr="00DB3B5B" w:rsidRDefault="000C0A41" w:rsidP="00846D42">
            <w:pPr>
              <w:cnfStyle w:val="000000000000" w:firstRow="0" w:lastRow="0" w:firstColumn="0" w:lastColumn="0" w:oddVBand="0" w:evenVBand="0" w:oddHBand="0" w:evenHBand="0" w:firstRowFirstColumn="0" w:firstRowLastColumn="0" w:lastRowFirstColumn="0" w:lastRowLastColumn="0"/>
            </w:pPr>
            <w:r w:rsidRPr="0010520F">
              <w:t>0.7838</w:t>
            </w:r>
          </w:p>
        </w:tc>
        <w:tc>
          <w:tcPr>
            <w:tcW w:w="0" w:type="auto"/>
          </w:tcPr>
          <w:p w:rsidR="000C0A41" w:rsidRPr="00DB3B5B" w:rsidRDefault="000C0A41" w:rsidP="00846D42">
            <w:pPr>
              <w:cnfStyle w:val="000000000000" w:firstRow="0" w:lastRow="0" w:firstColumn="0" w:lastColumn="0" w:oddVBand="0" w:evenVBand="0" w:oddHBand="0" w:evenHBand="0" w:firstRowFirstColumn="0" w:firstRowLastColumn="0" w:lastRowFirstColumn="0" w:lastRowLastColumn="0"/>
            </w:pPr>
            <w:r w:rsidRPr="0010520F">
              <w:t>0.0011</w:t>
            </w:r>
          </w:p>
        </w:tc>
        <w:tc>
          <w:tcPr>
            <w:tcW w:w="1865" w:type="dxa"/>
          </w:tcPr>
          <w:p w:rsidR="000C0A41" w:rsidRDefault="000C0A41" w:rsidP="00846D42">
            <w:pPr>
              <w:cnfStyle w:val="000000000000" w:firstRow="0" w:lastRow="0" w:firstColumn="0" w:lastColumn="0" w:oddVBand="0" w:evenVBand="0" w:oddHBand="0" w:evenHBand="0" w:firstRowFirstColumn="0" w:firstRowLastColumn="0" w:lastRowFirstColumn="0" w:lastRowLastColumn="0"/>
            </w:pPr>
            <w:r w:rsidRPr="0010520F">
              <w:t>0.78230</w:t>
            </w:r>
            <w:r>
              <w:t>-</w:t>
            </w:r>
            <w:r w:rsidRPr="0010520F">
              <w:t>0.78534</w:t>
            </w:r>
          </w:p>
        </w:tc>
      </w:tr>
    </w:tbl>
    <w:p w:rsidR="000C0A41" w:rsidRDefault="000C0A41" w:rsidP="005F7501">
      <w:pPr>
        <w:pStyle w:val="Caption"/>
        <w:keepNext/>
        <w:spacing w:after="120"/>
      </w:pPr>
      <w:bookmarkStart w:id="90" w:name="_Ref458179450"/>
      <w:r>
        <w:lastRenderedPageBreak/>
        <w:t xml:space="preserve">Figure </w:t>
      </w:r>
      <w:fldSimple w:instr=" SEQ Figure \* ARABIC ">
        <w:r>
          <w:rPr>
            <w:noProof/>
          </w:rPr>
          <w:t>5</w:t>
        </w:r>
      </w:fldSimple>
      <w:bookmarkEnd w:id="90"/>
      <w:r>
        <w:t>: ROC curve-M2</w:t>
      </w:r>
    </w:p>
    <w:p w:rsidR="000C0A41" w:rsidRPr="00E37C08" w:rsidRDefault="000C0A41" w:rsidP="00E37C08">
      <w:pPr>
        <w:jc w:val="center"/>
      </w:pPr>
      <w:r w:rsidRPr="0077559C">
        <w:rPr>
          <w:noProof/>
          <w:lang w:eastAsia="en-GB"/>
        </w:rPr>
        <w:drawing>
          <wp:inline distT="0" distB="0" distL="0" distR="0" wp14:anchorId="3C833C23" wp14:editId="11A6E7A1">
            <wp:extent cx="5114925" cy="37433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14925" cy="3743325"/>
                    </a:xfrm>
                    <a:prstGeom prst="rect">
                      <a:avLst/>
                    </a:prstGeom>
                    <a:noFill/>
                    <a:ln>
                      <a:noFill/>
                    </a:ln>
                  </pic:spPr>
                </pic:pic>
              </a:graphicData>
            </a:graphic>
          </wp:inline>
        </w:drawing>
      </w:r>
    </w:p>
    <w:p w:rsidR="000C0A41" w:rsidRDefault="000C0A41" w:rsidP="00F73936">
      <w:pPr>
        <w:jc w:val="center"/>
      </w:pPr>
    </w:p>
    <w:p w:rsidR="000C0A41" w:rsidRDefault="000C0A41" w:rsidP="005F7501">
      <w:pPr>
        <w:pStyle w:val="Heading3"/>
      </w:pPr>
      <w:bookmarkStart w:id="91" w:name="_Toc458185284"/>
      <w:r>
        <w:t>Probability and sensitivity/specificity analysis</w:t>
      </w:r>
      <w:bookmarkEnd w:id="91"/>
    </w:p>
    <w:p w:rsidR="000C0A41" w:rsidRDefault="000C0A41" w:rsidP="007A6CA5">
      <w:r>
        <w:t xml:space="preserve">We can use the automatic stepwise forward model to predict the probability of individual being COPD case in the CPRD data set. No matter which cut-off point we choose, there will always be mis-classified people, with either non-COPD cases being classified as predicted COPD cases, or COPD cases being classified as predicted non-COPD cases. Therefore, we use sensitivity and specificity plots to help with this decision. </w:t>
      </w:r>
      <w:r w:rsidRPr="0007495C">
        <w:t xml:space="preserve">The sensitivity/specificity versus probability cut-off plot shows us the corresponding sensitivity and specificity in each possible probability cut-off point (See </w:t>
      </w:r>
      <w:r>
        <w:fldChar w:fldCharType="begin"/>
      </w:r>
      <w:r>
        <w:instrText xml:space="preserve"> REF _Ref442353987 \h </w:instrText>
      </w:r>
      <w:r>
        <w:fldChar w:fldCharType="separate"/>
      </w:r>
      <w:r>
        <w:t xml:space="preserve">Figure </w:t>
      </w:r>
      <w:r>
        <w:rPr>
          <w:noProof/>
        </w:rPr>
        <w:t>6</w:t>
      </w:r>
      <w:r>
        <w:fldChar w:fldCharType="end"/>
      </w:r>
      <w:r w:rsidRPr="0007495C">
        <w:t xml:space="preserve">). Higher sensitivity would usually yield low specificity and vice versa, the rule of thumb is to choose a cut-off probability to maximize both. We </w:t>
      </w:r>
      <w:r>
        <w:t xml:space="preserve">would </w:t>
      </w:r>
      <w:r w:rsidRPr="0007495C">
        <w:t>choose the cut-off probability where sensitivity and specificity lines cross</w:t>
      </w:r>
      <w:r>
        <w:t xml:space="preserve"> as shown below, which would be a probability cut-off of </w:t>
      </w:r>
      <w:r>
        <w:t>.0303</w:t>
      </w:r>
      <w:r>
        <w:t>-</w:t>
      </w:r>
      <w:r>
        <w:t>.0324</w:t>
      </w:r>
      <w:r w:rsidRPr="0007495C">
        <w:t>.</w:t>
      </w:r>
    </w:p>
    <w:p w:rsidR="000C0A41" w:rsidRPr="0007495C" w:rsidRDefault="000C0A41" w:rsidP="00BC1F2D">
      <w:pPr>
        <w:pStyle w:val="Caption"/>
        <w:keepNext/>
        <w:rPr>
          <w:color w:val="auto"/>
          <w:sz w:val="20"/>
          <w:szCs w:val="20"/>
        </w:rPr>
      </w:pPr>
      <w:bookmarkStart w:id="92" w:name="_Ref442353987"/>
      <w:bookmarkStart w:id="93" w:name="_Ref442353969"/>
      <w:r>
        <w:t xml:space="preserve">Figure </w:t>
      </w:r>
      <w:fldSimple w:instr=" SEQ Figure \* ARABIC ">
        <w:r>
          <w:rPr>
            <w:noProof/>
          </w:rPr>
          <w:t>6</w:t>
        </w:r>
      </w:fldSimple>
      <w:bookmarkEnd w:id="92"/>
      <w:r>
        <w:t xml:space="preserve">: </w:t>
      </w:r>
      <w:r w:rsidRPr="0007495C">
        <w:t>Sensitivity/specificity versus probability cut-off</w:t>
      </w:r>
      <w:bookmarkEnd w:id="93"/>
    </w:p>
    <w:tbl>
      <w:tblPr>
        <w:tblStyle w:val="GridTable4-Accent1"/>
        <w:tblW w:w="0" w:type="auto"/>
        <w:jc w:val="center"/>
        <w:tblLook w:val="04A0" w:firstRow="1" w:lastRow="0" w:firstColumn="1" w:lastColumn="0" w:noHBand="0" w:noVBand="1"/>
      </w:tblPr>
      <w:tblGrid>
        <w:gridCol w:w="1696"/>
        <w:gridCol w:w="1418"/>
        <w:gridCol w:w="1370"/>
        <w:gridCol w:w="1181"/>
        <w:gridCol w:w="1134"/>
        <w:gridCol w:w="1134"/>
      </w:tblGrid>
      <w:tr w:rsidR="000C0A41" w:rsidRPr="002A72B9" w:rsidTr="007A6CA5">
        <w:trPr>
          <w:cnfStyle w:val="100000000000" w:firstRow="1" w:lastRow="0" w:firstColumn="0" w:lastColumn="0" w:oddVBand="0" w:evenVBand="0" w:oddHBand="0" w:evenHBand="0" w:firstRowFirstColumn="0" w:firstRowLastColumn="0" w:lastRowFirstColumn="0" w:lastRowLastColumn="0"/>
          <w:trHeight w:val="300"/>
          <w:tblHeader/>
          <w:jc w:val="center"/>
        </w:trPr>
        <w:tc>
          <w:tcPr>
            <w:cnfStyle w:val="001000000000" w:firstRow="0" w:lastRow="0" w:firstColumn="1" w:lastColumn="0" w:oddVBand="0" w:evenVBand="0" w:oddHBand="0" w:evenHBand="0" w:firstRowFirstColumn="0" w:firstRowLastColumn="0" w:lastRowFirstColumn="0" w:lastRowLastColumn="0"/>
            <w:tcW w:w="1696" w:type="dxa"/>
            <w:noWrap/>
            <w:hideMark/>
          </w:tcPr>
          <w:p w:rsidR="000C0A41" w:rsidRPr="002A72B9" w:rsidRDefault="000C0A41" w:rsidP="002A72B9">
            <w:pPr>
              <w:jc w:val="center"/>
            </w:pPr>
            <w:r w:rsidRPr="002A72B9">
              <w:t>Cutpoint</w:t>
            </w:r>
          </w:p>
        </w:tc>
        <w:tc>
          <w:tcPr>
            <w:tcW w:w="1418" w:type="dxa"/>
            <w:noWrap/>
            <w:hideMark/>
          </w:tcPr>
          <w:p w:rsidR="000C0A41" w:rsidRPr="002A72B9" w:rsidRDefault="000C0A41" w:rsidP="002A72B9">
            <w:pPr>
              <w:jc w:val="center"/>
              <w:cnfStyle w:val="100000000000" w:firstRow="1" w:lastRow="0" w:firstColumn="0" w:lastColumn="0" w:oddVBand="0" w:evenVBand="0" w:oddHBand="0" w:evenHBand="0" w:firstRowFirstColumn="0" w:firstRowLastColumn="0" w:lastRowFirstColumn="0" w:lastRowLastColumn="0"/>
            </w:pPr>
            <w:r w:rsidRPr="002A72B9">
              <w:t>Sensitivity</w:t>
            </w:r>
          </w:p>
        </w:tc>
        <w:tc>
          <w:tcPr>
            <w:tcW w:w="1370" w:type="dxa"/>
            <w:noWrap/>
            <w:hideMark/>
          </w:tcPr>
          <w:p w:rsidR="000C0A41" w:rsidRPr="002A72B9" w:rsidRDefault="000C0A41" w:rsidP="002A72B9">
            <w:pPr>
              <w:jc w:val="center"/>
              <w:cnfStyle w:val="100000000000" w:firstRow="1" w:lastRow="0" w:firstColumn="0" w:lastColumn="0" w:oddVBand="0" w:evenVBand="0" w:oddHBand="0" w:evenHBand="0" w:firstRowFirstColumn="0" w:firstRowLastColumn="0" w:lastRowFirstColumn="0" w:lastRowLastColumn="0"/>
            </w:pPr>
            <w:r w:rsidRPr="002A72B9">
              <w:t>Specificity</w:t>
            </w:r>
          </w:p>
        </w:tc>
        <w:tc>
          <w:tcPr>
            <w:tcW w:w="1181" w:type="dxa"/>
            <w:noWrap/>
            <w:hideMark/>
          </w:tcPr>
          <w:p w:rsidR="000C0A41" w:rsidRPr="002A72B9" w:rsidRDefault="000C0A41" w:rsidP="002A72B9">
            <w:pPr>
              <w:jc w:val="center"/>
              <w:cnfStyle w:val="100000000000" w:firstRow="1" w:lastRow="0" w:firstColumn="0" w:lastColumn="0" w:oddVBand="0" w:evenVBand="0" w:oddHBand="0" w:evenHBand="0" w:firstRowFirstColumn="0" w:firstRowLastColumn="0" w:lastRowFirstColumn="0" w:lastRowLastColumn="0"/>
            </w:pPr>
            <w:r w:rsidRPr="002A72B9">
              <w:t>Correctly classified</w:t>
            </w:r>
          </w:p>
        </w:tc>
        <w:tc>
          <w:tcPr>
            <w:tcW w:w="1134" w:type="dxa"/>
            <w:noWrap/>
            <w:hideMark/>
          </w:tcPr>
          <w:p w:rsidR="000C0A41" w:rsidRPr="002A72B9" w:rsidRDefault="000C0A41" w:rsidP="002A72B9">
            <w:pPr>
              <w:jc w:val="center"/>
              <w:cnfStyle w:val="100000000000" w:firstRow="1" w:lastRow="0" w:firstColumn="0" w:lastColumn="0" w:oddVBand="0" w:evenVBand="0" w:oddHBand="0" w:evenHBand="0" w:firstRowFirstColumn="0" w:firstRowLastColumn="0" w:lastRowFirstColumn="0" w:lastRowLastColumn="0"/>
            </w:pPr>
            <w:r w:rsidRPr="002A72B9">
              <w:t>LR+</w:t>
            </w:r>
          </w:p>
        </w:tc>
        <w:tc>
          <w:tcPr>
            <w:tcW w:w="1134" w:type="dxa"/>
            <w:noWrap/>
            <w:hideMark/>
          </w:tcPr>
          <w:p w:rsidR="000C0A41" w:rsidRPr="002A72B9" w:rsidRDefault="000C0A41" w:rsidP="002A72B9">
            <w:pPr>
              <w:jc w:val="center"/>
              <w:cnfStyle w:val="100000000000" w:firstRow="1" w:lastRow="0" w:firstColumn="0" w:lastColumn="0" w:oddVBand="0" w:evenVBand="0" w:oddHBand="0" w:evenHBand="0" w:firstRowFirstColumn="0" w:firstRowLastColumn="0" w:lastRowFirstColumn="0" w:lastRowLastColumn="0"/>
            </w:pPr>
            <w:r w:rsidRPr="002A72B9">
              <w:t>LR-</w:t>
            </w:r>
          </w:p>
        </w:tc>
      </w:tr>
      <w:tr w:rsidR="000C0A41" w:rsidRPr="007A6CA5" w:rsidTr="007A6CA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hideMark/>
          </w:tcPr>
          <w:p w:rsidR="000C0A41" w:rsidRPr="007A6CA5" w:rsidRDefault="000C0A41" w:rsidP="007A6CA5">
            <w:pPr>
              <w:contextualSpacing w:val="0"/>
              <w:jc w:val="left"/>
              <w:rPr>
                <w:rFonts w:ascii="Calibri" w:eastAsia="Times New Roman" w:hAnsi="Calibri" w:cs="Times New Roman"/>
                <w:lang w:eastAsia="en-GB"/>
              </w:rPr>
            </w:pPr>
            <w:r w:rsidRPr="007A6CA5">
              <w:rPr>
                <w:rFonts w:ascii="Calibri" w:eastAsia="Times New Roman" w:hAnsi="Calibri" w:cs="Times New Roman"/>
                <w:lang w:eastAsia="en-GB"/>
              </w:rPr>
              <w:t>.0252..</w:t>
            </w:r>
          </w:p>
        </w:tc>
        <w:tc>
          <w:tcPr>
            <w:tcW w:w="1418" w:type="dxa"/>
            <w:hideMark/>
          </w:tcPr>
          <w:p w:rsidR="000C0A41" w:rsidRPr="007A6CA5" w:rsidRDefault="000C0A41" w:rsidP="007A6CA5">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n-GB"/>
              </w:rPr>
            </w:pPr>
            <w:r w:rsidRPr="007A6CA5">
              <w:rPr>
                <w:rFonts w:ascii="Calibri" w:eastAsia="Times New Roman" w:hAnsi="Calibri" w:cs="Times New Roman"/>
                <w:lang w:eastAsia="en-GB"/>
              </w:rPr>
              <w:t>86.84%</w:t>
            </w:r>
          </w:p>
        </w:tc>
        <w:tc>
          <w:tcPr>
            <w:tcW w:w="1370" w:type="dxa"/>
            <w:hideMark/>
          </w:tcPr>
          <w:p w:rsidR="000C0A41" w:rsidRPr="007A6CA5" w:rsidRDefault="000C0A41" w:rsidP="007A6CA5">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n-GB"/>
              </w:rPr>
            </w:pPr>
            <w:r w:rsidRPr="007A6CA5">
              <w:rPr>
                <w:rFonts w:ascii="Calibri" w:eastAsia="Times New Roman" w:hAnsi="Calibri" w:cs="Times New Roman"/>
                <w:lang w:eastAsia="en-GB"/>
              </w:rPr>
              <w:t>80.19%</w:t>
            </w:r>
          </w:p>
        </w:tc>
        <w:tc>
          <w:tcPr>
            <w:tcW w:w="1181" w:type="dxa"/>
            <w:hideMark/>
          </w:tcPr>
          <w:p w:rsidR="000C0A41" w:rsidRPr="007A6CA5" w:rsidRDefault="000C0A41" w:rsidP="007A6CA5">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n-GB"/>
              </w:rPr>
            </w:pPr>
            <w:r w:rsidRPr="007A6CA5">
              <w:rPr>
                <w:rFonts w:ascii="Calibri" w:eastAsia="Times New Roman" w:hAnsi="Calibri" w:cs="Times New Roman"/>
                <w:lang w:eastAsia="en-GB"/>
              </w:rPr>
              <w:t>80.33%</w:t>
            </w:r>
          </w:p>
        </w:tc>
        <w:tc>
          <w:tcPr>
            <w:tcW w:w="1134" w:type="dxa"/>
            <w:hideMark/>
          </w:tcPr>
          <w:p w:rsidR="000C0A41" w:rsidRPr="007A6CA5" w:rsidRDefault="000C0A41" w:rsidP="007A6CA5">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n-GB"/>
              </w:rPr>
            </w:pPr>
            <w:r w:rsidRPr="007A6CA5">
              <w:rPr>
                <w:rFonts w:ascii="Calibri" w:eastAsia="Times New Roman" w:hAnsi="Calibri" w:cs="Times New Roman"/>
                <w:lang w:eastAsia="en-GB"/>
              </w:rPr>
              <w:t>4.3835</w:t>
            </w:r>
          </w:p>
        </w:tc>
        <w:tc>
          <w:tcPr>
            <w:tcW w:w="1134" w:type="dxa"/>
            <w:hideMark/>
          </w:tcPr>
          <w:p w:rsidR="000C0A41" w:rsidRPr="007A6CA5" w:rsidRDefault="000C0A41" w:rsidP="007A6CA5">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n-GB"/>
              </w:rPr>
            </w:pPr>
            <w:r w:rsidRPr="007A6CA5">
              <w:rPr>
                <w:rFonts w:ascii="Calibri" w:eastAsia="Times New Roman" w:hAnsi="Calibri" w:cs="Times New Roman"/>
                <w:lang w:eastAsia="en-GB"/>
              </w:rPr>
              <w:t>0.1641</w:t>
            </w:r>
          </w:p>
        </w:tc>
      </w:tr>
      <w:tr w:rsidR="000C0A41" w:rsidRPr="007A6CA5" w:rsidTr="007A6CA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96" w:type="dxa"/>
            <w:hideMark/>
          </w:tcPr>
          <w:p w:rsidR="000C0A41" w:rsidRPr="007A6CA5" w:rsidRDefault="000C0A41" w:rsidP="007A6CA5">
            <w:pPr>
              <w:contextualSpacing w:val="0"/>
              <w:jc w:val="left"/>
              <w:rPr>
                <w:rFonts w:ascii="Calibri" w:eastAsia="Times New Roman" w:hAnsi="Calibri" w:cs="Times New Roman"/>
                <w:lang w:eastAsia="en-GB"/>
              </w:rPr>
            </w:pPr>
            <w:r w:rsidRPr="007A6CA5">
              <w:rPr>
                <w:rFonts w:ascii="Calibri" w:eastAsia="Times New Roman" w:hAnsi="Calibri" w:cs="Times New Roman"/>
                <w:lang w:eastAsia="en-GB"/>
              </w:rPr>
              <w:t>.0259..</w:t>
            </w:r>
          </w:p>
        </w:tc>
        <w:tc>
          <w:tcPr>
            <w:tcW w:w="1418" w:type="dxa"/>
            <w:hideMark/>
          </w:tcPr>
          <w:p w:rsidR="000C0A41" w:rsidRPr="007A6CA5" w:rsidRDefault="000C0A41" w:rsidP="007A6CA5">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7A6CA5">
              <w:rPr>
                <w:rFonts w:ascii="Calibri" w:eastAsia="Times New Roman" w:hAnsi="Calibri" w:cs="Times New Roman"/>
                <w:lang w:eastAsia="en-GB"/>
              </w:rPr>
              <w:t>86.06%</w:t>
            </w:r>
          </w:p>
        </w:tc>
        <w:tc>
          <w:tcPr>
            <w:tcW w:w="1370" w:type="dxa"/>
            <w:hideMark/>
          </w:tcPr>
          <w:p w:rsidR="000C0A41" w:rsidRPr="007A6CA5" w:rsidRDefault="000C0A41" w:rsidP="007A6CA5">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7A6CA5">
              <w:rPr>
                <w:rFonts w:ascii="Calibri" w:eastAsia="Times New Roman" w:hAnsi="Calibri" w:cs="Times New Roman"/>
                <w:lang w:eastAsia="en-GB"/>
              </w:rPr>
              <w:t>80.79%</w:t>
            </w:r>
          </w:p>
        </w:tc>
        <w:tc>
          <w:tcPr>
            <w:tcW w:w="1181" w:type="dxa"/>
            <w:hideMark/>
          </w:tcPr>
          <w:p w:rsidR="000C0A41" w:rsidRPr="007A6CA5" w:rsidRDefault="000C0A41" w:rsidP="007A6CA5">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7A6CA5">
              <w:rPr>
                <w:rFonts w:ascii="Calibri" w:eastAsia="Times New Roman" w:hAnsi="Calibri" w:cs="Times New Roman"/>
                <w:lang w:eastAsia="en-GB"/>
              </w:rPr>
              <w:t>80.91%</w:t>
            </w:r>
          </w:p>
        </w:tc>
        <w:tc>
          <w:tcPr>
            <w:tcW w:w="1134" w:type="dxa"/>
            <w:hideMark/>
          </w:tcPr>
          <w:p w:rsidR="000C0A41" w:rsidRPr="007A6CA5" w:rsidRDefault="000C0A41" w:rsidP="007A6CA5">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7A6CA5">
              <w:rPr>
                <w:rFonts w:ascii="Calibri" w:eastAsia="Times New Roman" w:hAnsi="Calibri" w:cs="Times New Roman"/>
                <w:lang w:eastAsia="en-GB"/>
              </w:rPr>
              <w:t>4.4806</w:t>
            </w:r>
          </w:p>
        </w:tc>
        <w:tc>
          <w:tcPr>
            <w:tcW w:w="1134" w:type="dxa"/>
            <w:hideMark/>
          </w:tcPr>
          <w:p w:rsidR="000C0A41" w:rsidRPr="007A6CA5" w:rsidRDefault="000C0A41" w:rsidP="007A6CA5">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7A6CA5">
              <w:rPr>
                <w:rFonts w:ascii="Calibri" w:eastAsia="Times New Roman" w:hAnsi="Calibri" w:cs="Times New Roman"/>
                <w:lang w:eastAsia="en-GB"/>
              </w:rPr>
              <w:t>0.1725</w:t>
            </w:r>
          </w:p>
        </w:tc>
      </w:tr>
      <w:tr w:rsidR="000C0A41" w:rsidRPr="007A6CA5" w:rsidTr="007A6CA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hideMark/>
          </w:tcPr>
          <w:p w:rsidR="000C0A41" w:rsidRPr="007A6CA5" w:rsidRDefault="000C0A41" w:rsidP="007A6CA5">
            <w:pPr>
              <w:contextualSpacing w:val="0"/>
              <w:jc w:val="left"/>
              <w:rPr>
                <w:rFonts w:ascii="Calibri" w:eastAsia="Times New Roman" w:hAnsi="Calibri" w:cs="Times New Roman"/>
                <w:lang w:eastAsia="en-GB"/>
              </w:rPr>
            </w:pPr>
            <w:r w:rsidRPr="007A6CA5">
              <w:rPr>
                <w:rFonts w:ascii="Calibri" w:eastAsia="Times New Roman" w:hAnsi="Calibri" w:cs="Times New Roman"/>
                <w:lang w:eastAsia="en-GB"/>
              </w:rPr>
              <w:t>.0271..</w:t>
            </w:r>
          </w:p>
        </w:tc>
        <w:tc>
          <w:tcPr>
            <w:tcW w:w="1418" w:type="dxa"/>
            <w:hideMark/>
          </w:tcPr>
          <w:p w:rsidR="000C0A41" w:rsidRPr="007A6CA5" w:rsidRDefault="000C0A41" w:rsidP="007A6CA5">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n-GB"/>
              </w:rPr>
            </w:pPr>
            <w:r w:rsidRPr="007A6CA5">
              <w:rPr>
                <w:rFonts w:ascii="Calibri" w:eastAsia="Times New Roman" w:hAnsi="Calibri" w:cs="Times New Roman"/>
                <w:lang w:eastAsia="en-GB"/>
              </w:rPr>
              <w:t>85.32%</w:t>
            </w:r>
          </w:p>
        </w:tc>
        <w:tc>
          <w:tcPr>
            <w:tcW w:w="1370" w:type="dxa"/>
            <w:hideMark/>
          </w:tcPr>
          <w:p w:rsidR="000C0A41" w:rsidRPr="007A6CA5" w:rsidRDefault="000C0A41" w:rsidP="007A6CA5">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n-GB"/>
              </w:rPr>
            </w:pPr>
            <w:r w:rsidRPr="007A6CA5">
              <w:rPr>
                <w:rFonts w:ascii="Calibri" w:eastAsia="Times New Roman" w:hAnsi="Calibri" w:cs="Times New Roman"/>
                <w:lang w:eastAsia="en-GB"/>
              </w:rPr>
              <w:t>81.24%</w:t>
            </w:r>
          </w:p>
        </w:tc>
        <w:tc>
          <w:tcPr>
            <w:tcW w:w="1181" w:type="dxa"/>
            <w:hideMark/>
          </w:tcPr>
          <w:p w:rsidR="000C0A41" w:rsidRPr="007A6CA5" w:rsidRDefault="000C0A41" w:rsidP="007A6CA5">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n-GB"/>
              </w:rPr>
            </w:pPr>
            <w:r w:rsidRPr="007A6CA5">
              <w:rPr>
                <w:rFonts w:ascii="Calibri" w:eastAsia="Times New Roman" w:hAnsi="Calibri" w:cs="Times New Roman"/>
                <w:lang w:eastAsia="en-GB"/>
              </w:rPr>
              <w:t>81.33%</w:t>
            </w:r>
          </w:p>
        </w:tc>
        <w:tc>
          <w:tcPr>
            <w:tcW w:w="1134" w:type="dxa"/>
            <w:hideMark/>
          </w:tcPr>
          <w:p w:rsidR="000C0A41" w:rsidRPr="007A6CA5" w:rsidRDefault="000C0A41" w:rsidP="007A6CA5">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n-GB"/>
              </w:rPr>
            </w:pPr>
            <w:r w:rsidRPr="007A6CA5">
              <w:rPr>
                <w:rFonts w:ascii="Calibri" w:eastAsia="Times New Roman" w:hAnsi="Calibri" w:cs="Times New Roman"/>
                <w:lang w:eastAsia="en-GB"/>
              </w:rPr>
              <w:t>4.5485</w:t>
            </w:r>
          </w:p>
        </w:tc>
        <w:tc>
          <w:tcPr>
            <w:tcW w:w="1134" w:type="dxa"/>
            <w:hideMark/>
          </w:tcPr>
          <w:p w:rsidR="000C0A41" w:rsidRPr="007A6CA5" w:rsidRDefault="000C0A41" w:rsidP="007A6CA5">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n-GB"/>
              </w:rPr>
            </w:pPr>
            <w:r w:rsidRPr="007A6CA5">
              <w:rPr>
                <w:rFonts w:ascii="Calibri" w:eastAsia="Times New Roman" w:hAnsi="Calibri" w:cs="Times New Roman"/>
                <w:lang w:eastAsia="en-GB"/>
              </w:rPr>
              <w:t>0.1807</w:t>
            </w:r>
          </w:p>
        </w:tc>
      </w:tr>
      <w:tr w:rsidR="000C0A41" w:rsidRPr="007A6CA5" w:rsidTr="007A6CA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96" w:type="dxa"/>
            <w:hideMark/>
          </w:tcPr>
          <w:p w:rsidR="000C0A41" w:rsidRPr="007A6CA5" w:rsidRDefault="000C0A41" w:rsidP="007A6CA5">
            <w:pPr>
              <w:contextualSpacing w:val="0"/>
              <w:jc w:val="left"/>
              <w:rPr>
                <w:rFonts w:ascii="Calibri" w:eastAsia="Times New Roman" w:hAnsi="Calibri" w:cs="Times New Roman"/>
                <w:lang w:eastAsia="en-GB"/>
              </w:rPr>
            </w:pPr>
            <w:r w:rsidRPr="007A6CA5">
              <w:rPr>
                <w:rFonts w:ascii="Calibri" w:eastAsia="Times New Roman" w:hAnsi="Calibri" w:cs="Times New Roman"/>
                <w:lang w:eastAsia="en-GB"/>
              </w:rPr>
              <w:t>.0277..</w:t>
            </w:r>
          </w:p>
        </w:tc>
        <w:tc>
          <w:tcPr>
            <w:tcW w:w="1418" w:type="dxa"/>
            <w:hideMark/>
          </w:tcPr>
          <w:p w:rsidR="000C0A41" w:rsidRPr="007A6CA5" w:rsidRDefault="000C0A41" w:rsidP="007A6CA5">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7A6CA5">
              <w:rPr>
                <w:rFonts w:ascii="Calibri" w:eastAsia="Times New Roman" w:hAnsi="Calibri" w:cs="Times New Roman"/>
                <w:lang w:eastAsia="en-GB"/>
              </w:rPr>
              <w:t>84.99%</w:t>
            </w:r>
          </w:p>
        </w:tc>
        <w:tc>
          <w:tcPr>
            <w:tcW w:w="1370" w:type="dxa"/>
            <w:hideMark/>
          </w:tcPr>
          <w:p w:rsidR="000C0A41" w:rsidRPr="007A6CA5" w:rsidRDefault="000C0A41" w:rsidP="007A6CA5">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7A6CA5">
              <w:rPr>
                <w:rFonts w:ascii="Calibri" w:eastAsia="Times New Roman" w:hAnsi="Calibri" w:cs="Times New Roman"/>
                <w:lang w:eastAsia="en-GB"/>
              </w:rPr>
              <w:t>81.49%</w:t>
            </w:r>
          </w:p>
        </w:tc>
        <w:tc>
          <w:tcPr>
            <w:tcW w:w="1181" w:type="dxa"/>
            <w:hideMark/>
          </w:tcPr>
          <w:p w:rsidR="000C0A41" w:rsidRPr="007A6CA5" w:rsidRDefault="000C0A41" w:rsidP="007A6CA5">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7A6CA5">
              <w:rPr>
                <w:rFonts w:ascii="Calibri" w:eastAsia="Times New Roman" w:hAnsi="Calibri" w:cs="Times New Roman"/>
                <w:lang w:eastAsia="en-GB"/>
              </w:rPr>
              <w:t>81.57%</w:t>
            </w:r>
          </w:p>
        </w:tc>
        <w:tc>
          <w:tcPr>
            <w:tcW w:w="1134" w:type="dxa"/>
            <w:hideMark/>
          </w:tcPr>
          <w:p w:rsidR="000C0A41" w:rsidRPr="007A6CA5" w:rsidRDefault="000C0A41" w:rsidP="007A6CA5">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7A6CA5">
              <w:rPr>
                <w:rFonts w:ascii="Calibri" w:eastAsia="Times New Roman" w:hAnsi="Calibri" w:cs="Times New Roman"/>
                <w:lang w:eastAsia="en-GB"/>
              </w:rPr>
              <w:t>4.5918</w:t>
            </w:r>
          </w:p>
        </w:tc>
        <w:tc>
          <w:tcPr>
            <w:tcW w:w="1134" w:type="dxa"/>
            <w:hideMark/>
          </w:tcPr>
          <w:p w:rsidR="000C0A41" w:rsidRPr="007A6CA5" w:rsidRDefault="000C0A41" w:rsidP="007A6CA5">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7A6CA5">
              <w:rPr>
                <w:rFonts w:ascii="Calibri" w:eastAsia="Times New Roman" w:hAnsi="Calibri" w:cs="Times New Roman"/>
                <w:lang w:eastAsia="en-GB"/>
              </w:rPr>
              <w:t>0.1841</w:t>
            </w:r>
          </w:p>
        </w:tc>
      </w:tr>
      <w:tr w:rsidR="000C0A41" w:rsidRPr="007A6CA5" w:rsidTr="007A6CA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hideMark/>
          </w:tcPr>
          <w:p w:rsidR="000C0A41" w:rsidRPr="007A6CA5" w:rsidRDefault="000C0A41" w:rsidP="007A6CA5">
            <w:pPr>
              <w:contextualSpacing w:val="0"/>
              <w:jc w:val="left"/>
              <w:rPr>
                <w:rFonts w:ascii="Calibri" w:eastAsia="Times New Roman" w:hAnsi="Calibri" w:cs="Times New Roman"/>
                <w:lang w:eastAsia="en-GB"/>
              </w:rPr>
            </w:pPr>
            <w:r w:rsidRPr="007A6CA5">
              <w:rPr>
                <w:rFonts w:ascii="Calibri" w:eastAsia="Times New Roman" w:hAnsi="Calibri" w:cs="Times New Roman"/>
                <w:lang w:eastAsia="en-GB"/>
              </w:rPr>
              <w:t>.0279..</w:t>
            </w:r>
          </w:p>
        </w:tc>
        <w:tc>
          <w:tcPr>
            <w:tcW w:w="1418" w:type="dxa"/>
            <w:hideMark/>
          </w:tcPr>
          <w:p w:rsidR="000C0A41" w:rsidRPr="007A6CA5" w:rsidRDefault="000C0A41" w:rsidP="007A6CA5">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n-GB"/>
              </w:rPr>
            </w:pPr>
            <w:r w:rsidRPr="007A6CA5">
              <w:rPr>
                <w:rFonts w:ascii="Calibri" w:eastAsia="Times New Roman" w:hAnsi="Calibri" w:cs="Times New Roman"/>
                <w:lang w:eastAsia="en-GB"/>
              </w:rPr>
              <w:t>84.64%</w:t>
            </w:r>
          </w:p>
        </w:tc>
        <w:tc>
          <w:tcPr>
            <w:tcW w:w="1370" w:type="dxa"/>
            <w:hideMark/>
          </w:tcPr>
          <w:p w:rsidR="000C0A41" w:rsidRPr="007A6CA5" w:rsidRDefault="000C0A41" w:rsidP="007A6CA5">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n-GB"/>
              </w:rPr>
            </w:pPr>
            <w:r w:rsidRPr="007A6CA5">
              <w:rPr>
                <w:rFonts w:ascii="Calibri" w:eastAsia="Times New Roman" w:hAnsi="Calibri" w:cs="Times New Roman"/>
                <w:lang w:eastAsia="en-GB"/>
              </w:rPr>
              <w:t>81.81%</w:t>
            </w:r>
          </w:p>
        </w:tc>
        <w:tc>
          <w:tcPr>
            <w:tcW w:w="1181" w:type="dxa"/>
            <w:hideMark/>
          </w:tcPr>
          <w:p w:rsidR="000C0A41" w:rsidRPr="007A6CA5" w:rsidRDefault="000C0A41" w:rsidP="007A6CA5">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n-GB"/>
              </w:rPr>
            </w:pPr>
            <w:r w:rsidRPr="007A6CA5">
              <w:rPr>
                <w:rFonts w:ascii="Calibri" w:eastAsia="Times New Roman" w:hAnsi="Calibri" w:cs="Times New Roman"/>
                <w:lang w:eastAsia="en-GB"/>
              </w:rPr>
              <w:t>81.87%</w:t>
            </w:r>
          </w:p>
        </w:tc>
        <w:tc>
          <w:tcPr>
            <w:tcW w:w="1134" w:type="dxa"/>
            <w:hideMark/>
          </w:tcPr>
          <w:p w:rsidR="000C0A41" w:rsidRPr="007A6CA5" w:rsidRDefault="000C0A41" w:rsidP="007A6CA5">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n-GB"/>
              </w:rPr>
            </w:pPr>
            <w:r w:rsidRPr="007A6CA5">
              <w:rPr>
                <w:rFonts w:ascii="Calibri" w:eastAsia="Times New Roman" w:hAnsi="Calibri" w:cs="Times New Roman"/>
                <w:lang w:eastAsia="en-GB"/>
              </w:rPr>
              <w:t>4.654</w:t>
            </w:r>
          </w:p>
        </w:tc>
        <w:tc>
          <w:tcPr>
            <w:tcW w:w="1134" w:type="dxa"/>
            <w:hideMark/>
          </w:tcPr>
          <w:p w:rsidR="000C0A41" w:rsidRPr="007A6CA5" w:rsidRDefault="000C0A41" w:rsidP="007A6CA5">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n-GB"/>
              </w:rPr>
            </w:pPr>
            <w:r w:rsidRPr="007A6CA5">
              <w:rPr>
                <w:rFonts w:ascii="Calibri" w:eastAsia="Times New Roman" w:hAnsi="Calibri" w:cs="Times New Roman"/>
                <w:lang w:eastAsia="en-GB"/>
              </w:rPr>
              <w:t>0.1877</w:t>
            </w:r>
          </w:p>
        </w:tc>
      </w:tr>
      <w:tr w:rsidR="000C0A41" w:rsidRPr="007A6CA5" w:rsidTr="007A6CA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96" w:type="dxa"/>
            <w:hideMark/>
          </w:tcPr>
          <w:p w:rsidR="000C0A41" w:rsidRPr="007A6CA5" w:rsidRDefault="000C0A41" w:rsidP="007A6CA5">
            <w:pPr>
              <w:contextualSpacing w:val="0"/>
              <w:jc w:val="left"/>
              <w:rPr>
                <w:rFonts w:ascii="Calibri" w:eastAsia="Times New Roman" w:hAnsi="Calibri" w:cs="Times New Roman"/>
                <w:lang w:eastAsia="en-GB"/>
              </w:rPr>
            </w:pPr>
            <w:r w:rsidRPr="007A6CA5">
              <w:rPr>
                <w:rFonts w:ascii="Calibri" w:eastAsia="Times New Roman" w:hAnsi="Calibri" w:cs="Times New Roman"/>
                <w:lang w:eastAsia="en-GB"/>
              </w:rPr>
              <w:t>.0284..</w:t>
            </w:r>
          </w:p>
        </w:tc>
        <w:tc>
          <w:tcPr>
            <w:tcW w:w="1418" w:type="dxa"/>
            <w:hideMark/>
          </w:tcPr>
          <w:p w:rsidR="000C0A41" w:rsidRPr="007A6CA5" w:rsidRDefault="000C0A41" w:rsidP="007A6CA5">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7A6CA5">
              <w:rPr>
                <w:rFonts w:ascii="Calibri" w:eastAsia="Times New Roman" w:hAnsi="Calibri" w:cs="Times New Roman"/>
                <w:lang w:eastAsia="en-GB"/>
              </w:rPr>
              <w:t>84.24%</w:t>
            </w:r>
          </w:p>
        </w:tc>
        <w:tc>
          <w:tcPr>
            <w:tcW w:w="1370" w:type="dxa"/>
            <w:hideMark/>
          </w:tcPr>
          <w:p w:rsidR="000C0A41" w:rsidRPr="007A6CA5" w:rsidRDefault="000C0A41" w:rsidP="007A6CA5">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7A6CA5">
              <w:rPr>
                <w:rFonts w:ascii="Calibri" w:eastAsia="Times New Roman" w:hAnsi="Calibri" w:cs="Times New Roman"/>
                <w:lang w:eastAsia="en-GB"/>
              </w:rPr>
              <w:t>82.11%</w:t>
            </w:r>
          </w:p>
        </w:tc>
        <w:tc>
          <w:tcPr>
            <w:tcW w:w="1181" w:type="dxa"/>
            <w:hideMark/>
          </w:tcPr>
          <w:p w:rsidR="000C0A41" w:rsidRPr="007A6CA5" w:rsidRDefault="000C0A41" w:rsidP="007A6CA5">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7A6CA5">
              <w:rPr>
                <w:rFonts w:ascii="Calibri" w:eastAsia="Times New Roman" w:hAnsi="Calibri" w:cs="Times New Roman"/>
                <w:lang w:eastAsia="en-GB"/>
              </w:rPr>
              <w:t>82.16%</w:t>
            </w:r>
          </w:p>
        </w:tc>
        <w:tc>
          <w:tcPr>
            <w:tcW w:w="1134" w:type="dxa"/>
            <w:hideMark/>
          </w:tcPr>
          <w:p w:rsidR="000C0A41" w:rsidRPr="007A6CA5" w:rsidRDefault="000C0A41" w:rsidP="007A6CA5">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7A6CA5">
              <w:rPr>
                <w:rFonts w:ascii="Calibri" w:eastAsia="Times New Roman" w:hAnsi="Calibri" w:cs="Times New Roman"/>
                <w:lang w:eastAsia="en-GB"/>
              </w:rPr>
              <w:t>4.71</w:t>
            </w:r>
          </w:p>
        </w:tc>
        <w:tc>
          <w:tcPr>
            <w:tcW w:w="1134" w:type="dxa"/>
            <w:hideMark/>
          </w:tcPr>
          <w:p w:rsidR="000C0A41" w:rsidRPr="007A6CA5" w:rsidRDefault="000C0A41" w:rsidP="007A6CA5">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7A6CA5">
              <w:rPr>
                <w:rFonts w:ascii="Calibri" w:eastAsia="Times New Roman" w:hAnsi="Calibri" w:cs="Times New Roman"/>
                <w:lang w:eastAsia="en-GB"/>
              </w:rPr>
              <w:t>0.1919</w:t>
            </w:r>
          </w:p>
        </w:tc>
      </w:tr>
      <w:tr w:rsidR="000C0A41" w:rsidRPr="007A6CA5" w:rsidTr="007A6CA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hideMark/>
          </w:tcPr>
          <w:p w:rsidR="000C0A41" w:rsidRPr="007A6CA5" w:rsidRDefault="000C0A41" w:rsidP="007A6CA5">
            <w:pPr>
              <w:contextualSpacing w:val="0"/>
              <w:jc w:val="left"/>
              <w:rPr>
                <w:rFonts w:ascii="Calibri" w:eastAsia="Times New Roman" w:hAnsi="Calibri" w:cs="Times New Roman"/>
                <w:lang w:eastAsia="en-GB"/>
              </w:rPr>
            </w:pPr>
            <w:r w:rsidRPr="007A6CA5">
              <w:rPr>
                <w:rFonts w:ascii="Calibri" w:eastAsia="Times New Roman" w:hAnsi="Calibri" w:cs="Times New Roman"/>
                <w:lang w:eastAsia="en-GB"/>
              </w:rPr>
              <w:t>.0295..</w:t>
            </w:r>
          </w:p>
        </w:tc>
        <w:tc>
          <w:tcPr>
            <w:tcW w:w="1418" w:type="dxa"/>
            <w:hideMark/>
          </w:tcPr>
          <w:p w:rsidR="000C0A41" w:rsidRPr="007A6CA5" w:rsidRDefault="000C0A41" w:rsidP="007A6CA5">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n-GB"/>
              </w:rPr>
            </w:pPr>
            <w:r w:rsidRPr="007A6CA5">
              <w:rPr>
                <w:rFonts w:ascii="Calibri" w:eastAsia="Times New Roman" w:hAnsi="Calibri" w:cs="Times New Roman"/>
                <w:lang w:eastAsia="en-GB"/>
              </w:rPr>
              <w:t>84.04%</w:t>
            </w:r>
          </w:p>
        </w:tc>
        <w:tc>
          <w:tcPr>
            <w:tcW w:w="1370" w:type="dxa"/>
            <w:hideMark/>
          </w:tcPr>
          <w:p w:rsidR="000C0A41" w:rsidRPr="007A6CA5" w:rsidRDefault="000C0A41" w:rsidP="007A6CA5">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n-GB"/>
              </w:rPr>
            </w:pPr>
            <w:r w:rsidRPr="007A6CA5">
              <w:rPr>
                <w:rFonts w:ascii="Calibri" w:eastAsia="Times New Roman" w:hAnsi="Calibri" w:cs="Times New Roman"/>
                <w:lang w:eastAsia="en-GB"/>
              </w:rPr>
              <w:t>82.24%</w:t>
            </w:r>
          </w:p>
        </w:tc>
        <w:tc>
          <w:tcPr>
            <w:tcW w:w="1181" w:type="dxa"/>
            <w:hideMark/>
          </w:tcPr>
          <w:p w:rsidR="000C0A41" w:rsidRPr="007A6CA5" w:rsidRDefault="000C0A41" w:rsidP="007A6CA5">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n-GB"/>
              </w:rPr>
            </w:pPr>
            <w:r w:rsidRPr="007A6CA5">
              <w:rPr>
                <w:rFonts w:ascii="Calibri" w:eastAsia="Times New Roman" w:hAnsi="Calibri" w:cs="Times New Roman"/>
                <w:lang w:eastAsia="en-GB"/>
              </w:rPr>
              <w:t>82.28%</w:t>
            </w:r>
          </w:p>
        </w:tc>
        <w:tc>
          <w:tcPr>
            <w:tcW w:w="1134" w:type="dxa"/>
            <w:hideMark/>
          </w:tcPr>
          <w:p w:rsidR="000C0A41" w:rsidRPr="007A6CA5" w:rsidRDefault="000C0A41" w:rsidP="007A6CA5">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n-GB"/>
              </w:rPr>
            </w:pPr>
            <w:r w:rsidRPr="007A6CA5">
              <w:rPr>
                <w:rFonts w:ascii="Calibri" w:eastAsia="Times New Roman" w:hAnsi="Calibri" w:cs="Times New Roman"/>
                <w:lang w:eastAsia="en-GB"/>
              </w:rPr>
              <w:t>4.7321</w:t>
            </w:r>
          </w:p>
        </w:tc>
        <w:tc>
          <w:tcPr>
            <w:tcW w:w="1134" w:type="dxa"/>
            <w:hideMark/>
          </w:tcPr>
          <w:p w:rsidR="000C0A41" w:rsidRPr="007A6CA5" w:rsidRDefault="000C0A41" w:rsidP="007A6CA5">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n-GB"/>
              </w:rPr>
            </w:pPr>
            <w:r w:rsidRPr="007A6CA5">
              <w:rPr>
                <w:rFonts w:ascii="Calibri" w:eastAsia="Times New Roman" w:hAnsi="Calibri" w:cs="Times New Roman"/>
                <w:lang w:eastAsia="en-GB"/>
              </w:rPr>
              <w:t>0.194</w:t>
            </w:r>
          </w:p>
        </w:tc>
      </w:tr>
      <w:tr w:rsidR="000C0A41" w:rsidRPr="007A6CA5" w:rsidTr="007A6CA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96" w:type="dxa"/>
            <w:hideMark/>
          </w:tcPr>
          <w:p w:rsidR="000C0A41" w:rsidRPr="007A6CA5" w:rsidRDefault="000C0A41" w:rsidP="007A6CA5">
            <w:pPr>
              <w:contextualSpacing w:val="0"/>
              <w:jc w:val="left"/>
              <w:rPr>
                <w:rFonts w:ascii="Calibri" w:eastAsia="Times New Roman" w:hAnsi="Calibri" w:cs="Times New Roman"/>
                <w:highlight w:val="yellow"/>
                <w:lang w:eastAsia="en-GB"/>
              </w:rPr>
            </w:pPr>
            <w:r w:rsidRPr="007A6CA5">
              <w:rPr>
                <w:rFonts w:ascii="Calibri" w:eastAsia="Times New Roman" w:hAnsi="Calibri" w:cs="Times New Roman"/>
                <w:highlight w:val="yellow"/>
                <w:lang w:eastAsia="en-GB"/>
              </w:rPr>
              <w:t>.0303..</w:t>
            </w:r>
          </w:p>
        </w:tc>
        <w:tc>
          <w:tcPr>
            <w:tcW w:w="1418" w:type="dxa"/>
            <w:hideMark/>
          </w:tcPr>
          <w:p w:rsidR="000C0A41" w:rsidRPr="007A6CA5" w:rsidRDefault="000C0A41" w:rsidP="007A6CA5">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highlight w:val="yellow"/>
                <w:lang w:eastAsia="en-GB"/>
              </w:rPr>
            </w:pPr>
            <w:r w:rsidRPr="007A6CA5">
              <w:rPr>
                <w:rFonts w:ascii="Calibri" w:eastAsia="Times New Roman" w:hAnsi="Calibri" w:cs="Times New Roman"/>
                <w:highlight w:val="yellow"/>
                <w:lang w:eastAsia="en-GB"/>
              </w:rPr>
              <w:t>83.46%</w:t>
            </w:r>
          </w:p>
        </w:tc>
        <w:tc>
          <w:tcPr>
            <w:tcW w:w="1370" w:type="dxa"/>
            <w:hideMark/>
          </w:tcPr>
          <w:p w:rsidR="000C0A41" w:rsidRPr="007A6CA5" w:rsidRDefault="000C0A41" w:rsidP="007A6CA5">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highlight w:val="yellow"/>
                <w:lang w:eastAsia="en-GB"/>
              </w:rPr>
            </w:pPr>
            <w:r w:rsidRPr="007A6CA5">
              <w:rPr>
                <w:rFonts w:ascii="Calibri" w:eastAsia="Times New Roman" w:hAnsi="Calibri" w:cs="Times New Roman"/>
                <w:highlight w:val="yellow"/>
                <w:lang w:eastAsia="en-GB"/>
              </w:rPr>
              <w:t>82.78%</w:t>
            </w:r>
          </w:p>
        </w:tc>
        <w:tc>
          <w:tcPr>
            <w:tcW w:w="1181" w:type="dxa"/>
            <w:hideMark/>
          </w:tcPr>
          <w:p w:rsidR="000C0A41" w:rsidRPr="007A6CA5" w:rsidRDefault="000C0A41" w:rsidP="007A6CA5">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highlight w:val="yellow"/>
                <w:lang w:eastAsia="en-GB"/>
              </w:rPr>
            </w:pPr>
            <w:r w:rsidRPr="007A6CA5">
              <w:rPr>
                <w:rFonts w:ascii="Calibri" w:eastAsia="Times New Roman" w:hAnsi="Calibri" w:cs="Times New Roman"/>
                <w:highlight w:val="yellow"/>
                <w:lang w:eastAsia="en-GB"/>
              </w:rPr>
              <w:t>82.79%</w:t>
            </w:r>
          </w:p>
        </w:tc>
        <w:tc>
          <w:tcPr>
            <w:tcW w:w="1134" w:type="dxa"/>
            <w:hideMark/>
          </w:tcPr>
          <w:p w:rsidR="000C0A41" w:rsidRPr="007A6CA5" w:rsidRDefault="000C0A41" w:rsidP="007A6CA5">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highlight w:val="yellow"/>
                <w:lang w:eastAsia="en-GB"/>
              </w:rPr>
            </w:pPr>
            <w:r w:rsidRPr="007A6CA5">
              <w:rPr>
                <w:rFonts w:ascii="Calibri" w:eastAsia="Times New Roman" w:hAnsi="Calibri" w:cs="Times New Roman"/>
                <w:highlight w:val="yellow"/>
                <w:lang w:eastAsia="en-GB"/>
              </w:rPr>
              <w:t>4.8463</w:t>
            </w:r>
          </w:p>
        </w:tc>
        <w:tc>
          <w:tcPr>
            <w:tcW w:w="1134" w:type="dxa"/>
            <w:hideMark/>
          </w:tcPr>
          <w:p w:rsidR="000C0A41" w:rsidRPr="007A6CA5" w:rsidRDefault="000C0A41" w:rsidP="007A6CA5">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highlight w:val="yellow"/>
                <w:lang w:eastAsia="en-GB"/>
              </w:rPr>
            </w:pPr>
            <w:r w:rsidRPr="007A6CA5">
              <w:rPr>
                <w:rFonts w:ascii="Calibri" w:eastAsia="Times New Roman" w:hAnsi="Calibri" w:cs="Times New Roman"/>
                <w:highlight w:val="yellow"/>
                <w:lang w:eastAsia="en-GB"/>
              </w:rPr>
              <w:t>0.1998</w:t>
            </w:r>
          </w:p>
        </w:tc>
      </w:tr>
      <w:tr w:rsidR="000C0A41" w:rsidRPr="007A6CA5" w:rsidTr="007A6CA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hideMark/>
          </w:tcPr>
          <w:p w:rsidR="000C0A41" w:rsidRPr="007A6CA5" w:rsidRDefault="000C0A41" w:rsidP="007A6CA5">
            <w:pPr>
              <w:contextualSpacing w:val="0"/>
              <w:jc w:val="left"/>
              <w:rPr>
                <w:rFonts w:ascii="Calibri" w:eastAsia="Times New Roman" w:hAnsi="Calibri" w:cs="Times New Roman"/>
                <w:highlight w:val="yellow"/>
                <w:lang w:eastAsia="en-GB"/>
              </w:rPr>
            </w:pPr>
            <w:r w:rsidRPr="007A6CA5">
              <w:rPr>
                <w:rFonts w:ascii="Calibri" w:eastAsia="Times New Roman" w:hAnsi="Calibri" w:cs="Times New Roman"/>
                <w:highlight w:val="yellow"/>
                <w:lang w:eastAsia="en-GB"/>
              </w:rPr>
              <w:t>.0324..</w:t>
            </w:r>
          </w:p>
        </w:tc>
        <w:tc>
          <w:tcPr>
            <w:tcW w:w="1418" w:type="dxa"/>
            <w:hideMark/>
          </w:tcPr>
          <w:p w:rsidR="000C0A41" w:rsidRPr="007A6CA5" w:rsidRDefault="000C0A41" w:rsidP="007A6CA5">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highlight w:val="yellow"/>
                <w:lang w:eastAsia="en-GB"/>
              </w:rPr>
            </w:pPr>
            <w:r w:rsidRPr="007A6CA5">
              <w:rPr>
                <w:rFonts w:ascii="Calibri" w:eastAsia="Times New Roman" w:hAnsi="Calibri" w:cs="Times New Roman"/>
                <w:highlight w:val="yellow"/>
                <w:lang w:eastAsia="en-GB"/>
              </w:rPr>
              <w:t>82.96%</w:t>
            </w:r>
          </w:p>
        </w:tc>
        <w:tc>
          <w:tcPr>
            <w:tcW w:w="1370" w:type="dxa"/>
            <w:hideMark/>
          </w:tcPr>
          <w:p w:rsidR="000C0A41" w:rsidRPr="007A6CA5" w:rsidRDefault="000C0A41" w:rsidP="007A6CA5">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highlight w:val="yellow"/>
                <w:lang w:eastAsia="en-GB"/>
              </w:rPr>
            </w:pPr>
            <w:r w:rsidRPr="007A6CA5">
              <w:rPr>
                <w:rFonts w:ascii="Calibri" w:eastAsia="Times New Roman" w:hAnsi="Calibri" w:cs="Times New Roman"/>
                <w:highlight w:val="yellow"/>
                <w:lang w:eastAsia="en-GB"/>
              </w:rPr>
              <w:t>83.08%</w:t>
            </w:r>
          </w:p>
        </w:tc>
        <w:tc>
          <w:tcPr>
            <w:tcW w:w="1181" w:type="dxa"/>
            <w:hideMark/>
          </w:tcPr>
          <w:p w:rsidR="000C0A41" w:rsidRPr="007A6CA5" w:rsidRDefault="000C0A41" w:rsidP="007A6CA5">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highlight w:val="yellow"/>
                <w:lang w:eastAsia="en-GB"/>
              </w:rPr>
            </w:pPr>
            <w:r w:rsidRPr="007A6CA5">
              <w:rPr>
                <w:rFonts w:ascii="Calibri" w:eastAsia="Times New Roman" w:hAnsi="Calibri" w:cs="Times New Roman"/>
                <w:highlight w:val="yellow"/>
                <w:lang w:eastAsia="en-GB"/>
              </w:rPr>
              <w:t>83.08%</w:t>
            </w:r>
          </w:p>
        </w:tc>
        <w:tc>
          <w:tcPr>
            <w:tcW w:w="1134" w:type="dxa"/>
            <w:hideMark/>
          </w:tcPr>
          <w:p w:rsidR="000C0A41" w:rsidRPr="007A6CA5" w:rsidRDefault="000C0A41" w:rsidP="007A6CA5">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highlight w:val="yellow"/>
                <w:lang w:eastAsia="en-GB"/>
              </w:rPr>
            </w:pPr>
            <w:r w:rsidRPr="007A6CA5">
              <w:rPr>
                <w:rFonts w:ascii="Calibri" w:eastAsia="Times New Roman" w:hAnsi="Calibri" w:cs="Times New Roman"/>
                <w:highlight w:val="yellow"/>
                <w:lang w:eastAsia="en-GB"/>
              </w:rPr>
              <w:t>4.9041</w:t>
            </w:r>
          </w:p>
        </w:tc>
        <w:tc>
          <w:tcPr>
            <w:tcW w:w="1134" w:type="dxa"/>
            <w:hideMark/>
          </w:tcPr>
          <w:p w:rsidR="000C0A41" w:rsidRPr="007A6CA5" w:rsidRDefault="000C0A41" w:rsidP="007A6CA5">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highlight w:val="yellow"/>
                <w:lang w:eastAsia="en-GB"/>
              </w:rPr>
            </w:pPr>
            <w:r w:rsidRPr="007A6CA5">
              <w:rPr>
                <w:rFonts w:ascii="Calibri" w:eastAsia="Times New Roman" w:hAnsi="Calibri" w:cs="Times New Roman"/>
                <w:highlight w:val="yellow"/>
                <w:lang w:eastAsia="en-GB"/>
              </w:rPr>
              <w:t>0.2051</w:t>
            </w:r>
          </w:p>
        </w:tc>
      </w:tr>
      <w:tr w:rsidR="000C0A41" w:rsidRPr="007A6CA5" w:rsidTr="007A6CA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96" w:type="dxa"/>
            <w:hideMark/>
          </w:tcPr>
          <w:p w:rsidR="000C0A41" w:rsidRPr="007A6CA5" w:rsidRDefault="000C0A41" w:rsidP="007A6CA5">
            <w:pPr>
              <w:contextualSpacing w:val="0"/>
              <w:jc w:val="left"/>
              <w:rPr>
                <w:rFonts w:ascii="Calibri" w:eastAsia="Times New Roman" w:hAnsi="Calibri" w:cs="Times New Roman"/>
                <w:lang w:eastAsia="en-GB"/>
              </w:rPr>
            </w:pPr>
            <w:r w:rsidRPr="007A6CA5">
              <w:rPr>
                <w:rFonts w:ascii="Calibri" w:eastAsia="Times New Roman" w:hAnsi="Calibri" w:cs="Times New Roman"/>
                <w:lang w:eastAsia="en-GB"/>
              </w:rPr>
              <w:t>.0332..</w:t>
            </w:r>
          </w:p>
        </w:tc>
        <w:tc>
          <w:tcPr>
            <w:tcW w:w="1418" w:type="dxa"/>
            <w:hideMark/>
          </w:tcPr>
          <w:p w:rsidR="000C0A41" w:rsidRPr="007A6CA5" w:rsidRDefault="000C0A41" w:rsidP="007A6CA5">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7A6CA5">
              <w:rPr>
                <w:rFonts w:ascii="Calibri" w:eastAsia="Times New Roman" w:hAnsi="Calibri" w:cs="Times New Roman"/>
                <w:lang w:eastAsia="en-GB"/>
              </w:rPr>
              <w:t>82.46%</w:t>
            </w:r>
          </w:p>
        </w:tc>
        <w:tc>
          <w:tcPr>
            <w:tcW w:w="1370" w:type="dxa"/>
            <w:hideMark/>
          </w:tcPr>
          <w:p w:rsidR="000C0A41" w:rsidRPr="007A6CA5" w:rsidRDefault="000C0A41" w:rsidP="007A6CA5">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7A6CA5">
              <w:rPr>
                <w:rFonts w:ascii="Calibri" w:eastAsia="Times New Roman" w:hAnsi="Calibri" w:cs="Times New Roman"/>
                <w:lang w:eastAsia="en-GB"/>
              </w:rPr>
              <w:t>83.38%</w:t>
            </w:r>
          </w:p>
        </w:tc>
        <w:tc>
          <w:tcPr>
            <w:tcW w:w="1181" w:type="dxa"/>
            <w:hideMark/>
          </w:tcPr>
          <w:p w:rsidR="000C0A41" w:rsidRPr="007A6CA5" w:rsidRDefault="000C0A41" w:rsidP="007A6CA5">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7A6CA5">
              <w:rPr>
                <w:rFonts w:ascii="Calibri" w:eastAsia="Times New Roman" w:hAnsi="Calibri" w:cs="Times New Roman"/>
                <w:lang w:eastAsia="en-GB"/>
              </w:rPr>
              <w:t>83.36%</w:t>
            </w:r>
          </w:p>
        </w:tc>
        <w:tc>
          <w:tcPr>
            <w:tcW w:w="1134" w:type="dxa"/>
            <w:hideMark/>
          </w:tcPr>
          <w:p w:rsidR="000C0A41" w:rsidRPr="007A6CA5" w:rsidRDefault="000C0A41" w:rsidP="007A6CA5">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7A6CA5">
              <w:rPr>
                <w:rFonts w:ascii="Calibri" w:eastAsia="Times New Roman" w:hAnsi="Calibri" w:cs="Times New Roman"/>
                <w:lang w:eastAsia="en-GB"/>
              </w:rPr>
              <w:t>4.9617</w:t>
            </w:r>
          </w:p>
        </w:tc>
        <w:tc>
          <w:tcPr>
            <w:tcW w:w="1134" w:type="dxa"/>
            <w:hideMark/>
          </w:tcPr>
          <w:p w:rsidR="000C0A41" w:rsidRPr="007A6CA5" w:rsidRDefault="000C0A41" w:rsidP="007A6CA5">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7A6CA5">
              <w:rPr>
                <w:rFonts w:ascii="Calibri" w:eastAsia="Times New Roman" w:hAnsi="Calibri" w:cs="Times New Roman"/>
                <w:lang w:eastAsia="en-GB"/>
              </w:rPr>
              <w:t>0.2104</w:t>
            </w:r>
          </w:p>
        </w:tc>
      </w:tr>
      <w:tr w:rsidR="000C0A41" w:rsidRPr="007A6CA5" w:rsidTr="007A6CA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hideMark/>
          </w:tcPr>
          <w:p w:rsidR="000C0A41" w:rsidRPr="007A6CA5" w:rsidRDefault="000C0A41" w:rsidP="007A6CA5">
            <w:pPr>
              <w:contextualSpacing w:val="0"/>
              <w:jc w:val="left"/>
              <w:rPr>
                <w:rFonts w:ascii="Calibri" w:eastAsia="Times New Roman" w:hAnsi="Calibri" w:cs="Times New Roman"/>
                <w:lang w:eastAsia="en-GB"/>
              </w:rPr>
            </w:pPr>
            <w:r w:rsidRPr="007A6CA5">
              <w:rPr>
                <w:rFonts w:ascii="Calibri" w:eastAsia="Times New Roman" w:hAnsi="Calibri" w:cs="Times New Roman"/>
                <w:lang w:eastAsia="en-GB"/>
              </w:rPr>
              <w:lastRenderedPageBreak/>
              <w:t>.0342..</w:t>
            </w:r>
          </w:p>
        </w:tc>
        <w:tc>
          <w:tcPr>
            <w:tcW w:w="1418" w:type="dxa"/>
            <w:hideMark/>
          </w:tcPr>
          <w:p w:rsidR="000C0A41" w:rsidRPr="007A6CA5" w:rsidRDefault="000C0A41" w:rsidP="007A6CA5">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n-GB"/>
              </w:rPr>
            </w:pPr>
            <w:r w:rsidRPr="007A6CA5">
              <w:rPr>
                <w:rFonts w:ascii="Calibri" w:eastAsia="Times New Roman" w:hAnsi="Calibri" w:cs="Times New Roman"/>
                <w:lang w:eastAsia="en-GB"/>
              </w:rPr>
              <w:t>81.90%</w:t>
            </w:r>
          </w:p>
        </w:tc>
        <w:tc>
          <w:tcPr>
            <w:tcW w:w="1370" w:type="dxa"/>
            <w:hideMark/>
          </w:tcPr>
          <w:p w:rsidR="000C0A41" w:rsidRPr="007A6CA5" w:rsidRDefault="000C0A41" w:rsidP="007A6CA5">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n-GB"/>
              </w:rPr>
            </w:pPr>
            <w:r w:rsidRPr="007A6CA5">
              <w:rPr>
                <w:rFonts w:ascii="Calibri" w:eastAsia="Times New Roman" w:hAnsi="Calibri" w:cs="Times New Roman"/>
                <w:lang w:eastAsia="en-GB"/>
              </w:rPr>
              <w:t>83.72%</w:t>
            </w:r>
          </w:p>
        </w:tc>
        <w:tc>
          <w:tcPr>
            <w:tcW w:w="1181" w:type="dxa"/>
            <w:hideMark/>
          </w:tcPr>
          <w:p w:rsidR="000C0A41" w:rsidRPr="007A6CA5" w:rsidRDefault="000C0A41" w:rsidP="007A6CA5">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n-GB"/>
              </w:rPr>
            </w:pPr>
            <w:r w:rsidRPr="007A6CA5">
              <w:rPr>
                <w:rFonts w:ascii="Calibri" w:eastAsia="Times New Roman" w:hAnsi="Calibri" w:cs="Times New Roman"/>
                <w:lang w:eastAsia="en-GB"/>
              </w:rPr>
              <w:t>83.68%</w:t>
            </w:r>
          </w:p>
        </w:tc>
        <w:tc>
          <w:tcPr>
            <w:tcW w:w="1134" w:type="dxa"/>
            <w:hideMark/>
          </w:tcPr>
          <w:p w:rsidR="000C0A41" w:rsidRPr="007A6CA5" w:rsidRDefault="000C0A41" w:rsidP="007A6CA5">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n-GB"/>
              </w:rPr>
            </w:pPr>
            <w:r w:rsidRPr="007A6CA5">
              <w:rPr>
                <w:rFonts w:ascii="Calibri" w:eastAsia="Times New Roman" w:hAnsi="Calibri" w:cs="Times New Roman"/>
                <w:lang w:eastAsia="en-GB"/>
              </w:rPr>
              <w:t>5.0315</w:t>
            </w:r>
          </w:p>
        </w:tc>
        <w:tc>
          <w:tcPr>
            <w:tcW w:w="1134" w:type="dxa"/>
            <w:hideMark/>
          </w:tcPr>
          <w:p w:rsidR="000C0A41" w:rsidRPr="007A6CA5" w:rsidRDefault="000C0A41" w:rsidP="007A6CA5">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n-GB"/>
              </w:rPr>
            </w:pPr>
            <w:r w:rsidRPr="007A6CA5">
              <w:rPr>
                <w:rFonts w:ascii="Calibri" w:eastAsia="Times New Roman" w:hAnsi="Calibri" w:cs="Times New Roman"/>
                <w:lang w:eastAsia="en-GB"/>
              </w:rPr>
              <w:t>0.2162</w:t>
            </w:r>
          </w:p>
        </w:tc>
      </w:tr>
      <w:tr w:rsidR="000C0A41" w:rsidRPr="007A6CA5" w:rsidTr="007A6CA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96" w:type="dxa"/>
            <w:hideMark/>
          </w:tcPr>
          <w:p w:rsidR="000C0A41" w:rsidRPr="007A6CA5" w:rsidRDefault="000C0A41" w:rsidP="007A6CA5">
            <w:pPr>
              <w:contextualSpacing w:val="0"/>
              <w:jc w:val="left"/>
              <w:rPr>
                <w:rFonts w:ascii="Calibri" w:eastAsia="Times New Roman" w:hAnsi="Calibri" w:cs="Times New Roman"/>
                <w:lang w:eastAsia="en-GB"/>
              </w:rPr>
            </w:pPr>
            <w:r w:rsidRPr="007A6CA5">
              <w:rPr>
                <w:rFonts w:ascii="Calibri" w:eastAsia="Times New Roman" w:hAnsi="Calibri" w:cs="Times New Roman"/>
                <w:lang w:eastAsia="en-GB"/>
              </w:rPr>
              <w:t>.0346..</w:t>
            </w:r>
          </w:p>
        </w:tc>
        <w:tc>
          <w:tcPr>
            <w:tcW w:w="1418" w:type="dxa"/>
            <w:hideMark/>
          </w:tcPr>
          <w:p w:rsidR="000C0A41" w:rsidRPr="007A6CA5" w:rsidRDefault="000C0A41" w:rsidP="007A6CA5">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7A6CA5">
              <w:rPr>
                <w:rFonts w:ascii="Calibri" w:eastAsia="Times New Roman" w:hAnsi="Calibri" w:cs="Times New Roman"/>
                <w:lang w:eastAsia="en-GB"/>
              </w:rPr>
              <w:t>81.25%</w:t>
            </w:r>
          </w:p>
        </w:tc>
        <w:tc>
          <w:tcPr>
            <w:tcW w:w="1370" w:type="dxa"/>
            <w:hideMark/>
          </w:tcPr>
          <w:p w:rsidR="000C0A41" w:rsidRPr="007A6CA5" w:rsidRDefault="000C0A41" w:rsidP="007A6CA5">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7A6CA5">
              <w:rPr>
                <w:rFonts w:ascii="Calibri" w:eastAsia="Times New Roman" w:hAnsi="Calibri" w:cs="Times New Roman"/>
                <w:lang w:eastAsia="en-GB"/>
              </w:rPr>
              <w:t>84.16%</w:t>
            </w:r>
          </w:p>
        </w:tc>
        <w:tc>
          <w:tcPr>
            <w:tcW w:w="1181" w:type="dxa"/>
            <w:hideMark/>
          </w:tcPr>
          <w:p w:rsidR="000C0A41" w:rsidRPr="007A6CA5" w:rsidRDefault="000C0A41" w:rsidP="007A6CA5">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7A6CA5">
              <w:rPr>
                <w:rFonts w:ascii="Calibri" w:eastAsia="Times New Roman" w:hAnsi="Calibri" w:cs="Times New Roman"/>
                <w:lang w:eastAsia="en-GB"/>
              </w:rPr>
              <w:t>84.09%</w:t>
            </w:r>
          </w:p>
        </w:tc>
        <w:tc>
          <w:tcPr>
            <w:tcW w:w="1134" w:type="dxa"/>
            <w:hideMark/>
          </w:tcPr>
          <w:p w:rsidR="000C0A41" w:rsidRPr="007A6CA5" w:rsidRDefault="000C0A41" w:rsidP="007A6CA5">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7A6CA5">
              <w:rPr>
                <w:rFonts w:ascii="Calibri" w:eastAsia="Times New Roman" w:hAnsi="Calibri" w:cs="Times New Roman"/>
                <w:lang w:eastAsia="en-GB"/>
              </w:rPr>
              <w:t>5.1288</w:t>
            </w:r>
          </w:p>
        </w:tc>
        <w:tc>
          <w:tcPr>
            <w:tcW w:w="1134" w:type="dxa"/>
            <w:hideMark/>
          </w:tcPr>
          <w:p w:rsidR="000C0A41" w:rsidRPr="007A6CA5" w:rsidRDefault="000C0A41" w:rsidP="007A6CA5">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7A6CA5">
              <w:rPr>
                <w:rFonts w:ascii="Calibri" w:eastAsia="Times New Roman" w:hAnsi="Calibri" w:cs="Times New Roman"/>
                <w:lang w:eastAsia="en-GB"/>
              </w:rPr>
              <w:t>0.2227</w:t>
            </w:r>
          </w:p>
        </w:tc>
      </w:tr>
      <w:tr w:rsidR="000C0A41" w:rsidRPr="007A6CA5" w:rsidTr="007A6CA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hideMark/>
          </w:tcPr>
          <w:p w:rsidR="000C0A41" w:rsidRPr="007A6CA5" w:rsidRDefault="000C0A41" w:rsidP="007A6CA5">
            <w:pPr>
              <w:contextualSpacing w:val="0"/>
              <w:jc w:val="left"/>
              <w:rPr>
                <w:rFonts w:ascii="Calibri" w:eastAsia="Times New Roman" w:hAnsi="Calibri" w:cs="Times New Roman"/>
                <w:lang w:eastAsia="en-GB"/>
              </w:rPr>
            </w:pPr>
            <w:r w:rsidRPr="007A6CA5">
              <w:rPr>
                <w:rFonts w:ascii="Calibri" w:eastAsia="Times New Roman" w:hAnsi="Calibri" w:cs="Times New Roman"/>
                <w:lang w:eastAsia="en-GB"/>
              </w:rPr>
              <w:t>.0351..</w:t>
            </w:r>
          </w:p>
        </w:tc>
        <w:tc>
          <w:tcPr>
            <w:tcW w:w="1418" w:type="dxa"/>
            <w:hideMark/>
          </w:tcPr>
          <w:p w:rsidR="000C0A41" w:rsidRPr="007A6CA5" w:rsidRDefault="000C0A41" w:rsidP="007A6CA5">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n-GB"/>
              </w:rPr>
            </w:pPr>
            <w:r w:rsidRPr="007A6CA5">
              <w:rPr>
                <w:rFonts w:ascii="Calibri" w:eastAsia="Times New Roman" w:hAnsi="Calibri" w:cs="Times New Roman"/>
                <w:lang w:eastAsia="en-GB"/>
              </w:rPr>
              <w:t>80.76%</w:t>
            </w:r>
          </w:p>
        </w:tc>
        <w:tc>
          <w:tcPr>
            <w:tcW w:w="1370" w:type="dxa"/>
            <w:hideMark/>
          </w:tcPr>
          <w:p w:rsidR="000C0A41" w:rsidRPr="007A6CA5" w:rsidRDefault="000C0A41" w:rsidP="007A6CA5">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n-GB"/>
              </w:rPr>
            </w:pPr>
            <w:r w:rsidRPr="007A6CA5">
              <w:rPr>
                <w:rFonts w:ascii="Calibri" w:eastAsia="Times New Roman" w:hAnsi="Calibri" w:cs="Times New Roman"/>
                <w:lang w:eastAsia="en-GB"/>
              </w:rPr>
              <w:t>84.50%</w:t>
            </w:r>
          </w:p>
        </w:tc>
        <w:tc>
          <w:tcPr>
            <w:tcW w:w="1181" w:type="dxa"/>
            <w:hideMark/>
          </w:tcPr>
          <w:p w:rsidR="000C0A41" w:rsidRPr="007A6CA5" w:rsidRDefault="000C0A41" w:rsidP="007A6CA5">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n-GB"/>
              </w:rPr>
            </w:pPr>
            <w:r w:rsidRPr="007A6CA5">
              <w:rPr>
                <w:rFonts w:ascii="Calibri" w:eastAsia="Times New Roman" w:hAnsi="Calibri" w:cs="Times New Roman"/>
                <w:lang w:eastAsia="en-GB"/>
              </w:rPr>
              <w:t>84.42%</w:t>
            </w:r>
          </w:p>
        </w:tc>
        <w:tc>
          <w:tcPr>
            <w:tcW w:w="1134" w:type="dxa"/>
            <w:hideMark/>
          </w:tcPr>
          <w:p w:rsidR="000C0A41" w:rsidRPr="007A6CA5" w:rsidRDefault="000C0A41" w:rsidP="007A6CA5">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n-GB"/>
              </w:rPr>
            </w:pPr>
            <w:r w:rsidRPr="007A6CA5">
              <w:rPr>
                <w:rFonts w:ascii="Calibri" w:eastAsia="Times New Roman" w:hAnsi="Calibri" w:cs="Times New Roman"/>
                <w:lang w:eastAsia="en-GB"/>
              </w:rPr>
              <w:t>5.2094</w:t>
            </w:r>
          </w:p>
        </w:tc>
        <w:tc>
          <w:tcPr>
            <w:tcW w:w="1134" w:type="dxa"/>
            <w:hideMark/>
          </w:tcPr>
          <w:p w:rsidR="000C0A41" w:rsidRPr="007A6CA5" w:rsidRDefault="000C0A41" w:rsidP="007A6CA5">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n-GB"/>
              </w:rPr>
            </w:pPr>
            <w:r w:rsidRPr="007A6CA5">
              <w:rPr>
                <w:rFonts w:ascii="Calibri" w:eastAsia="Times New Roman" w:hAnsi="Calibri" w:cs="Times New Roman"/>
                <w:lang w:eastAsia="en-GB"/>
              </w:rPr>
              <w:t>0.2277</w:t>
            </w:r>
          </w:p>
        </w:tc>
      </w:tr>
      <w:tr w:rsidR="000C0A41" w:rsidRPr="007A6CA5" w:rsidTr="007A6CA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96" w:type="dxa"/>
            <w:hideMark/>
          </w:tcPr>
          <w:p w:rsidR="000C0A41" w:rsidRPr="007A6CA5" w:rsidRDefault="000C0A41" w:rsidP="007A6CA5">
            <w:pPr>
              <w:contextualSpacing w:val="0"/>
              <w:jc w:val="left"/>
              <w:rPr>
                <w:rFonts w:ascii="Calibri" w:eastAsia="Times New Roman" w:hAnsi="Calibri" w:cs="Times New Roman"/>
                <w:lang w:eastAsia="en-GB"/>
              </w:rPr>
            </w:pPr>
            <w:r w:rsidRPr="007A6CA5">
              <w:rPr>
                <w:rFonts w:ascii="Calibri" w:eastAsia="Times New Roman" w:hAnsi="Calibri" w:cs="Times New Roman"/>
                <w:lang w:eastAsia="en-GB"/>
              </w:rPr>
              <w:t>.0355..</w:t>
            </w:r>
          </w:p>
        </w:tc>
        <w:tc>
          <w:tcPr>
            <w:tcW w:w="1418" w:type="dxa"/>
            <w:hideMark/>
          </w:tcPr>
          <w:p w:rsidR="000C0A41" w:rsidRPr="007A6CA5" w:rsidRDefault="000C0A41" w:rsidP="007A6CA5">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7A6CA5">
              <w:rPr>
                <w:rFonts w:ascii="Calibri" w:eastAsia="Times New Roman" w:hAnsi="Calibri" w:cs="Times New Roman"/>
                <w:lang w:eastAsia="en-GB"/>
              </w:rPr>
              <w:t>80.45%</w:t>
            </w:r>
          </w:p>
        </w:tc>
        <w:tc>
          <w:tcPr>
            <w:tcW w:w="1370" w:type="dxa"/>
            <w:hideMark/>
          </w:tcPr>
          <w:p w:rsidR="000C0A41" w:rsidRPr="007A6CA5" w:rsidRDefault="000C0A41" w:rsidP="007A6CA5">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7A6CA5">
              <w:rPr>
                <w:rFonts w:ascii="Calibri" w:eastAsia="Times New Roman" w:hAnsi="Calibri" w:cs="Times New Roman"/>
                <w:lang w:eastAsia="en-GB"/>
              </w:rPr>
              <w:t>84.65%</w:t>
            </w:r>
          </w:p>
        </w:tc>
        <w:tc>
          <w:tcPr>
            <w:tcW w:w="1181" w:type="dxa"/>
            <w:hideMark/>
          </w:tcPr>
          <w:p w:rsidR="000C0A41" w:rsidRPr="007A6CA5" w:rsidRDefault="000C0A41" w:rsidP="007A6CA5">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7A6CA5">
              <w:rPr>
                <w:rFonts w:ascii="Calibri" w:eastAsia="Times New Roman" w:hAnsi="Calibri" w:cs="Times New Roman"/>
                <w:lang w:eastAsia="en-GB"/>
              </w:rPr>
              <w:t>84.56%</w:t>
            </w:r>
          </w:p>
        </w:tc>
        <w:tc>
          <w:tcPr>
            <w:tcW w:w="1134" w:type="dxa"/>
            <w:hideMark/>
          </w:tcPr>
          <w:p w:rsidR="000C0A41" w:rsidRPr="007A6CA5" w:rsidRDefault="000C0A41" w:rsidP="007A6CA5">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7A6CA5">
              <w:rPr>
                <w:rFonts w:ascii="Calibri" w:eastAsia="Times New Roman" w:hAnsi="Calibri" w:cs="Times New Roman"/>
                <w:lang w:eastAsia="en-GB"/>
              </w:rPr>
              <w:t>5.2419</w:t>
            </w:r>
          </w:p>
        </w:tc>
        <w:tc>
          <w:tcPr>
            <w:tcW w:w="1134" w:type="dxa"/>
            <w:hideMark/>
          </w:tcPr>
          <w:p w:rsidR="000C0A41" w:rsidRPr="007A6CA5" w:rsidRDefault="000C0A41" w:rsidP="007A6CA5">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7A6CA5">
              <w:rPr>
                <w:rFonts w:ascii="Calibri" w:eastAsia="Times New Roman" w:hAnsi="Calibri" w:cs="Times New Roman"/>
                <w:lang w:eastAsia="en-GB"/>
              </w:rPr>
              <w:t>0.231</w:t>
            </w:r>
          </w:p>
        </w:tc>
      </w:tr>
    </w:tbl>
    <w:p w:rsidR="000C0A41" w:rsidRDefault="000C0A41" w:rsidP="001157B9">
      <w:pPr>
        <w:pStyle w:val="Heading2"/>
      </w:pPr>
      <w:bookmarkStart w:id="94" w:name="_Toc458185285"/>
      <w:r>
        <w:t>Local estimates</w:t>
      </w:r>
      <w:bookmarkEnd w:id="94"/>
    </w:p>
    <w:p w:rsidR="000C0A41" w:rsidRDefault="000C0A41" w:rsidP="001157B9">
      <w:r>
        <w:t>Because of the short timeframe for the modelling, which was further truncated because of delays in obtaining the CPRD linkage data, local estimates were calculated using the previously-described inverse probability weights method only.</w:t>
      </w:r>
    </w:p>
    <w:p w:rsidR="000C0A41" w:rsidRDefault="000C0A41" w:rsidP="00970D1A">
      <w:pPr>
        <w:pStyle w:val="Heading3"/>
        <w:contextualSpacing w:val="0"/>
      </w:pPr>
      <w:bookmarkStart w:id="95" w:name="_Toc456887579"/>
      <w:bookmarkStart w:id="96" w:name="_Toc458185286"/>
      <w:r>
        <w:t>Internal validation</w:t>
      </w:r>
      <w:bookmarkEnd w:id="95"/>
      <w:bookmarkEnd w:id="96"/>
    </w:p>
    <w:p w:rsidR="000C0A41" w:rsidRDefault="000C0A41" w:rsidP="001157B9">
      <w:r>
        <w:t xml:space="preserve">A useful form of internal validation is to aggregate small population (in this case practice) prevalence estimates derived from the model to the lowest level available in the raw national dataset used to produce the model. The lowest level in CPRD data is Regional level, so we aggregated the practice level prevalence estimates to Regional level. The results are shown in </w:t>
      </w:r>
      <w:r>
        <w:fldChar w:fldCharType="begin"/>
      </w:r>
      <w:r>
        <w:instrText xml:space="preserve"> REF _Ref458177219 \h </w:instrText>
      </w:r>
      <w:r>
        <w:fldChar w:fldCharType="separate"/>
      </w:r>
      <w:r w:rsidRPr="0094532D">
        <w:t xml:space="preserve">Table </w:t>
      </w:r>
      <w:r>
        <w:rPr>
          <w:noProof/>
        </w:rPr>
        <w:t>20</w:t>
      </w:r>
      <w:r>
        <w:fldChar w:fldCharType="end"/>
      </w:r>
      <w:r>
        <w:t xml:space="preserve">. In comparing the prevalence it needs to be recognised that the estimates are based on real risk factor levels, whereas the CPRD prevalence is dependent on the CPRD practice populations. Although they have been shown to be similar to the general population in terms of age and sex structure, CPRD practices may not necessarily have the same levels of risk factors. For example, if CPRD practices tend to be in less deprived areas (as we think they probably are in some regions) they will under-estimate prevalence which has smoking and deprivation as risk factors. Reviewing </w:t>
      </w:r>
      <w:r>
        <w:fldChar w:fldCharType="begin"/>
      </w:r>
      <w:r>
        <w:instrText xml:space="preserve"> REF _Ref458177219 \h </w:instrText>
      </w:r>
      <w:r>
        <w:fldChar w:fldCharType="separate"/>
      </w:r>
      <w:r w:rsidRPr="0094532D">
        <w:t xml:space="preserve">Table </w:t>
      </w:r>
      <w:r>
        <w:rPr>
          <w:noProof/>
        </w:rPr>
        <w:t>20</w:t>
      </w:r>
      <w:r>
        <w:fldChar w:fldCharType="end"/>
      </w:r>
      <w:r>
        <w:t>, estimates and CPRD prevalence is generally similar with no consistent pattern. We know that smoking prevalence is higher in NE and NW England, and this is reflected in both their prevalence results.</w:t>
      </w:r>
    </w:p>
    <w:p w:rsidR="000C0A41" w:rsidRDefault="000C0A41" w:rsidP="001157B9"/>
    <w:p w:rsidR="000C0A41" w:rsidRDefault="000C0A41" w:rsidP="001157B9">
      <w:r>
        <w:t xml:space="preserve">There were no CPRD cases in East Midlands in our dataset. There are relatively few Vision/CPRD practices in this region, where EMIS systems dominate. We have examined </w:t>
      </w:r>
      <w:r w:rsidRPr="00770366">
        <w:t>the practice file</w:t>
      </w:r>
      <w:r>
        <w:t xml:space="preserve">, and </w:t>
      </w:r>
      <w:r w:rsidRPr="00770366">
        <w:t>East Midlands practices are there, but there were</w:t>
      </w:r>
      <w:r>
        <w:t xml:space="preserve"> </w:t>
      </w:r>
      <w:r w:rsidRPr="00770366">
        <w:t>n</w:t>
      </w:r>
      <w:r>
        <w:t>o</w:t>
      </w:r>
      <w:r w:rsidRPr="00770366">
        <w:t>t many to begin with</w:t>
      </w:r>
      <w:r>
        <w:t>,</w:t>
      </w:r>
      <w:r w:rsidRPr="00770366">
        <w:t xml:space="preserve"> and none of them currently have patients which are contributing at the time of </w:t>
      </w:r>
      <w:r>
        <w:t xml:space="preserve">our </w:t>
      </w:r>
      <w:r w:rsidRPr="00770366">
        <w:t>cross-section</w:t>
      </w:r>
      <w:r>
        <w:t>. A</w:t>
      </w:r>
      <w:r w:rsidRPr="00770366">
        <w:t>ll of their patients</w:t>
      </w:r>
      <w:r>
        <w:t>’</w:t>
      </w:r>
      <w:r w:rsidRPr="00770366">
        <w:t xml:space="preserve"> follow</w:t>
      </w:r>
      <w:r>
        <w:t>-</w:t>
      </w:r>
      <w:r w:rsidRPr="00770366">
        <w:t>up times had ended by the study cross</w:t>
      </w:r>
      <w:r>
        <w:t>-</w:t>
      </w:r>
      <w:r w:rsidRPr="00770366">
        <w:t>section</w:t>
      </w:r>
      <w:r>
        <w:t>,</w:t>
      </w:r>
      <w:r w:rsidRPr="00770366">
        <w:t xml:space="preserve"> and we do</w:t>
      </w:r>
      <w:r>
        <w:t xml:space="preserve"> </w:t>
      </w:r>
      <w:r w:rsidRPr="00770366">
        <w:t>n</w:t>
      </w:r>
      <w:r>
        <w:t>o</w:t>
      </w:r>
      <w:r w:rsidRPr="00770366">
        <w:t>t know if they are 1) alive or dead; or 2) have COPD or not, so they</w:t>
      </w:r>
      <w:r>
        <w:t xml:space="preserve"> are not included.  However as the modelled estimates are based on the whole national dataset, East Midlands’ estimates are as robust as any other region’s.</w:t>
      </w:r>
    </w:p>
    <w:p w:rsidR="000C0A41" w:rsidRDefault="000C0A41" w:rsidP="0094532D">
      <w:pPr>
        <w:pStyle w:val="Caption"/>
      </w:pPr>
      <w:bookmarkStart w:id="97" w:name="_Ref458177219"/>
      <w:r w:rsidRPr="0094532D">
        <w:t xml:space="preserve">Table </w:t>
      </w:r>
      <w:fldSimple w:instr=" SEQ Table \* ARABIC ">
        <w:r>
          <w:rPr>
            <w:noProof/>
          </w:rPr>
          <w:t>20</w:t>
        </w:r>
      </w:fldSimple>
      <w:bookmarkEnd w:id="97"/>
      <w:r w:rsidRPr="0094532D">
        <w:t>: Comparison at regional level of aggregated practice-level prevalence estimates and CPRD raw data</w:t>
      </w:r>
    </w:p>
    <w:tbl>
      <w:tblPr>
        <w:tblStyle w:val="GridTable4-Accent1"/>
        <w:tblW w:w="9730" w:type="dxa"/>
        <w:jc w:val="center"/>
        <w:tblLayout w:type="fixed"/>
        <w:tblLook w:val="04A0" w:firstRow="1" w:lastRow="0" w:firstColumn="1" w:lastColumn="0" w:noHBand="0" w:noVBand="1"/>
      </w:tblPr>
      <w:tblGrid>
        <w:gridCol w:w="2405"/>
        <w:gridCol w:w="1565"/>
        <w:gridCol w:w="1559"/>
        <w:gridCol w:w="1843"/>
        <w:gridCol w:w="1325"/>
        <w:gridCol w:w="1033"/>
      </w:tblGrid>
      <w:tr w:rsidR="000C0A41" w:rsidRPr="00057657" w:rsidTr="0094532D">
        <w:trPr>
          <w:cnfStyle w:val="100000000000" w:firstRow="1" w:lastRow="0" w:firstColumn="0" w:lastColumn="0" w:oddVBand="0" w:evenVBand="0" w:oddHBand="0" w:evenHBand="0" w:firstRowFirstColumn="0" w:firstRowLastColumn="0" w:lastRowFirstColumn="0" w:lastRowLastColumn="0"/>
          <w:trHeight w:val="900"/>
          <w:tblHeader/>
          <w:jc w:val="center"/>
        </w:trPr>
        <w:tc>
          <w:tcPr>
            <w:cnfStyle w:val="001000000000" w:firstRow="0" w:lastRow="0" w:firstColumn="1" w:lastColumn="0" w:oddVBand="0" w:evenVBand="0" w:oddHBand="0" w:evenHBand="0" w:firstRowFirstColumn="0" w:firstRowLastColumn="0" w:lastRowFirstColumn="0" w:lastRowLastColumn="0"/>
            <w:tcW w:w="2405" w:type="dxa"/>
            <w:vAlign w:val="center"/>
            <w:hideMark/>
          </w:tcPr>
          <w:p w:rsidR="000C0A41" w:rsidRPr="00057657" w:rsidRDefault="000C0A41" w:rsidP="00057657">
            <w:pPr>
              <w:jc w:val="center"/>
            </w:pPr>
          </w:p>
        </w:tc>
        <w:tc>
          <w:tcPr>
            <w:tcW w:w="1565" w:type="dxa"/>
            <w:hideMark/>
          </w:tcPr>
          <w:p w:rsidR="000C0A41" w:rsidRPr="00057657" w:rsidRDefault="000C0A41" w:rsidP="00057657">
            <w:pPr>
              <w:jc w:val="center"/>
              <w:cnfStyle w:val="100000000000" w:firstRow="1" w:lastRow="0" w:firstColumn="0" w:lastColumn="0" w:oddVBand="0" w:evenVBand="0" w:oddHBand="0" w:evenHBand="0" w:firstRowFirstColumn="0" w:firstRowLastColumn="0" w:lastRowFirstColumn="0" w:lastRowLastColumn="0"/>
            </w:pPr>
          </w:p>
        </w:tc>
        <w:tc>
          <w:tcPr>
            <w:tcW w:w="1559" w:type="dxa"/>
            <w:hideMark/>
          </w:tcPr>
          <w:p w:rsidR="000C0A41" w:rsidRPr="00057657" w:rsidRDefault="000C0A41" w:rsidP="0094532D">
            <w:pPr>
              <w:jc w:val="center"/>
              <w:cnfStyle w:val="100000000000" w:firstRow="1" w:lastRow="0" w:firstColumn="0" w:lastColumn="0" w:oddVBand="0" w:evenVBand="0" w:oddHBand="0" w:evenHBand="0" w:firstRowFirstColumn="0" w:firstRowLastColumn="0" w:lastRowFirstColumn="0" w:lastRowLastColumn="0"/>
            </w:pPr>
            <w:r w:rsidRPr="00057657">
              <w:t>List Size/</w:t>
            </w:r>
            <w:r>
              <w:t xml:space="preserve"> </w:t>
            </w:r>
            <w:r w:rsidRPr="00057657">
              <w:t>CPRD denominator</w:t>
            </w:r>
          </w:p>
        </w:tc>
        <w:tc>
          <w:tcPr>
            <w:tcW w:w="1843" w:type="dxa"/>
            <w:hideMark/>
          </w:tcPr>
          <w:p w:rsidR="000C0A41" w:rsidRPr="00057657" w:rsidRDefault="000C0A41" w:rsidP="0094532D">
            <w:pPr>
              <w:jc w:val="center"/>
              <w:cnfStyle w:val="100000000000" w:firstRow="1" w:lastRow="0" w:firstColumn="0" w:lastColumn="0" w:oddVBand="0" w:evenVBand="0" w:oddHBand="0" w:evenHBand="0" w:firstRowFirstColumn="0" w:firstRowLastColumn="0" w:lastRowFirstColumn="0" w:lastRowLastColumn="0"/>
            </w:pPr>
            <w:r w:rsidRPr="00057657">
              <w:t>Estimated/CPRD cases</w:t>
            </w:r>
          </w:p>
        </w:tc>
        <w:tc>
          <w:tcPr>
            <w:tcW w:w="1325" w:type="dxa"/>
            <w:hideMark/>
          </w:tcPr>
          <w:p w:rsidR="000C0A41" w:rsidRPr="00057657" w:rsidRDefault="000C0A41" w:rsidP="0094532D">
            <w:pPr>
              <w:jc w:val="center"/>
              <w:cnfStyle w:val="100000000000" w:firstRow="1" w:lastRow="0" w:firstColumn="0" w:lastColumn="0" w:oddVBand="0" w:evenVBand="0" w:oddHBand="0" w:evenHBand="0" w:firstRowFirstColumn="0" w:firstRowLastColumn="0" w:lastRowFirstColumn="0" w:lastRowLastColumn="0"/>
            </w:pPr>
            <w:r w:rsidRPr="00057657">
              <w:t>Estimated/CPRD prevalence</w:t>
            </w:r>
          </w:p>
        </w:tc>
        <w:tc>
          <w:tcPr>
            <w:tcW w:w="1033" w:type="dxa"/>
            <w:hideMark/>
          </w:tcPr>
          <w:p w:rsidR="000C0A41" w:rsidRPr="00057657" w:rsidRDefault="000C0A41" w:rsidP="0094532D">
            <w:pPr>
              <w:jc w:val="center"/>
              <w:cnfStyle w:val="100000000000" w:firstRow="1" w:lastRow="0" w:firstColumn="0" w:lastColumn="0" w:oddVBand="0" w:evenVBand="0" w:oddHBand="0" w:evenHBand="0" w:firstRowFirstColumn="0" w:firstRowLastColumn="0" w:lastRowFirstColumn="0" w:lastRowLastColumn="0"/>
            </w:pPr>
            <w:r w:rsidRPr="00057657">
              <w:t>Practices</w:t>
            </w:r>
          </w:p>
        </w:tc>
      </w:tr>
      <w:tr w:rsidR="000C0A41" w:rsidRPr="00057657" w:rsidTr="0094532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05" w:type="dxa"/>
            <w:vMerge w:val="restart"/>
            <w:vAlign w:val="center"/>
            <w:hideMark/>
          </w:tcPr>
          <w:p w:rsidR="000C0A41" w:rsidRPr="00057657" w:rsidRDefault="000C0A41" w:rsidP="00057657">
            <w:pPr>
              <w:jc w:val="left"/>
            </w:pPr>
            <w:r w:rsidRPr="00057657">
              <w:t>Blank</w:t>
            </w:r>
          </w:p>
        </w:tc>
        <w:tc>
          <w:tcPr>
            <w:tcW w:w="1565" w:type="dxa"/>
            <w:hideMark/>
          </w:tcPr>
          <w:p w:rsidR="000C0A41" w:rsidRPr="00057657" w:rsidRDefault="000C0A41" w:rsidP="00057657">
            <w:pPr>
              <w:cnfStyle w:val="000000100000" w:firstRow="0" w:lastRow="0" w:firstColumn="0" w:lastColumn="0" w:oddVBand="0" w:evenVBand="0" w:oddHBand="1" w:evenHBand="0" w:firstRowFirstColumn="0" w:firstRowLastColumn="0" w:lastRowFirstColumn="0" w:lastRowLastColumn="0"/>
              <w:rPr>
                <w:b/>
                <w:bCs/>
              </w:rPr>
            </w:pPr>
            <w:r w:rsidRPr="00057657">
              <w:rPr>
                <w:b/>
                <w:bCs/>
              </w:rPr>
              <w:t>Estimated</w:t>
            </w:r>
          </w:p>
        </w:tc>
        <w:tc>
          <w:tcPr>
            <w:tcW w:w="1559" w:type="dxa"/>
            <w:noWrap/>
            <w:hideMark/>
          </w:tcPr>
          <w:p w:rsidR="000C0A41" w:rsidRPr="00057657" w:rsidRDefault="000C0A41" w:rsidP="0094532D">
            <w:pPr>
              <w:jc w:val="center"/>
              <w:cnfStyle w:val="000000100000" w:firstRow="0" w:lastRow="0" w:firstColumn="0" w:lastColumn="0" w:oddVBand="0" w:evenVBand="0" w:oddHBand="1" w:evenHBand="0" w:firstRowFirstColumn="0" w:firstRowLastColumn="0" w:lastRowFirstColumn="0" w:lastRowLastColumn="0"/>
            </w:pPr>
            <w:r w:rsidRPr="00057657">
              <w:t>1,214,894</w:t>
            </w:r>
          </w:p>
        </w:tc>
        <w:tc>
          <w:tcPr>
            <w:tcW w:w="1843" w:type="dxa"/>
            <w:noWrap/>
            <w:hideMark/>
          </w:tcPr>
          <w:p w:rsidR="000C0A41" w:rsidRPr="00057657" w:rsidRDefault="000C0A41" w:rsidP="0094532D">
            <w:pPr>
              <w:jc w:val="center"/>
              <w:cnfStyle w:val="000000100000" w:firstRow="0" w:lastRow="0" w:firstColumn="0" w:lastColumn="0" w:oddVBand="0" w:evenVBand="0" w:oddHBand="1" w:evenHBand="0" w:firstRowFirstColumn="0" w:firstRowLastColumn="0" w:lastRowFirstColumn="0" w:lastRowLastColumn="0"/>
            </w:pPr>
            <w:r w:rsidRPr="00057657">
              <w:t>32,125.22</w:t>
            </w:r>
          </w:p>
        </w:tc>
        <w:tc>
          <w:tcPr>
            <w:tcW w:w="1325" w:type="dxa"/>
            <w:noWrap/>
            <w:hideMark/>
          </w:tcPr>
          <w:p w:rsidR="000C0A41" w:rsidRPr="00057657" w:rsidRDefault="000C0A41" w:rsidP="0094532D">
            <w:pPr>
              <w:jc w:val="center"/>
              <w:cnfStyle w:val="000000100000" w:firstRow="0" w:lastRow="0" w:firstColumn="0" w:lastColumn="0" w:oddVBand="0" w:evenVBand="0" w:oddHBand="1" w:evenHBand="0" w:firstRowFirstColumn="0" w:firstRowLastColumn="0" w:lastRowFirstColumn="0" w:lastRowLastColumn="0"/>
            </w:pPr>
            <w:r w:rsidRPr="00057657">
              <w:t>2.64%</w:t>
            </w:r>
          </w:p>
        </w:tc>
        <w:tc>
          <w:tcPr>
            <w:tcW w:w="1033" w:type="dxa"/>
            <w:hideMark/>
          </w:tcPr>
          <w:p w:rsidR="000C0A41" w:rsidRPr="00057657" w:rsidRDefault="000C0A41" w:rsidP="0094532D">
            <w:pPr>
              <w:jc w:val="center"/>
              <w:cnfStyle w:val="000000100000" w:firstRow="0" w:lastRow="0" w:firstColumn="0" w:lastColumn="0" w:oddVBand="0" w:evenVBand="0" w:oddHBand="1" w:evenHBand="0" w:firstRowFirstColumn="0" w:firstRowLastColumn="0" w:lastRowFirstColumn="0" w:lastRowLastColumn="0"/>
            </w:pPr>
            <w:r w:rsidRPr="00057657">
              <w:t>147</w:t>
            </w:r>
          </w:p>
        </w:tc>
      </w:tr>
      <w:tr w:rsidR="000C0A41" w:rsidRPr="00057657" w:rsidTr="0094532D">
        <w:trPr>
          <w:trHeight w:val="300"/>
          <w:jc w:val="center"/>
        </w:trPr>
        <w:tc>
          <w:tcPr>
            <w:cnfStyle w:val="001000000000" w:firstRow="0" w:lastRow="0" w:firstColumn="1" w:lastColumn="0" w:oddVBand="0" w:evenVBand="0" w:oddHBand="0" w:evenHBand="0" w:firstRowFirstColumn="0" w:firstRowLastColumn="0" w:lastRowFirstColumn="0" w:lastRowLastColumn="0"/>
            <w:tcW w:w="2405" w:type="dxa"/>
            <w:vMerge/>
            <w:vAlign w:val="center"/>
            <w:hideMark/>
          </w:tcPr>
          <w:p w:rsidR="000C0A41" w:rsidRPr="00057657" w:rsidRDefault="000C0A41" w:rsidP="00057657">
            <w:pPr>
              <w:jc w:val="left"/>
            </w:pPr>
          </w:p>
        </w:tc>
        <w:tc>
          <w:tcPr>
            <w:tcW w:w="1565" w:type="dxa"/>
            <w:hideMark/>
          </w:tcPr>
          <w:p w:rsidR="000C0A41" w:rsidRPr="00057657" w:rsidRDefault="000C0A41" w:rsidP="00057657">
            <w:pPr>
              <w:cnfStyle w:val="000000000000" w:firstRow="0" w:lastRow="0" w:firstColumn="0" w:lastColumn="0" w:oddVBand="0" w:evenVBand="0" w:oddHBand="0" w:evenHBand="0" w:firstRowFirstColumn="0" w:firstRowLastColumn="0" w:lastRowFirstColumn="0" w:lastRowLastColumn="0"/>
              <w:rPr>
                <w:b/>
                <w:bCs/>
              </w:rPr>
            </w:pPr>
            <w:r w:rsidRPr="00057657">
              <w:rPr>
                <w:b/>
                <w:bCs/>
              </w:rPr>
              <w:t>CPRD raw data</w:t>
            </w:r>
          </w:p>
        </w:tc>
        <w:tc>
          <w:tcPr>
            <w:tcW w:w="1559" w:type="dxa"/>
            <w:noWrap/>
            <w:hideMark/>
          </w:tcPr>
          <w:p w:rsidR="000C0A41" w:rsidRPr="00057657" w:rsidRDefault="000C0A41" w:rsidP="0094532D">
            <w:pPr>
              <w:jc w:val="center"/>
              <w:cnfStyle w:val="000000000000" w:firstRow="0" w:lastRow="0" w:firstColumn="0" w:lastColumn="0" w:oddVBand="0" w:evenVBand="0" w:oddHBand="0" w:evenHBand="0" w:firstRowFirstColumn="0" w:firstRowLastColumn="0" w:lastRowFirstColumn="0" w:lastRowLastColumn="0"/>
            </w:pPr>
            <w:r w:rsidRPr="00057657">
              <w:t>N/A</w:t>
            </w:r>
          </w:p>
        </w:tc>
        <w:tc>
          <w:tcPr>
            <w:tcW w:w="1843" w:type="dxa"/>
            <w:noWrap/>
            <w:hideMark/>
          </w:tcPr>
          <w:p w:rsidR="000C0A41" w:rsidRPr="00057657" w:rsidRDefault="000C0A41" w:rsidP="0094532D">
            <w:pPr>
              <w:jc w:val="center"/>
              <w:cnfStyle w:val="000000000000" w:firstRow="0" w:lastRow="0" w:firstColumn="0" w:lastColumn="0" w:oddVBand="0" w:evenVBand="0" w:oddHBand="0" w:evenHBand="0" w:firstRowFirstColumn="0" w:firstRowLastColumn="0" w:lastRowFirstColumn="0" w:lastRowLastColumn="0"/>
            </w:pPr>
            <w:r w:rsidRPr="00057657">
              <w:t>23,998</w:t>
            </w:r>
          </w:p>
        </w:tc>
        <w:tc>
          <w:tcPr>
            <w:tcW w:w="1325" w:type="dxa"/>
            <w:noWrap/>
            <w:hideMark/>
          </w:tcPr>
          <w:p w:rsidR="000C0A41" w:rsidRPr="00057657" w:rsidRDefault="000C0A41" w:rsidP="0094532D">
            <w:pPr>
              <w:jc w:val="center"/>
              <w:cnfStyle w:val="000000000000" w:firstRow="0" w:lastRow="0" w:firstColumn="0" w:lastColumn="0" w:oddVBand="0" w:evenVBand="0" w:oddHBand="0" w:evenHBand="0" w:firstRowFirstColumn="0" w:firstRowLastColumn="0" w:lastRowFirstColumn="0" w:lastRowLastColumn="0"/>
            </w:pPr>
            <w:r w:rsidRPr="00057657">
              <w:t>1.98%</w:t>
            </w:r>
          </w:p>
        </w:tc>
        <w:tc>
          <w:tcPr>
            <w:tcW w:w="1033" w:type="dxa"/>
            <w:hideMark/>
          </w:tcPr>
          <w:p w:rsidR="000C0A41" w:rsidRPr="00057657" w:rsidRDefault="000C0A41" w:rsidP="0094532D">
            <w:pPr>
              <w:jc w:val="center"/>
              <w:cnfStyle w:val="000000000000" w:firstRow="0" w:lastRow="0" w:firstColumn="0" w:lastColumn="0" w:oddVBand="0" w:evenVBand="0" w:oddHBand="0" w:evenHBand="0" w:firstRowFirstColumn="0" w:firstRowLastColumn="0" w:lastRowFirstColumn="0" w:lastRowLastColumn="0"/>
            </w:pPr>
          </w:p>
        </w:tc>
      </w:tr>
      <w:tr w:rsidR="000C0A41" w:rsidRPr="00057657" w:rsidTr="0094532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05" w:type="dxa"/>
            <w:vMerge w:val="restart"/>
            <w:vAlign w:val="center"/>
            <w:hideMark/>
          </w:tcPr>
          <w:p w:rsidR="000C0A41" w:rsidRPr="00057657" w:rsidRDefault="000C0A41" w:rsidP="00057657">
            <w:pPr>
              <w:jc w:val="left"/>
            </w:pPr>
            <w:r w:rsidRPr="00057657">
              <w:t>East Midlands</w:t>
            </w:r>
          </w:p>
        </w:tc>
        <w:tc>
          <w:tcPr>
            <w:tcW w:w="1565" w:type="dxa"/>
            <w:hideMark/>
          </w:tcPr>
          <w:p w:rsidR="000C0A41" w:rsidRPr="00057657" w:rsidRDefault="000C0A41" w:rsidP="00057657">
            <w:pPr>
              <w:cnfStyle w:val="000000100000" w:firstRow="0" w:lastRow="0" w:firstColumn="0" w:lastColumn="0" w:oddVBand="0" w:evenVBand="0" w:oddHBand="1" w:evenHBand="0" w:firstRowFirstColumn="0" w:firstRowLastColumn="0" w:lastRowFirstColumn="0" w:lastRowLastColumn="0"/>
              <w:rPr>
                <w:b/>
                <w:bCs/>
              </w:rPr>
            </w:pPr>
            <w:r w:rsidRPr="00057657">
              <w:rPr>
                <w:b/>
                <w:bCs/>
              </w:rPr>
              <w:t>Estimated</w:t>
            </w:r>
          </w:p>
        </w:tc>
        <w:tc>
          <w:tcPr>
            <w:tcW w:w="1559" w:type="dxa"/>
            <w:noWrap/>
            <w:hideMark/>
          </w:tcPr>
          <w:p w:rsidR="000C0A41" w:rsidRPr="00057657" w:rsidRDefault="000C0A41" w:rsidP="0094532D">
            <w:pPr>
              <w:jc w:val="center"/>
              <w:cnfStyle w:val="000000100000" w:firstRow="0" w:lastRow="0" w:firstColumn="0" w:lastColumn="0" w:oddVBand="0" w:evenVBand="0" w:oddHBand="1" w:evenHBand="0" w:firstRowFirstColumn="0" w:firstRowLastColumn="0" w:lastRowFirstColumn="0" w:lastRowLastColumn="0"/>
            </w:pPr>
            <w:r w:rsidRPr="00057657">
              <w:t>4,670,890</w:t>
            </w:r>
          </w:p>
        </w:tc>
        <w:tc>
          <w:tcPr>
            <w:tcW w:w="1843" w:type="dxa"/>
            <w:noWrap/>
            <w:hideMark/>
          </w:tcPr>
          <w:p w:rsidR="000C0A41" w:rsidRPr="00057657" w:rsidRDefault="000C0A41" w:rsidP="0094532D">
            <w:pPr>
              <w:jc w:val="center"/>
              <w:cnfStyle w:val="000000100000" w:firstRow="0" w:lastRow="0" w:firstColumn="0" w:lastColumn="0" w:oddVBand="0" w:evenVBand="0" w:oddHBand="1" w:evenHBand="0" w:firstRowFirstColumn="0" w:firstRowLastColumn="0" w:lastRowFirstColumn="0" w:lastRowLastColumn="0"/>
            </w:pPr>
            <w:r w:rsidRPr="00057657">
              <w:t>117,056.40</w:t>
            </w:r>
          </w:p>
        </w:tc>
        <w:tc>
          <w:tcPr>
            <w:tcW w:w="1325" w:type="dxa"/>
            <w:noWrap/>
            <w:hideMark/>
          </w:tcPr>
          <w:p w:rsidR="000C0A41" w:rsidRPr="00057657" w:rsidRDefault="000C0A41" w:rsidP="0094532D">
            <w:pPr>
              <w:jc w:val="center"/>
              <w:cnfStyle w:val="000000100000" w:firstRow="0" w:lastRow="0" w:firstColumn="0" w:lastColumn="0" w:oddVBand="0" w:evenVBand="0" w:oddHBand="1" w:evenHBand="0" w:firstRowFirstColumn="0" w:firstRowLastColumn="0" w:lastRowFirstColumn="0" w:lastRowLastColumn="0"/>
            </w:pPr>
            <w:r w:rsidRPr="00057657">
              <w:t>2.51%</w:t>
            </w:r>
          </w:p>
        </w:tc>
        <w:tc>
          <w:tcPr>
            <w:tcW w:w="1033" w:type="dxa"/>
            <w:hideMark/>
          </w:tcPr>
          <w:p w:rsidR="000C0A41" w:rsidRPr="00057657" w:rsidRDefault="000C0A41" w:rsidP="0094532D">
            <w:pPr>
              <w:jc w:val="center"/>
              <w:cnfStyle w:val="000000100000" w:firstRow="0" w:lastRow="0" w:firstColumn="0" w:lastColumn="0" w:oddVBand="0" w:evenVBand="0" w:oddHBand="1" w:evenHBand="0" w:firstRowFirstColumn="0" w:firstRowLastColumn="0" w:lastRowFirstColumn="0" w:lastRowLastColumn="0"/>
            </w:pPr>
            <w:r w:rsidRPr="00057657">
              <w:t>579</w:t>
            </w:r>
          </w:p>
        </w:tc>
      </w:tr>
      <w:tr w:rsidR="000C0A41" w:rsidRPr="00057657" w:rsidTr="0094532D">
        <w:trPr>
          <w:trHeight w:val="300"/>
          <w:jc w:val="center"/>
        </w:trPr>
        <w:tc>
          <w:tcPr>
            <w:cnfStyle w:val="001000000000" w:firstRow="0" w:lastRow="0" w:firstColumn="1" w:lastColumn="0" w:oddVBand="0" w:evenVBand="0" w:oddHBand="0" w:evenHBand="0" w:firstRowFirstColumn="0" w:firstRowLastColumn="0" w:lastRowFirstColumn="0" w:lastRowLastColumn="0"/>
            <w:tcW w:w="2405" w:type="dxa"/>
            <w:vMerge/>
            <w:vAlign w:val="center"/>
            <w:hideMark/>
          </w:tcPr>
          <w:p w:rsidR="000C0A41" w:rsidRPr="00057657" w:rsidRDefault="000C0A41" w:rsidP="00057657">
            <w:pPr>
              <w:jc w:val="left"/>
            </w:pPr>
          </w:p>
        </w:tc>
        <w:tc>
          <w:tcPr>
            <w:tcW w:w="1565" w:type="dxa"/>
            <w:hideMark/>
          </w:tcPr>
          <w:p w:rsidR="000C0A41" w:rsidRPr="00057657" w:rsidRDefault="000C0A41" w:rsidP="00057657">
            <w:pPr>
              <w:cnfStyle w:val="000000000000" w:firstRow="0" w:lastRow="0" w:firstColumn="0" w:lastColumn="0" w:oddVBand="0" w:evenVBand="0" w:oddHBand="0" w:evenHBand="0" w:firstRowFirstColumn="0" w:firstRowLastColumn="0" w:lastRowFirstColumn="0" w:lastRowLastColumn="0"/>
              <w:rPr>
                <w:b/>
                <w:bCs/>
              </w:rPr>
            </w:pPr>
            <w:r w:rsidRPr="00057657">
              <w:rPr>
                <w:b/>
                <w:bCs/>
              </w:rPr>
              <w:t>CPRD raw data</w:t>
            </w:r>
          </w:p>
        </w:tc>
        <w:tc>
          <w:tcPr>
            <w:tcW w:w="1559" w:type="dxa"/>
            <w:noWrap/>
            <w:hideMark/>
          </w:tcPr>
          <w:p w:rsidR="000C0A41" w:rsidRPr="00057657" w:rsidRDefault="000C0A41" w:rsidP="0094532D">
            <w:pPr>
              <w:jc w:val="center"/>
              <w:cnfStyle w:val="000000000000" w:firstRow="0" w:lastRow="0" w:firstColumn="0" w:lastColumn="0" w:oddVBand="0" w:evenVBand="0" w:oddHBand="0" w:evenHBand="0" w:firstRowFirstColumn="0" w:firstRowLastColumn="0" w:lastRowFirstColumn="0" w:lastRowLastColumn="0"/>
            </w:pPr>
            <w:r w:rsidRPr="00057657">
              <w:t>0</w:t>
            </w:r>
          </w:p>
        </w:tc>
        <w:tc>
          <w:tcPr>
            <w:tcW w:w="1843" w:type="dxa"/>
            <w:noWrap/>
            <w:hideMark/>
          </w:tcPr>
          <w:p w:rsidR="000C0A41" w:rsidRPr="00057657" w:rsidRDefault="000C0A41" w:rsidP="0094532D">
            <w:pPr>
              <w:jc w:val="center"/>
              <w:cnfStyle w:val="000000000000" w:firstRow="0" w:lastRow="0" w:firstColumn="0" w:lastColumn="0" w:oddVBand="0" w:evenVBand="0" w:oddHBand="0" w:evenHBand="0" w:firstRowFirstColumn="0" w:firstRowLastColumn="0" w:lastRowFirstColumn="0" w:lastRowLastColumn="0"/>
            </w:pPr>
            <w:r w:rsidRPr="00057657">
              <w:t>0</w:t>
            </w:r>
          </w:p>
        </w:tc>
        <w:tc>
          <w:tcPr>
            <w:tcW w:w="1325" w:type="dxa"/>
            <w:noWrap/>
            <w:hideMark/>
          </w:tcPr>
          <w:p w:rsidR="000C0A41" w:rsidRPr="00057657" w:rsidRDefault="000C0A41" w:rsidP="0094532D">
            <w:pPr>
              <w:jc w:val="center"/>
              <w:cnfStyle w:val="000000000000" w:firstRow="0" w:lastRow="0" w:firstColumn="0" w:lastColumn="0" w:oddVBand="0" w:evenVBand="0" w:oddHBand="0" w:evenHBand="0" w:firstRowFirstColumn="0" w:firstRowLastColumn="0" w:lastRowFirstColumn="0" w:lastRowLastColumn="0"/>
            </w:pPr>
            <w:r w:rsidRPr="00057657">
              <w:t>0.00%</w:t>
            </w:r>
          </w:p>
        </w:tc>
        <w:tc>
          <w:tcPr>
            <w:tcW w:w="1033" w:type="dxa"/>
            <w:hideMark/>
          </w:tcPr>
          <w:p w:rsidR="000C0A41" w:rsidRPr="00057657" w:rsidRDefault="000C0A41" w:rsidP="0094532D">
            <w:pPr>
              <w:jc w:val="center"/>
              <w:cnfStyle w:val="000000000000" w:firstRow="0" w:lastRow="0" w:firstColumn="0" w:lastColumn="0" w:oddVBand="0" w:evenVBand="0" w:oddHBand="0" w:evenHBand="0" w:firstRowFirstColumn="0" w:firstRowLastColumn="0" w:lastRowFirstColumn="0" w:lastRowLastColumn="0"/>
            </w:pPr>
          </w:p>
        </w:tc>
      </w:tr>
      <w:tr w:rsidR="000C0A41" w:rsidRPr="00057657" w:rsidTr="0094532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05" w:type="dxa"/>
            <w:vMerge w:val="restart"/>
            <w:vAlign w:val="center"/>
            <w:hideMark/>
          </w:tcPr>
          <w:p w:rsidR="000C0A41" w:rsidRPr="00057657" w:rsidRDefault="000C0A41" w:rsidP="00057657">
            <w:pPr>
              <w:jc w:val="left"/>
            </w:pPr>
            <w:r w:rsidRPr="00057657">
              <w:t>East of England</w:t>
            </w:r>
          </w:p>
        </w:tc>
        <w:tc>
          <w:tcPr>
            <w:tcW w:w="1565" w:type="dxa"/>
            <w:hideMark/>
          </w:tcPr>
          <w:p w:rsidR="000C0A41" w:rsidRPr="00057657" w:rsidRDefault="000C0A41" w:rsidP="00057657">
            <w:pPr>
              <w:cnfStyle w:val="000000100000" w:firstRow="0" w:lastRow="0" w:firstColumn="0" w:lastColumn="0" w:oddVBand="0" w:evenVBand="0" w:oddHBand="1" w:evenHBand="0" w:firstRowFirstColumn="0" w:firstRowLastColumn="0" w:lastRowFirstColumn="0" w:lastRowLastColumn="0"/>
              <w:rPr>
                <w:b/>
                <w:bCs/>
              </w:rPr>
            </w:pPr>
            <w:r w:rsidRPr="00057657">
              <w:rPr>
                <w:b/>
                <w:bCs/>
              </w:rPr>
              <w:t>Estimated</w:t>
            </w:r>
          </w:p>
        </w:tc>
        <w:tc>
          <w:tcPr>
            <w:tcW w:w="1559" w:type="dxa"/>
            <w:noWrap/>
            <w:hideMark/>
          </w:tcPr>
          <w:p w:rsidR="000C0A41" w:rsidRPr="00057657" w:rsidRDefault="000C0A41" w:rsidP="0094532D">
            <w:pPr>
              <w:jc w:val="center"/>
              <w:cnfStyle w:val="000000100000" w:firstRow="0" w:lastRow="0" w:firstColumn="0" w:lastColumn="0" w:oddVBand="0" w:evenVBand="0" w:oddHBand="1" w:evenHBand="0" w:firstRowFirstColumn="0" w:firstRowLastColumn="0" w:lastRowFirstColumn="0" w:lastRowLastColumn="0"/>
            </w:pPr>
            <w:r w:rsidRPr="00057657">
              <w:t>6,156,294</w:t>
            </w:r>
          </w:p>
        </w:tc>
        <w:tc>
          <w:tcPr>
            <w:tcW w:w="1843" w:type="dxa"/>
            <w:noWrap/>
            <w:hideMark/>
          </w:tcPr>
          <w:p w:rsidR="000C0A41" w:rsidRPr="00057657" w:rsidRDefault="000C0A41" w:rsidP="0094532D">
            <w:pPr>
              <w:jc w:val="center"/>
              <w:cnfStyle w:val="000000100000" w:firstRow="0" w:lastRow="0" w:firstColumn="0" w:lastColumn="0" w:oddVBand="0" w:evenVBand="0" w:oddHBand="1" w:evenHBand="0" w:firstRowFirstColumn="0" w:firstRowLastColumn="0" w:lastRowFirstColumn="0" w:lastRowLastColumn="0"/>
            </w:pPr>
            <w:r w:rsidRPr="00057657">
              <w:t>149,258.09</w:t>
            </w:r>
          </w:p>
        </w:tc>
        <w:tc>
          <w:tcPr>
            <w:tcW w:w="1325" w:type="dxa"/>
            <w:noWrap/>
            <w:hideMark/>
          </w:tcPr>
          <w:p w:rsidR="000C0A41" w:rsidRPr="00057657" w:rsidRDefault="000C0A41" w:rsidP="0094532D">
            <w:pPr>
              <w:jc w:val="center"/>
              <w:cnfStyle w:val="000000100000" w:firstRow="0" w:lastRow="0" w:firstColumn="0" w:lastColumn="0" w:oddVBand="0" w:evenVBand="0" w:oddHBand="1" w:evenHBand="0" w:firstRowFirstColumn="0" w:firstRowLastColumn="0" w:lastRowFirstColumn="0" w:lastRowLastColumn="0"/>
            </w:pPr>
            <w:r w:rsidRPr="00057657">
              <w:t>2.42%</w:t>
            </w:r>
          </w:p>
        </w:tc>
        <w:tc>
          <w:tcPr>
            <w:tcW w:w="1033" w:type="dxa"/>
            <w:hideMark/>
          </w:tcPr>
          <w:p w:rsidR="000C0A41" w:rsidRPr="00057657" w:rsidRDefault="000C0A41" w:rsidP="0094532D">
            <w:pPr>
              <w:jc w:val="center"/>
              <w:cnfStyle w:val="000000100000" w:firstRow="0" w:lastRow="0" w:firstColumn="0" w:lastColumn="0" w:oddVBand="0" w:evenVBand="0" w:oddHBand="1" w:evenHBand="0" w:firstRowFirstColumn="0" w:firstRowLastColumn="0" w:lastRowFirstColumn="0" w:lastRowLastColumn="0"/>
            </w:pPr>
            <w:r w:rsidRPr="00057657">
              <w:t>743</w:t>
            </w:r>
          </w:p>
        </w:tc>
      </w:tr>
      <w:tr w:rsidR="000C0A41" w:rsidRPr="00057657" w:rsidTr="0094532D">
        <w:trPr>
          <w:trHeight w:val="300"/>
          <w:jc w:val="center"/>
        </w:trPr>
        <w:tc>
          <w:tcPr>
            <w:cnfStyle w:val="001000000000" w:firstRow="0" w:lastRow="0" w:firstColumn="1" w:lastColumn="0" w:oddVBand="0" w:evenVBand="0" w:oddHBand="0" w:evenHBand="0" w:firstRowFirstColumn="0" w:firstRowLastColumn="0" w:lastRowFirstColumn="0" w:lastRowLastColumn="0"/>
            <w:tcW w:w="2405" w:type="dxa"/>
            <w:vMerge/>
            <w:vAlign w:val="center"/>
            <w:hideMark/>
          </w:tcPr>
          <w:p w:rsidR="000C0A41" w:rsidRPr="00057657" w:rsidRDefault="000C0A41" w:rsidP="00057657">
            <w:pPr>
              <w:jc w:val="left"/>
            </w:pPr>
          </w:p>
        </w:tc>
        <w:tc>
          <w:tcPr>
            <w:tcW w:w="1565" w:type="dxa"/>
            <w:hideMark/>
          </w:tcPr>
          <w:p w:rsidR="000C0A41" w:rsidRPr="00057657" w:rsidRDefault="000C0A41" w:rsidP="00057657">
            <w:pPr>
              <w:cnfStyle w:val="000000000000" w:firstRow="0" w:lastRow="0" w:firstColumn="0" w:lastColumn="0" w:oddVBand="0" w:evenVBand="0" w:oddHBand="0" w:evenHBand="0" w:firstRowFirstColumn="0" w:firstRowLastColumn="0" w:lastRowFirstColumn="0" w:lastRowLastColumn="0"/>
              <w:rPr>
                <w:b/>
                <w:bCs/>
              </w:rPr>
            </w:pPr>
            <w:r w:rsidRPr="00057657">
              <w:rPr>
                <w:b/>
                <w:bCs/>
              </w:rPr>
              <w:t>CPRD raw data</w:t>
            </w:r>
          </w:p>
        </w:tc>
        <w:tc>
          <w:tcPr>
            <w:tcW w:w="1559" w:type="dxa"/>
            <w:hideMark/>
          </w:tcPr>
          <w:p w:rsidR="000C0A41" w:rsidRPr="00057657" w:rsidRDefault="000C0A41" w:rsidP="0094532D">
            <w:pPr>
              <w:jc w:val="center"/>
              <w:cnfStyle w:val="000000000000" w:firstRow="0" w:lastRow="0" w:firstColumn="0" w:lastColumn="0" w:oddVBand="0" w:evenVBand="0" w:oddHBand="0" w:evenHBand="0" w:firstRowFirstColumn="0" w:firstRowLastColumn="0" w:lastRowFirstColumn="0" w:lastRowLastColumn="0"/>
            </w:pPr>
            <w:r w:rsidRPr="00057657">
              <w:t>218,932</w:t>
            </w:r>
          </w:p>
        </w:tc>
        <w:tc>
          <w:tcPr>
            <w:tcW w:w="1843" w:type="dxa"/>
            <w:hideMark/>
          </w:tcPr>
          <w:p w:rsidR="000C0A41" w:rsidRPr="00057657" w:rsidRDefault="000C0A41" w:rsidP="0094532D">
            <w:pPr>
              <w:jc w:val="center"/>
              <w:cnfStyle w:val="000000000000" w:firstRow="0" w:lastRow="0" w:firstColumn="0" w:lastColumn="0" w:oddVBand="0" w:evenVBand="0" w:oddHBand="0" w:evenHBand="0" w:firstRowFirstColumn="0" w:firstRowLastColumn="0" w:lastRowFirstColumn="0" w:lastRowLastColumn="0"/>
            </w:pPr>
            <w:r w:rsidRPr="00057657">
              <w:t>3,881</w:t>
            </w:r>
          </w:p>
        </w:tc>
        <w:tc>
          <w:tcPr>
            <w:tcW w:w="1325" w:type="dxa"/>
            <w:hideMark/>
          </w:tcPr>
          <w:p w:rsidR="000C0A41" w:rsidRPr="00057657" w:rsidRDefault="000C0A41" w:rsidP="0094532D">
            <w:pPr>
              <w:jc w:val="center"/>
              <w:cnfStyle w:val="000000000000" w:firstRow="0" w:lastRow="0" w:firstColumn="0" w:lastColumn="0" w:oddVBand="0" w:evenVBand="0" w:oddHBand="0" w:evenHBand="0" w:firstRowFirstColumn="0" w:firstRowLastColumn="0" w:lastRowFirstColumn="0" w:lastRowLastColumn="0"/>
            </w:pPr>
            <w:r w:rsidRPr="00057657">
              <w:t>1.77%</w:t>
            </w:r>
          </w:p>
        </w:tc>
        <w:tc>
          <w:tcPr>
            <w:tcW w:w="1033" w:type="dxa"/>
            <w:hideMark/>
          </w:tcPr>
          <w:p w:rsidR="000C0A41" w:rsidRPr="00057657" w:rsidRDefault="000C0A41" w:rsidP="0094532D">
            <w:pPr>
              <w:jc w:val="center"/>
              <w:cnfStyle w:val="000000000000" w:firstRow="0" w:lastRow="0" w:firstColumn="0" w:lastColumn="0" w:oddVBand="0" w:evenVBand="0" w:oddHBand="0" w:evenHBand="0" w:firstRowFirstColumn="0" w:firstRowLastColumn="0" w:lastRowFirstColumn="0" w:lastRowLastColumn="0"/>
            </w:pPr>
          </w:p>
        </w:tc>
      </w:tr>
      <w:tr w:rsidR="000C0A41" w:rsidRPr="00057657" w:rsidTr="0094532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05" w:type="dxa"/>
            <w:vMerge w:val="restart"/>
            <w:vAlign w:val="center"/>
            <w:hideMark/>
          </w:tcPr>
          <w:p w:rsidR="000C0A41" w:rsidRPr="00057657" w:rsidRDefault="000C0A41" w:rsidP="00057657">
            <w:pPr>
              <w:jc w:val="left"/>
            </w:pPr>
            <w:r w:rsidRPr="00057657">
              <w:t>London</w:t>
            </w:r>
          </w:p>
        </w:tc>
        <w:tc>
          <w:tcPr>
            <w:tcW w:w="1565" w:type="dxa"/>
            <w:hideMark/>
          </w:tcPr>
          <w:p w:rsidR="000C0A41" w:rsidRPr="00057657" w:rsidRDefault="000C0A41" w:rsidP="00057657">
            <w:pPr>
              <w:cnfStyle w:val="000000100000" w:firstRow="0" w:lastRow="0" w:firstColumn="0" w:lastColumn="0" w:oddVBand="0" w:evenVBand="0" w:oddHBand="1" w:evenHBand="0" w:firstRowFirstColumn="0" w:firstRowLastColumn="0" w:lastRowFirstColumn="0" w:lastRowLastColumn="0"/>
              <w:rPr>
                <w:b/>
                <w:bCs/>
              </w:rPr>
            </w:pPr>
            <w:r w:rsidRPr="00057657">
              <w:rPr>
                <w:b/>
                <w:bCs/>
              </w:rPr>
              <w:t>Estimated</w:t>
            </w:r>
          </w:p>
        </w:tc>
        <w:tc>
          <w:tcPr>
            <w:tcW w:w="1559" w:type="dxa"/>
            <w:noWrap/>
            <w:hideMark/>
          </w:tcPr>
          <w:p w:rsidR="000C0A41" w:rsidRPr="00057657" w:rsidRDefault="000C0A41" w:rsidP="0094532D">
            <w:pPr>
              <w:jc w:val="center"/>
              <w:cnfStyle w:val="000000100000" w:firstRow="0" w:lastRow="0" w:firstColumn="0" w:lastColumn="0" w:oddVBand="0" w:evenVBand="0" w:oddHBand="1" w:evenHBand="0" w:firstRowFirstColumn="0" w:firstRowLastColumn="0" w:lastRowFirstColumn="0" w:lastRowLastColumn="0"/>
            </w:pPr>
            <w:r w:rsidRPr="00057657">
              <w:t>8,965,337</w:t>
            </w:r>
          </w:p>
        </w:tc>
        <w:tc>
          <w:tcPr>
            <w:tcW w:w="1843" w:type="dxa"/>
            <w:noWrap/>
            <w:hideMark/>
          </w:tcPr>
          <w:p w:rsidR="000C0A41" w:rsidRPr="00057657" w:rsidRDefault="000C0A41" w:rsidP="0094532D">
            <w:pPr>
              <w:jc w:val="center"/>
              <w:cnfStyle w:val="000000100000" w:firstRow="0" w:lastRow="0" w:firstColumn="0" w:lastColumn="0" w:oddVBand="0" w:evenVBand="0" w:oddHBand="1" w:evenHBand="0" w:firstRowFirstColumn="0" w:firstRowLastColumn="0" w:lastRowFirstColumn="0" w:lastRowLastColumn="0"/>
            </w:pPr>
            <w:r w:rsidRPr="00057657">
              <w:t>151,249.25</w:t>
            </w:r>
          </w:p>
        </w:tc>
        <w:tc>
          <w:tcPr>
            <w:tcW w:w="1325" w:type="dxa"/>
            <w:noWrap/>
            <w:hideMark/>
          </w:tcPr>
          <w:p w:rsidR="000C0A41" w:rsidRPr="00057657" w:rsidRDefault="000C0A41" w:rsidP="0094532D">
            <w:pPr>
              <w:jc w:val="center"/>
              <w:cnfStyle w:val="000000100000" w:firstRow="0" w:lastRow="0" w:firstColumn="0" w:lastColumn="0" w:oddVBand="0" w:evenVBand="0" w:oddHBand="1" w:evenHBand="0" w:firstRowFirstColumn="0" w:firstRowLastColumn="0" w:lastRowFirstColumn="0" w:lastRowLastColumn="0"/>
            </w:pPr>
            <w:r w:rsidRPr="00057657">
              <w:t>1.69%</w:t>
            </w:r>
          </w:p>
        </w:tc>
        <w:tc>
          <w:tcPr>
            <w:tcW w:w="1033" w:type="dxa"/>
            <w:hideMark/>
          </w:tcPr>
          <w:p w:rsidR="000C0A41" w:rsidRPr="00057657" w:rsidRDefault="000C0A41" w:rsidP="0094532D">
            <w:pPr>
              <w:jc w:val="center"/>
              <w:cnfStyle w:val="000000100000" w:firstRow="0" w:lastRow="0" w:firstColumn="0" w:lastColumn="0" w:oddVBand="0" w:evenVBand="0" w:oddHBand="1" w:evenHBand="0" w:firstRowFirstColumn="0" w:firstRowLastColumn="0" w:lastRowFirstColumn="0" w:lastRowLastColumn="0"/>
            </w:pPr>
            <w:r w:rsidRPr="00057657">
              <w:t>1,340</w:t>
            </w:r>
          </w:p>
        </w:tc>
      </w:tr>
      <w:tr w:rsidR="000C0A41" w:rsidRPr="00057657" w:rsidTr="0094532D">
        <w:trPr>
          <w:trHeight w:val="300"/>
          <w:jc w:val="center"/>
        </w:trPr>
        <w:tc>
          <w:tcPr>
            <w:cnfStyle w:val="001000000000" w:firstRow="0" w:lastRow="0" w:firstColumn="1" w:lastColumn="0" w:oddVBand="0" w:evenVBand="0" w:oddHBand="0" w:evenHBand="0" w:firstRowFirstColumn="0" w:firstRowLastColumn="0" w:lastRowFirstColumn="0" w:lastRowLastColumn="0"/>
            <w:tcW w:w="2405" w:type="dxa"/>
            <w:vMerge/>
            <w:vAlign w:val="center"/>
            <w:hideMark/>
          </w:tcPr>
          <w:p w:rsidR="000C0A41" w:rsidRPr="00057657" w:rsidRDefault="000C0A41" w:rsidP="00057657">
            <w:pPr>
              <w:jc w:val="left"/>
            </w:pPr>
          </w:p>
        </w:tc>
        <w:tc>
          <w:tcPr>
            <w:tcW w:w="1565" w:type="dxa"/>
            <w:hideMark/>
          </w:tcPr>
          <w:p w:rsidR="000C0A41" w:rsidRPr="00057657" w:rsidRDefault="000C0A41" w:rsidP="00057657">
            <w:pPr>
              <w:cnfStyle w:val="000000000000" w:firstRow="0" w:lastRow="0" w:firstColumn="0" w:lastColumn="0" w:oddVBand="0" w:evenVBand="0" w:oddHBand="0" w:evenHBand="0" w:firstRowFirstColumn="0" w:firstRowLastColumn="0" w:lastRowFirstColumn="0" w:lastRowLastColumn="0"/>
              <w:rPr>
                <w:b/>
                <w:bCs/>
              </w:rPr>
            </w:pPr>
            <w:r w:rsidRPr="00057657">
              <w:rPr>
                <w:b/>
                <w:bCs/>
              </w:rPr>
              <w:t>CPRD raw data</w:t>
            </w:r>
          </w:p>
        </w:tc>
        <w:tc>
          <w:tcPr>
            <w:tcW w:w="1559" w:type="dxa"/>
            <w:hideMark/>
          </w:tcPr>
          <w:p w:rsidR="000C0A41" w:rsidRPr="00057657" w:rsidRDefault="000C0A41" w:rsidP="0094532D">
            <w:pPr>
              <w:jc w:val="center"/>
              <w:cnfStyle w:val="000000000000" w:firstRow="0" w:lastRow="0" w:firstColumn="0" w:lastColumn="0" w:oddVBand="0" w:evenVBand="0" w:oddHBand="0" w:evenHBand="0" w:firstRowFirstColumn="0" w:firstRowLastColumn="0" w:lastRowFirstColumn="0" w:lastRowLastColumn="0"/>
            </w:pPr>
            <w:r w:rsidRPr="00057657">
              <w:t>413,489</w:t>
            </w:r>
          </w:p>
        </w:tc>
        <w:tc>
          <w:tcPr>
            <w:tcW w:w="1843" w:type="dxa"/>
            <w:hideMark/>
          </w:tcPr>
          <w:p w:rsidR="000C0A41" w:rsidRPr="00057657" w:rsidRDefault="000C0A41" w:rsidP="0094532D">
            <w:pPr>
              <w:jc w:val="center"/>
              <w:cnfStyle w:val="000000000000" w:firstRow="0" w:lastRow="0" w:firstColumn="0" w:lastColumn="0" w:oddVBand="0" w:evenVBand="0" w:oddHBand="0" w:evenHBand="0" w:firstRowFirstColumn="0" w:firstRowLastColumn="0" w:lastRowFirstColumn="0" w:lastRowLastColumn="0"/>
            </w:pPr>
            <w:r w:rsidRPr="00057657">
              <w:t>7,063</w:t>
            </w:r>
          </w:p>
        </w:tc>
        <w:tc>
          <w:tcPr>
            <w:tcW w:w="1325" w:type="dxa"/>
            <w:hideMark/>
          </w:tcPr>
          <w:p w:rsidR="000C0A41" w:rsidRPr="00057657" w:rsidRDefault="000C0A41" w:rsidP="0094532D">
            <w:pPr>
              <w:jc w:val="center"/>
              <w:cnfStyle w:val="000000000000" w:firstRow="0" w:lastRow="0" w:firstColumn="0" w:lastColumn="0" w:oddVBand="0" w:evenVBand="0" w:oddHBand="0" w:evenHBand="0" w:firstRowFirstColumn="0" w:firstRowLastColumn="0" w:lastRowFirstColumn="0" w:lastRowLastColumn="0"/>
            </w:pPr>
            <w:r w:rsidRPr="00057657">
              <w:t>1.71%</w:t>
            </w:r>
          </w:p>
        </w:tc>
        <w:tc>
          <w:tcPr>
            <w:tcW w:w="1033" w:type="dxa"/>
            <w:hideMark/>
          </w:tcPr>
          <w:p w:rsidR="000C0A41" w:rsidRPr="00057657" w:rsidRDefault="000C0A41" w:rsidP="0094532D">
            <w:pPr>
              <w:jc w:val="center"/>
              <w:cnfStyle w:val="000000000000" w:firstRow="0" w:lastRow="0" w:firstColumn="0" w:lastColumn="0" w:oddVBand="0" w:evenVBand="0" w:oddHBand="0" w:evenHBand="0" w:firstRowFirstColumn="0" w:firstRowLastColumn="0" w:lastRowFirstColumn="0" w:lastRowLastColumn="0"/>
            </w:pPr>
          </w:p>
        </w:tc>
      </w:tr>
      <w:tr w:rsidR="000C0A41" w:rsidRPr="00057657" w:rsidTr="0094532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05" w:type="dxa"/>
            <w:vMerge w:val="restart"/>
            <w:vAlign w:val="center"/>
            <w:hideMark/>
          </w:tcPr>
          <w:p w:rsidR="000C0A41" w:rsidRPr="00057657" w:rsidRDefault="000C0A41" w:rsidP="00057657">
            <w:pPr>
              <w:jc w:val="left"/>
            </w:pPr>
            <w:r w:rsidRPr="00057657">
              <w:t>North East</w:t>
            </w:r>
          </w:p>
        </w:tc>
        <w:tc>
          <w:tcPr>
            <w:tcW w:w="1565" w:type="dxa"/>
            <w:hideMark/>
          </w:tcPr>
          <w:p w:rsidR="000C0A41" w:rsidRPr="00057657" w:rsidRDefault="000C0A41" w:rsidP="00057657">
            <w:pPr>
              <w:cnfStyle w:val="000000100000" w:firstRow="0" w:lastRow="0" w:firstColumn="0" w:lastColumn="0" w:oddVBand="0" w:evenVBand="0" w:oddHBand="1" w:evenHBand="0" w:firstRowFirstColumn="0" w:firstRowLastColumn="0" w:lastRowFirstColumn="0" w:lastRowLastColumn="0"/>
              <w:rPr>
                <w:b/>
                <w:bCs/>
              </w:rPr>
            </w:pPr>
            <w:r w:rsidRPr="00057657">
              <w:rPr>
                <w:b/>
                <w:bCs/>
              </w:rPr>
              <w:t>Estimated</w:t>
            </w:r>
          </w:p>
        </w:tc>
        <w:tc>
          <w:tcPr>
            <w:tcW w:w="1559" w:type="dxa"/>
            <w:noWrap/>
            <w:hideMark/>
          </w:tcPr>
          <w:p w:rsidR="000C0A41" w:rsidRPr="00057657" w:rsidRDefault="000C0A41" w:rsidP="0094532D">
            <w:pPr>
              <w:jc w:val="center"/>
              <w:cnfStyle w:val="000000100000" w:firstRow="0" w:lastRow="0" w:firstColumn="0" w:lastColumn="0" w:oddVBand="0" w:evenVBand="0" w:oddHBand="1" w:evenHBand="0" w:firstRowFirstColumn="0" w:firstRowLastColumn="0" w:lastRowFirstColumn="0" w:lastRowLastColumn="0"/>
            </w:pPr>
            <w:r w:rsidRPr="00057657">
              <w:t>2,192,911</w:t>
            </w:r>
          </w:p>
        </w:tc>
        <w:tc>
          <w:tcPr>
            <w:tcW w:w="1843" w:type="dxa"/>
            <w:noWrap/>
            <w:hideMark/>
          </w:tcPr>
          <w:p w:rsidR="000C0A41" w:rsidRPr="00057657" w:rsidRDefault="000C0A41" w:rsidP="0094532D">
            <w:pPr>
              <w:jc w:val="center"/>
              <w:cnfStyle w:val="000000100000" w:firstRow="0" w:lastRow="0" w:firstColumn="0" w:lastColumn="0" w:oddVBand="0" w:evenVBand="0" w:oddHBand="1" w:evenHBand="0" w:firstRowFirstColumn="0" w:firstRowLastColumn="0" w:lastRowFirstColumn="0" w:lastRowLastColumn="0"/>
            </w:pPr>
            <w:r w:rsidRPr="00057657">
              <w:t>63,755.82</w:t>
            </w:r>
          </w:p>
        </w:tc>
        <w:tc>
          <w:tcPr>
            <w:tcW w:w="1325" w:type="dxa"/>
            <w:noWrap/>
            <w:hideMark/>
          </w:tcPr>
          <w:p w:rsidR="000C0A41" w:rsidRPr="00057657" w:rsidRDefault="000C0A41" w:rsidP="0094532D">
            <w:pPr>
              <w:jc w:val="center"/>
              <w:cnfStyle w:val="000000100000" w:firstRow="0" w:lastRow="0" w:firstColumn="0" w:lastColumn="0" w:oddVBand="0" w:evenVBand="0" w:oddHBand="1" w:evenHBand="0" w:firstRowFirstColumn="0" w:firstRowLastColumn="0" w:lastRowFirstColumn="0" w:lastRowLastColumn="0"/>
            </w:pPr>
            <w:r w:rsidRPr="00057657">
              <w:t>2.91%</w:t>
            </w:r>
          </w:p>
        </w:tc>
        <w:tc>
          <w:tcPr>
            <w:tcW w:w="1033" w:type="dxa"/>
            <w:hideMark/>
          </w:tcPr>
          <w:p w:rsidR="000C0A41" w:rsidRPr="00057657" w:rsidRDefault="000C0A41" w:rsidP="0094532D">
            <w:pPr>
              <w:jc w:val="center"/>
              <w:cnfStyle w:val="000000100000" w:firstRow="0" w:lastRow="0" w:firstColumn="0" w:lastColumn="0" w:oddVBand="0" w:evenVBand="0" w:oddHBand="1" w:evenHBand="0" w:firstRowFirstColumn="0" w:firstRowLastColumn="0" w:lastRowFirstColumn="0" w:lastRowLastColumn="0"/>
            </w:pPr>
            <w:r w:rsidRPr="00057657">
              <w:t>313</w:t>
            </w:r>
          </w:p>
        </w:tc>
      </w:tr>
      <w:tr w:rsidR="000C0A41" w:rsidRPr="00057657" w:rsidTr="0094532D">
        <w:trPr>
          <w:trHeight w:val="300"/>
          <w:jc w:val="center"/>
        </w:trPr>
        <w:tc>
          <w:tcPr>
            <w:cnfStyle w:val="001000000000" w:firstRow="0" w:lastRow="0" w:firstColumn="1" w:lastColumn="0" w:oddVBand="0" w:evenVBand="0" w:oddHBand="0" w:evenHBand="0" w:firstRowFirstColumn="0" w:firstRowLastColumn="0" w:lastRowFirstColumn="0" w:lastRowLastColumn="0"/>
            <w:tcW w:w="2405" w:type="dxa"/>
            <w:vMerge/>
            <w:vAlign w:val="center"/>
            <w:hideMark/>
          </w:tcPr>
          <w:p w:rsidR="000C0A41" w:rsidRPr="00057657" w:rsidRDefault="000C0A41" w:rsidP="00057657">
            <w:pPr>
              <w:jc w:val="left"/>
            </w:pPr>
          </w:p>
        </w:tc>
        <w:tc>
          <w:tcPr>
            <w:tcW w:w="1565" w:type="dxa"/>
            <w:hideMark/>
          </w:tcPr>
          <w:p w:rsidR="000C0A41" w:rsidRPr="00057657" w:rsidRDefault="000C0A41" w:rsidP="00057657">
            <w:pPr>
              <w:cnfStyle w:val="000000000000" w:firstRow="0" w:lastRow="0" w:firstColumn="0" w:lastColumn="0" w:oddVBand="0" w:evenVBand="0" w:oddHBand="0" w:evenHBand="0" w:firstRowFirstColumn="0" w:firstRowLastColumn="0" w:lastRowFirstColumn="0" w:lastRowLastColumn="0"/>
              <w:rPr>
                <w:b/>
                <w:bCs/>
              </w:rPr>
            </w:pPr>
            <w:r w:rsidRPr="00057657">
              <w:rPr>
                <w:b/>
                <w:bCs/>
              </w:rPr>
              <w:t>CPRD raw data</w:t>
            </w:r>
          </w:p>
        </w:tc>
        <w:tc>
          <w:tcPr>
            <w:tcW w:w="1559" w:type="dxa"/>
            <w:hideMark/>
          </w:tcPr>
          <w:p w:rsidR="000C0A41" w:rsidRPr="00057657" w:rsidRDefault="000C0A41" w:rsidP="0094532D">
            <w:pPr>
              <w:jc w:val="center"/>
              <w:cnfStyle w:val="000000000000" w:firstRow="0" w:lastRow="0" w:firstColumn="0" w:lastColumn="0" w:oddVBand="0" w:evenVBand="0" w:oddHBand="0" w:evenHBand="0" w:firstRowFirstColumn="0" w:firstRowLastColumn="0" w:lastRowFirstColumn="0" w:lastRowLastColumn="0"/>
            </w:pPr>
            <w:r w:rsidRPr="00057657">
              <w:t>30,438</w:t>
            </w:r>
          </w:p>
        </w:tc>
        <w:tc>
          <w:tcPr>
            <w:tcW w:w="1843" w:type="dxa"/>
            <w:hideMark/>
          </w:tcPr>
          <w:p w:rsidR="000C0A41" w:rsidRPr="00057657" w:rsidRDefault="000C0A41" w:rsidP="0094532D">
            <w:pPr>
              <w:jc w:val="center"/>
              <w:cnfStyle w:val="000000000000" w:firstRow="0" w:lastRow="0" w:firstColumn="0" w:lastColumn="0" w:oddVBand="0" w:evenVBand="0" w:oddHBand="0" w:evenHBand="0" w:firstRowFirstColumn="0" w:firstRowLastColumn="0" w:lastRowFirstColumn="0" w:lastRowLastColumn="0"/>
            </w:pPr>
            <w:r w:rsidRPr="00057657">
              <w:t>1,088</w:t>
            </w:r>
          </w:p>
        </w:tc>
        <w:tc>
          <w:tcPr>
            <w:tcW w:w="1325" w:type="dxa"/>
            <w:hideMark/>
          </w:tcPr>
          <w:p w:rsidR="000C0A41" w:rsidRPr="00057657" w:rsidRDefault="000C0A41" w:rsidP="0094532D">
            <w:pPr>
              <w:jc w:val="center"/>
              <w:cnfStyle w:val="000000000000" w:firstRow="0" w:lastRow="0" w:firstColumn="0" w:lastColumn="0" w:oddVBand="0" w:evenVBand="0" w:oddHBand="0" w:evenHBand="0" w:firstRowFirstColumn="0" w:firstRowLastColumn="0" w:lastRowFirstColumn="0" w:lastRowLastColumn="0"/>
            </w:pPr>
            <w:r w:rsidRPr="00057657">
              <w:t>3.57%</w:t>
            </w:r>
          </w:p>
        </w:tc>
        <w:tc>
          <w:tcPr>
            <w:tcW w:w="1033" w:type="dxa"/>
            <w:hideMark/>
          </w:tcPr>
          <w:p w:rsidR="000C0A41" w:rsidRPr="00057657" w:rsidRDefault="000C0A41" w:rsidP="0094532D">
            <w:pPr>
              <w:jc w:val="center"/>
              <w:cnfStyle w:val="000000000000" w:firstRow="0" w:lastRow="0" w:firstColumn="0" w:lastColumn="0" w:oddVBand="0" w:evenVBand="0" w:oddHBand="0" w:evenHBand="0" w:firstRowFirstColumn="0" w:firstRowLastColumn="0" w:lastRowFirstColumn="0" w:lastRowLastColumn="0"/>
            </w:pPr>
          </w:p>
        </w:tc>
      </w:tr>
      <w:tr w:rsidR="000C0A41" w:rsidRPr="00057657" w:rsidTr="0094532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05" w:type="dxa"/>
            <w:vMerge w:val="restart"/>
            <w:vAlign w:val="center"/>
            <w:hideMark/>
          </w:tcPr>
          <w:p w:rsidR="000C0A41" w:rsidRPr="00057657" w:rsidRDefault="000C0A41" w:rsidP="00057657">
            <w:pPr>
              <w:jc w:val="left"/>
            </w:pPr>
            <w:r w:rsidRPr="00057657">
              <w:t>North West</w:t>
            </w:r>
          </w:p>
        </w:tc>
        <w:tc>
          <w:tcPr>
            <w:tcW w:w="1565" w:type="dxa"/>
            <w:hideMark/>
          </w:tcPr>
          <w:p w:rsidR="000C0A41" w:rsidRPr="00057657" w:rsidRDefault="000C0A41" w:rsidP="00057657">
            <w:pPr>
              <w:cnfStyle w:val="000000100000" w:firstRow="0" w:lastRow="0" w:firstColumn="0" w:lastColumn="0" w:oddVBand="0" w:evenVBand="0" w:oddHBand="1" w:evenHBand="0" w:firstRowFirstColumn="0" w:firstRowLastColumn="0" w:lastRowFirstColumn="0" w:lastRowLastColumn="0"/>
              <w:rPr>
                <w:b/>
                <w:bCs/>
              </w:rPr>
            </w:pPr>
            <w:r w:rsidRPr="00057657">
              <w:rPr>
                <w:b/>
                <w:bCs/>
              </w:rPr>
              <w:t>Estimated</w:t>
            </w:r>
          </w:p>
        </w:tc>
        <w:tc>
          <w:tcPr>
            <w:tcW w:w="1559" w:type="dxa"/>
            <w:noWrap/>
            <w:hideMark/>
          </w:tcPr>
          <w:p w:rsidR="000C0A41" w:rsidRPr="00057657" w:rsidRDefault="000C0A41" w:rsidP="0094532D">
            <w:pPr>
              <w:jc w:val="center"/>
              <w:cnfStyle w:val="000000100000" w:firstRow="0" w:lastRow="0" w:firstColumn="0" w:lastColumn="0" w:oddVBand="0" w:evenVBand="0" w:oddHBand="1" w:evenHBand="0" w:firstRowFirstColumn="0" w:firstRowLastColumn="0" w:lastRowFirstColumn="0" w:lastRowLastColumn="0"/>
            </w:pPr>
            <w:r w:rsidRPr="00057657">
              <w:t>7,370,326</w:t>
            </w:r>
          </w:p>
        </w:tc>
        <w:tc>
          <w:tcPr>
            <w:tcW w:w="1843" w:type="dxa"/>
            <w:noWrap/>
            <w:hideMark/>
          </w:tcPr>
          <w:p w:rsidR="000C0A41" w:rsidRPr="00057657" w:rsidRDefault="000C0A41" w:rsidP="0094532D">
            <w:pPr>
              <w:jc w:val="center"/>
              <w:cnfStyle w:val="000000100000" w:firstRow="0" w:lastRow="0" w:firstColumn="0" w:lastColumn="0" w:oddVBand="0" w:evenVBand="0" w:oddHBand="1" w:evenHBand="0" w:firstRowFirstColumn="0" w:firstRowLastColumn="0" w:lastRowFirstColumn="0" w:lastRowLastColumn="0"/>
            </w:pPr>
            <w:r w:rsidRPr="00057657">
              <w:t>194,590.53</w:t>
            </w:r>
          </w:p>
        </w:tc>
        <w:tc>
          <w:tcPr>
            <w:tcW w:w="1325" w:type="dxa"/>
            <w:noWrap/>
            <w:hideMark/>
          </w:tcPr>
          <w:p w:rsidR="000C0A41" w:rsidRPr="00057657" w:rsidRDefault="000C0A41" w:rsidP="0094532D">
            <w:pPr>
              <w:jc w:val="center"/>
              <w:cnfStyle w:val="000000100000" w:firstRow="0" w:lastRow="0" w:firstColumn="0" w:lastColumn="0" w:oddVBand="0" w:evenVBand="0" w:oddHBand="1" w:evenHBand="0" w:firstRowFirstColumn="0" w:firstRowLastColumn="0" w:lastRowFirstColumn="0" w:lastRowLastColumn="0"/>
            </w:pPr>
            <w:r w:rsidRPr="00057657">
              <w:t>2.64%</w:t>
            </w:r>
          </w:p>
        </w:tc>
        <w:tc>
          <w:tcPr>
            <w:tcW w:w="1033" w:type="dxa"/>
            <w:hideMark/>
          </w:tcPr>
          <w:p w:rsidR="000C0A41" w:rsidRPr="00057657" w:rsidRDefault="000C0A41" w:rsidP="0094532D">
            <w:pPr>
              <w:jc w:val="center"/>
              <w:cnfStyle w:val="000000100000" w:firstRow="0" w:lastRow="0" w:firstColumn="0" w:lastColumn="0" w:oddVBand="0" w:evenVBand="0" w:oddHBand="1" w:evenHBand="0" w:firstRowFirstColumn="0" w:firstRowLastColumn="0" w:lastRowFirstColumn="0" w:lastRowLastColumn="0"/>
            </w:pPr>
            <w:r w:rsidRPr="00057657">
              <w:t>1,159</w:t>
            </w:r>
          </w:p>
        </w:tc>
      </w:tr>
      <w:tr w:rsidR="000C0A41" w:rsidRPr="00057657" w:rsidTr="0094532D">
        <w:trPr>
          <w:trHeight w:val="300"/>
          <w:jc w:val="center"/>
        </w:trPr>
        <w:tc>
          <w:tcPr>
            <w:cnfStyle w:val="001000000000" w:firstRow="0" w:lastRow="0" w:firstColumn="1" w:lastColumn="0" w:oddVBand="0" w:evenVBand="0" w:oddHBand="0" w:evenHBand="0" w:firstRowFirstColumn="0" w:firstRowLastColumn="0" w:lastRowFirstColumn="0" w:lastRowLastColumn="0"/>
            <w:tcW w:w="2405" w:type="dxa"/>
            <w:vMerge/>
            <w:vAlign w:val="center"/>
            <w:hideMark/>
          </w:tcPr>
          <w:p w:rsidR="000C0A41" w:rsidRPr="00057657" w:rsidRDefault="000C0A41" w:rsidP="00057657">
            <w:pPr>
              <w:jc w:val="left"/>
            </w:pPr>
          </w:p>
        </w:tc>
        <w:tc>
          <w:tcPr>
            <w:tcW w:w="1565" w:type="dxa"/>
            <w:hideMark/>
          </w:tcPr>
          <w:p w:rsidR="000C0A41" w:rsidRPr="00057657" w:rsidRDefault="000C0A41" w:rsidP="00057657">
            <w:pPr>
              <w:cnfStyle w:val="000000000000" w:firstRow="0" w:lastRow="0" w:firstColumn="0" w:lastColumn="0" w:oddVBand="0" w:evenVBand="0" w:oddHBand="0" w:evenHBand="0" w:firstRowFirstColumn="0" w:firstRowLastColumn="0" w:lastRowFirstColumn="0" w:lastRowLastColumn="0"/>
              <w:rPr>
                <w:b/>
                <w:bCs/>
              </w:rPr>
            </w:pPr>
            <w:r w:rsidRPr="00057657">
              <w:rPr>
                <w:b/>
                <w:bCs/>
              </w:rPr>
              <w:t>CPRD raw data</w:t>
            </w:r>
          </w:p>
        </w:tc>
        <w:tc>
          <w:tcPr>
            <w:tcW w:w="1559" w:type="dxa"/>
            <w:hideMark/>
          </w:tcPr>
          <w:p w:rsidR="000C0A41" w:rsidRPr="00057657" w:rsidRDefault="000C0A41" w:rsidP="0094532D">
            <w:pPr>
              <w:jc w:val="center"/>
              <w:cnfStyle w:val="000000000000" w:firstRow="0" w:lastRow="0" w:firstColumn="0" w:lastColumn="0" w:oddVBand="0" w:evenVBand="0" w:oddHBand="0" w:evenHBand="0" w:firstRowFirstColumn="0" w:firstRowLastColumn="0" w:lastRowFirstColumn="0" w:lastRowLastColumn="0"/>
            </w:pPr>
            <w:r w:rsidRPr="00057657">
              <w:t>341,173</w:t>
            </w:r>
          </w:p>
        </w:tc>
        <w:tc>
          <w:tcPr>
            <w:tcW w:w="1843" w:type="dxa"/>
            <w:hideMark/>
          </w:tcPr>
          <w:p w:rsidR="000C0A41" w:rsidRPr="00057657" w:rsidRDefault="000C0A41" w:rsidP="0094532D">
            <w:pPr>
              <w:jc w:val="center"/>
              <w:cnfStyle w:val="000000000000" w:firstRow="0" w:lastRow="0" w:firstColumn="0" w:lastColumn="0" w:oddVBand="0" w:evenVBand="0" w:oddHBand="0" w:evenHBand="0" w:firstRowFirstColumn="0" w:firstRowLastColumn="0" w:lastRowFirstColumn="0" w:lastRowLastColumn="0"/>
            </w:pPr>
            <w:r w:rsidRPr="00057657">
              <w:t>9,992</w:t>
            </w:r>
          </w:p>
        </w:tc>
        <w:tc>
          <w:tcPr>
            <w:tcW w:w="1325" w:type="dxa"/>
            <w:hideMark/>
          </w:tcPr>
          <w:p w:rsidR="000C0A41" w:rsidRPr="00057657" w:rsidRDefault="000C0A41" w:rsidP="0094532D">
            <w:pPr>
              <w:jc w:val="center"/>
              <w:cnfStyle w:val="000000000000" w:firstRow="0" w:lastRow="0" w:firstColumn="0" w:lastColumn="0" w:oddVBand="0" w:evenVBand="0" w:oddHBand="0" w:evenHBand="0" w:firstRowFirstColumn="0" w:firstRowLastColumn="0" w:lastRowFirstColumn="0" w:lastRowLastColumn="0"/>
            </w:pPr>
            <w:r w:rsidRPr="00057657">
              <w:t>2.93%</w:t>
            </w:r>
          </w:p>
        </w:tc>
        <w:tc>
          <w:tcPr>
            <w:tcW w:w="1033" w:type="dxa"/>
            <w:hideMark/>
          </w:tcPr>
          <w:p w:rsidR="000C0A41" w:rsidRPr="00057657" w:rsidRDefault="000C0A41" w:rsidP="0094532D">
            <w:pPr>
              <w:jc w:val="center"/>
              <w:cnfStyle w:val="000000000000" w:firstRow="0" w:lastRow="0" w:firstColumn="0" w:lastColumn="0" w:oddVBand="0" w:evenVBand="0" w:oddHBand="0" w:evenHBand="0" w:firstRowFirstColumn="0" w:firstRowLastColumn="0" w:lastRowFirstColumn="0" w:lastRowLastColumn="0"/>
            </w:pPr>
          </w:p>
        </w:tc>
      </w:tr>
      <w:tr w:rsidR="000C0A41" w:rsidRPr="00057657" w:rsidTr="0094532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05" w:type="dxa"/>
            <w:vMerge w:val="restart"/>
            <w:vAlign w:val="center"/>
            <w:hideMark/>
          </w:tcPr>
          <w:p w:rsidR="000C0A41" w:rsidRPr="00057657" w:rsidRDefault="000C0A41" w:rsidP="00057657">
            <w:pPr>
              <w:jc w:val="left"/>
            </w:pPr>
            <w:r w:rsidRPr="00057657">
              <w:t>South East</w:t>
            </w:r>
          </w:p>
        </w:tc>
        <w:tc>
          <w:tcPr>
            <w:tcW w:w="1565" w:type="dxa"/>
            <w:hideMark/>
          </w:tcPr>
          <w:p w:rsidR="000C0A41" w:rsidRPr="00057657" w:rsidRDefault="000C0A41" w:rsidP="00057657">
            <w:pPr>
              <w:cnfStyle w:val="000000100000" w:firstRow="0" w:lastRow="0" w:firstColumn="0" w:lastColumn="0" w:oddVBand="0" w:evenVBand="0" w:oddHBand="1" w:evenHBand="0" w:firstRowFirstColumn="0" w:firstRowLastColumn="0" w:lastRowFirstColumn="0" w:lastRowLastColumn="0"/>
              <w:rPr>
                <w:b/>
                <w:bCs/>
              </w:rPr>
            </w:pPr>
            <w:r w:rsidRPr="00057657">
              <w:rPr>
                <w:b/>
                <w:bCs/>
              </w:rPr>
              <w:t>Estimated</w:t>
            </w:r>
          </w:p>
        </w:tc>
        <w:tc>
          <w:tcPr>
            <w:tcW w:w="1559" w:type="dxa"/>
            <w:noWrap/>
            <w:hideMark/>
          </w:tcPr>
          <w:p w:rsidR="000C0A41" w:rsidRPr="00057657" w:rsidRDefault="000C0A41" w:rsidP="0094532D">
            <w:pPr>
              <w:jc w:val="center"/>
              <w:cnfStyle w:val="000000100000" w:firstRow="0" w:lastRow="0" w:firstColumn="0" w:lastColumn="0" w:oddVBand="0" w:evenVBand="0" w:oddHBand="1" w:evenHBand="0" w:firstRowFirstColumn="0" w:firstRowLastColumn="0" w:lastRowFirstColumn="0" w:lastRowLastColumn="0"/>
            </w:pPr>
            <w:r w:rsidRPr="00057657">
              <w:t>8,357,166</w:t>
            </w:r>
          </w:p>
        </w:tc>
        <w:tc>
          <w:tcPr>
            <w:tcW w:w="1843" w:type="dxa"/>
            <w:noWrap/>
            <w:hideMark/>
          </w:tcPr>
          <w:p w:rsidR="000C0A41" w:rsidRPr="00057657" w:rsidRDefault="000C0A41" w:rsidP="0094532D">
            <w:pPr>
              <w:jc w:val="center"/>
              <w:cnfStyle w:val="000000100000" w:firstRow="0" w:lastRow="0" w:firstColumn="0" w:lastColumn="0" w:oddVBand="0" w:evenVBand="0" w:oddHBand="1" w:evenHBand="0" w:firstRowFirstColumn="0" w:firstRowLastColumn="0" w:lastRowFirstColumn="0" w:lastRowLastColumn="0"/>
            </w:pPr>
            <w:r w:rsidRPr="00057657">
              <w:t>190,798.24</w:t>
            </w:r>
          </w:p>
        </w:tc>
        <w:tc>
          <w:tcPr>
            <w:tcW w:w="1325" w:type="dxa"/>
            <w:noWrap/>
            <w:hideMark/>
          </w:tcPr>
          <w:p w:rsidR="000C0A41" w:rsidRPr="00057657" w:rsidRDefault="000C0A41" w:rsidP="0094532D">
            <w:pPr>
              <w:jc w:val="center"/>
              <w:cnfStyle w:val="000000100000" w:firstRow="0" w:lastRow="0" w:firstColumn="0" w:lastColumn="0" w:oddVBand="0" w:evenVBand="0" w:oddHBand="1" w:evenHBand="0" w:firstRowFirstColumn="0" w:firstRowLastColumn="0" w:lastRowFirstColumn="0" w:lastRowLastColumn="0"/>
            </w:pPr>
            <w:r w:rsidRPr="00057657">
              <w:t>2.28%</w:t>
            </w:r>
          </w:p>
        </w:tc>
        <w:tc>
          <w:tcPr>
            <w:tcW w:w="1033" w:type="dxa"/>
            <w:hideMark/>
          </w:tcPr>
          <w:p w:rsidR="000C0A41" w:rsidRPr="00057657" w:rsidRDefault="000C0A41" w:rsidP="0094532D">
            <w:pPr>
              <w:jc w:val="center"/>
              <w:cnfStyle w:val="000000100000" w:firstRow="0" w:lastRow="0" w:firstColumn="0" w:lastColumn="0" w:oddVBand="0" w:evenVBand="0" w:oddHBand="1" w:evenHBand="0" w:firstRowFirstColumn="0" w:firstRowLastColumn="0" w:lastRowFirstColumn="0" w:lastRowLastColumn="0"/>
            </w:pPr>
            <w:r w:rsidRPr="00057657">
              <w:t>958</w:t>
            </w:r>
          </w:p>
        </w:tc>
      </w:tr>
      <w:tr w:rsidR="000C0A41" w:rsidRPr="00057657" w:rsidTr="0094532D">
        <w:trPr>
          <w:trHeight w:val="300"/>
          <w:jc w:val="center"/>
        </w:trPr>
        <w:tc>
          <w:tcPr>
            <w:cnfStyle w:val="001000000000" w:firstRow="0" w:lastRow="0" w:firstColumn="1" w:lastColumn="0" w:oddVBand="0" w:evenVBand="0" w:oddHBand="0" w:evenHBand="0" w:firstRowFirstColumn="0" w:firstRowLastColumn="0" w:lastRowFirstColumn="0" w:lastRowLastColumn="0"/>
            <w:tcW w:w="2405" w:type="dxa"/>
            <w:vMerge/>
            <w:vAlign w:val="center"/>
            <w:hideMark/>
          </w:tcPr>
          <w:p w:rsidR="000C0A41" w:rsidRPr="00057657" w:rsidRDefault="000C0A41" w:rsidP="00057657">
            <w:pPr>
              <w:jc w:val="left"/>
            </w:pPr>
          </w:p>
        </w:tc>
        <w:tc>
          <w:tcPr>
            <w:tcW w:w="1565" w:type="dxa"/>
            <w:hideMark/>
          </w:tcPr>
          <w:p w:rsidR="000C0A41" w:rsidRPr="00057657" w:rsidRDefault="000C0A41" w:rsidP="00057657">
            <w:pPr>
              <w:cnfStyle w:val="000000000000" w:firstRow="0" w:lastRow="0" w:firstColumn="0" w:lastColumn="0" w:oddVBand="0" w:evenVBand="0" w:oddHBand="0" w:evenHBand="0" w:firstRowFirstColumn="0" w:firstRowLastColumn="0" w:lastRowFirstColumn="0" w:lastRowLastColumn="0"/>
              <w:rPr>
                <w:b/>
                <w:bCs/>
              </w:rPr>
            </w:pPr>
            <w:r w:rsidRPr="00057657">
              <w:rPr>
                <w:b/>
                <w:bCs/>
              </w:rPr>
              <w:t>CPRD raw data</w:t>
            </w:r>
          </w:p>
        </w:tc>
        <w:tc>
          <w:tcPr>
            <w:tcW w:w="1559" w:type="dxa"/>
            <w:hideMark/>
          </w:tcPr>
          <w:p w:rsidR="000C0A41" w:rsidRPr="00057657" w:rsidRDefault="000C0A41" w:rsidP="0094532D">
            <w:pPr>
              <w:jc w:val="center"/>
              <w:cnfStyle w:val="000000000000" w:firstRow="0" w:lastRow="0" w:firstColumn="0" w:lastColumn="0" w:oddVBand="0" w:evenVBand="0" w:oddHBand="0" w:evenHBand="0" w:firstRowFirstColumn="0" w:firstRowLastColumn="0" w:lastRowFirstColumn="0" w:lastRowLastColumn="0"/>
            </w:pPr>
            <w:r w:rsidRPr="00057657">
              <w:t>433,381</w:t>
            </w:r>
          </w:p>
        </w:tc>
        <w:tc>
          <w:tcPr>
            <w:tcW w:w="1843" w:type="dxa"/>
            <w:hideMark/>
          </w:tcPr>
          <w:p w:rsidR="000C0A41" w:rsidRPr="00057657" w:rsidRDefault="000C0A41" w:rsidP="0094532D">
            <w:pPr>
              <w:jc w:val="center"/>
              <w:cnfStyle w:val="000000000000" w:firstRow="0" w:lastRow="0" w:firstColumn="0" w:lastColumn="0" w:oddVBand="0" w:evenVBand="0" w:oddHBand="0" w:evenHBand="0" w:firstRowFirstColumn="0" w:firstRowLastColumn="0" w:lastRowFirstColumn="0" w:lastRowLastColumn="0"/>
            </w:pPr>
            <w:r w:rsidRPr="00057657">
              <w:t>8,411</w:t>
            </w:r>
          </w:p>
        </w:tc>
        <w:tc>
          <w:tcPr>
            <w:tcW w:w="1325" w:type="dxa"/>
            <w:hideMark/>
          </w:tcPr>
          <w:p w:rsidR="000C0A41" w:rsidRPr="00057657" w:rsidRDefault="000C0A41" w:rsidP="0094532D">
            <w:pPr>
              <w:jc w:val="center"/>
              <w:cnfStyle w:val="000000000000" w:firstRow="0" w:lastRow="0" w:firstColumn="0" w:lastColumn="0" w:oddVBand="0" w:evenVBand="0" w:oddHBand="0" w:evenHBand="0" w:firstRowFirstColumn="0" w:firstRowLastColumn="0" w:lastRowFirstColumn="0" w:lastRowLastColumn="0"/>
            </w:pPr>
            <w:r w:rsidRPr="00057657">
              <w:t>1.94%</w:t>
            </w:r>
          </w:p>
        </w:tc>
        <w:tc>
          <w:tcPr>
            <w:tcW w:w="1033" w:type="dxa"/>
            <w:hideMark/>
          </w:tcPr>
          <w:p w:rsidR="000C0A41" w:rsidRPr="00057657" w:rsidRDefault="000C0A41" w:rsidP="0094532D">
            <w:pPr>
              <w:jc w:val="center"/>
              <w:cnfStyle w:val="000000000000" w:firstRow="0" w:lastRow="0" w:firstColumn="0" w:lastColumn="0" w:oddVBand="0" w:evenVBand="0" w:oddHBand="0" w:evenHBand="0" w:firstRowFirstColumn="0" w:firstRowLastColumn="0" w:lastRowFirstColumn="0" w:lastRowLastColumn="0"/>
            </w:pPr>
          </w:p>
        </w:tc>
      </w:tr>
      <w:tr w:rsidR="000C0A41" w:rsidRPr="00057657" w:rsidTr="0094532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05" w:type="dxa"/>
            <w:vMerge w:val="restart"/>
            <w:vAlign w:val="center"/>
            <w:hideMark/>
          </w:tcPr>
          <w:p w:rsidR="000C0A41" w:rsidRPr="00057657" w:rsidRDefault="000C0A41" w:rsidP="00057657">
            <w:pPr>
              <w:jc w:val="left"/>
            </w:pPr>
            <w:r w:rsidRPr="00057657">
              <w:t>South West</w:t>
            </w:r>
          </w:p>
        </w:tc>
        <w:tc>
          <w:tcPr>
            <w:tcW w:w="1565" w:type="dxa"/>
            <w:hideMark/>
          </w:tcPr>
          <w:p w:rsidR="000C0A41" w:rsidRPr="00057657" w:rsidRDefault="000C0A41" w:rsidP="00057657">
            <w:pPr>
              <w:cnfStyle w:val="000000100000" w:firstRow="0" w:lastRow="0" w:firstColumn="0" w:lastColumn="0" w:oddVBand="0" w:evenVBand="0" w:oddHBand="1" w:evenHBand="0" w:firstRowFirstColumn="0" w:firstRowLastColumn="0" w:lastRowFirstColumn="0" w:lastRowLastColumn="0"/>
              <w:rPr>
                <w:b/>
                <w:bCs/>
              </w:rPr>
            </w:pPr>
            <w:r w:rsidRPr="00057657">
              <w:rPr>
                <w:b/>
                <w:bCs/>
              </w:rPr>
              <w:t>Estimated</w:t>
            </w:r>
          </w:p>
        </w:tc>
        <w:tc>
          <w:tcPr>
            <w:tcW w:w="1559" w:type="dxa"/>
            <w:noWrap/>
            <w:hideMark/>
          </w:tcPr>
          <w:p w:rsidR="000C0A41" w:rsidRPr="00057657" w:rsidRDefault="000C0A41" w:rsidP="0094532D">
            <w:pPr>
              <w:jc w:val="center"/>
              <w:cnfStyle w:val="000000100000" w:firstRow="0" w:lastRow="0" w:firstColumn="0" w:lastColumn="0" w:oddVBand="0" w:evenVBand="0" w:oddHBand="1" w:evenHBand="0" w:firstRowFirstColumn="0" w:firstRowLastColumn="0" w:lastRowFirstColumn="0" w:lastRowLastColumn="0"/>
            </w:pPr>
            <w:r w:rsidRPr="00057657">
              <w:t>5,449,948</w:t>
            </w:r>
          </w:p>
        </w:tc>
        <w:tc>
          <w:tcPr>
            <w:tcW w:w="1843" w:type="dxa"/>
            <w:noWrap/>
            <w:hideMark/>
          </w:tcPr>
          <w:p w:rsidR="000C0A41" w:rsidRPr="00057657" w:rsidRDefault="000C0A41" w:rsidP="0094532D">
            <w:pPr>
              <w:jc w:val="center"/>
              <w:cnfStyle w:val="000000100000" w:firstRow="0" w:lastRow="0" w:firstColumn="0" w:lastColumn="0" w:oddVBand="0" w:evenVBand="0" w:oddHBand="1" w:evenHBand="0" w:firstRowFirstColumn="0" w:firstRowLastColumn="0" w:lastRowFirstColumn="0" w:lastRowLastColumn="0"/>
            </w:pPr>
            <w:r w:rsidRPr="00057657">
              <w:t>151,386.95</w:t>
            </w:r>
          </w:p>
        </w:tc>
        <w:tc>
          <w:tcPr>
            <w:tcW w:w="1325" w:type="dxa"/>
            <w:noWrap/>
            <w:hideMark/>
          </w:tcPr>
          <w:p w:rsidR="000C0A41" w:rsidRPr="00057657" w:rsidRDefault="000C0A41" w:rsidP="0094532D">
            <w:pPr>
              <w:jc w:val="center"/>
              <w:cnfStyle w:val="000000100000" w:firstRow="0" w:lastRow="0" w:firstColumn="0" w:lastColumn="0" w:oddVBand="0" w:evenVBand="0" w:oddHBand="1" w:evenHBand="0" w:firstRowFirstColumn="0" w:firstRowLastColumn="0" w:lastRowFirstColumn="0" w:lastRowLastColumn="0"/>
            </w:pPr>
            <w:r w:rsidRPr="00057657">
              <w:t>2.78%</w:t>
            </w:r>
          </w:p>
        </w:tc>
        <w:tc>
          <w:tcPr>
            <w:tcW w:w="1033" w:type="dxa"/>
            <w:hideMark/>
          </w:tcPr>
          <w:p w:rsidR="000C0A41" w:rsidRPr="00057657" w:rsidRDefault="000C0A41" w:rsidP="0094532D">
            <w:pPr>
              <w:jc w:val="center"/>
              <w:cnfStyle w:val="000000100000" w:firstRow="0" w:lastRow="0" w:firstColumn="0" w:lastColumn="0" w:oddVBand="0" w:evenVBand="0" w:oddHBand="1" w:evenHBand="0" w:firstRowFirstColumn="0" w:firstRowLastColumn="0" w:lastRowFirstColumn="0" w:lastRowLastColumn="0"/>
            </w:pPr>
            <w:r w:rsidRPr="00057657">
              <w:t>670</w:t>
            </w:r>
          </w:p>
        </w:tc>
      </w:tr>
      <w:tr w:rsidR="000C0A41" w:rsidRPr="00057657" w:rsidTr="0094532D">
        <w:trPr>
          <w:trHeight w:val="300"/>
          <w:jc w:val="center"/>
        </w:trPr>
        <w:tc>
          <w:tcPr>
            <w:cnfStyle w:val="001000000000" w:firstRow="0" w:lastRow="0" w:firstColumn="1" w:lastColumn="0" w:oddVBand="0" w:evenVBand="0" w:oddHBand="0" w:evenHBand="0" w:firstRowFirstColumn="0" w:firstRowLastColumn="0" w:lastRowFirstColumn="0" w:lastRowLastColumn="0"/>
            <w:tcW w:w="2405" w:type="dxa"/>
            <w:vMerge/>
            <w:vAlign w:val="center"/>
            <w:hideMark/>
          </w:tcPr>
          <w:p w:rsidR="000C0A41" w:rsidRPr="00057657" w:rsidRDefault="000C0A41" w:rsidP="00057657">
            <w:pPr>
              <w:jc w:val="left"/>
            </w:pPr>
          </w:p>
        </w:tc>
        <w:tc>
          <w:tcPr>
            <w:tcW w:w="1565" w:type="dxa"/>
            <w:hideMark/>
          </w:tcPr>
          <w:p w:rsidR="000C0A41" w:rsidRPr="00057657" w:rsidRDefault="000C0A41" w:rsidP="00057657">
            <w:pPr>
              <w:cnfStyle w:val="000000000000" w:firstRow="0" w:lastRow="0" w:firstColumn="0" w:lastColumn="0" w:oddVBand="0" w:evenVBand="0" w:oddHBand="0" w:evenHBand="0" w:firstRowFirstColumn="0" w:firstRowLastColumn="0" w:lastRowFirstColumn="0" w:lastRowLastColumn="0"/>
              <w:rPr>
                <w:b/>
                <w:bCs/>
              </w:rPr>
            </w:pPr>
            <w:r w:rsidRPr="00057657">
              <w:rPr>
                <w:b/>
                <w:bCs/>
              </w:rPr>
              <w:t>CPRD raw data</w:t>
            </w:r>
          </w:p>
        </w:tc>
        <w:tc>
          <w:tcPr>
            <w:tcW w:w="1559" w:type="dxa"/>
            <w:hideMark/>
          </w:tcPr>
          <w:p w:rsidR="000C0A41" w:rsidRPr="00057657" w:rsidRDefault="000C0A41" w:rsidP="0094532D">
            <w:pPr>
              <w:jc w:val="center"/>
              <w:cnfStyle w:val="000000000000" w:firstRow="0" w:lastRow="0" w:firstColumn="0" w:lastColumn="0" w:oddVBand="0" w:evenVBand="0" w:oddHBand="0" w:evenHBand="0" w:firstRowFirstColumn="0" w:firstRowLastColumn="0" w:lastRowFirstColumn="0" w:lastRowLastColumn="0"/>
            </w:pPr>
            <w:r w:rsidRPr="00057657">
              <w:t>257,670</w:t>
            </w:r>
          </w:p>
        </w:tc>
        <w:tc>
          <w:tcPr>
            <w:tcW w:w="1843" w:type="dxa"/>
            <w:hideMark/>
          </w:tcPr>
          <w:p w:rsidR="000C0A41" w:rsidRPr="00057657" w:rsidRDefault="000C0A41" w:rsidP="0094532D">
            <w:pPr>
              <w:jc w:val="center"/>
              <w:cnfStyle w:val="000000000000" w:firstRow="0" w:lastRow="0" w:firstColumn="0" w:lastColumn="0" w:oddVBand="0" w:evenVBand="0" w:oddHBand="0" w:evenHBand="0" w:firstRowFirstColumn="0" w:firstRowLastColumn="0" w:lastRowFirstColumn="0" w:lastRowLastColumn="0"/>
            </w:pPr>
            <w:r w:rsidRPr="00057657">
              <w:t>5,589</w:t>
            </w:r>
          </w:p>
        </w:tc>
        <w:tc>
          <w:tcPr>
            <w:tcW w:w="1325" w:type="dxa"/>
            <w:hideMark/>
          </w:tcPr>
          <w:p w:rsidR="000C0A41" w:rsidRPr="00057657" w:rsidRDefault="000C0A41" w:rsidP="0094532D">
            <w:pPr>
              <w:jc w:val="center"/>
              <w:cnfStyle w:val="000000000000" w:firstRow="0" w:lastRow="0" w:firstColumn="0" w:lastColumn="0" w:oddVBand="0" w:evenVBand="0" w:oddHBand="0" w:evenHBand="0" w:firstRowFirstColumn="0" w:firstRowLastColumn="0" w:lastRowFirstColumn="0" w:lastRowLastColumn="0"/>
            </w:pPr>
            <w:r w:rsidRPr="00057657">
              <w:t>2.17%</w:t>
            </w:r>
          </w:p>
        </w:tc>
        <w:tc>
          <w:tcPr>
            <w:tcW w:w="1033" w:type="dxa"/>
            <w:hideMark/>
          </w:tcPr>
          <w:p w:rsidR="000C0A41" w:rsidRPr="00057657" w:rsidRDefault="000C0A41" w:rsidP="0094532D">
            <w:pPr>
              <w:jc w:val="center"/>
              <w:cnfStyle w:val="000000000000" w:firstRow="0" w:lastRow="0" w:firstColumn="0" w:lastColumn="0" w:oddVBand="0" w:evenVBand="0" w:oddHBand="0" w:evenHBand="0" w:firstRowFirstColumn="0" w:firstRowLastColumn="0" w:lastRowFirstColumn="0" w:lastRowLastColumn="0"/>
            </w:pPr>
          </w:p>
        </w:tc>
      </w:tr>
      <w:tr w:rsidR="000C0A41" w:rsidRPr="00057657" w:rsidTr="0094532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05" w:type="dxa"/>
            <w:vMerge w:val="restart"/>
            <w:noWrap/>
            <w:vAlign w:val="center"/>
            <w:hideMark/>
          </w:tcPr>
          <w:p w:rsidR="000C0A41" w:rsidRPr="00057657" w:rsidRDefault="000C0A41" w:rsidP="00057657">
            <w:pPr>
              <w:jc w:val="left"/>
            </w:pPr>
            <w:r w:rsidRPr="00057657">
              <w:t>West Midlands</w:t>
            </w:r>
          </w:p>
        </w:tc>
        <w:tc>
          <w:tcPr>
            <w:tcW w:w="1565" w:type="dxa"/>
            <w:hideMark/>
          </w:tcPr>
          <w:p w:rsidR="000C0A41" w:rsidRPr="00057657" w:rsidRDefault="000C0A41" w:rsidP="00057657">
            <w:pPr>
              <w:cnfStyle w:val="000000100000" w:firstRow="0" w:lastRow="0" w:firstColumn="0" w:lastColumn="0" w:oddVBand="0" w:evenVBand="0" w:oddHBand="1" w:evenHBand="0" w:firstRowFirstColumn="0" w:firstRowLastColumn="0" w:lastRowFirstColumn="0" w:lastRowLastColumn="0"/>
              <w:rPr>
                <w:b/>
                <w:bCs/>
              </w:rPr>
            </w:pPr>
            <w:r w:rsidRPr="00057657">
              <w:rPr>
                <w:b/>
                <w:bCs/>
              </w:rPr>
              <w:t>Estimated</w:t>
            </w:r>
          </w:p>
        </w:tc>
        <w:tc>
          <w:tcPr>
            <w:tcW w:w="1559" w:type="dxa"/>
            <w:noWrap/>
            <w:hideMark/>
          </w:tcPr>
          <w:p w:rsidR="000C0A41" w:rsidRPr="00057657" w:rsidRDefault="000C0A41" w:rsidP="0094532D">
            <w:pPr>
              <w:jc w:val="center"/>
              <w:cnfStyle w:val="000000100000" w:firstRow="0" w:lastRow="0" w:firstColumn="0" w:lastColumn="0" w:oddVBand="0" w:evenVBand="0" w:oddHBand="1" w:evenHBand="0" w:firstRowFirstColumn="0" w:firstRowLastColumn="0" w:lastRowFirstColumn="0" w:lastRowLastColumn="0"/>
            </w:pPr>
            <w:r w:rsidRPr="00057657">
              <w:t>5,824,981</w:t>
            </w:r>
          </w:p>
        </w:tc>
        <w:tc>
          <w:tcPr>
            <w:tcW w:w="1843" w:type="dxa"/>
            <w:noWrap/>
            <w:hideMark/>
          </w:tcPr>
          <w:p w:rsidR="000C0A41" w:rsidRPr="00057657" w:rsidRDefault="000C0A41" w:rsidP="0094532D">
            <w:pPr>
              <w:jc w:val="center"/>
              <w:cnfStyle w:val="000000100000" w:firstRow="0" w:lastRow="0" w:firstColumn="0" w:lastColumn="0" w:oddVBand="0" w:evenVBand="0" w:oddHBand="1" w:evenHBand="0" w:firstRowFirstColumn="0" w:firstRowLastColumn="0" w:lastRowFirstColumn="0" w:lastRowLastColumn="0"/>
            </w:pPr>
            <w:r w:rsidRPr="00057657">
              <w:t>143,941.90</w:t>
            </w:r>
          </w:p>
        </w:tc>
        <w:tc>
          <w:tcPr>
            <w:tcW w:w="1325" w:type="dxa"/>
            <w:noWrap/>
            <w:hideMark/>
          </w:tcPr>
          <w:p w:rsidR="000C0A41" w:rsidRPr="00057657" w:rsidRDefault="000C0A41" w:rsidP="0094532D">
            <w:pPr>
              <w:jc w:val="center"/>
              <w:cnfStyle w:val="000000100000" w:firstRow="0" w:lastRow="0" w:firstColumn="0" w:lastColumn="0" w:oddVBand="0" w:evenVBand="0" w:oddHBand="1" w:evenHBand="0" w:firstRowFirstColumn="0" w:firstRowLastColumn="0" w:lastRowFirstColumn="0" w:lastRowLastColumn="0"/>
            </w:pPr>
            <w:r w:rsidRPr="00057657">
              <w:t>2.47%</w:t>
            </w:r>
          </w:p>
        </w:tc>
        <w:tc>
          <w:tcPr>
            <w:tcW w:w="1033" w:type="dxa"/>
            <w:hideMark/>
          </w:tcPr>
          <w:p w:rsidR="000C0A41" w:rsidRPr="00057657" w:rsidRDefault="000C0A41" w:rsidP="0094532D">
            <w:pPr>
              <w:jc w:val="center"/>
              <w:cnfStyle w:val="000000100000" w:firstRow="0" w:lastRow="0" w:firstColumn="0" w:lastColumn="0" w:oddVBand="0" w:evenVBand="0" w:oddHBand="1" w:evenHBand="0" w:firstRowFirstColumn="0" w:firstRowLastColumn="0" w:lastRowFirstColumn="0" w:lastRowLastColumn="0"/>
            </w:pPr>
            <w:r w:rsidRPr="00057657">
              <w:t>879</w:t>
            </w:r>
          </w:p>
        </w:tc>
      </w:tr>
      <w:tr w:rsidR="000C0A41" w:rsidRPr="00057657" w:rsidTr="0094532D">
        <w:trPr>
          <w:trHeight w:val="300"/>
          <w:jc w:val="center"/>
        </w:trPr>
        <w:tc>
          <w:tcPr>
            <w:cnfStyle w:val="001000000000" w:firstRow="0" w:lastRow="0" w:firstColumn="1" w:lastColumn="0" w:oddVBand="0" w:evenVBand="0" w:oddHBand="0" w:evenHBand="0" w:firstRowFirstColumn="0" w:firstRowLastColumn="0" w:lastRowFirstColumn="0" w:lastRowLastColumn="0"/>
            <w:tcW w:w="2405" w:type="dxa"/>
            <w:vMerge/>
            <w:vAlign w:val="center"/>
            <w:hideMark/>
          </w:tcPr>
          <w:p w:rsidR="000C0A41" w:rsidRPr="00057657" w:rsidRDefault="000C0A41" w:rsidP="00057657">
            <w:pPr>
              <w:jc w:val="left"/>
            </w:pPr>
          </w:p>
        </w:tc>
        <w:tc>
          <w:tcPr>
            <w:tcW w:w="1565" w:type="dxa"/>
            <w:hideMark/>
          </w:tcPr>
          <w:p w:rsidR="000C0A41" w:rsidRPr="00057657" w:rsidRDefault="000C0A41" w:rsidP="00057657">
            <w:pPr>
              <w:cnfStyle w:val="000000000000" w:firstRow="0" w:lastRow="0" w:firstColumn="0" w:lastColumn="0" w:oddVBand="0" w:evenVBand="0" w:oddHBand="0" w:evenHBand="0" w:firstRowFirstColumn="0" w:firstRowLastColumn="0" w:lastRowFirstColumn="0" w:lastRowLastColumn="0"/>
              <w:rPr>
                <w:b/>
                <w:bCs/>
              </w:rPr>
            </w:pPr>
            <w:r w:rsidRPr="00057657">
              <w:rPr>
                <w:b/>
                <w:bCs/>
              </w:rPr>
              <w:t>CPRD raw data</w:t>
            </w:r>
          </w:p>
        </w:tc>
        <w:tc>
          <w:tcPr>
            <w:tcW w:w="1559" w:type="dxa"/>
            <w:hideMark/>
          </w:tcPr>
          <w:p w:rsidR="000C0A41" w:rsidRPr="00057657" w:rsidRDefault="000C0A41" w:rsidP="0094532D">
            <w:pPr>
              <w:jc w:val="center"/>
              <w:cnfStyle w:val="000000000000" w:firstRow="0" w:lastRow="0" w:firstColumn="0" w:lastColumn="0" w:oddVBand="0" w:evenVBand="0" w:oddHBand="0" w:evenHBand="0" w:firstRowFirstColumn="0" w:firstRowLastColumn="0" w:lastRowFirstColumn="0" w:lastRowLastColumn="0"/>
            </w:pPr>
            <w:r w:rsidRPr="00057657">
              <w:t>289,993</w:t>
            </w:r>
          </w:p>
        </w:tc>
        <w:tc>
          <w:tcPr>
            <w:tcW w:w="1843" w:type="dxa"/>
            <w:hideMark/>
          </w:tcPr>
          <w:p w:rsidR="000C0A41" w:rsidRPr="00057657" w:rsidRDefault="000C0A41" w:rsidP="0094532D">
            <w:pPr>
              <w:jc w:val="center"/>
              <w:cnfStyle w:val="000000000000" w:firstRow="0" w:lastRow="0" w:firstColumn="0" w:lastColumn="0" w:oddVBand="0" w:evenVBand="0" w:oddHBand="0" w:evenHBand="0" w:firstRowFirstColumn="0" w:firstRowLastColumn="0" w:lastRowFirstColumn="0" w:lastRowLastColumn="0"/>
            </w:pPr>
            <w:r w:rsidRPr="00057657">
              <w:t>5,700</w:t>
            </w:r>
          </w:p>
        </w:tc>
        <w:tc>
          <w:tcPr>
            <w:tcW w:w="1325" w:type="dxa"/>
            <w:hideMark/>
          </w:tcPr>
          <w:p w:rsidR="000C0A41" w:rsidRPr="00057657" w:rsidRDefault="000C0A41" w:rsidP="0094532D">
            <w:pPr>
              <w:jc w:val="center"/>
              <w:cnfStyle w:val="000000000000" w:firstRow="0" w:lastRow="0" w:firstColumn="0" w:lastColumn="0" w:oddVBand="0" w:evenVBand="0" w:oddHBand="0" w:evenHBand="0" w:firstRowFirstColumn="0" w:firstRowLastColumn="0" w:lastRowFirstColumn="0" w:lastRowLastColumn="0"/>
            </w:pPr>
            <w:r w:rsidRPr="00057657">
              <w:t>1.97%</w:t>
            </w:r>
          </w:p>
        </w:tc>
        <w:tc>
          <w:tcPr>
            <w:tcW w:w="1033" w:type="dxa"/>
            <w:hideMark/>
          </w:tcPr>
          <w:p w:rsidR="000C0A41" w:rsidRPr="00057657" w:rsidRDefault="000C0A41" w:rsidP="0094532D">
            <w:pPr>
              <w:jc w:val="center"/>
              <w:cnfStyle w:val="000000000000" w:firstRow="0" w:lastRow="0" w:firstColumn="0" w:lastColumn="0" w:oddVBand="0" w:evenVBand="0" w:oddHBand="0" w:evenHBand="0" w:firstRowFirstColumn="0" w:firstRowLastColumn="0" w:lastRowFirstColumn="0" w:lastRowLastColumn="0"/>
            </w:pPr>
          </w:p>
        </w:tc>
      </w:tr>
      <w:tr w:rsidR="000C0A41" w:rsidRPr="00057657" w:rsidTr="0094532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05" w:type="dxa"/>
            <w:vMerge w:val="restart"/>
            <w:vAlign w:val="center"/>
            <w:hideMark/>
          </w:tcPr>
          <w:p w:rsidR="000C0A41" w:rsidRPr="00057657" w:rsidRDefault="000C0A41" w:rsidP="00057657">
            <w:pPr>
              <w:jc w:val="left"/>
            </w:pPr>
            <w:r w:rsidRPr="00057657">
              <w:t>Yorkshire &amp;  Humber</w:t>
            </w:r>
          </w:p>
        </w:tc>
        <w:tc>
          <w:tcPr>
            <w:tcW w:w="1565" w:type="dxa"/>
            <w:hideMark/>
          </w:tcPr>
          <w:p w:rsidR="000C0A41" w:rsidRPr="00057657" w:rsidRDefault="000C0A41" w:rsidP="00057657">
            <w:pPr>
              <w:cnfStyle w:val="000000100000" w:firstRow="0" w:lastRow="0" w:firstColumn="0" w:lastColumn="0" w:oddVBand="0" w:evenVBand="0" w:oddHBand="1" w:evenHBand="0" w:firstRowFirstColumn="0" w:firstRowLastColumn="0" w:lastRowFirstColumn="0" w:lastRowLastColumn="0"/>
              <w:rPr>
                <w:b/>
                <w:bCs/>
              </w:rPr>
            </w:pPr>
            <w:r w:rsidRPr="00057657">
              <w:rPr>
                <w:b/>
                <w:bCs/>
              </w:rPr>
              <w:t>Estimated</w:t>
            </w:r>
          </w:p>
        </w:tc>
        <w:tc>
          <w:tcPr>
            <w:tcW w:w="1559" w:type="dxa"/>
            <w:noWrap/>
            <w:hideMark/>
          </w:tcPr>
          <w:p w:rsidR="000C0A41" w:rsidRPr="00057657" w:rsidRDefault="000C0A41" w:rsidP="0094532D">
            <w:pPr>
              <w:jc w:val="center"/>
              <w:cnfStyle w:val="000000100000" w:firstRow="0" w:lastRow="0" w:firstColumn="0" w:lastColumn="0" w:oddVBand="0" w:evenVBand="0" w:oddHBand="1" w:evenHBand="0" w:firstRowFirstColumn="0" w:firstRowLastColumn="0" w:lastRowFirstColumn="0" w:lastRowLastColumn="0"/>
            </w:pPr>
            <w:r w:rsidRPr="00057657">
              <w:t>5,489,778</w:t>
            </w:r>
          </w:p>
        </w:tc>
        <w:tc>
          <w:tcPr>
            <w:tcW w:w="1843" w:type="dxa"/>
            <w:noWrap/>
            <w:hideMark/>
          </w:tcPr>
          <w:p w:rsidR="000C0A41" w:rsidRPr="00057657" w:rsidRDefault="000C0A41" w:rsidP="0094532D">
            <w:pPr>
              <w:jc w:val="center"/>
              <w:cnfStyle w:val="000000100000" w:firstRow="0" w:lastRow="0" w:firstColumn="0" w:lastColumn="0" w:oddVBand="0" w:evenVBand="0" w:oddHBand="1" w:evenHBand="0" w:firstRowFirstColumn="0" w:firstRowLastColumn="0" w:lastRowFirstColumn="0" w:lastRowLastColumn="0"/>
            </w:pPr>
            <w:r w:rsidRPr="00057657">
              <w:t>143,028.46</w:t>
            </w:r>
          </w:p>
        </w:tc>
        <w:tc>
          <w:tcPr>
            <w:tcW w:w="1325" w:type="dxa"/>
            <w:noWrap/>
            <w:hideMark/>
          </w:tcPr>
          <w:p w:rsidR="000C0A41" w:rsidRPr="00057657" w:rsidRDefault="000C0A41" w:rsidP="0094532D">
            <w:pPr>
              <w:jc w:val="center"/>
              <w:cnfStyle w:val="000000100000" w:firstRow="0" w:lastRow="0" w:firstColumn="0" w:lastColumn="0" w:oddVBand="0" w:evenVBand="0" w:oddHBand="1" w:evenHBand="0" w:firstRowFirstColumn="0" w:firstRowLastColumn="0" w:lastRowFirstColumn="0" w:lastRowLastColumn="0"/>
            </w:pPr>
            <w:r w:rsidRPr="00057657">
              <w:t>2.61%</w:t>
            </w:r>
          </w:p>
        </w:tc>
        <w:tc>
          <w:tcPr>
            <w:tcW w:w="1033" w:type="dxa"/>
            <w:hideMark/>
          </w:tcPr>
          <w:p w:rsidR="000C0A41" w:rsidRPr="00057657" w:rsidRDefault="000C0A41" w:rsidP="0094532D">
            <w:pPr>
              <w:jc w:val="center"/>
              <w:cnfStyle w:val="000000100000" w:firstRow="0" w:lastRow="0" w:firstColumn="0" w:lastColumn="0" w:oddVBand="0" w:evenVBand="0" w:oddHBand="1" w:evenHBand="0" w:firstRowFirstColumn="0" w:firstRowLastColumn="0" w:lastRowFirstColumn="0" w:lastRowLastColumn="0"/>
            </w:pPr>
            <w:r w:rsidRPr="00057657">
              <w:t>733</w:t>
            </w:r>
          </w:p>
        </w:tc>
      </w:tr>
      <w:tr w:rsidR="000C0A41" w:rsidRPr="00057657" w:rsidTr="0094532D">
        <w:trPr>
          <w:trHeight w:val="300"/>
          <w:jc w:val="center"/>
        </w:trPr>
        <w:tc>
          <w:tcPr>
            <w:cnfStyle w:val="001000000000" w:firstRow="0" w:lastRow="0" w:firstColumn="1" w:lastColumn="0" w:oddVBand="0" w:evenVBand="0" w:oddHBand="0" w:evenHBand="0" w:firstRowFirstColumn="0" w:firstRowLastColumn="0" w:lastRowFirstColumn="0" w:lastRowLastColumn="0"/>
            <w:tcW w:w="2405" w:type="dxa"/>
            <w:vMerge/>
            <w:vAlign w:val="center"/>
            <w:hideMark/>
          </w:tcPr>
          <w:p w:rsidR="000C0A41" w:rsidRPr="00057657" w:rsidRDefault="000C0A41" w:rsidP="00057657">
            <w:pPr>
              <w:jc w:val="left"/>
            </w:pPr>
          </w:p>
        </w:tc>
        <w:tc>
          <w:tcPr>
            <w:tcW w:w="1565" w:type="dxa"/>
            <w:hideMark/>
          </w:tcPr>
          <w:p w:rsidR="000C0A41" w:rsidRPr="00057657" w:rsidRDefault="000C0A41" w:rsidP="00057657">
            <w:pPr>
              <w:cnfStyle w:val="000000000000" w:firstRow="0" w:lastRow="0" w:firstColumn="0" w:lastColumn="0" w:oddVBand="0" w:evenVBand="0" w:oddHBand="0" w:evenHBand="0" w:firstRowFirstColumn="0" w:firstRowLastColumn="0" w:lastRowFirstColumn="0" w:lastRowLastColumn="0"/>
              <w:rPr>
                <w:b/>
                <w:bCs/>
              </w:rPr>
            </w:pPr>
            <w:r w:rsidRPr="00057657">
              <w:rPr>
                <w:b/>
                <w:bCs/>
              </w:rPr>
              <w:t>CPRD raw data</w:t>
            </w:r>
          </w:p>
        </w:tc>
        <w:tc>
          <w:tcPr>
            <w:tcW w:w="1559" w:type="dxa"/>
            <w:hideMark/>
          </w:tcPr>
          <w:p w:rsidR="000C0A41" w:rsidRPr="00057657" w:rsidRDefault="000C0A41" w:rsidP="0094532D">
            <w:pPr>
              <w:jc w:val="center"/>
              <w:cnfStyle w:val="000000000000" w:firstRow="0" w:lastRow="0" w:firstColumn="0" w:lastColumn="0" w:oddVBand="0" w:evenVBand="0" w:oddHBand="0" w:evenHBand="0" w:firstRowFirstColumn="0" w:firstRowLastColumn="0" w:lastRowFirstColumn="0" w:lastRowLastColumn="0"/>
            </w:pPr>
            <w:r w:rsidRPr="00057657">
              <w:t>38,203</w:t>
            </w:r>
          </w:p>
        </w:tc>
        <w:tc>
          <w:tcPr>
            <w:tcW w:w="1843" w:type="dxa"/>
            <w:hideMark/>
          </w:tcPr>
          <w:p w:rsidR="000C0A41" w:rsidRPr="00057657" w:rsidRDefault="000C0A41" w:rsidP="0094532D">
            <w:pPr>
              <w:jc w:val="center"/>
              <w:cnfStyle w:val="000000000000" w:firstRow="0" w:lastRow="0" w:firstColumn="0" w:lastColumn="0" w:oddVBand="0" w:evenVBand="0" w:oddHBand="0" w:evenHBand="0" w:firstRowFirstColumn="0" w:firstRowLastColumn="0" w:lastRowFirstColumn="0" w:lastRowLastColumn="0"/>
            </w:pPr>
            <w:r w:rsidRPr="00057657">
              <w:t>1,156</w:t>
            </w:r>
          </w:p>
        </w:tc>
        <w:tc>
          <w:tcPr>
            <w:tcW w:w="1325" w:type="dxa"/>
            <w:hideMark/>
          </w:tcPr>
          <w:p w:rsidR="000C0A41" w:rsidRPr="00057657" w:rsidRDefault="000C0A41" w:rsidP="0094532D">
            <w:pPr>
              <w:jc w:val="center"/>
              <w:cnfStyle w:val="000000000000" w:firstRow="0" w:lastRow="0" w:firstColumn="0" w:lastColumn="0" w:oddVBand="0" w:evenVBand="0" w:oddHBand="0" w:evenHBand="0" w:firstRowFirstColumn="0" w:firstRowLastColumn="0" w:lastRowFirstColumn="0" w:lastRowLastColumn="0"/>
            </w:pPr>
            <w:r w:rsidRPr="00057657">
              <w:t>3.03%</w:t>
            </w:r>
          </w:p>
        </w:tc>
        <w:tc>
          <w:tcPr>
            <w:tcW w:w="1033" w:type="dxa"/>
            <w:hideMark/>
          </w:tcPr>
          <w:p w:rsidR="000C0A41" w:rsidRPr="00057657" w:rsidRDefault="000C0A41" w:rsidP="0094532D">
            <w:pPr>
              <w:jc w:val="center"/>
              <w:cnfStyle w:val="000000000000" w:firstRow="0" w:lastRow="0" w:firstColumn="0" w:lastColumn="0" w:oddVBand="0" w:evenVBand="0" w:oddHBand="0" w:evenHBand="0" w:firstRowFirstColumn="0" w:firstRowLastColumn="0" w:lastRowFirstColumn="0" w:lastRowLastColumn="0"/>
            </w:pPr>
          </w:p>
        </w:tc>
      </w:tr>
      <w:tr w:rsidR="000C0A41" w:rsidRPr="00057657" w:rsidTr="0094532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05" w:type="dxa"/>
            <w:vMerge w:val="restart"/>
            <w:noWrap/>
            <w:vAlign w:val="center"/>
            <w:hideMark/>
          </w:tcPr>
          <w:p w:rsidR="000C0A41" w:rsidRPr="00057657" w:rsidRDefault="000C0A41" w:rsidP="00057657">
            <w:pPr>
              <w:jc w:val="left"/>
            </w:pPr>
            <w:r w:rsidRPr="00057657">
              <w:t>England</w:t>
            </w:r>
          </w:p>
        </w:tc>
        <w:tc>
          <w:tcPr>
            <w:tcW w:w="1565" w:type="dxa"/>
            <w:hideMark/>
          </w:tcPr>
          <w:p w:rsidR="000C0A41" w:rsidRPr="00057657" w:rsidRDefault="000C0A41" w:rsidP="00057657">
            <w:pPr>
              <w:cnfStyle w:val="000000100000" w:firstRow="0" w:lastRow="0" w:firstColumn="0" w:lastColumn="0" w:oddVBand="0" w:evenVBand="0" w:oddHBand="1" w:evenHBand="0" w:firstRowFirstColumn="0" w:firstRowLastColumn="0" w:lastRowFirstColumn="0" w:lastRowLastColumn="0"/>
              <w:rPr>
                <w:b/>
                <w:bCs/>
              </w:rPr>
            </w:pPr>
            <w:r w:rsidRPr="00057657">
              <w:rPr>
                <w:b/>
                <w:bCs/>
              </w:rPr>
              <w:t>Estimated</w:t>
            </w:r>
          </w:p>
        </w:tc>
        <w:tc>
          <w:tcPr>
            <w:tcW w:w="1559" w:type="dxa"/>
            <w:noWrap/>
            <w:hideMark/>
          </w:tcPr>
          <w:p w:rsidR="000C0A41" w:rsidRPr="00057657" w:rsidRDefault="000C0A41" w:rsidP="0094532D">
            <w:pPr>
              <w:jc w:val="center"/>
              <w:cnfStyle w:val="000000100000" w:firstRow="0" w:lastRow="0" w:firstColumn="0" w:lastColumn="0" w:oddVBand="0" w:evenVBand="0" w:oddHBand="1" w:evenHBand="0" w:firstRowFirstColumn="0" w:firstRowLastColumn="0" w:lastRowFirstColumn="0" w:lastRowLastColumn="0"/>
            </w:pPr>
            <w:r w:rsidRPr="00057657">
              <w:t>55,692,525</w:t>
            </w:r>
          </w:p>
        </w:tc>
        <w:tc>
          <w:tcPr>
            <w:tcW w:w="1843" w:type="dxa"/>
            <w:noWrap/>
            <w:hideMark/>
          </w:tcPr>
          <w:p w:rsidR="000C0A41" w:rsidRPr="00057657" w:rsidRDefault="000C0A41" w:rsidP="0094532D">
            <w:pPr>
              <w:jc w:val="center"/>
              <w:cnfStyle w:val="000000100000" w:firstRow="0" w:lastRow="0" w:firstColumn="0" w:lastColumn="0" w:oddVBand="0" w:evenVBand="0" w:oddHBand="1" w:evenHBand="0" w:firstRowFirstColumn="0" w:firstRowLastColumn="0" w:lastRowFirstColumn="0" w:lastRowLastColumn="0"/>
            </w:pPr>
            <w:r w:rsidRPr="00057657">
              <w:t>##########</w:t>
            </w:r>
          </w:p>
        </w:tc>
        <w:tc>
          <w:tcPr>
            <w:tcW w:w="1325" w:type="dxa"/>
            <w:noWrap/>
            <w:hideMark/>
          </w:tcPr>
          <w:p w:rsidR="000C0A41" w:rsidRPr="00057657" w:rsidRDefault="000C0A41" w:rsidP="0094532D">
            <w:pPr>
              <w:jc w:val="center"/>
              <w:cnfStyle w:val="000000100000" w:firstRow="0" w:lastRow="0" w:firstColumn="0" w:lastColumn="0" w:oddVBand="0" w:evenVBand="0" w:oddHBand="1" w:evenHBand="0" w:firstRowFirstColumn="0" w:firstRowLastColumn="0" w:lastRowFirstColumn="0" w:lastRowLastColumn="0"/>
            </w:pPr>
            <w:r w:rsidRPr="00057657">
              <w:t>2.40%</w:t>
            </w:r>
          </w:p>
        </w:tc>
        <w:tc>
          <w:tcPr>
            <w:tcW w:w="1033" w:type="dxa"/>
            <w:hideMark/>
          </w:tcPr>
          <w:p w:rsidR="000C0A41" w:rsidRPr="00057657" w:rsidRDefault="000C0A41" w:rsidP="0094532D">
            <w:pPr>
              <w:jc w:val="center"/>
              <w:cnfStyle w:val="000000100000" w:firstRow="0" w:lastRow="0" w:firstColumn="0" w:lastColumn="0" w:oddVBand="0" w:evenVBand="0" w:oddHBand="1" w:evenHBand="0" w:firstRowFirstColumn="0" w:firstRowLastColumn="0" w:lastRowFirstColumn="0" w:lastRowLastColumn="0"/>
            </w:pPr>
            <w:r w:rsidRPr="00057657">
              <w:t>7,521</w:t>
            </w:r>
          </w:p>
        </w:tc>
      </w:tr>
      <w:tr w:rsidR="000C0A41" w:rsidRPr="00057657" w:rsidTr="0094532D">
        <w:trPr>
          <w:trHeight w:val="300"/>
          <w:jc w:val="center"/>
        </w:trPr>
        <w:tc>
          <w:tcPr>
            <w:cnfStyle w:val="001000000000" w:firstRow="0" w:lastRow="0" w:firstColumn="1" w:lastColumn="0" w:oddVBand="0" w:evenVBand="0" w:oddHBand="0" w:evenHBand="0" w:firstRowFirstColumn="0" w:firstRowLastColumn="0" w:lastRowFirstColumn="0" w:lastRowLastColumn="0"/>
            <w:tcW w:w="2405" w:type="dxa"/>
            <w:vMerge/>
            <w:vAlign w:val="center"/>
            <w:hideMark/>
          </w:tcPr>
          <w:p w:rsidR="000C0A41" w:rsidRPr="00057657" w:rsidRDefault="000C0A41" w:rsidP="00057657">
            <w:pPr>
              <w:jc w:val="left"/>
            </w:pPr>
          </w:p>
        </w:tc>
        <w:tc>
          <w:tcPr>
            <w:tcW w:w="1565" w:type="dxa"/>
            <w:hideMark/>
          </w:tcPr>
          <w:p w:rsidR="000C0A41" w:rsidRPr="00057657" w:rsidRDefault="000C0A41" w:rsidP="00057657">
            <w:pPr>
              <w:cnfStyle w:val="000000000000" w:firstRow="0" w:lastRow="0" w:firstColumn="0" w:lastColumn="0" w:oddVBand="0" w:evenVBand="0" w:oddHBand="0" w:evenHBand="0" w:firstRowFirstColumn="0" w:firstRowLastColumn="0" w:lastRowFirstColumn="0" w:lastRowLastColumn="0"/>
              <w:rPr>
                <w:b/>
                <w:bCs/>
              </w:rPr>
            </w:pPr>
            <w:r w:rsidRPr="00057657">
              <w:rPr>
                <w:b/>
                <w:bCs/>
              </w:rPr>
              <w:t>CPRD raw data</w:t>
            </w:r>
          </w:p>
        </w:tc>
        <w:tc>
          <w:tcPr>
            <w:tcW w:w="1559" w:type="dxa"/>
            <w:hideMark/>
          </w:tcPr>
          <w:p w:rsidR="000C0A41" w:rsidRPr="00057657" w:rsidRDefault="000C0A41" w:rsidP="0094532D">
            <w:pPr>
              <w:jc w:val="center"/>
              <w:cnfStyle w:val="000000000000" w:firstRow="0" w:lastRow="0" w:firstColumn="0" w:lastColumn="0" w:oddVBand="0" w:evenVBand="0" w:oddHBand="0" w:evenHBand="0" w:firstRowFirstColumn="0" w:firstRowLastColumn="0" w:lastRowFirstColumn="0" w:lastRowLastColumn="0"/>
            </w:pPr>
            <w:r w:rsidRPr="00057657">
              <w:t>2,504,341</w:t>
            </w:r>
          </w:p>
        </w:tc>
        <w:tc>
          <w:tcPr>
            <w:tcW w:w="1843" w:type="dxa"/>
            <w:hideMark/>
          </w:tcPr>
          <w:p w:rsidR="000C0A41" w:rsidRPr="00057657" w:rsidRDefault="000C0A41" w:rsidP="0094532D">
            <w:pPr>
              <w:jc w:val="center"/>
              <w:cnfStyle w:val="000000000000" w:firstRow="0" w:lastRow="0" w:firstColumn="0" w:lastColumn="0" w:oddVBand="0" w:evenVBand="0" w:oddHBand="0" w:evenHBand="0" w:firstRowFirstColumn="0" w:firstRowLastColumn="0" w:lastRowFirstColumn="0" w:lastRowLastColumn="0"/>
            </w:pPr>
            <w:r w:rsidRPr="00057657">
              <w:t>50,700</w:t>
            </w:r>
          </w:p>
        </w:tc>
        <w:tc>
          <w:tcPr>
            <w:tcW w:w="1325" w:type="dxa"/>
            <w:hideMark/>
          </w:tcPr>
          <w:p w:rsidR="000C0A41" w:rsidRPr="00057657" w:rsidRDefault="000C0A41" w:rsidP="0094532D">
            <w:pPr>
              <w:jc w:val="center"/>
              <w:cnfStyle w:val="000000000000" w:firstRow="0" w:lastRow="0" w:firstColumn="0" w:lastColumn="0" w:oddVBand="0" w:evenVBand="0" w:oddHBand="0" w:evenHBand="0" w:firstRowFirstColumn="0" w:firstRowLastColumn="0" w:lastRowFirstColumn="0" w:lastRowLastColumn="0"/>
            </w:pPr>
            <w:r w:rsidRPr="00057657">
              <w:t>2.02%</w:t>
            </w:r>
          </w:p>
        </w:tc>
        <w:tc>
          <w:tcPr>
            <w:tcW w:w="1033" w:type="dxa"/>
            <w:hideMark/>
          </w:tcPr>
          <w:p w:rsidR="000C0A41" w:rsidRPr="00057657" w:rsidRDefault="000C0A41" w:rsidP="0094532D">
            <w:pPr>
              <w:jc w:val="center"/>
              <w:cnfStyle w:val="000000000000" w:firstRow="0" w:lastRow="0" w:firstColumn="0" w:lastColumn="0" w:oddVBand="0" w:evenVBand="0" w:oddHBand="0" w:evenHBand="0" w:firstRowFirstColumn="0" w:firstRowLastColumn="0" w:lastRowFirstColumn="0" w:lastRowLastColumn="0"/>
            </w:pPr>
          </w:p>
        </w:tc>
      </w:tr>
    </w:tbl>
    <w:p w:rsidR="000C0A41" w:rsidRDefault="000C0A41" w:rsidP="004B21C0">
      <w:pPr>
        <w:pStyle w:val="Heading3"/>
        <w:contextualSpacing w:val="0"/>
      </w:pPr>
      <w:bookmarkStart w:id="98" w:name="_Toc456702112"/>
      <w:bookmarkStart w:id="99" w:name="_Toc456887580"/>
      <w:bookmarkStart w:id="100" w:name="_Toc458185287"/>
      <w:r>
        <w:t>External validation of practice estimates against QOF prevalence</w:t>
      </w:r>
      <w:bookmarkEnd w:id="98"/>
      <w:bookmarkEnd w:id="99"/>
      <w:bookmarkEnd w:id="100"/>
    </w:p>
    <w:p w:rsidR="000C0A41" w:rsidRDefault="000C0A41" w:rsidP="004B21C0">
      <w:r w:rsidRPr="002B78FF">
        <w:t>The funding for the project does not include an in</w:t>
      </w:r>
      <w:r>
        <w:t>-</w:t>
      </w:r>
      <w:r w:rsidRPr="002B78FF">
        <w:t xml:space="preserve">depth external validation. For example, this could be carried out by obtaining an extract from a similar dataset e.g. </w:t>
      </w:r>
      <w:r>
        <w:t xml:space="preserve">comparing the CPRD COPD prevalence models’ risk factors, odds ratios and ROC curves to HSfE 2010 data or a dataset from another GP research database. In addition, ideally such validations should be carried out by an impartial third party. However another useful external data source is the Quality &amp; Outcomes Framework (QOF) GP-diagnosed COPD prevalence. This can obviously be compared with diagnosed COPD prevalence from the model. Using the aggregated estimated prevalence data from the internal validation we have also aggregated practice-level QOF prevalence to Regional level to allow visual comparisons to be made. </w:t>
      </w:r>
      <w:r>
        <w:fldChar w:fldCharType="begin"/>
      </w:r>
      <w:r>
        <w:instrText xml:space="preserve"> REF _Ref458086303 \h </w:instrText>
      </w:r>
      <w:r>
        <w:fldChar w:fldCharType="separate"/>
      </w:r>
      <w:r>
        <w:t xml:space="preserve">Table </w:t>
      </w:r>
      <w:r>
        <w:rPr>
          <w:noProof/>
        </w:rPr>
        <w:t>21</w:t>
      </w:r>
      <w:r>
        <w:fldChar w:fldCharType="end"/>
      </w:r>
      <w:r>
        <w:t xml:space="preserve"> shows that NE and NW Regions have the highest aggregated QOF prevalence (</w:t>
      </w:r>
      <w:r w:rsidRPr="001D1E87">
        <w:t>2.86%</w:t>
      </w:r>
      <w:r>
        <w:t xml:space="preserve"> and </w:t>
      </w:r>
      <w:r w:rsidRPr="001D1E87">
        <w:t>2.35%</w:t>
      </w:r>
      <w:r>
        <w:t xml:space="preserve"> respectively) and the highest estimated prevalence (</w:t>
      </w:r>
      <w:r w:rsidRPr="001D1E87">
        <w:t>2.91%</w:t>
      </w:r>
      <w:r>
        <w:t xml:space="preserve"> and </w:t>
      </w:r>
      <w:r w:rsidRPr="001D1E87">
        <w:t>2.64%</w:t>
      </w:r>
      <w:r>
        <w:t xml:space="preserve"> respectively).</w:t>
      </w:r>
    </w:p>
    <w:p w:rsidR="000C0A41" w:rsidRDefault="000C0A41" w:rsidP="001157B9"/>
    <w:p w:rsidR="000C0A41" w:rsidRDefault="000C0A41" w:rsidP="001157B9">
      <w:pPr>
        <w:sectPr w:rsidR="000C0A41" w:rsidSect="007C7AF0">
          <w:headerReference w:type="default" r:id="rId18"/>
          <w:pgSz w:w="11906" w:h="16838"/>
          <w:pgMar w:top="1440" w:right="1440" w:bottom="1440" w:left="1440" w:header="709" w:footer="709" w:gutter="0"/>
          <w:cols w:space="708"/>
          <w:docGrid w:linePitch="360"/>
        </w:sectPr>
      </w:pPr>
    </w:p>
    <w:p w:rsidR="000C0A41" w:rsidRDefault="000C0A41" w:rsidP="001D1E87">
      <w:pPr>
        <w:pStyle w:val="Caption"/>
      </w:pPr>
      <w:bookmarkStart w:id="101" w:name="_Ref458086303"/>
      <w:r>
        <w:lastRenderedPageBreak/>
        <w:t xml:space="preserve">Table </w:t>
      </w:r>
      <w:fldSimple w:instr=" SEQ Table \* ARABIC ">
        <w:r>
          <w:rPr>
            <w:noProof/>
          </w:rPr>
          <w:t>21</w:t>
        </w:r>
      </w:fldSimple>
      <w:bookmarkEnd w:id="101"/>
      <w:r>
        <w:t>: comparison of aggregated QOF and regional prevalence rates</w:t>
      </w:r>
    </w:p>
    <w:tbl>
      <w:tblPr>
        <w:tblStyle w:val="GridTable4-Accent11"/>
        <w:tblW w:w="0" w:type="auto"/>
        <w:jc w:val="center"/>
        <w:tblLayout w:type="fixed"/>
        <w:tblLook w:val="04A0" w:firstRow="1" w:lastRow="0" w:firstColumn="1" w:lastColumn="0" w:noHBand="0" w:noVBand="1"/>
      </w:tblPr>
      <w:tblGrid>
        <w:gridCol w:w="931"/>
        <w:gridCol w:w="701"/>
        <w:gridCol w:w="637"/>
        <w:gridCol w:w="645"/>
        <w:gridCol w:w="630"/>
        <w:gridCol w:w="652"/>
        <w:gridCol w:w="581"/>
        <w:gridCol w:w="782"/>
        <w:gridCol w:w="581"/>
        <w:gridCol w:w="701"/>
        <w:gridCol w:w="581"/>
        <w:gridCol w:w="782"/>
        <w:gridCol w:w="581"/>
        <w:gridCol w:w="782"/>
        <w:gridCol w:w="581"/>
        <w:gridCol w:w="782"/>
        <w:gridCol w:w="581"/>
        <w:gridCol w:w="782"/>
        <w:gridCol w:w="581"/>
        <w:gridCol w:w="782"/>
        <w:gridCol w:w="581"/>
        <w:gridCol w:w="903"/>
        <w:gridCol w:w="701"/>
      </w:tblGrid>
      <w:tr w:rsidR="000C0A41" w:rsidRPr="004C4164" w:rsidTr="001D1E8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1" w:type="dxa"/>
            <w:tcMar>
              <w:top w:w="28" w:type="dxa"/>
              <w:left w:w="28" w:type="dxa"/>
              <w:bottom w:w="28" w:type="dxa"/>
              <w:right w:w="28" w:type="dxa"/>
            </w:tcMar>
            <w:vAlign w:val="center"/>
            <w:hideMark/>
          </w:tcPr>
          <w:p w:rsidR="000C0A41" w:rsidRPr="004C4164" w:rsidRDefault="000C0A41" w:rsidP="001D1E87">
            <w:pPr>
              <w:contextualSpacing w:val="0"/>
              <w:jc w:val="center"/>
              <w:rPr>
                <w:rFonts w:eastAsia="Times New Roman" w:cs="Times New Roman"/>
                <w:sz w:val="20"/>
                <w:szCs w:val="20"/>
                <w:lang w:eastAsia="en-GB"/>
              </w:rPr>
            </w:pPr>
          </w:p>
        </w:tc>
        <w:tc>
          <w:tcPr>
            <w:tcW w:w="1338" w:type="dxa"/>
            <w:gridSpan w:val="2"/>
            <w:tcMar>
              <w:top w:w="28" w:type="dxa"/>
              <w:left w:w="28" w:type="dxa"/>
              <w:bottom w:w="28" w:type="dxa"/>
              <w:right w:w="28" w:type="dxa"/>
            </w:tcMar>
            <w:vAlign w:val="center"/>
            <w:hideMark/>
          </w:tcPr>
          <w:p w:rsidR="000C0A41" w:rsidRPr="004C4164" w:rsidRDefault="000C0A41" w:rsidP="001D1E87">
            <w:pPr>
              <w:contextualSpacing w:val="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Blank</w:t>
            </w:r>
            <w:r>
              <w:rPr>
                <w:rFonts w:eastAsia="Times New Roman" w:cs="Times New Roman"/>
                <w:sz w:val="20"/>
                <w:szCs w:val="20"/>
                <w:lang w:eastAsia="en-GB"/>
              </w:rPr>
              <w:t xml:space="preserve"> (new CCG)</w:t>
            </w:r>
          </w:p>
        </w:tc>
        <w:tc>
          <w:tcPr>
            <w:tcW w:w="1275" w:type="dxa"/>
            <w:gridSpan w:val="2"/>
            <w:tcMar>
              <w:top w:w="28" w:type="dxa"/>
              <w:left w:w="28" w:type="dxa"/>
              <w:bottom w:w="28" w:type="dxa"/>
              <w:right w:w="28" w:type="dxa"/>
            </w:tcMar>
            <w:vAlign w:val="center"/>
            <w:hideMark/>
          </w:tcPr>
          <w:p w:rsidR="000C0A41" w:rsidRPr="004C4164" w:rsidRDefault="000C0A41" w:rsidP="001D1E87">
            <w:pPr>
              <w:contextualSpacing w:val="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East Midlands</w:t>
            </w:r>
          </w:p>
        </w:tc>
        <w:tc>
          <w:tcPr>
            <w:tcW w:w="1233" w:type="dxa"/>
            <w:gridSpan w:val="2"/>
            <w:tcMar>
              <w:top w:w="28" w:type="dxa"/>
              <w:left w:w="28" w:type="dxa"/>
              <w:bottom w:w="28" w:type="dxa"/>
              <w:right w:w="28" w:type="dxa"/>
            </w:tcMar>
            <w:vAlign w:val="center"/>
            <w:hideMark/>
          </w:tcPr>
          <w:p w:rsidR="000C0A41" w:rsidRPr="004C4164" w:rsidRDefault="000C0A41" w:rsidP="001D1E87">
            <w:pPr>
              <w:contextualSpacing w:val="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East of England</w:t>
            </w:r>
          </w:p>
        </w:tc>
        <w:tc>
          <w:tcPr>
            <w:tcW w:w="1363" w:type="dxa"/>
            <w:gridSpan w:val="2"/>
            <w:tcMar>
              <w:top w:w="28" w:type="dxa"/>
              <w:left w:w="28" w:type="dxa"/>
              <w:bottom w:w="28" w:type="dxa"/>
              <w:right w:w="28" w:type="dxa"/>
            </w:tcMar>
            <w:vAlign w:val="center"/>
            <w:hideMark/>
          </w:tcPr>
          <w:p w:rsidR="000C0A41" w:rsidRPr="004C4164" w:rsidRDefault="000C0A41" w:rsidP="001D1E87">
            <w:pPr>
              <w:contextualSpacing w:val="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London</w:t>
            </w:r>
          </w:p>
        </w:tc>
        <w:tc>
          <w:tcPr>
            <w:tcW w:w="1282" w:type="dxa"/>
            <w:gridSpan w:val="2"/>
            <w:tcMar>
              <w:top w:w="28" w:type="dxa"/>
              <w:left w:w="28" w:type="dxa"/>
              <w:bottom w:w="28" w:type="dxa"/>
              <w:right w:w="28" w:type="dxa"/>
            </w:tcMar>
            <w:vAlign w:val="center"/>
            <w:hideMark/>
          </w:tcPr>
          <w:p w:rsidR="000C0A41" w:rsidRPr="004C4164" w:rsidRDefault="000C0A41" w:rsidP="001D1E87">
            <w:pPr>
              <w:contextualSpacing w:val="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North East</w:t>
            </w:r>
          </w:p>
        </w:tc>
        <w:tc>
          <w:tcPr>
            <w:tcW w:w="1363" w:type="dxa"/>
            <w:gridSpan w:val="2"/>
            <w:tcMar>
              <w:top w:w="28" w:type="dxa"/>
              <w:left w:w="28" w:type="dxa"/>
              <w:bottom w:w="28" w:type="dxa"/>
              <w:right w:w="28" w:type="dxa"/>
            </w:tcMar>
            <w:vAlign w:val="center"/>
            <w:hideMark/>
          </w:tcPr>
          <w:p w:rsidR="000C0A41" w:rsidRPr="004C4164" w:rsidRDefault="000C0A41" w:rsidP="001D1E87">
            <w:pPr>
              <w:contextualSpacing w:val="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North West</w:t>
            </w:r>
          </w:p>
        </w:tc>
        <w:tc>
          <w:tcPr>
            <w:tcW w:w="1363" w:type="dxa"/>
            <w:gridSpan w:val="2"/>
            <w:tcMar>
              <w:top w:w="28" w:type="dxa"/>
              <w:left w:w="28" w:type="dxa"/>
              <w:bottom w:w="28" w:type="dxa"/>
              <w:right w:w="28" w:type="dxa"/>
            </w:tcMar>
            <w:vAlign w:val="center"/>
            <w:hideMark/>
          </w:tcPr>
          <w:p w:rsidR="000C0A41" w:rsidRPr="004C4164" w:rsidRDefault="000C0A41" w:rsidP="001D1E87">
            <w:pPr>
              <w:contextualSpacing w:val="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South East</w:t>
            </w:r>
          </w:p>
        </w:tc>
        <w:tc>
          <w:tcPr>
            <w:tcW w:w="1363" w:type="dxa"/>
            <w:gridSpan w:val="2"/>
            <w:tcMar>
              <w:top w:w="28" w:type="dxa"/>
              <w:left w:w="28" w:type="dxa"/>
              <w:bottom w:w="28" w:type="dxa"/>
              <w:right w:w="28" w:type="dxa"/>
            </w:tcMar>
            <w:vAlign w:val="center"/>
            <w:hideMark/>
          </w:tcPr>
          <w:p w:rsidR="000C0A41" w:rsidRPr="004C4164" w:rsidRDefault="000C0A41" w:rsidP="001D1E87">
            <w:pPr>
              <w:contextualSpacing w:val="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South West</w:t>
            </w:r>
          </w:p>
        </w:tc>
        <w:tc>
          <w:tcPr>
            <w:tcW w:w="1363" w:type="dxa"/>
            <w:gridSpan w:val="2"/>
            <w:noWrap/>
            <w:tcMar>
              <w:top w:w="28" w:type="dxa"/>
              <w:left w:w="28" w:type="dxa"/>
              <w:bottom w:w="28" w:type="dxa"/>
              <w:right w:w="28" w:type="dxa"/>
            </w:tcMar>
            <w:vAlign w:val="center"/>
            <w:hideMark/>
          </w:tcPr>
          <w:p w:rsidR="000C0A41" w:rsidRPr="004C4164" w:rsidRDefault="000C0A41" w:rsidP="001D1E87">
            <w:pPr>
              <w:contextualSpacing w:val="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West Midlands</w:t>
            </w:r>
          </w:p>
        </w:tc>
        <w:tc>
          <w:tcPr>
            <w:tcW w:w="1363" w:type="dxa"/>
            <w:gridSpan w:val="2"/>
            <w:tcMar>
              <w:top w:w="28" w:type="dxa"/>
              <w:left w:w="28" w:type="dxa"/>
              <w:bottom w:w="28" w:type="dxa"/>
              <w:right w:w="28" w:type="dxa"/>
            </w:tcMar>
            <w:vAlign w:val="center"/>
            <w:hideMark/>
          </w:tcPr>
          <w:p w:rsidR="000C0A41" w:rsidRPr="004C4164" w:rsidRDefault="000C0A41" w:rsidP="001D1E87">
            <w:pPr>
              <w:contextualSpacing w:val="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Yorkshire and The Humber</w:t>
            </w:r>
          </w:p>
        </w:tc>
        <w:tc>
          <w:tcPr>
            <w:tcW w:w="1604" w:type="dxa"/>
            <w:gridSpan w:val="2"/>
            <w:noWrap/>
            <w:tcMar>
              <w:top w:w="28" w:type="dxa"/>
              <w:left w:w="28" w:type="dxa"/>
              <w:bottom w:w="28" w:type="dxa"/>
              <w:right w:w="28" w:type="dxa"/>
            </w:tcMar>
            <w:vAlign w:val="center"/>
            <w:hideMark/>
          </w:tcPr>
          <w:p w:rsidR="000C0A41" w:rsidRPr="004C4164" w:rsidRDefault="000C0A41" w:rsidP="001D1E87">
            <w:pPr>
              <w:contextualSpacing w:val="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England</w:t>
            </w:r>
          </w:p>
        </w:tc>
      </w:tr>
      <w:tr w:rsidR="000C0A41" w:rsidRPr="004C4164" w:rsidTr="001D1E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1" w:type="dxa"/>
            <w:tcMar>
              <w:top w:w="28" w:type="dxa"/>
              <w:left w:w="28" w:type="dxa"/>
              <w:bottom w:w="28" w:type="dxa"/>
              <w:right w:w="28" w:type="dxa"/>
            </w:tcMar>
            <w:vAlign w:val="center"/>
            <w:hideMark/>
          </w:tcPr>
          <w:p w:rsidR="000C0A41" w:rsidRPr="004C4164" w:rsidRDefault="000C0A41" w:rsidP="001D1E87">
            <w:pPr>
              <w:contextualSpacing w:val="0"/>
              <w:jc w:val="center"/>
              <w:rPr>
                <w:rFonts w:eastAsia="Times New Roman" w:cs="Times New Roman"/>
                <w:sz w:val="20"/>
                <w:szCs w:val="20"/>
                <w:lang w:eastAsia="en-GB"/>
              </w:rPr>
            </w:pPr>
          </w:p>
        </w:tc>
        <w:tc>
          <w:tcPr>
            <w:tcW w:w="701"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0"/>
                <w:szCs w:val="20"/>
                <w:lang w:eastAsia="en-GB"/>
              </w:rPr>
            </w:pPr>
            <w:r>
              <w:rPr>
                <w:rFonts w:eastAsia="Times New Roman" w:cs="Times New Roman"/>
                <w:b/>
                <w:bCs/>
                <w:sz w:val="20"/>
                <w:szCs w:val="20"/>
                <w:lang w:eastAsia="en-GB"/>
              </w:rPr>
              <w:t>Estd</w:t>
            </w:r>
          </w:p>
        </w:tc>
        <w:tc>
          <w:tcPr>
            <w:tcW w:w="637"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0"/>
                <w:szCs w:val="20"/>
                <w:lang w:eastAsia="en-GB"/>
              </w:rPr>
            </w:pPr>
            <w:r w:rsidRPr="004C4164">
              <w:rPr>
                <w:rFonts w:eastAsia="Times New Roman" w:cs="Times New Roman"/>
                <w:b/>
                <w:bCs/>
                <w:sz w:val="20"/>
                <w:szCs w:val="20"/>
                <w:lang w:eastAsia="en-GB"/>
              </w:rPr>
              <w:t>QOF</w:t>
            </w:r>
          </w:p>
        </w:tc>
        <w:tc>
          <w:tcPr>
            <w:tcW w:w="645"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0"/>
                <w:szCs w:val="20"/>
                <w:lang w:eastAsia="en-GB"/>
              </w:rPr>
            </w:pPr>
            <w:r>
              <w:rPr>
                <w:rFonts w:eastAsia="Times New Roman" w:cs="Times New Roman"/>
                <w:b/>
                <w:bCs/>
                <w:sz w:val="20"/>
                <w:szCs w:val="20"/>
                <w:lang w:eastAsia="en-GB"/>
              </w:rPr>
              <w:t>Estd</w:t>
            </w:r>
          </w:p>
        </w:tc>
        <w:tc>
          <w:tcPr>
            <w:tcW w:w="630"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0"/>
                <w:szCs w:val="20"/>
                <w:lang w:eastAsia="en-GB"/>
              </w:rPr>
            </w:pPr>
            <w:r w:rsidRPr="004C4164">
              <w:rPr>
                <w:rFonts w:eastAsia="Times New Roman" w:cs="Times New Roman"/>
                <w:b/>
                <w:bCs/>
                <w:sz w:val="20"/>
                <w:szCs w:val="20"/>
                <w:lang w:eastAsia="en-GB"/>
              </w:rPr>
              <w:t>QOF</w:t>
            </w:r>
          </w:p>
        </w:tc>
        <w:tc>
          <w:tcPr>
            <w:tcW w:w="652"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0"/>
                <w:szCs w:val="20"/>
                <w:lang w:eastAsia="en-GB"/>
              </w:rPr>
            </w:pPr>
            <w:r>
              <w:rPr>
                <w:rFonts w:eastAsia="Times New Roman" w:cs="Times New Roman"/>
                <w:b/>
                <w:bCs/>
                <w:sz w:val="20"/>
                <w:szCs w:val="20"/>
                <w:lang w:eastAsia="en-GB"/>
              </w:rPr>
              <w:t>Estd</w:t>
            </w:r>
          </w:p>
        </w:tc>
        <w:tc>
          <w:tcPr>
            <w:tcW w:w="581"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0"/>
                <w:szCs w:val="20"/>
                <w:lang w:eastAsia="en-GB"/>
              </w:rPr>
            </w:pPr>
            <w:r w:rsidRPr="004C4164">
              <w:rPr>
                <w:rFonts w:eastAsia="Times New Roman" w:cs="Times New Roman"/>
                <w:b/>
                <w:bCs/>
                <w:sz w:val="20"/>
                <w:szCs w:val="20"/>
                <w:lang w:eastAsia="en-GB"/>
              </w:rPr>
              <w:t>QOF</w:t>
            </w:r>
          </w:p>
        </w:tc>
        <w:tc>
          <w:tcPr>
            <w:tcW w:w="782"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0"/>
                <w:szCs w:val="20"/>
                <w:lang w:eastAsia="en-GB"/>
              </w:rPr>
            </w:pPr>
            <w:r>
              <w:rPr>
                <w:rFonts w:eastAsia="Times New Roman" w:cs="Times New Roman"/>
                <w:b/>
                <w:bCs/>
                <w:sz w:val="20"/>
                <w:szCs w:val="20"/>
                <w:lang w:eastAsia="en-GB"/>
              </w:rPr>
              <w:t>Estd</w:t>
            </w:r>
          </w:p>
        </w:tc>
        <w:tc>
          <w:tcPr>
            <w:tcW w:w="581"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0"/>
                <w:szCs w:val="20"/>
                <w:lang w:eastAsia="en-GB"/>
              </w:rPr>
            </w:pPr>
            <w:r w:rsidRPr="004C4164">
              <w:rPr>
                <w:rFonts w:eastAsia="Times New Roman" w:cs="Times New Roman"/>
                <w:b/>
                <w:bCs/>
                <w:sz w:val="20"/>
                <w:szCs w:val="20"/>
                <w:lang w:eastAsia="en-GB"/>
              </w:rPr>
              <w:t>QOF</w:t>
            </w:r>
          </w:p>
        </w:tc>
        <w:tc>
          <w:tcPr>
            <w:tcW w:w="701"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0"/>
                <w:szCs w:val="20"/>
                <w:lang w:eastAsia="en-GB"/>
              </w:rPr>
            </w:pPr>
            <w:r>
              <w:rPr>
                <w:rFonts w:eastAsia="Times New Roman" w:cs="Times New Roman"/>
                <w:b/>
                <w:bCs/>
                <w:sz w:val="20"/>
                <w:szCs w:val="20"/>
                <w:lang w:eastAsia="en-GB"/>
              </w:rPr>
              <w:t>Estd</w:t>
            </w:r>
          </w:p>
        </w:tc>
        <w:tc>
          <w:tcPr>
            <w:tcW w:w="581"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0"/>
                <w:szCs w:val="20"/>
                <w:lang w:eastAsia="en-GB"/>
              </w:rPr>
            </w:pPr>
            <w:r w:rsidRPr="004C4164">
              <w:rPr>
                <w:rFonts w:eastAsia="Times New Roman" w:cs="Times New Roman"/>
                <w:b/>
                <w:bCs/>
                <w:sz w:val="20"/>
                <w:szCs w:val="20"/>
                <w:lang w:eastAsia="en-GB"/>
              </w:rPr>
              <w:t>QOF</w:t>
            </w:r>
          </w:p>
        </w:tc>
        <w:tc>
          <w:tcPr>
            <w:tcW w:w="782"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0"/>
                <w:szCs w:val="20"/>
                <w:lang w:eastAsia="en-GB"/>
              </w:rPr>
            </w:pPr>
            <w:r>
              <w:rPr>
                <w:rFonts w:eastAsia="Times New Roman" w:cs="Times New Roman"/>
                <w:b/>
                <w:bCs/>
                <w:sz w:val="20"/>
                <w:szCs w:val="20"/>
                <w:lang w:eastAsia="en-GB"/>
              </w:rPr>
              <w:t>Estd</w:t>
            </w:r>
          </w:p>
        </w:tc>
        <w:tc>
          <w:tcPr>
            <w:tcW w:w="581"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0"/>
                <w:szCs w:val="20"/>
                <w:lang w:eastAsia="en-GB"/>
              </w:rPr>
            </w:pPr>
            <w:r w:rsidRPr="004C4164">
              <w:rPr>
                <w:rFonts w:eastAsia="Times New Roman" w:cs="Times New Roman"/>
                <w:b/>
                <w:bCs/>
                <w:sz w:val="20"/>
                <w:szCs w:val="20"/>
                <w:lang w:eastAsia="en-GB"/>
              </w:rPr>
              <w:t>QOF</w:t>
            </w:r>
          </w:p>
        </w:tc>
        <w:tc>
          <w:tcPr>
            <w:tcW w:w="782"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0"/>
                <w:szCs w:val="20"/>
                <w:lang w:eastAsia="en-GB"/>
              </w:rPr>
            </w:pPr>
            <w:r>
              <w:rPr>
                <w:rFonts w:eastAsia="Times New Roman" w:cs="Times New Roman"/>
                <w:b/>
                <w:bCs/>
                <w:sz w:val="20"/>
                <w:szCs w:val="20"/>
                <w:lang w:eastAsia="en-GB"/>
              </w:rPr>
              <w:t>Estd</w:t>
            </w:r>
          </w:p>
        </w:tc>
        <w:tc>
          <w:tcPr>
            <w:tcW w:w="581"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0"/>
                <w:szCs w:val="20"/>
                <w:lang w:eastAsia="en-GB"/>
              </w:rPr>
            </w:pPr>
            <w:r w:rsidRPr="004C4164">
              <w:rPr>
                <w:rFonts w:eastAsia="Times New Roman" w:cs="Times New Roman"/>
                <w:b/>
                <w:bCs/>
                <w:sz w:val="20"/>
                <w:szCs w:val="20"/>
                <w:lang w:eastAsia="en-GB"/>
              </w:rPr>
              <w:t>QOF</w:t>
            </w:r>
          </w:p>
        </w:tc>
        <w:tc>
          <w:tcPr>
            <w:tcW w:w="782"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0"/>
                <w:szCs w:val="20"/>
                <w:lang w:eastAsia="en-GB"/>
              </w:rPr>
            </w:pPr>
            <w:r>
              <w:rPr>
                <w:rFonts w:eastAsia="Times New Roman" w:cs="Times New Roman"/>
                <w:b/>
                <w:bCs/>
                <w:sz w:val="20"/>
                <w:szCs w:val="20"/>
                <w:lang w:eastAsia="en-GB"/>
              </w:rPr>
              <w:t>Estd</w:t>
            </w:r>
          </w:p>
        </w:tc>
        <w:tc>
          <w:tcPr>
            <w:tcW w:w="581"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0"/>
                <w:szCs w:val="20"/>
                <w:lang w:eastAsia="en-GB"/>
              </w:rPr>
            </w:pPr>
            <w:r w:rsidRPr="004C4164">
              <w:rPr>
                <w:rFonts w:eastAsia="Times New Roman" w:cs="Times New Roman"/>
                <w:b/>
                <w:bCs/>
                <w:sz w:val="20"/>
                <w:szCs w:val="20"/>
                <w:lang w:eastAsia="en-GB"/>
              </w:rPr>
              <w:t>QOF</w:t>
            </w:r>
          </w:p>
        </w:tc>
        <w:tc>
          <w:tcPr>
            <w:tcW w:w="782"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0"/>
                <w:szCs w:val="20"/>
                <w:lang w:eastAsia="en-GB"/>
              </w:rPr>
            </w:pPr>
            <w:r>
              <w:rPr>
                <w:rFonts w:eastAsia="Times New Roman" w:cs="Times New Roman"/>
                <w:b/>
                <w:bCs/>
                <w:sz w:val="20"/>
                <w:szCs w:val="20"/>
                <w:lang w:eastAsia="en-GB"/>
              </w:rPr>
              <w:t>Estd</w:t>
            </w:r>
          </w:p>
        </w:tc>
        <w:tc>
          <w:tcPr>
            <w:tcW w:w="581"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0"/>
                <w:szCs w:val="20"/>
                <w:lang w:eastAsia="en-GB"/>
              </w:rPr>
            </w:pPr>
            <w:r w:rsidRPr="004C4164">
              <w:rPr>
                <w:rFonts w:eastAsia="Times New Roman" w:cs="Times New Roman"/>
                <w:b/>
                <w:bCs/>
                <w:sz w:val="20"/>
                <w:szCs w:val="20"/>
                <w:lang w:eastAsia="en-GB"/>
              </w:rPr>
              <w:t>QOF</w:t>
            </w:r>
          </w:p>
        </w:tc>
        <w:tc>
          <w:tcPr>
            <w:tcW w:w="782"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0"/>
                <w:szCs w:val="20"/>
                <w:lang w:eastAsia="en-GB"/>
              </w:rPr>
            </w:pPr>
            <w:r>
              <w:rPr>
                <w:rFonts w:eastAsia="Times New Roman" w:cs="Times New Roman"/>
                <w:b/>
                <w:bCs/>
                <w:sz w:val="20"/>
                <w:szCs w:val="20"/>
                <w:lang w:eastAsia="en-GB"/>
              </w:rPr>
              <w:t>Estd</w:t>
            </w:r>
          </w:p>
        </w:tc>
        <w:tc>
          <w:tcPr>
            <w:tcW w:w="581"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0"/>
                <w:szCs w:val="20"/>
                <w:lang w:eastAsia="en-GB"/>
              </w:rPr>
            </w:pPr>
            <w:r w:rsidRPr="004C4164">
              <w:rPr>
                <w:rFonts w:eastAsia="Times New Roman" w:cs="Times New Roman"/>
                <w:b/>
                <w:bCs/>
                <w:sz w:val="20"/>
                <w:szCs w:val="20"/>
                <w:lang w:eastAsia="en-GB"/>
              </w:rPr>
              <w:t>QOF</w:t>
            </w:r>
          </w:p>
        </w:tc>
        <w:tc>
          <w:tcPr>
            <w:tcW w:w="903"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0"/>
                <w:szCs w:val="20"/>
                <w:lang w:eastAsia="en-GB"/>
              </w:rPr>
            </w:pPr>
            <w:r>
              <w:rPr>
                <w:rFonts w:eastAsia="Times New Roman" w:cs="Times New Roman"/>
                <w:b/>
                <w:bCs/>
                <w:sz w:val="20"/>
                <w:szCs w:val="20"/>
                <w:lang w:eastAsia="en-GB"/>
              </w:rPr>
              <w:t>Estd</w:t>
            </w:r>
          </w:p>
        </w:tc>
        <w:tc>
          <w:tcPr>
            <w:tcW w:w="701"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0"/>
                <w:szCs w:val="20"/>
                <w:lang w:eastAsia="en-GB"/>
              </w:rPr>
            </w:pPr>
            <w:r w:rsidRPr="004C4164">
              <w:rPr>
                <w:rFonts w:eastAsia="Times New Roman" w:cs="Times New Roman"/>
                <w:b/>
                <w:bCs/>
                <w:sz w:val="20"/>
                <w:szCs w:val="20"/>
                <w:lang w:eastAsia="en-GB"/>
              </w:rPr>
              <w:t>QOF</w:t>
            </w:r>
          </w:p>
        </w:tc>
      </w:tr>
      <w:tr w:rsidR="000C0A41" w:rsidRPr="004C4164" w:rsidTr="001D1E87">
        <w:trPr>
          <w:jc w:val="center"/>
        </w:trPr>
        <w:tc>
          <w:tcPr>
            <w:cnfStyle w:val="001000000000" w:firstRow="0" w:lastRow="0" w:firstColumn="1" w:lastColumn="0" w:oddVBand="0" w:evenVBand="0" w:oddHBand="0" w:evenHBand="0" w:firstRowFirstColumn="0" w:firstRowLastColumn="0" w:lastRowFirstColumn="0" w:lastRowLastColumn="0"/>
            <w:tcW w:w="931" w:type="dxa"/>
            <w:tcMar>
              <w:top w:w="28" w:type="dxa"/>
              <w:left w:w="28" w:type="dxa"/>
              <w:bottom w:w="28" w:type="dxa"/>
              <w:right w:w="28" w:type="dxa"/>
            </w:tcMar>
            <w:vAlign w:val="center"/>
            <w:hideMark/>
          </w:tcPr>
          <w:p w:rsidR="000C0A41" w:rsidRPr="004C4164" w:rsidRDefault="000C0A41" w:rsidP="001D1E87">
            <w:pPr>
              <w:contextualSpacing w:val="0"/>
              <w:jc w:val="left"/>
              <w:rPr>
                <w:rFonts w:eastAsia="Times New Roman" w:cs="Times New Roman"/>
                <w:sz w:val="20"/>
                <w:szCs w:val="20"/>
                <w:lang w:eastAsia="en-GB"/>
              </w:rPr>
            </w:pPr>
            <w:r w:rsidRPr="004C4164">
              <w:rPr>
                <w:rFonts w:eastAsia="Times New Roman" w:cs="Times New Roman"/>
                <w:sz w:val="20"/>
                <w:szCs w:val="20"/>
                <w:lang w:eastAsia="en-GB"/>
              </w:rPr>
              <w:t>List Size</w:t>
            </w:r>
          </w:p>
        </w:tc>
        <w:tc>
          <w:tcPr>
            <w:tcW w:w="1338" w:type="dxa"/>
            <w:gridSpan w:val="2"/>
            <w:noWrap/>
            <w:tcMar>
              <w:top w:w="28" w:type="dxa"/>
              <w:left w:w="28" w:type="dxa"/>
              <w:bottom w:w="28" w:type="dxa"/>
              <w:right w:w="28" w:type="dxa"/>
            </w:tcMar>
            <w:vAlign w:val="center"/>
            <w:hideMark/>
          </w:tcPr>
          <w:p w:rsidR="000C0A41" w:rsidRPr="004C4164" w:rsidRDefault="000C0A41" w:rsidP="001D1E87">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1,214,894</w:t>
            </w:r>
          </w:p>
        </w:tc>
        <w:tc>
          <w:tcPr>
            <w:tcW w:w="1275" w:type="dxa"/>
            <w:gridSpan w:val="2"/>
            <w:noWrap/>
            <w:tcMar>
              <w:top w:w="28" w:type="dxa"/>
              <w:left w:w="28" w:type="dxa"/>
              <w:bottom w:w="28" w:type="dxa"/>
              <w:right w:w="28" w:type="dxa"/>
            </w:tcMar>
            <w:vAlign w:val="center"/>
            <w:hideMark/>
          </w:tcPr>
          <w:p w:rsidR="000C0A41" w:rsidRPr="004C4164" w:rsidRDefault="000C0A41" w:rsidP="001D1E87">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4,670,890</w:t>
            </w:r>
          </w:p>
        </w:tc>
        <w:tc>
          <w:tcPr>
            <w:tcW w:w="1233" w:type="dxa"/>
            <w:gridSpan w:val="2"/>
            <w:noWrap/>
            <w:tcMar>
              <w:top w:w="28" w:type="dxa"/>
              <w:left w:w="28" w:type="dxa"/>
              <w:bottom w:w="28" w:type="dxa"/>
              <w:right w:w="28" w:type="dxa"/>
            </w:tcMar>
            <w:vAlign w:val="center"/>
            <w:hideMark/>
          </w:tcPr>
          <w:p w:rsidR="000C0A41" w:rsidRPr="004C4164" w:rsidRDefault="000C0A41" w:rsidP="001D1E87">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6,156,294</w:t>
            </w:r>
          </w:p>
        </w:tc>
        <w:tc>
          <w:tcPr>
            <w:tcW w:w="1363" w:type="dxa"/>
            <w:gridSpan w:val="2"/>
            <w:noWrap/>
            <w:tcMar>
              <w:top w:w="28" w:type="dxa"/>
              <w:left w:w="28" w:type="dxa"/>
              <w:bottom w:w="28" w:type="dxa"/>
              <w:right w:w="28" w:type="dxa"/>
            </w:tcMar>
            <w:vAlign w:val="center"/>
            <w:hideMark/>
          </w:tcPr>
          <w:p w:rsidR="000C0A41" w:rsidRPr="004C4164" w:rsidRDefault="000C0A41" w:rsidP="001D1E87">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8,965,337</w:t>
            </w:r>
          </w:p>
        </w:tc>
        <w:tc>
          <w:tcPr>
            <w:tcW w:w="1282" w:type="dxa"/>
            <w:gridSpan w:val="2"/>
            <w:noWrap/>
            <w:tcMar>
              <w:top w:w="28" w:type="dxa"/>
              <w:left w:w="28" w:type="dxa"/>
              <w:bottom w:w="28" w:type="dxa"/>
              <w:right w:w="28" w:type="dxa"/>
            </w:tcMar>
            <w:vAlign w:val="center"/>
            <w:hideMark/>
          </w:tcPr>
          <w:p w:rsidR="000C0A41" w:rsidRPr="004C4164" w:rsidRDefault="000C0A41" w:rsidP="001D1E87">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2,192,911</w:t>
            </w:r>
          </w:p>
        </w:tc>
        <w:tc>
          <w:tcPr>
            <w:tcW w:w="1363" w:type="dxa"/>
            <w:gridSpan w:val="2"/>
            <w:noWrap/>
            <w:tcMar>
              <w:top w:w="28" w:type="dxa"/>
              <w:left w:w="28" w:type="dxa"/>
              <w:bottom w:w="28" w:type="dxa"/>
              <w:right w:w="28" w:type="dxa"/>
            </w:tcMar>
            <w:vAlign w:val="center"/>
            <w:hideMark/>
          </w:tcPr>
          <w:p w:rsidR="000C0A41" w:rsidRPr="004C4164" w:rsidRDefault="000C0A41" w:rsidP="001D1E87">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7,370,326</w:t>
            </w:r>
          </w:p>
        </w:tc>
        <w:tc>
          <w:tcPr>
            <w:tcW w:w="1363" w:type="dxa"/>
            <w:gridSpan w:val="2"/>
            <w:noWrap/>
            <w:tcMar>
              <w:top w:w="28" w:type="dxa"/>
              <w:left w:w="28" w:type="dxa"/>
              <w:bottom w:w="28" w:type="dxa"/>
              <w:right w:w="28" w:type="dxa"/>
            </w:tcMar>
            <w:vAlign w:val="center"/>
            <w:hideMark/>
          </w:tcPr>
          <w:p w:rsidR="000C0A41" w:rsidRPr="004C4164" w:rsidRDefault="000C0A41" w:rsidP="001D1E87">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8,357,166</w:t>
            </w:r>
          </w:p>
        </w:tc>
        <w:tc>
          <w:tcPr>
            <w:tcW w:w="1363" w:type="dxa"/>
            <w:gridSpan w:val="2"/>
            <w:noWrap/>
            <w:tcMar>
              <w:top w:w="28" w:type="dxa"/>
              <w:left w:w="28" w:type="dxa"/>
              <w:bottom w:w="28" w:type="dxa"/>
              <w:right w:w="28" w:type="dxa"/>
            </w:tcMar>
            <w:vAlign w:val="center"/>
            <w:hideMark/>
          </w:tcPr>
          <w:p w:rsidR="000C0A41" w:rsidRPr="004C4164" w:rsidRDefault="000C0A41" w:rsidP="001D1E87">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5,449,948</w:t>
            </w:r>
          </w:p>
        </w:tc>
        <w:tc>
          <w:tcPr>
            <w:tcW w:w="1363" w:type="dxa"/>
            <w:gridSpan w:val="2"/>
            <w:noWrap/>
            <w:tcMar>
              <w:top w:w="28" w:type="dxa"/>
              <w:left w:w="28" w:type="dxa"/>
              <w:bottom w:w="28" w:type="dxa"/>
              <w:right w:w="28" w:type="dxa"/>
            </w:tcMar>
            <w:vAlign w:val="center"/>
            <w:hideMark/>
          </w:tcPr>
          <w:p w:rsidR="000C0A41" w:rsidRPr="004C4164" w:rsidRDefault="000C0A41" w:rsidP="001D1E87">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5,824,981</w:t>
            </w:r>
          </w:p>
        </w:tc>
        <w:tc>
          <w:tcPr>
            <w:tcW w:w="1363" w:type="dxa"/>
            <w:gridSpan w:val="2"/>
            <w:noWrap/>
            <w:tcMar>
              <w:top w:w="28" w:type="dxa"/>
              <w:left w:w="28" w:type="dxa"/>
              <w:bottom w:w="28" w:type="dxa"/>
              <w:right w:w="28" w:type="dxa"/>
            </w:tcMar>
            <w:vAlign w:val="center"/>
            <w:hideMark/>
          </w:tcPr>
          <w:p w:rsidR="000C0A41" w:rsidRPr="004C4164" w:rsidRDefault="000C0A41" w:rsidP="001D1E87">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5,489,778</w:t>
            </w:r>
          </w:p>
        </w:tc>
        <w:tc>
          <w:tcPr>
            <w:tcW w:w="1604" w:type="dxa"/>
            <w:gridSpan w:val="2"/>
            <w:noWrap/>
            <w:tcMar>
              <w:top w:w="28" w:type="dxa"/>
              <w:left w:w="28" w:type="dxa"/>
              <w:bottom w:w="28" w:type="dxa"/>
              <w:right w:w="28" w:type="dxa"/>
            </w:tcMar>
            <w:vAlign w:val="center"/>
            <w:hideMark/>
          </w:tcPr>
          <w:p w:rsidR="000C0A41" w:rsidRPr="004C4164" w:rsidRDefault="000C0A41" w:rsidP="001D1E87">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55,692,525</w:t>
            </w:r>
          </w:p>
        </w:tc>
      </w:tr>
      <w:tr w:rsidR="000C0A41" w:rsidRPr="004C4164" w:rsidTr="001D1E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1" w:type="dxa"/>
            <w:tcMar>
              <w:top w:w="28" w:type="dxa"/>
              <w:left w:w="28" w:type="dxa"/>
              <w:bottom w:w="28" w:type="dxa"/>
              <w:right w:w="28" w:type="dxa"/>
            </w:tcMar>
            <w:vAlign w:val="center"/>
            <w:hideMark/>
          </w:tcPr>
          <w:p w:rsidR="000C0A41" w:rsidRPr="004C4164" w:rsidRDefault="000C0A41" w:rsidP="001D1E87">
            <w:pPr>
              <w:contextualSpacing w:val="0"/>
              <w:jc w:val="left"/>
              <w:rPr>
                <w:rFonts w:eastAsia="Times New Roman" w:cs="Times New Roman"/>
                <w:sz w:val="20"/>
                <w:szCs w:val="20"/>
                <w:lang w:eastAsia="en-GB"/>
              </w:rPr>
            </w:pPr>
            <w:r w:rsidRPr="004C4164">
              <w:rPr>
                <w:rFonts w:eastAsia="Times New Roman" w:cs="Times New Roman"/>
                <w:sz w:val="20"/>
                <w:szCs w:val="20"/>
                <w:lang w:eastAsia="en-GB"/>
              </w:rPr>
              <w:t>Est/QOF register</w:t>
            </w:r>
          </w:p>
        </w:tc>
        <w:tc>
          <w:tcPr>
            <w:tcW w:w="701" w:type="dxa"/>
            <w:noWrap/>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32,125.22</w:t>
            </w:r>
          </w:p>
        </w:tc>
        <w:tc>
          <w:tcPr>
            <w:tcW w:w="637" w:type="dxa"/>
            <w:noWrap/>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23,998</w:t>
            </w:r>
          </w:p>
        </w:tc>
        <w:tc>
          <w:tcPr>
            <w:tcW w:w="645" w:type="dxa"/>
            <w:noWrap/>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117,056.40</w:t>
            </w:r>
          </w:p>
        </w:tc>
        <w:tc>
          <w:tcPr>
            <w:tcW w:w="630" w:type="dxa"/>
            <w:noWrap/>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89,304</w:t>
            </w:r>
          </w:p>
        </w:tc>
        <w:tc>
          <w:tcPr>
            <w:tcW w:w="652" w:type="dxa"/>
            <w:noWrap/>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149,258.09</w:t>
            </w:r>
          </w:p>
        </w:tc>
        <w:tc>
          <w:tcPr>
            <w:tcW w:w="581" w:type="dxa"/>
            <w:noWrap/>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107,300</w:t>
            </w:r>
          </w:p>
        </w:tc>
        <w:tc>
          <w:tcPr>
            <w:tcW w:w="782" w:type="dxa"/>
            <w:noWrap/>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151,249.25</w:t>
            </w:r>
          </w:p>
        </w:tc>
        <w:tc>
          <w:tcPr>
            <w:tcW w:w="581" w:type="dxa"/>
            <w:noWrap/>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102,282</w:t>
            </w:r>
          </w:p>
        </w:tc>
        <w:tc>
          <w:tcPr>
            <w:tcW w:w="701" w:type="dxa"/>
            <w:noWrap/>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63,755.82</w:t>
            </w:r>
          </w:p>
        </w:tc>
        <w:tc>
          <w:tcPr>
            <w:tcW w:w="581" w:type="dxa"/>
            <w:noWrap/>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62,722</w:t>
            </w:r>
          </w:p>
        </w:tc>
        <w:tc>
          <w:tcPr>
            <w:tcW w:w="782" w:type="dxa"/>
            <w:noWrap/>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194,590.53</w:t>
            </w:r>
          </w:p>
        </w:tc>
        <w:tc>
          <w:tcPr>
            <w:tcW w:w="581" w:type="dxa"/>
            <w:noWrap/>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173,187</w:t>
            </w:r>
          </w:p>
        </w:tc>
        <w:tc>
          <w:tcPr>
            <w:tcW w:w="782" w:type="dxa"/>
            <w:noWrap/>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190,798.24</w:t>
            </w:r>
          </w:p>
        </w:tc>
        <w:tc>
          <w:tcPr>
            <w:tcW w:w="581" w:type="dxa"/>
            <w:noWrap/>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128,918</w:t>
            </w:r>
          </w:p>
        </w:tc>
        <w:tc>
          <w:tcPr>
            <w:tcW w:w="782" w:type="dxa"/>
            <w:noWrap/>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151,386.95</w:t>
            </w:r>
          </w:p>
        </w:tc>
        <w:tc>
          <w:tcPr>
            <w:tcW w:w="581" w:type="dxa"/>
            <w:noWrap/>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101,554</w:t>
            </w:r>
          </w:p>
        </w:tc>
        <w:tc>
          <w:tcPr>
            <w:tcW w:w="782" w:type="dxa"/>
            <w:noWrap/>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143,941.90</w:t>
            </w:r>
          </w:p>
        </w:tc>
        <w:tc>
          <w:tcPr>
            <w:tcW w:w="581" w:type="dxa"/>
            <w:noWrap/>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106,398</w:t>
            </w:r>
          </w:p>
        </w:tc>
        <w:tc>
          <w:tcPr>
            <w:tcW w:w="782" w:type="dxa"/>
            <w:noWrap/>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143,028.46</w:t>
            </w:r>
          </w:p>
        </w:tc>
        <w:tc>
          <w:tcPr>
            <w:tcW w:w="581" w:type="dxa"/>
            <w:noWrap/>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121,047</w:t>
            </w:r>
          </w:p>
        </w:tc>
        <w:tc>
          <w:tcPr>
            <w:tcW w:w="903" w:type="dxa"/>
            <w:noWrap/>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1,337,190.86</w:t>
            </w:r>
          </w:p>
        </w:tc>
        <w:tc>
          <w:tcPr>
            <w:tcW w:w="701" w:type="dxa"/>
            <w:noWrap/>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1,016,710</w:t>
            </w:r>
          </w:p>
        </w:tc>
      </w:tr>
      <w:tr w:rsidR="000C0A41" w:rsidRPr="004C4164" w:rsidTr="001D1E87">
        <w:trPr>
          <w:jc w:val="center"/>
        </w:trPr>
        <w:tc>
          <w:tcPr>
            <w:cnfStyle w:val="001000000000" w:firstRow="0" w:lastRow="0" w:firstColumn="1" w:lastColumn="0" w:oddVBand="0" w:evenVBand="0" w:oddHBand="0" w:evenHBand="0" w:firstRowFirstColumn="0" w:firstRowLastColumn="0" w:lastRowFirstColumn="0" w:lastRowLastColumn="0"/>
            <w:tcW w:w="931" w:type="dxa"/>
            <w:tcMar>
              <w:top w:w="28" w:type="dxa"/>
              <w:left w:w="28" w:type="dxa"/>
              <w:bottom w:w="28" w:type="dxa"/>
              <w:right w:w="28" w:type="dxa"/>
            </w:tcMar>
            <w:vAlign w:val="center"/>
            <w:hideMark/>
          </w:tcPr>
          <w:p w:rsidR="000C0A41" w:rsidRPr="004C4164" w:rsidRDefault="000C0A41" w:rsidP="001D1E87">
            <w:pPr>
              <w:contextualSpacing w:val="0"/>
              <w:jc w:val="left"/>
              <w:rPr>
                <w:rFonts w:eastAsia="Times New Roman" w:cs="Times New Roman"/>
                <w:sz w:val="20"/>
                <w:szCs w:val="20"/>
                <w:lang w:eastAsia="en-GB"/>
              </w:rPr>
            </w:pPr>
            <w:r w:rsidRPr="004C4164">
              <w:rPr>
                <w:rFonts w:eastAsia="Times New Roman" w:cs="Times New Roman"/>
                <w:sz w:val="20"/>
                <w:szCs w:val="20"/>
                <w:lang w:eastAsia="en-GB"/>
              </w:rPr>
              <w:t>Est/QOF prev</w:t>
            </w:r>
            <w:r>
              <w:rPr>
                <w:rFonts w:eastAsia="Times New Roman" w:cs="Times New Roman"/>
                <w:sz w:val="20"/>
                <w:szCs w:val="20"/>
                <w:lang w:eastAsia="en-GB"/>
              </w:rPr>
              <w:t>lce</w:t>
            </w:r>
          </w:p>
        </w:tc>
        <w:tc>
          <w:tcPr>
            <w:tcW w:w="701" w:type="dxa"/>
            <w:noWrap/>
            <w:tcMar>
              <w:top w:w="28" w:type="dxa"/>
              <w:left w:w="28" w:type="dxa"/>
              <w:bottom w:w="28" w:type="dxa"/>
              <w:right w:w="28" w:type="dxa"/>
            </w:tcMar>
            <w:vAlign w:val="center"/>
            <w:hideMark/>
          </w:tcPr>
          <w:p w:rsidR="000C0A41" w:rsidRPr="004C4164" w:rsidRDefault="000C0A41" w:rsidP="001D1E87">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highlight w:val="yellow"/>
                <w:lang w:eastAsia="en-GB"/>
              </w:rPr>
            </w:pPr>
            <w:r w:rsidRPr="004C4164">
              <w:rPr>
                <w:rFonts w:eastAsia="Times New Roman" w:cs="Times New Roman"/>
                <w:sz w:val="20"/>
                <w:szCs w:val="20"/>
                <w:highlight w:val="yellow"/>
                <w:lang w:eastAsia="en-GB"/>
              </w:rPr>
              <w:t>2.64%</w:t>
            </w:r>
          </w:p>
        </w:tc>
        <w:tc>
          <w:tcPr>
            <w:tcW w:w="637" w:type="dxa"/>
            <w:noWrap/>
            <w:tcMar>
              <w:top w:w="28" w:type="dxa"/>
              <w:left w:w="28" w:type="dxa"/>
              <w:bottom w:w="28" w:type="dxa"/>
              <w:right w:w="28" w:type="dxa"/>
            </w:tcMar>
            <w:vAlign w:val="center"/>
            <w:hideMark/>
          </w:tcPr>
          <w:p w:rsidR="000C0A41" w:rsidRPr="004C4164" w:rsidRDefault="000C0A41" w:rsidP="001D1E87">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highlight w:val="yellow"/>
                <w:lang w:eastAsia="en-GB"/>
              </w:rPr>
            </w:pPr>
            <w:r w:rsidRPr="004C4164">
              <w:rPr>
                <w:rFonts w:eastAsia="Times New Roman" w:cs="Times New Roman"/>
                <w:sz w:val="20"/>
                <w:szCs w:val="20"/>
                <w:highlight w:val="yellow"/>
                <w:lang w:eastAsia="en-GB"/>
              </w:rPr>
              <w:t>1.98%</w:t>
            </w:r>
          </w:p>
        </w:tc>
        <w:tc>
          <w:tcPr>
            <w:tcW w:w="645" w:type="dxa"/>
            <w:noWrap/>
            <w:tcMar>
              <w:top w:w="28" w:type="dxa"/>
              <w:left w:w="28" w:type="dxa"/>
              <w:bottom w:w="28" w:type="dxa"/>
              <w:right w:w="28" w:type="dxa"/>
            </w:tcMar>
            <w:vAlign w:val="center"/>
            <w:hideMark/>
          </w:tcPr>
          <w:p w:rsidR="000C0A41" w:rsidRPr="004C4164" w:rsidRDefault="000C0A41" w:rsidP="001D1E87">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highlight w:val="yellow"/>
                <w:lang w:eastAsia="en-GB"/>
              </w:rPr>
            </w:pPr>
            <w:r w:rsidRPr="004C4164">
              <w:rPr>
                <w:rFonts w:eastAsia="Times New Roman" w:cs="Times New Roman"/>
                <w:sz w:val="20"/>
                <w:szCs w:val="20"/>
                <w:highlight w:val="yellow"/>
                <w:lang w:eastAsia="en-GB"/>
              </w:rPr>
              <w:t>2.51%</w:t>
            </w:r>
          </w:p>
        </w:tc>
        <w:tc>
          <w:tcPr>
            <w:tcW w:w="630" w:type="dxa"/>
            <w:noWrap/>
            <w:tcMar>
              <w:top w:w="28" w:type="dxa"/>
              <w:left w:w="28" w:type="dxa"/>
              <w:bottom w:w="28" w:type="dxa"/>
              <w:right w:w="28" w:type="dxa"/>
            </w:tcMar>
            <w:vAlign w:val="center"/>
            <w:hideMark/>
          </w:tcPr>
          <w:p w:rsidR="000C0A41" w:rsidRPr="004C4164" w:rsidRDefault="000C0A41" w:rsidP="001D1E87">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highlight w:val="yellow"/>
                <w:lang w:eastAsia="en-GB"/>
              </w:rPr>
            </w:pPr>
            <w:r w:rsidRPr="004C4164">
              <w:rPr>
                <w:rFonts w:eastAsia="Times New Roman" w:cs="Times New Roman"/>
                <w:sz w:val="20"/>
                <w:szCs w:val="20"/>
                <w:highlight w:val="yellow"/>
                <w:lang w:eastAsia="en-GB"/>
              </w:rPr>
              <w:t>1.91%</w:t>
            </w:r>
          </w:p>
        </w:tc>
        <w:tc>
          <w:tcPr>
            <w:tcW w:w="652" w:type="dxa"/>
            <w:noWrap/>
            <w:tcMar>
              <w:top w:w="28" w:type="dxa"/>
              <w:left w:w="28" w:type="dxa"/>
              <w:bottom w:w="28" w:type="dxa"/>
              <w:right w:w="28" w:type="dxa"/>
            </w:tcMar>
            <w:vAlign w:val="center"/>
            <w:hideMark/>
          </w:tcPr>
          <w:p w:rsidR="000C0A41" w:rsidRPr="004C4164" w:rsidRDefault="000C0A41" w:rsidP="001D1E87">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highlight w:val="yellow"/>
                <w:lang w:eastAsia="en-GB"/>
              </w:rPr>
            </w:pPr>
            <w:r w:rsidRPr="004C4164">
              <w:rPr>
                <w:rFonts w:eastAsia="Times New Roman" w:cs="Times New Roman"/>
                <w:sz w:val="20"/>
                <w:szCs w:val="20"/>
                <w:highlight w:val="yellow"/>
                <w:lang w:eastAsia="en-GB"/>
              </w:rPr>
              <w:t>2.42%</w:t>
            </w:r>
          </w:p>
        </w:tc>
        <w:tc>
          <w:tcPr>
            <w:tcW w:w="581" w:type="dxa"/>
            <w:noWrap/>
            <w:tcMar>
              <w:top w:w="28" w:type="dxa"/>
              <w:left w:w="28" w:type="dxa"/>
              <w:bottom w:w="28" w:type="dxa"/>
              <w:right w:w="28" w:type="dxa"/>
            </w:tcMar>
            <w:vAlign w:val="center"/>
            <w:hideMark/>
          </w:tcPr>
          <w:p w:rsidR="000C0A41" w:rsidRPr="004C4164" w:rsidRDefault="000C0A41" w:rsidP="001D1E87">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highlight w:val="yellow"/>
                <w:lang w:eastAsia="en-GB"/>
              </w:rPr>
            </w:pPr>
            <w:r w:rsidRPr="004C4164">
              <w:rPr>
                <w:rFonts w:eastAsia="Times New Roman" w:cs="Times New Roman"/>
                <w:sz w:val="20"/>
                <w:szCs w:val="20"/>
                <w:highlight w:val="yellow"/>
                <w:lang w:eastAsia="en-GB"/>
              </w:rPr>
              <w:t>1.74%</w:t>
            </w:r>
          </w:p>
        </w:tc>
        <w:tc>
          <w:tcPr>
            <w:tcW w:w="782" w:type="dxa"/>
            <w:noWrap/>
            <w:tcMar>
              <w:top w:w="28" w:type="dxa"/>
              <w:left w:w="28" w:type="dxa"/>
              <w:bottom w:w="28" w:type="dxa"/>
              <w:right w:w="28" w:type="dxa"/>
            </w:tcMar>
            <w:vAlign w:val="center"/>
            <w:hideMark/>
          </w:tcPr>
          <w:p w:rsidR="000C0A41" w:rsidRPr="004C4164" w:rsidRDefault="000C0A41" w:rsidP="001D1E87">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highlight w:val="yellow"/>
                <w:lang w:eastAsia="en-GB"/>
              </w:rPr>
            </w:pPr>
            <w:r w:rsidRPr="004C4164">
              <w:rPr>
                <w:rFonts w:eastAsia="Times New Roman" w:cs="Times New Roman"/>
                <w:sz w:val="20"/>
                <w:szCs w:val="20"/>
                <w:highlight w:val="yellow"/>
                <w:lang w:eastAsia="en-GB"/>
              </w:rPr>
              <w:t>1.69%</w:t>
            </w:r>
          </w:p>
        </w:tc>
        <w:tc>
          <w:tcPr>
            <w:tcW w:w="581" w:type="dxa"/>
            <w:noWrap/>
            <w:tcMar>
              <w:top w:w="28" w:type="dxa"/>
              <w:left w:w="28" w:type="dxa"/>
              <w:bottom w:w="28" w:type="dxa"/>
              <w:right w:w="28" w:type="dxa"/>
            </w:tcMar>
            <w:vAlign w:val="center"/>
            <w:hideMark/>
          </w:tcPr>
          <w:p w:rsidR="000C0A41" w:rsidRPr="004C4164" w:rsidRDefault="000C0A41" w:rsidP="001D1E87">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highlight w:val="yellow"/>
                <w:lang w:eastAsia="en-GB"/>
              </w:rPr>
            </w:pPr>
            <w:r w:rsidRPr="004C4164">
              <w:rPr>
                <w:rFonts w:eastAsia="Times New Roman" w:cs="Times New Roman"/>
                <w:sz w:val="20"/>
                <w:szCs w:val="20"/>
                <w:highlight w:val="yellow"/>
                <w:lang w:eastAsia="en-GB"/>
              </w:rPr>
              <w:t>1.14%</w:t>
            </w:r>
          </w:p>
        </w:tc>
        <w:tc>
          <w:tcPr>
            <w:tcW w:w="701" w:type="dxa"/>
            <w:noWrap/>
            <w:tcMar>
              <w:top w:w="28" w:type="dxa"/>
              <w:left w:w="28" w:type="dxa"/>
              <w:bottom w:w="28" w:type="dxa"/>
              <w:right w:w="28" w:type="dxa"/>
            </w:tcMar>
            <w:vAlign w:val="center"/>
            <w:hideMark/>
          </w:tcPr>
          <w:p w:rsidR="000C0A41" w:rsidRPr="004C4164" w:rsidRDefault="000C0A41" w:rsidP="001D1E87">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highlight w:val="yellow"/>
                <w:lang w:eastAsia="en-GB"/>
              </w:rPr>
            </w:pPr>
            <w:r w:rsidRPr="004C4164">
              <w:rPr>
                <w:rFonts w:eastAsia="Times New Roman" w:cs="Times New Roman"/>
                <w:sz w:val="20"/>
                <w:szCs w:val="20"/>
                <w:highlight w:val="yellow"/>
                <w:lang w:eastAsia="en-GB"/>
              </w:rPr>
              <w:t>2.91%</w:t>
            </w:r>
          </w:p>
        </w:tc>
        <w:tc>
          <w:tcPr>
            <w:tcW w:w="581" w:type="dxa"/>
            <w:noWrap/>
            <w:tcMar>
              <w:top w:w="28" w:type="dxa"/>
              <w:left w:w="28" w:type="dxa"/>
              <w:bottom w:w="28" w:type="dxa"/>
              <w:right w:w="28" w:type="dxa"/>
            </w:tcMar>
            <w:vAlign w:val="center"/>
            <w:hideMark/>
          </w:tcPr>
          <w:p w:rsidR="000C0A41" w:rsidRPr="004C4164" w:rsidRDefault="000C0A41" w:rsidP="001D1E87">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highlight w:val="yellow"/>
                <w:lang w:eastAsia="en-GB"/>
              </w:rPr>
            </w:pPr>
            <w:r w:rsidRPr="004C4164">
              <w:rPr>
                <w:rFonts w:eastAsia="Times New Roman" w:cs="Times New Roman"/>
                <w:sz w:val="20"/>
                <w:szCs w:val="20"/>
                <w:highlight w:val="yellow"/>
                <w:lang w:eastAsia="en-GB"/>
              </w:rPr>
              <w:t>2.86%</w:t>
            </w:r>
          </w:p>
        </w:tc>
        <w:tc>
          <w:tcPr>
            <w:tcW w:w="782" w:type="dxa"/>
            <w:noWrap/>
            <w:tcMar>
              <w:top w:w="28" w:type="dxa"/>
              <w:left w:w="28" w:type="dxa"/>
              <w:bottom w:w="28" w:type="dxa"/>
              <w:right w:w="28" w:type="dxa"/>
            </w:tcMar>
            <w:vAlign w:val="center"/>
            <w:hideMark/>
          </w:tcPr>
          <w:p w:rsidR="000C0A41" w:rsidRPr="004C4164" w:rsidRDefault="000C0A41" w:rsidP="001D1E87">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highlight w:val="yellow"/>
                <w:lang w:eastAsia="en-GB"/>
              </w:rPr>
            </w:pPr>
            <w:r w:rsidRPr="004C4164">
              <w:rPr>
                <w:rFonts w:eastAsia="Times New Roman" w:cs="Times New Roman"/>
                <w:sz w:val="20"/>
                <w:szCs w:val="20"/>
                <w:highlight w:val="yellow"/>
                <w:lang w:eastAsia="en-GB"/>
              </w:rPr>
              <w:t>2.64%</w:t>
            </w:r>
          </w:p>
        </w:tc>
        <w:tc>
          <w:tcPr>
            <w:tcW w:w="581" w:type="dxa"/>
            <w:noWrap/>
            <w:tcMar>
              <w:top w:w="28" w:type="dxa"/>
              <w:left w:w="28" w:type="dxa"/>
              <w:bottom w:w="28" w:type="dxa"/>
              <w:right w:w="28" w:type="dxa"/>
            </w:tcMar>
            <w:vAlign w:val="center"/>
            <w:hideMark/>
          </w:tcPr>
          <w:p w:rsidR="000C0A41" w:rsidRPr="004C4164" w:rsidRDefault="000C0A41" w:rsidP="001D1E87">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highlight w:val="yellow"/>
                <w:lang w:eastAsia="en-GB"/>
              </w:rPr>
            </w:pPr>
            <w:r w:rsidRPr="004C4164">
              <w:rPr>
                <w:rFonts w:eastAsia="Times New Roman" w:cs="Times New Roman"/>
                <w:sz w:val="20"/>
                <w:szCs w:val="20"/>
                <w:highlight w:val="yellow"/>
                <w:lang w:eastAsia="en-GB"/>
              </w:rPr>
              <w:t>2.35%</w:t>
            </w:r>
          </w:p>
        </w:tc>
        <w:tc>
          <w:tcPr>
            <w:tcW w:w="782" w:type="dxa"/>
            <w:noWrap/>
            <w:tcMar>
              <w:top w:w="28" w:type="dxa"/>
              <w:left w:w="28" w:type="dxa"/>
              <w:bottom w:w="28" w:type="dxa"/>
              <w:right w:w="28" w:type="dxa"/>
            </w:tcMar>
            <w:vAlign w:val="center"/>
            <w:hideMark/>
          </w:tcPr>
          <w:p w:rsidR="000C0A41" w:rsidRPr="004C4164" w:rsidRDefault="000C0A41" w:rsidP="001D1E87">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highlight w:val="yellow"/>
                <w:lang w:eastAsia="en-GB"/>
              </w:rPr>
            </w:pPr>
            <w:r w:rsidRPr="004C4164">
              <w:rPr>
                <w:rFonts w:eastAsia="Times New Roman" w:cs="Times New Roman"/>
                <w:sz w:val="20"/>
                <w:szCs w:val="20"/>
                <w:highlight w:val="yellow"/>
                <w:lang w:eastAsia="en-GB"/>
              </w:rPr>
              <w:t>2.28%</w:t>
            </w:r>
          </w:p>
        </w:tc>
        <w:tc>
          <w:tcPr>
            <w:tcW w:w="581" w:type="dxa"/>
            <w:noWrap/>
            <w:tcMar>
              <w:top w:w="28" w:type="dxa"/>
              <w:left w:w="28" w:type="dxa"/>
              <w:bottom w:w="28" w:type="dxa"/>
              <w:right w:w="28" w:type="dxa"/>
            </w:tcMar>
            <w:vAlign w:val="center"/>
            <w:hideMark/>
          </w:tcPr>
          <w:p w:rsidR="000C0A41" w:rsidRPr="004C4164" w:rsidRDefault="000C0A41" w:rsidP="001D1E87">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highlight w:val="yellow"/>
                <w:lang w:eastAsia="en-GB"/>
              </w:rPr>
            </w:pPr>
            <w:r w:rsidRPr="004C4164">
              <w:rPr>
                <w:rFonts w:eastAsia="Times New Roman" w:cs="Times New Roman"/>
                <w:sz w:val="20"/>
                <w:szCs w:val="20"/>
                <w:highlight w:val="yellow"/>
                <w:lang w:eastAsia="en-GB"/>
              </w:rPr>
              <w:t>1.54%</w:t>
            </w:r>
          </w:p>
        </w:tc>
        <w:tc>
          <w:tcPr>
            <w:tcW w:w="782" w:type="dxa"/>
            <w:noWrap/>
            <w:tcMar>
              <w:top w:w="28" w:type="dxa"/>
              <w:left w:w="28" w:type="dxa"/>
              <w:bottom w:w="28" w:type="dxa"/>
              <w:right w:w="28" w:type="dxa"/>
            </w:tcMar>
            <w:vAlign w:val="center"/>
            <w:hideMark/>
          </w:tcPr>
          <w:p w:rsidR="000C0A41" w:rsidRPr="004C4164" w:rsidRDefault="000C0A41" w:rsidP="001D1E87">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highlight w:val="yellow"/>
                <w:lang w:eastAsia="en-GB"/>
              </w:rPr>
            </w:pPr>
            <w:r w:rsidRPr="004C4164">
              <w:rPr>
                <w:rFonts w:eastAsia="Times New Roman" w:cs="Times New Roman"/>
                <w:sz w:val="20"/>
                <w:szCs w:val="20"/>
                <w:highlight w:val="yellow"/>
                <w:lang w:eastAsia="en-GB"/>
              </w:rPr>
              <w:t>2.78%</w:t>
            </w:r>
          </w:p>
        </w:tc>
        <w:tc>
          <w:tcPr>
            <w:tcW w:w="581" w:type="dxa"/>
            <w:noWrap/>
            <w:tcMar>
              <w:top w:w="28" w:type="dxa"/>
              <w:left w:w="28" w:type="dxa"/>
              <w:bottom w:w="28" w:type="dxa"/>
              <w:right w:w="28" w:type="dxa"/>
            </w:tcMar>
            <w:vAlign w:val="center"/>
            <w:hideMark/>
          </w:tcPr>
          <w:p w:rsidR="000C0A41" w:rsidRPr="004C4164" w:rsidRDefault="000C0A41" w:rsidP="001D1E87">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highlight w:val="yellow"/>
                <w:lang w:eastAsia="en-GB"/>
              </w:rPr>
            </w:pPr>
            <w:r w:rsidRPr="004C4164">
              <w:rPr>
                <w:rFonts w:eastAsia="Times New Roman" w:cs="Times New Roman"/>
                <w:sz w:val="20"/>
                <w:szCs w:val="20"/>
                <w:highlight w:val="yellow"/>
                <w:lang w:eastAsia="en-GB"/>
              </w:rPr>
              <w:t>1.86%</w:t>
            </w:r>
          </w:p>
        </w:tc>
        <w:tc>
          <w:tcPr>
            <w:tcW w:w="782" w:type="dxa"/>
            <w:noWrap/>
            <w:tcMar>
              <w:top w:w="28" w:type="dxa"/>
              <w:left w:w="28" w:type="dxa"/>
              <w:bottom w:w="28" w:type="dxa"/>
              <w:right w:w="28" w:type="dxa"/>
            </w:tcMar>
            <w:vAlign w:val="center"/>
            <w:hideMark/>
          </w:tcPr>
          <w:p w:rsidR="000C0A41" w:rsidRPr="004C4164" w:rsidRDefault="000C0A41" w:rsidP="001D1E87">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highlight w:val="yellow"/>
                <w:lang w:eastAsia="en-GB"/>
              </w:rPr>
            </w:pPr>
            <w:r w:rsidRPr="004C4164">
              <w:rPr>
                <w:rFonts w:eastAsia="Times New Roman" w:cs="Times New Roman"/>
                <w:sz w:val="20"/>
                <w:szCs w:val="20"/>
                <w:highlight w:val="yellow"/>
                <w:lang w:eastAsia="en-GB"/>
              </w:rPr>
              <w:t>2.47%</w:t>
            </w:r>
          </w:p>
        </w:tc>
        <w:tc>
          <w:tcPr>
            <w:tcW w:w="581" w:type="dxa"/>
            <w:noWrap/>
            <w:tcMar>
              <w:top w:w="28" w:type="dxa"/>
              <w:left w:w="28" w:type="dxa"/>
              <w:bottom w:w="28" w:type="dxa"/>
              <w:right w:w="28" w:type="dxa"/>
            </w:tcMar>
            <w:vAlign w:val="center"/>
            <w:hideMark/>
          </w:tcPr>
          <w:p w:rsidR="000C0A41" w:rsidRPr="004C4164" w:rsidRDefault="000C0A41" w:rsidP="001D1E87">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highlight w:val="yellow"/>
                <w:lang w:eastAsia="en-GB"/>
              </w:rPr>
            </w:pPr>
            <w:r w:rsidRPr="004C4164">
              <w:rPr>
                <w:rFonts w:eastAsia="Times New Roman" w:cs="Times New Roman"/>
                <w:sz w:val="20"/>
                <w:szCs w:val="20"/>
                <w:highlight w:val="yellow"/>
                <w:lang w:eastAsia="en-GB"/>
              </w:rPr>
              <w:t>1.83%</w:t>
            </w:r>
          </w:p>
        </w:tc>
        <w:tc>
          <w:tcPr>
            <w:tcW w:w="782" w:type="dxa"/>
            <w:noWrap/>
            <w:tcMar>
              <w:top w:w="28" w:type="dxa"/>
              <w:left w:w="28" w:type="dxa"/>
              <w:bottom w:w="28" w:type="dxa"/>
              <w:right w:w="28" w:type="dxa"/>
            </w:tcMar>
            <w:vAlign w:val="center"/>
            <w:hideMark/>
          </w:tcPr>
          <w:p w:rsidR="000C0A41" w:rsidRPr="004C4164" w:rsidRDefault="000C0A41" w:rsidP="001D1E87">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highlight w:val="yellow"/>
                <w:lang w:eastAsia="en-GB"/>
              </w:rPr>
            </w:pPr>
            <w:r w:rsidRPr="004C4164">
              <w:rPr>
                <w:rFonts w:eastAsia="Times New Roman" w:cs="Times New Roman"/>
                <w:sz w:val="20"/>
                <w:szCs w:val="20"/>
                <w:highlight w:val="yellow"/>
                <w:lang w:eastAsia="en-GB"/>
              </w:rPr>
              <w:t>2.61%</w:t>
            </w:r>
          </w:p>
        </w:tc>
        <w:tc>
          <w:tcPr>
            <w:tcW w:w="581" w:type="dxa"/>
            <w:noWrap/>
            <w:tcMar>
              <w:top w:w="28" w:type="dxa"/>
              <w:left w:w="28" w:type="dxa"/>
              <w:bottom w:w="28" w:type="dxa"/>
              <w:right w:w="28" w:type="dxa"/>
            </w:tcMar>
            <w:vAlign w:val="center"/>
            <w:hideMark/>
          </w:tcPr>
          <w:p w:rsidR="000C0A41" w:rsidRPr="004C4164" w:rsidRDefault="000C0A41" w:rsidP="001D1E87">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highlight w:val="yellow"/>
                <w:lang w:eastAsia="en-GB"/>
              </w:rPr>
            </w:pPr>
            <w:r w:rsidRPr="004C4164">
              <w:rPr>
                <w:rFonts w:eastAsia="Times New Roman" w:cs="Times New Roman"/>
                <w:sz w:val="20"/>
                <w:szCs w:val="20"/>
                <w:highlight w:val="yellow"/>
                <w:lang w:eastAsia="en-GB"/>
              </w:rPr>
              <w:t>2.20%</w:t>
            </w:r>
          </w:p>
        </w:tc>
        <w:tc>
          <w:tcPr>
            <w:tcW w:w="903" w:type="dxa"/>
            <w:noWrap/>
            <w:tcMar>
              <w:top w:w="28" w:type="dxa"/>
              <w:left w:w="28" w:type="dxa"/>
              <w:bottom w:w="28" w:type="dxa"/>
              <w:right w:w="28" w:type="dxa"/>
            </w:tcMar>
            <w:vAlign w:val="center"/>
            <w:hideMark/>
          </w:tcPr>
          <w:p w:rsidR="000C0A41" w:rsidRPr="004C4164" w:rsidRDefault="000C0A41" w:rsidP="001D1E87">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highlight w:val="yellow"/>
                <w:lang w:eastAsia="en-GB"/>
              </w:rPr>
            </w:pPr>
            <w:r w:rsidRPr="004C4164">
              <w:rPr>
                <w:rFonts w:eastAsia="Times New Roman" w:cs="Times New Roman"/>
                <w:sz w:val="20"/>
                <w:szCs w:val="20"/>
                <w:highlight w:val="yellow"/>
                <w:lang w:eastAsia="en-GB"/>
              </w:rPr>
              <w:t>2.40%</w:t>
            </w:r>
          </w:p>
        </w:tc>
        <w:tc>
          <w:tcPr>
            <w:tcW w:w="701" w:type="dxa"/>
            <w:noWrap/>
            <w:tcMar>
              <w:top w:w="28" w:type="dxa"/>
              <w:left w:w="28" w:type="dxa"/>
              <w:bottom w:w="28" w:type="dxa"/>
              <w:right w:w="28" w:type="dxa"/>
            </w:tcMar>
            <w:vAlign w:val="center"/>
            <w:hideMark/>
          </w:tcPr>
          <w:p w:rsidR="000C0A41" w:rsidRPr="004C4164" w:rsidRDefault="000C0A41" w:rsidP="001D1E87">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highlight w:val="yellow"/>
                <w:lang w:eastAsia="en-GB"/>
              </w:rPr>
            </w:pPr>
            <w:r w:rsidRPr="004C4164">
              <w:rPr>
                <w:rFonts w:eastAsia="Times New Roman" w:cs="Times New Roman"/>
                <w:sz w:val="20"/>
                <w:szCs w:val="20"/>
                <w:highlight w:val="yellow"/>
                <w:lang w:eastAsia="en-GB"/>
              </w:rPr>
              <w:t>1.83%</w:t>
            </w:r>
          </w:p>
        </w:tc>
      </w:tr>
      <w:tr w:rsidR="000C0A41" w:rsidRPr="004C4164" w:rsidTr="001D1E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1" w:type="dxa"/>
            <w:tcMar>
              <w:top w:w="28" w:type="dxa"/>
              <w:left w:w="28" w:type="dxa"/>
              <w:bottom w:w="28" w:type="dxa"/>
              <w:right w:w="28" w:type="dxa"/>
            </w:tcMar>
            <w:vAlign w:val="center"/>
            <w:hideMark/>
          </w:tcPr>
          <w:p w:rsidR="000C0A41" w:rsidRPr="004C4164" w:rsidRDefault="000C0A41" w:rsidP="001D1E87">
            <w:pPr>
              <w:contextualSpacing w:val="0"/>
              <w:jc w:val="left"/>
              <w:rPr>
                <w:rFonts w:eastAsia="Times New Roman" w:cs="Times New Roman"/>
                <w:sz w:val="20"/>
                <w:szCs w:val="20"/>
                <w:lang w:eastAsia="en-GB"/>
              </w:rPr>
            </w:pPr>
            <w:r w:rsidRPr="004C4164">
              <w:rPr>
                <w:rFonts w:eastAsia="Times New Roman" w:cs="Times New Roman"/>
                <w:sz w:val="20"/>
                <w:szCs w:val="20"/>
                <w:lang w:eastAsia="en-GB"/>
              </w:rPr>
              <w:t>Practices</w:t>
            </w:r>
          </w:p>
        </w:tc>
        <w:tc>
          <w:tcPr>
            <w:tcW w:w="701"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147</w:t>
            </w:r>
          </w:p>
        </w:tc>
        <w:tc>
          <w:tcPr>
            <w:tcW w:w="637"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138</w:t>
            </w:r>
          </w:p>
        </w:tc>
        <w:tc>
          <w:tcPr>
            <w:tcW w:w="645"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579</w:t>
            </w:r>
          </w:p>
        </w:tc>
        <w:tc>
          <w:tcPr>
            <w:tcW w:w="630"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578</w:t>
            </w:r>
          </w:p>
        </w:tc>
        <w:tc>
          <w:tcPr>
            <w:tcW w:w="652"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743</w:t>
            </w:r>
          </w:p>
        </w:tc>
        <w:tc>
          <w:tcPr>
            <w:tcW w:w="581"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743</w:t>
            </w:r>
          </w:p>
        </w:tc>
        <w:tc>
          <w:tcPr>
            <w:tcW w:w="782"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1,340</w:t>
            </w:r>
          </w:p>
        </w:tc>
        <w:tc>
          <w:tcPr>
            <w:tcW w:w="581"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1,340</w:t>
            </w:r>
          </w:p>
        </w:tc>
        <w:tc>
          <w:tcPr>
            <w:tcW w:w="701"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313</w:t>
            </w:r>
          </w:p>
        </w:tc>
        <w:tc>
          <w:tcPr>
            <w:tcW w:w="581"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313</w:t>
            </w:r>
          </w:p>
        </w:tc>
        <w:tc>
          <w:tcPr>
            <w:tcW w:w="782"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1,159</w:t>
            </w:r>
          </w:p>
        </w:tc>
        <w:tc>
          <w:tcPr>
            <w:tcW w:w="581"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1,159</w:t>
            </w:r>
          </w:p>
        </w:tc>
        <w:tc>
          <w:tcPr>
            <w:tcW w:w="782"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958</w:t>
            </w:r>
          </w:p>
        </w:tc>
        <w:tc>
          <w:tcPr>
            <w:tcW w:w="581"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958</w:t>
            </w:r>
          </w:p>
        </w:tc>
        <w:tc>
          <w:tcPr>
            <w:tcW w:w="782"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670</w:t>
            </w:r>
          </w:p>
        </w:tc>
        <w:tc>
          <w:tcPr>
            <w:tcW w:w="581"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670</w:t>
            </w:r>
          </w:p>
        </w:tc>
        <w:tc>
          <w:tcPr>
            <w:tcW w:w="782"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879</w:t>
            </w:r>
          </w:p>
        </w:tc>
        <w:tc>
          <w:tcPr>
            <w:tcW w:w="581"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879</w:t>
            </w:r>
          </w:p>
        </w:tc>
        <w:tc>
          <w:tcPr>
            <w:tcW w:w="782"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733</w:t>
            </w:r>
          </w:p>
        </w:tc>
        <w:tc>
          <w:tcPr>
            <w:tcW w:w="581"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733</w:t>
            </w:r>
          </w:p>
        </w:tc>
        <w:tc>
          <w:tcPr>
            <w:tcW w:w="903"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7,521</w:t>
            </w:r>
          </w:p>
        </w:tc>
        <w:tc>
          <w:tcPr>
            <w:tcW w:w="701"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7,511</w:t>
            </w:r>
          </w:p>
        </w:tc>
      </w:tr>
      <w:tr w:rsidR="000C0A41" w:rsidRPr="004C4164" w:rsidTr="001D1E87">
        <w:trPr>
          <w:jc w:val="center"/>
        </w:trPr>
        <w:tc>
          <w:tcPr>
            <w:cnfStyle w:val="001000000000" w:firstRow="0" w:lastRow="0" w:firstColumn="1" w:lastColumn="0" w:oddVBand="0" w:evenVBand="0" w:oddHBand="0" w:evenHBand="0" w:firstRowFirstColumn="0" w:firstRowLastColumn="0" w:lastRowFirstColumn="0" w:lastRowLastColumn="0"/>
            <w:tcW w:w="931" w:type="dxa"/>
            <w:tcMar>
              <w:top w:w="28" w:type="dxa"/>
              <w:left w:w="28" w:type="dxa"/>
              <w:bottom w:w="28" w:type="dxa"/>
              <w:right w:w="28" w:type="dxa"/>
            </w:tcMar>
            <w:vAlign w:val="center"/>
            <w:hideMark/>
          </w:tcPr>
          <w:p w:rsidR="000C0A41" w:rsidRPr="004C4164" w:rsidRDefault="000C0A41" w:rsidP="001D1E87">
            <w:pPr>
              <w:contextualSpacing w:val="0"/>
              <w:jc w:val="left"/>
              <w:rPr>
                <w:rFonts w:eastAsia="Times New Roman" w:cs="Times New Roman"/>
                <w:sz w:val="20"/>
                <w:szCs w:val="20"/>
                <w:lang w:eastAsia="en-GB"/>
              </w:rPr>
            </w:pPr>
            <w:r w:rsidRPr="004C4164">
              <w:rPr>
                <w:rFonts w:eastAsia="Times New Roman" w:cs="Times New Roman"/>
                <w:sz w:val="20"/>
                <w:szCs w:val="20"/>
                <w:lang w:eastAsia="en-GB"/>
              </w:rPr>
              <w:t>Mean</w:t>
            </w:r>
          </w:p>
        </w:tc>
        <w:tc>
          <w:tcPr>
            <w:tcW w:w="701" w:type="dxa"/>
            <w:tcMar>
              <w:top w:w="28" w:type="dxa"/>
              <w:left w:w="28" w:type="dxa"/>
              <w:bottom w:w="28" w:type="dxa"/>
              <w:right w:w="28" w:type="dxa"/>
            </w:tcMar>
            <w:vAlign w:val="center"/>
            <w:hideMark/>
          </w:tcPr>
          <w:p w:rsidR="000C0A41" w:rsidRPr="004C4164" w:rsidRDefault="000C0A41" w:rsidP="001D1E87">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2.754</w:t>
            </w:r>
          </w:p>
        </w:tc>
        <w:tc>
          <w:tcPr>
            <w:tcW w:w="637" w:type="dxa"/>
            <w:tcMar>
              <w:top w:w="28" w:type="dxa"/>
              <w:left w:w="28" w:type="dxa"/>
              <w:bottom w:w="28" w:type="dxa"/>
              <w:right w:w="28" w:type="dxa"/>
            </w:tcMar>
            <w:vAlign w:val="center"/>
            <w:hideMark/>
          </w:tcPr>
          <w:p w:rsidR="000C0A41" w:rsidRPr="004C4164" w:rsidRDefault="000C0A41" w:rsidP="001D1E87">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2.087</w:t>
            </w:r>
          </w:p>
        </w:tc>
        <w:tc>
          <w:tcPr>
            <w:tcW w:w="645" w:type="dxa"/>
            <w:tcMar>
              <w:top w:w="28" w:type="dxa"/>
              <w:left w:w="28" w:type="dxa"/>
              <w:bottom w:w="28" w:type="dxa"/>
              <w:right w:w="28" w:type="dxa"/>
            </w:tcMar>
            <w:vAlign w:val="center"/>
            <w:hideMark/>
          </w:tcPr>
          <w:p w:rsidR="000C0A41" w:rsidRPr="004C4164" w:rsidRDefault="000C0A41" w:rsidP="001D1E87">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2.513</w:t>
            </w:r>
          </w:p>
        </w:tc>
        <w:tc>
          <w:tcPr>
            <w:tcW w:w="630" w:type="dxa"/>
            <w:tcMar>
              <w:top w:w="28" w:type="dxa"/>
              <w:left w:w="28" w:type="dxa"/>
              <w:bottom w:w="28" w:type="dxa"/>
              <w:right w:w="28" w:type="dxa"/>
            </w:tcMar>
            <w:vAlign w:val="center"/>
            <w:hideMark/>
          </w:tcPr>
          <w:p w:rsidR="000C0A41" w:rsidRPr="004C4164" w:rsidRDefault="000C0A41" w:rsidP="001D1E87">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1.915</w:t>
            </w:r>
          </w:p>
        </w:tc>
        <w:tc>
          <w:tcPr>
            <w:tcW w:w="652" w:type="dxa"/>
            <w:tcMar>
              <w:top w:w="28" w:type="dxa"/>
              <w:left w:w="28" w:type="dxa"/>
              <w:bottom w:w="28" w:type="dxa"/>
              <w:right w:w="28" w:type="dxa"/>
            </w:tcMar>
            <w:vAlign w:val="center"/>
            <w:hideMark/>
          </w:tcPr>
          <w:p w:rsidR="000C0A41" w:rsidRPr="004C4164" w:rsidRDefault="000C0A41" w:rsidP="001D1E87">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2.438</w:t>
            </w:r>
          </w:p>
        </w:tc>
        <w:tc>
          <w:tcPr>
            <w:tcW w:w="581" w:type="dxa"/>
            <w:tcMar>
              <w:top w:w="28" w:type="dxa"/>
              <w:left w:w="28" w:type="dxa"/>
              <w:bottom w:w="28" w:type="dxa"/>
              <w:right w:w="28" w:type="dxa"/>
            </w:tcMar>
            <w:vAlign w:val="center"/>
            <w:hideMark/>
          </w:tcPr>
          <w:p w:rsidR="000C0A41" w:rsidRPr="004C4164" w:rsidRDefault="000C0A41" w:rsidP="001D1E87">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1.785</w:t>
            </w:r>
          </w:p>
        </w:tc>
        <w:tc>
          <w:tcPr>
            <w:tcW w:w="782" w:type="dxa"/>
            <w:tcMar>
              <w:top w:w="28" w:type="dxa"/>
              <w:left w:w="28" w:type="dxa"/>
              <w:bottom w:w="28" w:type="dxa"/>
              <w:right w:w="28" w:type="dxa"/>
            </w:tcMar>
            <w:vAlign w:val="center"/>
            <w:hideMark/>
          </w:tcPr>
          <w:p w:rsidR="000C0A41" w:rsidRPr="004C4164" w:rsidRDefault="000C0A41" w:rsidP="001D1E87">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1.736</w:t>
            </w:r>
          </w:p>
        </w:tc>
        <w:tc>
          <w:tcPr>
            <w:tcW w:w="581" w:type="dxa"/>
            <w:tcMar>
              <w:top w:w="28" w:type="dxa"/>
              <w:left w:w="28" w:type="dxa"/>
              <w:bottom w:w="28" w:type="dxa"/>
              <w:right w:w="28" w:type="dxa"/>
            </w:tcMar>
            <w:vAlign w:val="center"/>
            <w:hideMark/>
          </w:tcPr>
          <w:p w:rsidR="000C0A41" w:rsidRPr="004C4164" w:rsidRDefault="000C0A41" w:rsidP="001D1E87">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1.161</w:t>
            </w:r>
          </w:p>
        </w:tc>
        <w:tc>
          <w:tcPr>
            <w:tcW w:w="701" w:type="dxa"/>
            <w:tcMar>
              <w:top w:w="28" w:type="dxa"/>
              <w:left w:w="28" w:type="dxa"/>
              <w:bottom w:w="28" w:type="dxa"/>
              <w:right w:w="28" w:type="dxa"/>
            </w:tcMar>
            <w:vAlign w:val="center"/>
            <w:hideMark/>
          </w:tcPr>
          <w:p w:rsidR="000C0A41" w:rsidRPr="004C4164" w:rsidRDefault="000C0A41" w:rsidP="001D1E87">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2.921</w:t>
            </w:r>
          </w:p>
        </w:tc>
        <w:tc>
          <w:tcPr>
            <w:tcW w:w="581" w:type="dxa"/>
            <w:tcMar>
              <w:top w:w="28" w:type="dxa"/>
              <w:left w:w="28" w:type="dxa"/>
              <w:bottom w:w="28" w:type="dxa"/>
              <w:right w:w="28" w:type="dxa"/>
            </w:tcMar>
            <w:vAlign w:val="center"/>
            <w:hideMark/>
          </w:tcPr>
          <w:p w:rsidR="000C0A41" w:rsidRPr="004C4164" w:rsidRDefault="000C0A41" w:rsidP="001D1E87">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2.994</w:t>
            </w:r>
          </w:p>
        </w:tc>
        <w:tc>
          <w:tcPr>
            <w:tcW w:w="782" w:type="dxa"/>
            <w:tcMar>
              <w:top w:w="28" w:type="dxa"/>
              <w:left w:w="28" w:type="dxa"/>
              <w:bottom w:w="28" w:type="dxa"/>
              <w:right w:w="28" w:type="dxa"/>
            </w:tcMar>
            <w:vAlign w:val="center"/>
            <w:hideMark/>
          </w:tcPr>
          <w:p w:rsidR="000C0A41" w:rsidRPr="004C4164" w:rsidRDefault="000C0A41" w:rsidP="001D1E87">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2.648</w:t>
            </w:r>
          </w:p>
        </w:tc>
        <w:tc>
          <w:tcPr>
            <w:tcW w:w="581" w:type="dxa"/>
            <w:tcMar>
              <w:top w:w="28" w:type="dxa"/>
              <w:left w:w="28" w:type="dxa"/>
              <w:bottom w:w="28" w:type="dxa"/>
              <w:right w:w="28" w:type="dxa"/>
            </w:tcMar>
            <w:vAlign w:val="center"/>
            <w:hideMark/>
          </w:tcPr>
          <w:p w:rsidR="000C0A41" w:rsidRPr="004C4164" w:rsidRDefault="000C0A41" w:rsidP="001D1E87">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2.441</w:t>
            </w:r>
          </w:p>
        </w:tc>
        <w:tc>
          <w:tcPr>
            <w:tcW w:w="782" w:type="dxa"/>
            <w:tcMar>
              <w:top w:w="28" w:type="dxa"/>
              <w:left w:w="28" w:type="dxa"/>
              <w:bottom w:w="28" w:type="dxa"/>
              <w:right w:w="28" w:type="dxa"/>
            </w:tcMar>
            <w:vAlign w:val="center"/>
            <w:hideMark/>
          </w:tcPr>
          <w:p w:rsidR="000C0A41" w:rsidRPr="004C4164" w:rsidRDefault="000C0A41" w:rsidP="001D1E87">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2.325</w:t>
            </w:r>
          </w:p>
        </w:tc>
        <w:tc>
          <w:tcPr>
            <w:tcW w:w="581" w:type="dxa"/>
            <w:tcMar>
              <w:top w:w="28" w:type="dxa"/>
              <w:left w:w="28" w:type="dxa"/>
              <w:bottom w:w="28" w:type="dxa"/>
              <w:right w:w="28" w:type="dxa"/>
            </w:tcMar>
            <w:vAlign w:val="center"/>
            <w:hideMark/>
          </w:tcPr>
          <w:p w:rsidR="000C0A41" w:rsidRPr="004C4164" w:rsidRDefault="000C0A41" w:rsidP="001D1E87">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1.589</w:t>
            </w:r>
          </w:p>
        </w:tc>
        <w:tc>
          <w:tcPr>
            <w:tcW w:w="782" w:type="dxa"/>
            <w:tcMar>
              <w:top w:w="28" w:type="dxa"/>
              <w:left w:w="28" w:type="dxa"/>
              <w:bottom w:w="28" w:type="dxa"/>
              <w:right w:w="28" w:type="dxa"/>
            </w:tcMar>
            <w:vAlign w:val="center"/>
            <w:hideMark/>
          </w:tcPr>
          <w:p w:rsidR="000C0A41" w:rsidRPr="004C4164" w:rsidRDefault="000C0A41" w:rsidP="001D1E87">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2.852</w:t>
            </w:r>
          </w:p>
        </w:tc>
        <w:tc>
          <w:tcPr>
            <w:tcW w:w="581" w:type="dxa"/>
            <w:tcMar>
              <w:top w:w="28" w:type="dxa"/>
              <w:left w:w="28" w:type="dxa"/>
              <w:bottom w:w="28" w:type="dxa"/>
              <w:right w:w="28" w:type="dxa"/>
            </w:tcMar>
            <w:vAlign w:val="center"/>
            <w:hideMark/>
          </w:tcPr>
          <w:p w:rsidR="000C0A41" w:rsidRPr="004C4164" w:rsidRDefault="000C0A41" w:rsidP="001D1E87">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1.922</w:t>
            </w:r>
          </w:p>
        </w:tc>
        <w:tc>
          <w:tcPr>
            <w:tcW w:w="782" w:type="dxa"/>
            <w:tcMar>
              <w:top w:w="28" w:type="dxa"/>
              <w:left w:w="28" w:type="dxa"/>
              <w:bottom w:w="28" w:type="dxa"/>
              <w:right w:w="28" w:type="dxa"/>
            </w:tcMar>
            <w:vAlign w:val="center"/>
            <w:hideMark/>
          </w:tcPr>
          <w:p w:rsidR="000C0A41" w:rsidRPr="004C4164" w:rsidRDefault="000C0A41" w:rsidP="001D1E87">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2.460</w:t>
            </w:r>
          </w:p>
        </w:tc>
        <w:tc>
          <w:tcPr>
            <w:tcW w:w="581" w:type="dxa"/>
            <w:tcMar>
              <w:top w:w="28" w:type="dxa"/>
              <w:left w:w="28" w:type="dxa"/>
              <w:bottom w:w="28" w:type="dxa"/>
              <w:right w:w="28" w:type="dxa"/>
            </w:tcMar>
            <w:vAlign w:val="center"/>
            <w:hideMark/>
          </w:tcPr>
          <w:p w:rsidR="000C0A41" w:rsidRPr="004C4164" w:rsidRDefault="000C0A41" w:rsidP="001D1E87">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1.864</w:t>
            </w:r>
          </w:p>
        </w:tc>
        <w:tc>
          <w:tcPr>
            <w:tcW w:w="782" w:type="dxa"/>
            <w:tcMar>
              <w:top w:w="28" w:type="dxa"/>
              <w:left w:w="28" w:type="dxa"/>
              <w:bottom w:w="28" w:type="dxa"/>
              <w:right w:w="28" w:type="dxa"/>
            </w:tcMar>
            <w:vAlign w:val="center"/>
            <w:hideMark/>
          </w:tcPr>
          <w:p w:rsidR="000C0A41" w:rsidRPr="004C4164" w:rsidRDefault="000C0A41" w:rsidP="001D1E87">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2.626</w:t>
            </w:r>
          </w:p>
        </w:tc>
        <w:tc>
          <w:tcPr>
            <w:tcW w:w="581" w:type="dxa"/>
            <w:tcMar>
              <w:top w:w="28" w:type="dxa"/>
              <w:left w:w="28" w:type="dxa"/>
              <w:bottom w:w="28" w:type="dxa"/>
              <w:right w:w="28" w:type="dxa"/>
            </w:tcMar>
            <w:vAlign w:val="center"/>
            <w:hideMark/>
          </w:tcPr>
          <w:p w:rsidR="000C0A41" w:rsidRPr="004C4164" w:rsidRDefault="000C0A41" w:rsidP="001D1E87">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2.287</w:t>
            </w:r>
          </w:p>
        </w:tc>
        <w:tc>
          <w:tcPr>
            <w:tcW w:w="903" w:type="dxa"/>
            <w:tcMar>
              <w:top w:w="28" w:type="dxa"/>
              <w:left w:w="28" w:type="dxa"/>
              <w:bottom w:w="28" w:type="dxa"/>
              <w:right w:w="28" w:type="dxa"/>
            </w:tcMar>
            <w:vAlign w:val="center"/>
            <w:hideMark/>
          </w:tcPr>
          <w:p w:rsidR="000C0A41" w:rsidRPr="004C4164" w:rsidRDefault="000C0A41" w:rsidP="001D1E87">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2.421</w:t>
            </w:r>
          </w:p>
        </w:tc>
        <w:tc>
          <w:tcPr>
            <w:tcW w:w="701" w:type="dxa"/>
            <w:tcMar>
              <w:top w:w="28" w:type="dxa"/>
              <w:left w:w="28" w:type="dxa"/>
              <w:bottom w:w="28" w:type="dxa"/>
              <w:right w:w="28" w:type="dxa"/>
            </w:tcMar>
            <w:vAlign w:val="center"/>
            <w:hideMark/>
          </w:tcPr>
          <w:p w:rsidR="000C0A41" w:rsidRPr="004C4164" w:rsidRDefault="000C0A41" w:rsidP="001D1E87">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1.886</w:t>
            </w:r>
          </w:p>
        </w:tc>
      </w:tr>
      <w:tr w:rsidR="000C0A41" w:rsidRPr="004C4164" w:rsidTr="001D1E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1" w:type="dxa"/>
            <w:tcMar>
              <w:top w:w="28" w:type="dxa"/>
              <w:left w:w="28" w:type="dxa"/>
              <w:bottom w:w="28" w:type="dxa"/>
              <w:right w:w="28" w:type="dxa"/>
            </w:tcMar>
            <w:vAlign w:val="center"/>
            <w:hideMark/>
          </w:tcPr>
          <w:p w:rsidR="000C0A41" w:rsidRPr="004C4164" w:rsidRDefault="000C0A41" w:rsidP="001D1E87">
            <w:pPr>
              <w:contextualSpacing w:val="0"/>
              <w:jc w:val="left"/>
              <w:rPr>
                <w:rFonts w:eastAsia="Times New Roman" w:cs="Times New Roman"/>
                <w:sz w:val="20"/>
                <w:szCs w:val="20"/>
                <w:lang w:eastAsia="en-GB"/>
              </w:rPr>
            </w:pPr>
            <w:r w:rsidRPr="004C4164">
              <w:rPr>
                <w:rFonts w:eastAsia="Times New Roman" w:cs="Times New Roman"/>
                <w:sz w:val="20"/>
                <w:szCs w:val="20"/>
                <w:lang w:eastAsia="en-GB"/>
              </w:rPr>
              <w:t>Std. Err.</w:t>
            </w:r>
          </w:p>
        </w:tc>
        <w:tc>
          <w:tcPr>
            <w:tcW w:w="701"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0.094</w:t>
            </w:r>
          </w:p>
        </w:tc>
        <w:tc>
          <w:tcPr>
            <w:tcW w:w="637"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0.082</w:t>
            </w:r>
          </w:p>
        </w:tc>
        <w:tc>
          <w:tcPr>
            <w:tcW w:w="645"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0.031</w:t>
            </w:r>
          </w:p>
        </w:tc>
        <w:tc>
          <w:tcPr>
            <w:tcW w:w="630"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0.030</w:t>
            </w:r>
          </w:p>
        </w:tc>
        <w:tc>
          <w:tcPr>
            <w:tcW w:w="652"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0.030</w:t>
            </w:r>
          </w:p>
        </w:tc>
        <w:tc>
          <w:tcPr>
            <w:tcW w:w="581"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0.027</w:t>
            </w:r>
          </w:p>
        </w:tc>
        <w:tc>
          <w:tcPr>
            <w:tcW w:w="782"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0.014</w:t>
            </w:r>
          </w:p>
        </w:tc>
        <w:tc>
          <w:tcPr>
            <w:tcW w:w="581"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0.017</w:t>
            </w:r>
          </w:p>
        </w:tc>
        <w:tc>
          <w:tcPr>
            <w:tcW w:w="701"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0.036</w:t>
            </w:r>
          </w:p>
        </w:tc>
        <w:tc>
          <w:tcPr>
            <w:tcW w:w="581"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0.058</w:t>
            </w:r>
          </w:p>
        </w:tc>
        <w:tc>
          <w:tcPr>
            <w:tcW w:w="782"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0.021</w:t>
            </w:r>
          </w:p>
        </w:tc>
        <w:tc>
          <w:tcPr>
            <w:tcW w:w="581"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0.028</w:t>
            </w:r>
          </w:p>
        </w:tc>
        <w:tc>
          <w:tcPr>
            <w:tcW w:w="782"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0.025</w:t>
            </w:r>
          </w:p>
        </w:tc>
        <w:tc>
          <w:tcPr>
            <w:tcW w:w="581"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0.022</w:t>
            </w:r>
          </w:p>
        </w:tc>
        <w:tc>
          <w:tcPr>
            <w:tcW w:w="782"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0.029</w:t>
            </w:r>
          </w:p>
        </w:tc>
        <w:tc>
          <w:tcPr>
            <w:tcW w:w="581"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0.024</w:t>
            </w:r>
          </w:p>
        </w:tc>
        <w:tc>
          <w:tcPr>
            <w:tcW w:w="782"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0.023</w:t>
            </w:r>
          </w:p>
        </w:tc>
        <w:tc>
          <w:tcPr>
            <w:tcW w:w="581"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0.027</w:t>
            </w:r>
          </w:p>
        </w:tc>
        <w:tc>
          <w:tcPr>
            <w:tcW w:w="782"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0.026</w:t>
            </w:r>
          </w:p>
        </w:tc>
        <w:tc>
          <w:tcPr>
            <w:tcW w:w="581"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0.035</w:t>
            </w:r>
          </w:p>
        </w:tc>
        <w:tc>
          <w:tcPr>
            <w:tcW w:w="903"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0.009</w:t>
            </w:r>
          </w:p>
        </w:tc>
        <w:tc>
          <w:tcPr>
            <w:tcW w:w="701"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0.011</w:t>
            </w:r>
          </w:p>
        </w:tc>
      </w:tr>
      <w:tr w:rsidR="000C0A41" w:rsidRPr="004C4164" w:rsidTr="001D1E87">
        <w:trPr>
          <w:jc w:val="center"/>
        </w:trPr>
        <w:tc>
          <w:tcPr>
            <w:cnfStyle w:val="001000000000" w:firstRow="0" w:lastRow="0" w:firstColumn="1" w:lastColumn="0" w:oddVBand="0" w:evenVBand="0" w:oddHBand="0" w:evenHBand="0" w:firstRowFirstColumn="0" w:firstRowLastColumn="0" w:lastRowFirstColumn="0" w:lastRowLastColumn="0"/>
            <w:tcW w:w="931" w:type="dxa"/>
            <w:tcMar>
              <w:top w:w="28" w:type="dxa"/>
              <w:left w:w="28" w:type="dxa"/>
              <w:bottom w:w="28" w:type="dxa"/>
              <w:right w:w="28" w:type="dxa"/>
            </w:tcMar>
            <w:vAlign w:val="center"/>
            <w:hideMark/>
          </w:tcPr>
          <w:p w:rsidR="000C0A41" w:rsidRPr="004C4164" w:rsidRDefault="000C0A41" w:rsidP="001D1E87">
            <w:pPr>
              <w:contextualSpacing w:val="0"/>
              <w:jc w:val="left"/>
              <w:rPr>
                <w:rFonts w:eastAsia="Times New Roman" w:cs="Times New Roman"/>
                <w:sz w:val="20"/>
                <w:szCs w:val="20"/>
                <w:lang w:eastAsia="en-GB"/>
              </w:rPr>
            </w:pPr>
            <w:r w:rsidRPr="004C4164">
              <w:rPr>
                <w:rFonts w:eastAsia="Times New Roman" w:cs="Times New Roman"/>
                <w:sz w:val="20"/>
                <w:szCs w:val="20"/>
                <w:lang w:eastAsia="en-GB"/>
              </w:rPr>
              <w:t>Lower 95% CI</w:t>
            </w:r>
          </w:p>
        </w:tc>
        <w:tc>
          <w:tcPr>
            <w:tcW w:w="701" w:type="dxa"/>
            <w:tcMar>
              <w:top w:w="28" w:type="dxa"/>
              <w:left w:w="28" w:type="dxa"/>
              <w:bottom w:w="28" w:type="dxa"/>
              <w:right w:w="28" w:type="dxa"/>
            </w:tcMar>
            <w:vAlign w:val="center"/>
            <w:hideMark/>
          </w:tcPr>
          <w:p w:rsidR="000C0A41" w:rsidRPr="004C4164" w:rsidRDefault="000C0A41" w:rsidP="001D1E87">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2.568</w:t>
            </w:r>
          </w:p>
        </w:tc>
        <w:tc>
          <w:tcPr>
            <w:tcW w:w="637" w:type="dxa"/>
            <w:tcMar>
              <w:top w:w="28" w:type="dxa"/>
              <w:left w:w="28" w:type="dxa"/>
              <w:bottom w:w="28" w:type="dxa"/>
              <w:right w:w="28" w:type="dxa"/>
            </w:tcMar>
            <w:vAlign w:val="center"/>
            <w:hideMark/>
          </w:tcPr>
          <w:p w:rsidR="000C0A41" w:rsidRPr="004C4164" w:rsidRDefault="000C0A41" w:rsidP="001D1E87">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1.926</w:t>
            </w:r>
          </w:p>
        </w:tc>
        <w:tc>
          <w:tcPr>
            <w:tcW w:w="645" w:type="dxa"/>
            <w:tcMar>
              <w:top w:w="28" w:type="dxa"/>
              <w:left w:w="28" w:type="dxa"/>
              <w:bottom w:w="28" w:type="dxa"/>
              <w:right w:w="28" w:type="dxa"/>
            </w:tcMar>
            <w:vAlign w:val="center"/>
            <w:hideMark/>
          </w:tcPr>
          <w:p w:rsidR="000C0A41" w:rsidRPr="004C4164" w:rsidRDefault="000C0A41" w:rsidP="001D1E87">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2.453</w:t>
            </w:r>
          </w:p>
        </w:tc>
        <w:tc>
          <w:tcPr>
            <w:tcW w:w="630" w:type="dxa"/>
            <w:tcMar>
              <w:top w:w="28" w:type="dxa"/>
              <w:left w:w="28" w:type="dxa"/>
              <w:bottom w:w="28" w:type="dxa"/>
              <w:right w:w="28" w:type="dxa"/>
            </w:tcMar>
            <w:vAlign w:val="center"/>
            <w:hideMark/>
          </w:tcPr>
          <w:p w:rsidR="000C0A41" w:rsidRPr="004C4164" w:rsidRDefault="000C0A41" w:rsidP="001D1E87">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1.856</w:t>
            </w:r>
          </w:p>
        </w:tc>
        <w:tc>
          <w:tcPr>
            <w:tcW w:w="652" w:type="dxa"/>
            <w:tcMar>
              <w:top w:w="28" w:type="dxa"/>
              <w:left w:w="28" w:type="dxa"/>
              <w:bottom w:w="28" w:type="dxa"/>
              <w:right w:w="28" w:type="dxa"/>
            </w:tcMar>
            <w:vAlign w:val="center"/>
            <w:hideMark/>
          </w:tcPr>
          <w:p w:rsidR="000C0A41" w:rsidRPr="004C4164" w:rsidRDefault="000C0A41" w:rsidP="001D1E87">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2.380</w:t>
            </w:r>
          </w:p>
        </w:tc>
        <w:tc>
          <w:tcPr>
            <w:tcW w:w="581" w:type="dxa"/>
            <w:tcMar>
              <w:top w:w="28" w:type="dxa"/>
              <w:left w:w="28" w:type="dxa"/>
              <w:bottom w:w="28" w:type="dxa"/>
              <w:right w:w="28" w:type="dxa"/>
            </w:tcMar>
            <w:vAlign w:val="center"/>
            <w:hideMark/>
          </w:tcPr>
          <w:p w:rsidR="000C0A41" w:rsidRPr="004C4164" w:rsidRDefault="000C0A41" w:rsidP="001D1E87">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1.732</w:t>
            </w:r>
          </w:p>
        </w:tc>
        <w:tc>
          <w:tcPr>
            <w:tcW w:w="782" w:type="dxa"/>
            <w:tcMar>
              <w:top w:w="28" w:type="dxa"/>
              <w:left w:w="28" w:type="dxa"/>
              <w:bottom w:w="28" w:type="dxa"/>
              <w:right w:w="28" w:type="dxa"/>
            </w:tcMar>
            <w:vAlign w:val="center"/>
            <w:hideMark/>
          </w:tcPr>
          <w:p w:rsidR="000C0A41" w:rsidRPr="004C4164" w:rsidRDefault="000C0A41" w:rsidP="001D1E87">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1.709</w:t>
            </w:r>
          </w:p>
        </w:tc>
        <w:tc>
          <w:tcPr>
            <w:tcW w:w="581" w:type="dxa"/>
            <w:tcMar>
              <w:top w:w="28" w:type="dxa"/>
              <w:left w:w="28" w:type="dxa"/>
              <w:bottom w:w="28" w:type="dxa"/>
              <w:right w:w="28" w:type="dxa"/>
            </w:tcMar>
            <w:vAlign w:val="center"/>
            <w:hideMark/>
          </w:tcPr>
          <w:p w:rsidR="000C0A41" w:rsidRPr="004C4164" w:rsidRDefault="000C0A41" w:rsidP="001D1E87">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1.128</w:t>
            </w:r>
          </w:p>
        </w:tc>
        <w:tc>
          <w:tcPr>
            <w:tcW w:w="701" w:type="dxa"/>
            <w:tcMar>
              <w:top w:w="28" w:type="dxa"/>
              <w:left w:w="28" w:type="dxa"/>
              <w:bottom w:w="28" w:type="dxa"/>
              <w:right w:w="28" w:type="dxa"/>
            </w:tcMar>
            <w:vAlign w:val="center"/>
            <w:hideMark/>
          </w:tcPr>
          <w:p w:rsidR="000C0A41" w:rsidRPr="004C4164" w:rsidRDefault="000C0A41" w:rsidP="001D1E87">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2.850</w:t>
            </w:r>
          </w:p>
        </w:tc>
        <w:tc>
          <w:tcPr>
            <w:tcW w:w="581" w:type="dxa"/>
            <w:tcMar>
              <w:top w:w="28" w:type="dxa"/>
              <w:left w:w="28" w:type="dxa"/>
              <w:bottom w:w="28" w:type="dxa"/>
              <w:right w:w="28" w:type="dxa"/>
            </w:tcMar>
            <w:vAlign w:val="center"/>
            <w:hideMark/>
          </w:tcPr>
          <w:p w:rsidR="000C0A41" w:rsidRPr="004C4164" w:rsidRDefault="000C0A41" w:rsidP="001D1E87">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2.879</w:t>
            </w:r>
          </w:p>
        </w:tc>
        <w:tc>
          <w:tcPr>
            <w:tcW w:w="782" w:type="dxa"/>
            <w:tcMar>
              <w:top w:w="28" w:type="dxa"/>
              <w:left w:w="28" w:type="dxa"/>
              <w:bottom w:w="28" w:type="dxa"/>
              <w:right w:w="28" w:type="dxa"/>
            </w:tcMar>
            <w:vAlign w:val="center"/>
            <w:hideMark/>
          </w:tcPr>
          <w:p w:rsidR="000C0A41" w:rsidRPr="004C4164" w:rsidRDefault="000C0A41" w:rsidP="001D1E87">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2.608</w:t>
            </w:r>
          </w:p>
        </w:tc>
        <w:tc>
          <w:tcPr>
            <w:tcW w:w="581" w:type="dxa"/>
            <w:tcMar>
              <w:top w:w="28" w:type="dxa"/>
              <w:left w:w="28" w:type="dxa"/>
              <w:bottom w:w="28" w:type="dxa"/>
              <w:right w:w="28" w:type="dxa"/>
            </w:tcMar>
            <w:vAlign w:val="center"/>
            <w:hideMark/>
          </w:tcPr>
          <w:p w:rsidR="000C0A41" w:rsidRPr="004C4164" w:rsidRDefault="000C0A41" w:rsidP="001D1E87">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2.386</w:t>
            </w:r>
          </w:p>
        </w:tc>
        <w:tc>
          <w:tcPr>
            <w:tcW w:w="782" w:type="dxa"/>
            <w:tcMar>
              <w:top w:w="28" w:type="dxa"/>
              <w:left w:w="28" w:type="dxa"/>
              <w:bottom w:w="28" w:type="dxa"/>
              <w:right w:w="28" w:type="dxa"/>
            </w:tcMar>
            <w:vAlign w:val="center"/>
            <w:hideMark/>
          </w:tcPr>
          <w:p w:rsidR="000C0A41" w:rsidRPr="004C4164" w:rsidRDefault="000C0A41" w:rsidP="001D1E87">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2.277</w:t>
            </w:r>
          </w:p>
        </w:tc>
        <w:tc>
          <w:tcPr>
            <w:tcW w:w="581" w:type="dxa"/>
            <w:tcMar>
              <w:top w:w="28" w:type="dxa"/>
              <w:left w:w="28" w:type="dxa"/>
              <w:bottom w:w="28" w:type="dxa"/>
              <w:right w:w="28" w:type="dxa"/>
            </w:tcMar>
            <w:vAlign w:val="center"/>
            <w:hideMark/>
          </w:tcPr>
          <w:p w:rsidR="000C0A41" w:rsidRPr="004C4164" w:rsidRDefault="000C0A41" w:rsidP="001D1E87">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1.547</w:t>
            </w:r>
          </w:p>
        </w:tc>
        <w:tc>
          <w:tcPr>
            <w:tcW w:w="782" w:type="dxa"/>
            <w:tcMar>
              <w:top w:w="28" w:type="dxa"/>
              <w:left w:w="28" w:type="dxa"/>
              <w:bottom w:w="28" w:type="dxa"/>
              <w:right w:w="28" w:type="dxa"/>
            </w:tcMar>
            <w:vAlign w:val="center"/>
            <w:hideMark/>
          </w:tcPr>
          <w:p w:rsidR="000C0A41" w:rsidRPr="004C4164" w:rsidRDefault="000C0A41" w:rsidP="001D1E87">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2.794</w:t>
            </w:r>
          </w:p>
        </w:tc>
        <w:tc>
          <w:tcPr>
            <w:tcW w:w="581" w:type="dxa"/>
            <w:tcMar>
              <w:top w:w="28" w:type="dxa"/>
              <w:left w:w="28" w:type="dxa"/>
              <w:bottom w:w="28" w:type="dxa"/>
              <w:right w:w="28" w:type="dxa"/>
            </w:tcMar>
            <w:vAlign w:val="center"/>
            <w:hideMark/>
          </w:tcPr>
          <w:p w:rsidR="000C0A41" w:rsidRPr="004C4164" w:rsidRDefault="000C0A41" w:rsidP="001D1E87">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1.874</w:t>
            </w:r>
          </w:p>
        </w:tc>
        <w:tc>
          <w:tcPr>
            <w:tcW w:w="782" w:type="dxa"/>
            <w:tcMar>
              <w:top w:w="28" w:type="dxa"/>
              <w:left w:w="28" w:type="dxa"/>
              <w:bottom w:w="28" w:type="dxa"/>
              <w:right w:w="28" w:type="dxa"/>
            </w:tcMar>
            <w:vAlign w:val="center"/>
            <w:hideMark/>
          </w:tcPr>
          <w:p w:rsidR="000C0A41" w:rsidRPr="004C4164" w:rsidRDefault="000C0A41" w:rsidP="001D1E87">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2.416</w:t>
            </w:r>
          </w:p>
        </w:tc>
        <w:tc>
          <w:tcPr>
            <w:tcW w:w="581" w:type="dxa"/>
            <w:tcMar>
              <w:top w:w="28" w:type="dxa"/>
              <w:left w:w="28" w:type="dxa"/>
              <w:bottom w:w="28" w:type="dxa"/>
              <w:right w:w="28" w:type="dxa"/>
            </w:tcMar>
            <w:vAlign w:val="center"/>
            <w:hideMark/>
          </w:tcPr>
          <w:p w:rsidR="000C0A41" w:rsidRPr="004C4164" w:rsidRDefault="000C0A41" w:rsidP="001D1E87">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1.810</w:t>
            </w:r>
          </w:p>
        </w:tc>
        <w:tc>
          <w:tcPr>
            <w:tcW w:w="782" w:type="dxa"/>
            <w:tcMar>
              <w:top w:w="28" w:type="dxa"/>
              <w:left w:w="28" w:type="dxa"/>
              <w:bottom w:w="28" w:type="dxa"/>
              <w:right w:w="28" w:type="dxa"/>
            </w:tcMar>
            <w:vAlign w:val="center"/>
            <w:hideMark/>
          </w:tcPr>
          <w:p w:rsidR="000C0A41" w:rsidRPr="004C4164" w:rsidRDefault="000C0A41" w:rsidP="001D1E87">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2.574</w:t>
            </w:r>
          </w:p>
        </w:tc>
        <w:tc>
          <w:tcPr>
            <w:tcW w:w="581" w:type="dxa"/>
            <w:tcMar>
              <w:top w:w="28" w:type="dxa"/>
              <w:left w:w="28" w:type="dxa"/>
              <w:bottom w:w="28" w:type="dxa"/>
              <w:right w:w="28" w:type="dxa"/>
            </w:tcMar>
            <w:vAlign w:val="center"/>
            <w:hideMark/>
          </w:tcPr>
          <w:p w:rsidR="000C0A41" w:rsidRPr="004C4164" w:rsidRDefault="000C0A41" w:rsidP="001D1E87">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2.219</w:t>
            </w:r>
          </w:p>
        </w:tc>
        <w:tc>
          <w:tcPr>
            <w:tcW w:w="903" w:type="dxa"/>
            <w:tcMar>
              <w:top w:w="28" w:type="dxa"/>
              <w:left w:w="28" w:type="dxa"/>
              <w:bottom w:w="28" w:type="dxa"/>
              <w:right w:w="28" w:type="dxa"/>
            </w:tcMar>
            <w:vAlign w:val="center"/>
            <w:hideMark/>
          </w:tcPr>
          <w:p w:rsidR="000C0A41" w:rsidRPr="004C4164" w:rsidRDefault="000C0A41" w:rsidP="001D1E87">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2.403</w:t>
            </w:r>
          </w:p>
        </w:tc>
        <w:tc>
          <w:tcPr>
            <w:tcW w:w="701" w:type="dxa"/>
            <w:tcMar>
              <w:top w:w="28" w:type="dxa"/>
              <w:left w:w="28" w:type="dxa"/>
              <w:bottom w:w="28" w:type="dxa"/>
              <w:right w:w="28" w:type="dxa"/>
            </w:tcMar>
            <w:vAlign w:val="center"/>
            <w:hideMark/>
          </w:tcPr>
          <w:p w:rsidR="000C0A41" w:rsidRPr="004C4164" w:rsidRDefault="000C0A41" w:rsidP="001D1E87">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1.866</w:t>
            </w:r>
          </w:p>
        </w:tc>
      </w:tr>
      <w:tr w:rsidR="000C0A41" w:rsidRPr="004C4164" w:rsidTr="001D1E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1" w:type="dxa"/>
            <w:tcMar>
              <w:top w:w="28" w:type="dxa"/>
              <w:left w:w="28" w:type="dxa"/>
              <w:bottom w:w="28" w:type="dxa"/>
              <w:right w:w="28" w:type="dxa"/>
            </w:tcMar>
            <w:vAlign w:val="center"/>
            <w:hideMark/>
          </w:tcPr>
          <w:p w:rsidR="000C0A41" w:rsidRPr="004C4164" w:rsidRDefault="000C0A41" w:rsidP="001D1E87">
            <w:pPr>
              <w:contextualSpacing w:val="0"/>
              <w:jc w:val="left"/>
              <w:rPr>
                <w:rFonts w:eastAsia="Times New Roman" w:cs="Times New Roman"/>
                <w:sz w:val="20"/>
                <w:szCs w:val="20"/>
                <w:lang w:eastAsia="en-GB"/>
              </w:rPr>
            </w:pPr>
            <w:r w:rsidRPr="004C4164">
              <w:rPr>
                <w:rFonts w:eastAsia="Times New Roman" w:cs="Times New Roman"/>
                <w:sz w:val="20"/>
                <w:szCs w:val="20"/>
                <w:lang w:eastAsia="en-GB"/>
              </w:rPr>
              <w:t>Upper 95% CI</w:t>
            </w:r>
          </w:p>
        </w:tc>
        <w:tc>
          <w:tcPr>
            <w:tcW w:w="701"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2.940</w:t>
            </w:r>
          </w:p>
        </w:tc>
        <w:tc>
          <w:tcPr>
            <w:tcW w:w="637"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2.248</w:t>
            </w:r>
          </w:p>
        </w:tc>
        <w:tc>
          <w:tcPr>
            <w:tcW w:w="645"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2.573</w:t>
            </w:r>
          </w:p>
        </w:tc>
        <w:tc>
          <w:tcPr>
            <w:tcW w:w="630"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1.973</w:t>
            </w:r>
          </w:p>
        </w:tc>
        <w:tc>
          <w:tcPr>
            <w:tcW w:w="652"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2.496</w:t>
            </w:r>
          </w:p>
        </w:tc>
        <w:tc>
          <w:tcPr>
            <w:tcW w:w="581"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1.838</w:t>
            </w:r>
          </w:p>
        </w:tc>
        <w:tc>
          <w:tcPr>
            <w:tcW w:w="782"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1.763</w:t>
            </w:r>
          </w:p>
        </w:tc>
        <w:tc>
          <w:tcPr>
            <w:tcW w:w="581"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1.194</w:t>
            </w:r>
          </w:p>
        </w:tc>
        <w:tc>
          <w:tcPr>
            <w:tcW w:w="701"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2.991</w:t>
            </w:r>
          </w:p>
        </w:tc>
        <w:tc>
          <w:tcPr>
            <w:tcW w:w="581"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3.109</w:t>
            </w:r>
          </w:p>
        </w:tc>
        <w:tc>
          <w:tcPr>
            <w:tcW w:w="782"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2.689</w:t>
            </w:r>
          </w:p>
        </w:tc>
        <w:tc>
          <w:tcPr>
            <w:tcW w:w="581"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2.497</w:t>
            </w:r>
          </w:p>
        </w:tc>
        <w:tc>
          <w:tcPr>
            <w:tcW w:w="782"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2.374</w:t>
            </w:r>
          </w:p>
        </w:tc>
        <w:tc>
          <w:tcPr>
            <w:tcW w:w="581"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1.632</w:t>
            </w:r>
          </w:p>
        </w:tc>
        <w:tc>
          <w:tcPr>
            <w:tcW w:w="782"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2.909</w:t>
            </w:r>
          </w:p>
        </w:tc>
        <w:tc>
          <w:tcPr>
            <w:tcW w:w="581"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1.969</w:t>
            </w:r>
          </w:p>
        </w:tc>
        <w:tc>
          <w:tcPr>
            <w:tcW w:w="782"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2.505</w:t>
            </w:r>
          </w:p>
        </w:tc>
        <w:tc>
          <w:tcPr>
            <w:tcW w:w="581"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1.917</w:t>
            </w:r>
          </w:p>
        </w:tc>
        <w:tc>
          <w:tcPr>
            <w:tcW w:w="782"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2.677</w:t>
            </w:r>
          </w:p>
        </w:tc>
        <w:tc>
          <w:tcPr>
            <w:tcW w:w="581"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2.356</w:t>
            </w:r>
          </w:p>
        </w:tc>
        <w:tc>
          <w:tcPr>
            <w:tcW w:w="903"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2.439</w:t>
            </w:r>
          </w:p>
        </w:tc>
        <w:tc>
          <w:tcPr>
            <w:tcW w:w="701" w:type="dxa"/>
            <w:tcMar>
              <w:top w:w="28" w:type="dxa"/>
              <w:left w:w="28" w:type="dxa"/>
              <w:bottom w:w="28" w:type="dxa"/>
              <w:right w:w="28" w:type="dxa"/>
            </w:tcMar>
            <w:vAlign w:val="center"/>
            <w:hideMark/>
          </w:tcPr>
          <w:p w:rsidR="000C0A41" w:rsidRPr="004C4164" w:rsidRDefault="000C0A41" w:rsidP="001D1E87">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rPr>
            </w:pPr>
            <w:r w:rsidRPr="004C4164">
              <w:rPr>
                <w:rFonts w:eastAsia="Times New Roman" w:cs="Times New Roman"/>
                <w:sz w:val="20"/>
                <w:szCs w:val="20"/>
                <w:lang w:eastAsia="en-GB"/>
              </w:rPr>
              <w:t>1.907</w:t>
            </w:r>
          </w:p>
        </w:tc>
      </w:tr>
    </w:tbl>
    <w:p w:rsidR="000C0A41" w:rsidRDefault="000C0A41" w:rsidP="001157B9"/>
    <w:p w:rsidR="000C0A41" w:rsidRDefault="000C0A41" w:rsidP="001157B9">
      <w:pPr>
        <w:sectPr w:rsidR="000C0A41" w:rsidSect="001D1E87">
          <w:pgSz w:w="16838" w:h="11906" w:orient="landscape" w:code="9"/>
          <w:pgMar w:top="1418" w:right="567" w:bottom="1418" w:left="567" w:header="709" w:footer="709" w:gutter="0"/>
          <w:cols w:space="708"/>
          <w:vAlign w:val="center"/>
          <w:docGrid w:linePitch="360"/>
        </w:sectPr>
      </w:pPr>
    </w:p>
    <w:p w:rsidR="000C0A41" w:rsidRDefault="000C0A41" w:rsidP="001157B9"/>
    <w:p w:rsidR="000C0A41" w:rsidRDefault="000C0A41" w:rsidP="00970D1A">
      <w:pPr>
        <w:rPr>
          <w:color w:val="000000"/>
        </w:rPr>
      </w:pPr>
      <w:bookmarkStart w:id="102" w:name="_Ref455331841"/>
      <w:r>
        <w:t>In addition w</w:t>
      </w:r>
      <w:r w:rsidRPr="00CB3EFB">
        <w:t>e carried out a disagreement analysis between model-</w:t>
      </w:r>
      <w:r>
        <w:t>Estd</w:t>
      </w:r>
      <w:r w:rsidRPr="00CB3EFB">
        <w:t xml:space="preserve"> and QOF prevalence (%) of diagnosed COPD in practices. We </w:t>
      </w:r>
      <w:r>
        <w:t>Estd</w:t>
      </w:r>
      <w:r w:rsidRPr="00CB3EFB">
        <w:t xml:space="preserve"> three principal components of disagreement (discordance as measured by Kendall's tau-a, bias as measured by median difference, and calibration as measured by the Theil-Sen median slope). Using the COPD estimates, the </w:t>
      </w:r>
      <w:r w:rsidRPr="00CB3EFB">
        <w:rPr>
          <w:bCs/>
        </w:rPr>
        <w:t>Kendall's tau-a between model-</w:t>
      </w:r>
      <w:r>
        <w:rPr>
          <w:bCs/>
        </w:rPr>
        <w:t>Estd</w:t>
      </w:r>
      <w:r w:rsidRPr="00CB3EFB">
        <w:rPr>
          <w:bCs/>
        </w:rPr>
        <w:t xml:space="preserve"> and QOF prevalence of COPD for 7507</w:t>
      </w:r>
      <w:r>
        <w:rPr>
          <w:bCs/>
        </w:rPr>
        <w:t xml:space="preserve"> </w:t>
      </w:r>
      <w:r w:rsidRPr="00CB3EFB">
        <w:rPr>
          <w:bCs/>
        </w:rPr>
        <w:t xml:space="preserve">practices was 0.498 </w:t>
      </w:r>
      <w:r w:rsidRPr="00CB3EFB">
        <w:rPr>
          <w:color w:val="000000"/>
        </w:rPr>
        <w:t xml:space="preserve">(95% CIs 0.486-0.509), and p=0.000. </w:t>
      </w:r>
      <w:r w:rsidRPr="00CB3EFB">
        <w:rPr>
          <w:color w:val="000000"/>
        </w:rPr>
        <w:fldChar w:fldCharType="begin"/>
      </w:r>
      <w:r w:rsidRPr="00CB3EFB">
        <w:rPr>
          <w:color w:val="000000"/>
        </w:rPr>
        <w:instrText xml:space="preserve"> REF _Ref456887583 \h  \* MERGEFORMAT </w:instrText>
      </w:r>
      <w:r w:rsidRPr="00CB3EFB">
        <w:rPr>
          <w:color w:val="000000"/>
        </w:rPr>
      </w:r>
      <w:r w:rsidRPr="00CB3EFB">
        <w:rPr>
          <w:color w:val="000000"/>
        </w:rPr>
        <w:fldChar w:fldCharType="separate"/>
      </w:r>
      <w:r>
        <w:t xml:space="preserve">Table </w:t>
      </w:r>
      <w:r>
        <w:rPr>
          <w:noProof/>
        </w:rPr>
        <w:t>22</w:t>
      </w:r>
      <w:r w:rsidRPr="00CB3EFB">
        <w:rPr>
          <w:color w:val="000000"/>
        </w:rPr>
        <w:fldChar w:fldCharType="end"/>
      </w:r>
      <w:r w:rsidRPr="00CB3EFB">
        <w:rPr>
          <w:color w:val="000000"/>
        </w:rPr>
        <w:t xml:space="preserve"> shows percentile differences between model-</w:t>
      </w:r>
      <w:r>
        <w:rPr>
          <w:color w:val="000000"/>
        </w:rPr>
        <w:t>Estd</w:t>
      </w:r>
      <w:r w:rsidRPr="00CB3EFB">
        <w:rPr>
          <w:color w:val="000000"/>
        </w:rPr>
        <w:t xml:space="preserve"> and QOF prevalence of diagnosed COPD.</w:t>
      </w:r>
      <w:r>
        <w:rPr>
          <w:color w:val="000000"/>
        </w:rPr>
        <w:t xml:space="preserve"> </w:t>
      </w:r>
    </w:p>
    <w:p w:rsidR="000C0A41" w:rsidRPr="002453BE" w:rsidRDefault="000C0A41" w:rsidP="00970D1A">
      <w:pPr>
        <w:pStyle w:val="Caption"/>
        <w:rPr>
          <w:color w:val="000000"/>
          <w:szCs w:val="22"/>
        </w:rPr>
      </w:pPr>
      <w:bookmarkStart w:id="103" w:name="_Ref456887583"/>
      <w:r>
        <w:t xml:space="preserve">Table </w:t>
      </w:r>
      <w:fldSimple w:instr=" SEQ Table \* ARABIC ">
        <w:r>
          <w:rPr>
            <w:noProof/>
          </w:rPr>
          <w:t>22</w:t>
        </w:r>
      </w:fldSimple>
      <w:bookmarkEnd w:id="102"/>
      <w:bookmarkEnd w:id="103"/>
      <w:r>
        <w:rPr>
          <w:b w:val="0"/>
          <w:bCs w:val="0"/>
          <w:color w:val="000000"/>
          <w:szCs w:val="22"/>
        </w:rPr>
        <w:t>: p</w:t>
      </w:r>
      <w:r w:rsidRPr="002453BE">
        <w:rPr>
          <w:color w:val="000000"/>
          <w:szCs w:val="22"/>
        </w:rPr>
        <w:t>ercentile differences between model-</w:t>
      </w:r>
      <w:r>
        <w:rPr>
          <w:color w:val="000000"/>
          <w:szCs w:val="22"/>
        </w:rPr>
        <w:t>Estd</w:t>
      </w:r>
      <w:r w:rsidRPr="002453BE">
        <w:rPr>
          <w:color w:val="000000"/>
          <w:szCs w:val="22"/>
        </w:rPr>
        <w:t xml:space="preserve"> and QOF prevalence of </w:t>
      </w:r>
      <w:r>
        <w:rPr>
          <w:color w:val="000000"/>
          <w:szCs w:val="22"/>
        </w:rPr>
        <w:t>COPD</w:t>
      </w:r>
    </w:p>
    <w:tbl>
      <w:tblPr>
        <w:tblStyle w:val="GridTable4-Accent11"/>
        <w:tblW w:w="0" w:type="auto"/>
        <w:jc w:val="center"/>
        <w:tblLook w:val="04A0" w:firstRow="1" w:lastRow="0" w:firstColumn="1" w:lastColumn="0" w:noHBand="0" w:noVBand="1"/>
      </w:tblPr>
      <w:tblGrid>
        <w:gridCol w:w="920"/>
        <w:gridCol w:w="1139"/>
        <w:gridCol w:w="1097"/>
      </w:tblGrid>
      <w:tr w:rsidR="000C0A41" w:rsidRPr="002453BE" w:rsidTr="00CB3EFB">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C0A41" w:rsidRPr="002453BE" w:rsidRDefault="000C0A41" w:rsidP="007C7AF0">
            <w:r w:rsidRPr="002453BE">
              <w:rPr>
                <w:iCs/>
              </w:rPr>
              <w:t>Percent</w:t>
            </w:r>
          </w:p>
        </w:tc>
        <w:tc>
          <w:tcPr>
            <w:tcW w:w="0" w:type="auto"/>
            <w:hideMark/>
          </w:tcPr>
          <w:p w:rsidR="000C0A41" w:rsidRPr="002453BE" w:rsidRDefault="000C0A41" w:rsidP="007C7AF0">
            <w:pPr>
              <w:cnfStyle w:val="100000000000" w:firstRow="1" w:lastRow="0" w:firstColumn="0" w:lastColumn="0" w:oddVBand="0" w:evenVBand="0" w:oddHBand="0" w:evenHBand="0" w:firstRowFirstColumn="0" w:firstRowLastColumn="0" w:lastRowFirstColumn="0" w:lastRowLastColumn="0"/>
            </w:pPr>
            <w:r w:rsidRPr="002453BE">
              <w:rPr>
                <w:iCs/>
              </w:rPr>
              <w:t>Percentile</w:t>
            </w:r>
          </w:p>
        </w:tc>
        <w:tc>
          <w:tcPr>
            <w:tcW w:w="0" w:type="auto"/>
            <w:hideMark/>
          </w:tcPr>
          <w:p w:rsidR="000C0A41" w:rsidRPr="002453BE" w:rsidRDefault="000C0A41" w:rsidP="007C7AF0">
            <w:pPr>
              <w:cnfStyle w:val="100000000000" w:firstRow="1" w:lastRow="0" w:firstColumn="0" w:lastColumn="0" w:oddVBand="0" w:evenVBand="0" w:oddHBand="0" w:evenHBand="0" w:firstRowFirstColumn="0" w:firstRowLastColumn="0" w:lastRowFirstColumn="0" w:lastRowLastColumn="0"/>
            </w:pPr>
            <w:r w:rsidRPr="002453BE">
              <w:rPr>
                <w:iCs/>
              </w:rPr>
              <w:t>(95%</w:t>
            </w:r>
            <w:r>
              <w:rPr>
                <w:iCs/>
              </w:rPr>
              <w:t xml:space="preserve"> CI)</w:t>
            </w:r>
          </w:p>
        </w:tc>
      </w:tr>
      <w:tr w:rsidR="000C0A41" w:rsidRPr="002453BE" w:rsidTr="007C7A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C0A41" w:rsidRPr="002453BE" w:rsidRDefault="000C0A41" w:rsidP="007C7AF0">
            <w:pPr>
              <w:rPr>
                <w:color w:val="000000"/>
              </w:rPr>
            </w:pPr>
            <w:r w:rsidRPr="002453BE">
              <w:rPr>
                <w:color w:val="000000"/>
              </w:rPr>
              <w:t>0</w:t>
            </w:r>
          </w:p>
        </w:tc>
        <w:tc>
          <w:tcPr>
            <w:tcW w:w="0" w:type="auto"/>
          </w:tcPr>
          <w:p w:rsidR="000C0A41" w:rsidRPr="002453BE" w:rsidRDefault="000C0A41" w:rsidP="007C7AF0">
            <w:pPr>
              <w:cnfStyle w:val="000000100000" w:firstRow="0" w:lastRow="0" w:firstColumn="0" w:lastColumn="0" w:oddVBand="0" w:evenVBand="0" w:oddHBand="1" w:evenHBand="0" w:firstRowFirstColumn="0" w:firstRowLastColumn="0" w:lastRowFirstColumn="0" w:lastRowLastColumn="0"/>
              <w:rPr>
                <w:color w:val="000000"/>
              </w:rPr>
            </w:pPr>
            <w:r w:rsidRPr="00CB3EFB">
              <w:rPr>
                <w:bCs/>
                <w:color w:val="000000"/>
              </w:rPr>
              <w:t>-4.7</w:t>
            </w:r>
          </w:p>
        </w:tc>
        <w:tc>
          <w:tcPr>
            <w:tcW w:w="0" w:type="auto"/>
          </w:tcPr>
          <w:p w:rsidR="000C0A41" w:rsidRPr="002453BE" w:rsidRDefault="000C0A41" w:rsidP="00CB3EFB">
            <w:pPr>
              <w:cnfStyle w:val="000000100000" w:firstRow="0" w:lastRow="0" w:firstColumn="0" w:lastColumn="0" w:oddVBand="0" w:evenVBand="0" w:oddHBand="1" w:evenHBand="0" w:firstRowFirstColumn="0" w:firstRowLastColumn="0" w:lastRowFirstColumn="0" w:lastRowLastColumn="0"/>
              <w:rPr>
                <w:color w:val="000000"/>
              </w:rPr>
            </w:pPr>
            <w:r w:rsidRPr="00CB3EFB">
              <w:rPr>
                <w:bCs/>
                <w:color w:val="000000"/>
              </w:rPr>
              <w:t>(-4.7,-4.7</w:t>
            </w:r>
            <w:r>
              <w:rPr>
                <w:bCs/>
                <w:color w:val="000000"/>
              </w:rPr>
              <w:t>)</w:t>
            </w:r>
          </w:p>
        </w:tc>
      </w:tr>
      <w:tr w:rsidR="000C0A41" w:rsidRPr="002453BE" w:rsidTr="007C7AF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C0A41" w:rsidRPr="002453BE" w:rsidRDefault="000C0A41" w:rsidP="007C7AF0">
            <w:pPr>
              <w:rPr>
                <w:color w:val="000000"/>
              </w:rPr>
            </w:pPr>
            <w:r w:rsidRPr="002453BE">
              <w:rPr>
                <w:color w:val="000000"/>
              </w:rPr>
              <w:t>25</w:t>
            </w:r>
          </w:p>
        </w:tc>
        <w:tc>
          <w:tcPr>
            <w:tcW w:w="0" w:type="auto"/>
          </w:tcPr>
          <w:p w:rsidR="000C0A41" w:rsidRPr="002453BE" w:rsidRDefault="000C0A41" w:rsidP="007C7AF0">
            <w:pPr>
              <w:cnfStyle w:val="000000000000" w:firstRow="0" w:lastRow="0" w:firstColumn="0" w:lastColumn="0" w:oddVBand="0" w:evenVBand="0" w:oddHBand="0" w:evenHBand="0" w:firstRowFirstColumn="0" w:firstRowLastColumn="0" w:lastRowFirstColumn="0" w:lastRowLastColumn="0"/>
              <w:rPr>
                <w:color w:val="000000"/>
              </w:rPr>
            </w:pPr>
            <w:r w:rsidRPr="00CB3EFB">
              <w:rPr>
                <w:color w:val="000000"/>
              </w:rPr>
              <w:t>0.2</w:t>
            </w:r>
          </w:p>
        </w:tc>
        <w:tc>
          <w:tcPr>
            <w:tcW w:w="0" w:type="auto"/>
          </w:tcPr>
          <w:p w:rsidR="000C0A41" w:rsidRPr="002453BE" w:rsidRDefault="000C0A41" w:rsidP="00CB3EFB">
            <w:pPr>
              <w:cnfStyle w:val="000000000000" w:firstRow="0" w:lastRow="0" w:firstColumn="0" w:lastColumn="0" w:oddVBand="0" w:evenVBand="0" w:oddHBand="0" w:evenHBand="0" w:firstRowFirstColumn="0" w:firstRowLastColumn="0" w:lastRowFirstColumn="0" w:lastRowLastColumn="0"/>
              <w:rPr>
                <w:color w:val="000000"/>
              </w:rPr>
            </w:pPr>
            <w:r w:rsidRPr="00CB3EFB">
              <w:rPr>
                <w:bCs/>
                <w:color w:val="000000"/>
              </w:rPr>
              <w:t>(0.1,</w:t>
            </w:r>
            <w:r>
              <w:rPr>
                <w:bCs/>
                <w:color w:val="000000"/>
              </w:rPr>
              <w:t xml:space="preserve"> </w:t>
            </w:r>
            <w:r w:rsidRPr="00CB3EFB">
              <w:rPr>
                <w:bCs/>
                <w:color w:val="000000"/>
              </w:rPr>
              <w:t>0.2)</w:t>
            </w:r>
          </w:p>
        </w:tc>
      </w:tr>
      <w:tr w:rsidR="000C0A41" w:rsidRPr="002453BE" w:rsidTr="007C7A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C0A41" w:rsidRPr="002453BE" w:rsidRDefault="000C0A41" w:rsidP="007C7AF0">
            <w:pPr>
              <w:rPr>
                <w:color w:val="000000"/>
              </w:rPr>
            </w:pPr>
            <w:r w:rsidRPr="002453BE">
              <w:rPr>
                <w:color w:val="000000"/>
              </w:rPr>
              <w:t>50</w:t>
            </w:r>
          </w:p>
        </w:tc>
        <w:tc>
          <w:tcPr>
            <w:tcW w:w="0" w:type="auto"/>
          </w:tcPr>
          <w:p w:rsidR="000C0A41" w:rsidRPr="002453BE" w:rsidRDefault="000C0A41" w:rsidP="007C7AF0">
            <w:pPr>
              <w:cnfStyle w:val="000000100000" w:firstRow="0" w:lastRow="0" w:firstColumn="0" w:lastColumn="0" w:oddVBand="0" w:evenVBand="0" w:oddHBand="1" w:evenHBand="0" w:firstRowFirstColumn="0" w:firstRowLastColumn="0" w:lastRowFirstColumn="0" w:lastRowLastColumn="0"/>
              <w:rPr>
                <w:color w:val="000000"/>
              </w:rPr>
            </w:pPr>
            <w:r>
              <w:rPr>
                <w:color w:val="000000"/>
              </w:rPr>
              <w:t>0.6</w:t>
            </w:r>
          </w:p>
        </w:tc>
        <w:tc>
          <w:tcPr>
            <w:tcW w:w="0" w:type="auto"/>
          </w:tcPr>
          <w:p w:rsidR="000C0A41" w:rsidRPr="002453BE" w:rsidRDefault="000C0A41" w:rsidP="00CB3EFB">
            <w:pPr>
              <w:cnfStyle w:val="000000100000" w:firstRow="0" w:lastRow="0" w:firstColumn="0" w:lastColumn="0" w:oddVBand="0" w:evenVBand="0" w:oddHBand="1" w:evenHBand="0" w:firstRowFirstColumn="0" w:firstRowLastColumn="0" w:lastRowFirstColumn="0" w:lastRowLastColumn="0"/>
              <w:rPr>
                <w:color w:val="000000"/>
              </w:rPr>
            </w:pPr>
            <w:r w:rsidRPr="00CB3EFB">
              <w:rPr>
                <w:bCs/>
                <w:color w:val="000000"/>
              </w:rPr>
              <w:t>(0.6,</w:t>
            </w:r>
            <w:r>
              <w:rPr>
                <w:bCs/>
                <w:color w:val="000000"/>
              </w:rPr>
              <w:t xml:space="preserve"> </w:t>
            </w:r>
            <w:r w:rsidRPr="00CB3EFB">
              <w:rPr>
                <w:bCs/>
                <w:color w:val="000000"/>
              </w:rPr>
              <w:t>0.6)</w:t>
            </w:r>
          </w:p>
        </w:tc>
      </w:tr>
      <w:tr w:rsidR="000C0A41" w:rsidRPr="002453BE" w:rsidTr="007C7AF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C0A41" w:rsidRPr="002453BE" w:rsidRDefault="000C0A41" w:rsidP="007C7AF0">
            <w:pPr>
              <w:rPr>
                <w:color w:val="000000"/>
              </w:rPr>
            </w:pPr>
            <w:r w:rsidRPr="002453BE">
              <w:rPr>
                <w:color w:val="000000"/>
              </w:rPr>
              <w:t>75</w:t>
            </w:r>
          </w:p>
        </w:tc>
        <w:tc>
          <w:tcPr>
            <w:tcW w:w="0" w:type="auto"/>
          </w:tcPr>
          <w:p w:rsidR="000C0A41" w:rsidRPr="002453BE" w:rsidRDefault="000C0A41" w:rsidP="007C7AF0">
            <w:pPr>
              <w:cnfStyle w:val="000000000000" w:firstRow="0" w:lastRow="0" w:firstColumn="0" w:lastColumn="0" w:oddVBand="0" w:evenVBand="0" w:oddHBand="0" w:evenHBand="0" w:firstRowFirstColumn="0" w:firstRowLastColumn="0" w:lastRowFirstColumn="0" w:lastRowLastColumn="0"/>
              <w:rPr>
                <w:color w:val="000000"/>
              </w:rPr>
            </w:pPr>
            <w:r>
              <w:rPr>
                <w:color w:val="000000"/>
              </w:rPr>
              <w:t>1.0</w:t>
            </w:r>
          </w:p>
        </w:tc>
        <w:tc>
          <w:tcPr>
            <w:tcW w:w="0" w:type="auto"/>
          </w:tcPr>
          <w:p w:rsidR="000C0A41" w:rsidRPr="002453BE" w:rsidRDefault="000C0A41" w:rsidP="00CB3EFB">
            <w:pPr>
              <w:cnfStyle w:val="000000000000" w:firstRow="0" w:lastRow="0" w:firstColumn="0" w:lastColumn="0" w:oddVBand="0" w:evenVBand="0" w:oddHBand="0" w:evenHBand="0" w:firstRowFirstColumn="0" w:firstRowLastColumn="0" w:lastRowFirstColumn="0" w:lastRowLastColumn="0"/>
              <w:rPr>
                <w:color w:val="000000"/>
              </w:rPr>
            </w:pPr>
            <w:r w:rsidRPr="00CB3EFB">
              <w:rPr>
                <w:bCs/>
                <w:color w:val="000000"/>
              </w:rPr>
              <w:t>(1.0,</w:t>
            </w:r>
            <w:r>
              <w:rPr>
                <w:bCs/>
                <w:color w:val="000000"/>
              </w:rPr>
              <w:t xml:space="preserve"> </w:t>
            </w:r>
            <w:r w:rsidRPr="00CB3EFB">
              <w:rPr>
                <w:bCs/>
                <w:color w:val="000000"/>
              </w:rPr>
              <w:t>1.0)</w:t>
            </w:r>
          </w:p>
        </w:tc>
      </w:tr>
      <w:tr w:rsidR="000C0A41" w:rsidRPr="002453BE" w:rsidTr="007C7A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C0A41" w:rsidRPr="002453BE" w:rsidRDefault="000C0A41" w:rsidP="007C7AF0">
            <w:pPr>
              <w:rPr>
                <w:color w:val="000000"/>
              </w:rPr>
            </w:pPr>
            <w:r w:rsidRPr="002453BE">
              <w:rPr>
                <w:color w:val="000000"/>
              </w:rPr>
              <w:t>100</w:t>
            </w:r>
          </w:p>
        </w:tc>
        <w:tc>
          <w:tcPr>
            <w:tcW w:w="0" w:type="auto"/>
          </w:tcPr>
          <w:p w:rsidR="000C0A41" w:rsidRPr="002453BE" w:rsidRDefault="000C0A41" w:rsidP="007C7AF0">
            <w:pPr>
              <w:cnfStyle w:val="000000100000" w:firstRow="0" w:lastRow="0" w:firstColumn="0" w:lastColumn="0" w:oddVBand="0" w:evenVBand="0" w:oddHBand="1" w:evenHBand="0" w:firstRowFirstColumn="0" w:firstRowLastColumn="0" w:lastRowFirstColumn="0" w:lastRowLastColumn="0"/>
              <w:rPr>
                <w:color w:val="000000"/>
              </w:rPr>
            </w:pPr>
            <w:r>
              <w:rPr>
                <w:color w:val="000000"/>
              </w:rPr>
              <w:t>4.6</w:t>
            </w:r>
          </w:p>
        </w:tc>
        <w:tc>
          <w:tcPr>
            <w:tcW w:w="0" w:type="auto"/>
          </w:tcPr>
          <w:p w:rsidR="000C0A41" w:rsidRPr="002453BE" w:rsidRDefault="000C0A41" w:rsidP="00CB3EFB">
            <w:pPr>
              <w:cnfStyle w:val="000000100000" w:firstRow="0" w:lastRow="0" w:firstColumn="0" w:lastColumn="0" w:oddVBand="0" w:evenVBand="0" w:oddHBand="1" w:evenHBand="0" w:firstRowFirstColumn="0" w:firstRowLastColumn="0" w:lastRowFirstColumn="0" w:lastRowLastColumn="0"/>
              <w:rPr>
                <w:color w:val="000000"/>
              </w:rPr>
            </w:pPr>
            <w:r w:rsidRPr="00CB3EFB">
              <w:rPr>
                <w:bCs/>
                <w:color w:val="000000"/>
              </w:rPr>
              <w:t>(4.6,</w:t>
            </w:r>
            <w:r>
              <w:rPr>
                <w:bCs/>
                <w:color w:val="000000"/>
              </w:rPr>
              <w:t xml:space="preserve"> </w:t>
            </w:r>
            <w:r w:rsidRPr="00CB3EFB">
              <w:rPr>
                <w:bCs/>
                <w:color w:val="000000"/>
              </w:rPr>
              <w:t>4.6)</w:t>
            </w:r>
          </w:p>
        </w:tc>
      </w:tr>
    </w:tbl>
    <w:p w:rsidR="000C0A41" w:rsidRPr="002453BE" w:rsidRDefault="000C0A41" w:rsidP="00970D1A">
      <w:pPr>
        <w:pStyle w:val="Caption"/>
        <w:rPr>
          <w:color w:val="000000"/>
          <w:szCs w:val="22"/>
        </w:rPr>
      </w:pPr>
      <w:bookmarkStart w:id="104" w:name="_Ref455332065"/>
      <w:r>
        <w:t xml:space="preserve">Figure </w:t>
      </w:r>
      <w:fldSimple w:instr=" SEQ Figure \* ARABIC ">
        <w:r>
          <w:rPr>
            <w:noProof/>
          </w:rPr>
          <w:t>7</w:t>
        </w:r>
      </w:fldSimple>
      <w:bookmarkEnd w:id="104"/>
      <w:r>
        <w:t xml:space="preserve">: </w:t>
      </w:r>
      <w:r w:rsidRPr="002453BE">
        <w:rPr>
          <w:color w:val="000000"/>
          <w:szCs w:val="22"/>
        </w:rPr>
        <w:t>Bland-Altman plot for model-</w:t>
      </w:r>
      <w:r>
        <w:rPr>
          <w:color w:val="000000"/>
          <w:szCs w:val="22"/>
        </w:rPr>
        <w:t>Estd</w:t>
      </w:r>
      <w:r w:rsidRPr="002453BE">
        <w:rPr>
          <w:color w:val="000000"/>
          <w:szCs w:val="22"/>
        </w:rPr>
        <w:t xml:space="preserve"> and QOF prevalence of </w:t>
      </w:r>
      <w:r>
        <w:rPr>
          <w:color w:val="000000"/>
          <w:szCs w:val="22"/>
        </w:rPr>
        <w:t xml:space="preserve"> xxx</w:t>
      </w:r>
    </w:p>
    <w:p w:rsidR="000C0A41" w:rsidRDefault="000C0A41" w:rsidP="00970D1A">
      <w:pPr>
        <w:jc w:val="center"/>
        <w:rPr>
          <w:color w:val="000000"/>
        </w:rPr>
      </w:pPr>
      <w:r>
        <w:rPr>
          <w:noProof/>
          <w:color w:val="000000"/>
          <w:lang w:eastAsia="en-GB"/>
        </w:rPr>
        <w:drawing>
          <wp:inline distT="0" distB="0" distL="0" distR="0" wp14:anchorId="4B10C7F4" wp14:editId="5DD3CBE2">
            <wp:extent cx="5745600" cy="43092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5600" cy="4309200"/>
                    </a:xfrm>
                    <a:prstGeom prst="rect">
                      <a:avLst/>
                    </a:prstGeom>
                    <a:noFill/>
                    <a:ln>
                      <a:noFill/>
                    </a:ln>
                  </pic:spPr>
                </pic:pic>
              </a:graphicData>
            </a:graphic>
          </wp:inline>
        </w:drawing>
      </w:r>
    </w:p>
    <w:p w:rsidR="000C0A41" w:rsidRPr="00125EC4" w:rsidRDefault="000C0A41" w:rsidP="00057657">
      <w:pPr>
        <w:rPr>
          <w:color w:val="000000"/>
        </w:rPr>
      </w:pPr>
      <w:bookmarkStart w:id="105" w:name="_Ref455332143"/>
      <w:r w:rsidRPr="007D38C4">
        <w:rPr>
          <w:bCs/>
          <w:color w:val="000000"/>
        </w:rPr>
        <w:t>The best way   to   display   the   data   is   to   plot   the   difference   between   the measurements by the two methods for each subject against their mean. This plot for practice-level COPD prevalence  (</w:t>
      </w:r>
      <w:r w:rsidRPr="007D38C4">
        <w:rPr>
          <w:bCs/>
          <w:color w:val="000000"/>
        </w:rPr>
        <w:fldChar w:fldCharType="begin"/>
      </w:r>
      <w:r w:rsidRPr="007D38C4">
        <w:rPr>
          <w:bCs/>
          <w:color w:val="000000"/>
        </w:rPr>
        <w:instrText xml:space="preserve"> REF _Ref455332065 \h  \* MERGEFORMAT </w:instrText>
      </w:r>
      <w:r w:rsidRPr="007D38C4">
        <w:rPr>
          <w:bCs/>
          <w:color w:val="000000"/>
        </w:rPr>
      </w:r>
      <w:r w:rsidRPr="007D38C4">
        <w:rPr>
          <w:bCs/>
          <w:color w:val="000000"/>
        </w:rPr>
        <w:fldChar w:fldCharType="separate"/>
      </w:r>
      <w:r>
        <w:t xml:space="preserve">Figure </w:t>
      </w:r>
      <w:r>
        <w:rPr>
          <w:noProof/>
        </w:rPr>
        <w:t>7</w:t>
      </w:r>
      <w:r w:rsidRPr="007D38C4">
        <w:rPr>
          <w:bCs/>
          <w:color w:val="000000"/>
        </w:rPr>
        <w:fldChar w:fldCharType="end"/>
      </w:r>
      <w:r w:rsidRPr="007D38C4">
        <w:rPr>
          <w:bCs/>
          <w:color w:val="000000"/>
        </w:rPr>
        <w:t xml:space="preserve">) shows explicitly the extent of agreement. In contrast to the plots for </w:t>
      </w:r>
      <w:r>
        <w:rPr>
          <w:bCs/>
          <w:color w:val="000000"/>
        </w:rPr>
        <w:t xml:space="preserve">some other models, e.g. </w:t>
      </w:r>
      <w:r w:rsidRPr="007D38C4">
        <w:rPr>
          <w:bCs/>
          <w:color w:val="000000"/>
        </w:rPr>
        <w:t xml:space="preserve">CHD and stroke, </w:t>
      </w:r>
      <w:r>
        <w:rPr>
          <w:bCs/>
          <w:color w:val="000000"/>
        </w:rPr>
        <w:t>t</w:t>
      </w:r>
      <w:r w:rsidRPr="007D38C4">
        <w:rPr>
          <w:bCs/>
          <w:color w:val="000000"/>
        </w:rPr>
        <w:t xml:space="preserve">he difference between the estimates and QOF is not great, at about 0.5% per practice, as might be expected if the only additional contribution of cases is from HES diagnoses, although in the majority of practices the </w:t>
      </w:r>
      <w:r>
        <w:rPr>
          <w:bCs/>
          <w:color w:val="000000"/>
        </w:rPr>
        <w:t>Estd</w:t>
      </w:r>
      <w:r w:rsidRPr="007D38C4">
        <w:rPr>
          <w:bCs/>
          <w:color w:val="000000"/>
        </w:rPr>
        <w:t xml:space="preserve"> prevalence is higher. This is plausible if </w:t>
      </w:r>
      <w:r>
        <w:rPr>
          <w:bCs/>
          <w:color w:val="000000"/>
        </w:rPr>
        <w:t>COPD</w:t>
      </w:r>
      <w:r w:rsidRPr="007D38C4">
        <w:rPr>
          <w:bCs/>
          <w:color w:val="000000"/>
        </w:rPr>
        <w:t xml:space="preserve"> is </w:t>
      </w:r>
      <w:r w:rsidRPr="007D38C4">
        <w:rPr>
          <w:bCs/>
          <w:color w:val="000000"/>
        </w:rPr>
        <w:lastRenderedPageBreak/>
        <w:t xml:space="preserve">diagnosed in hospital or outpatients. </w:t>
      </w:r>
      <w:r w:rsidRPr="007D38C4">
        <w:rPr>
          <w:color w:val="000000"/>
        </w:rPr>
        <w:t xml:space="preserve"> </w:t>
      </w:r>
      <w:r>
        <w:rPr>
          <w:color w:val="000000"/>
        </w:rPr>
        <w:fldChar w:fldCharType="begin"/>
      </w:r>
      <w:r>
        <w:rPr>
          <w:color w:val="000000"/>
        </w:rPr>
        <w:instrText xml:space="preserve"> REF _Ref455332143 \h </w:instrText>
      </w:r>
      <w:r>
        <w:rPr>
          <w:color w:val="000000"/>
        </w:rPr>
        <w:fldChar w:fldCharType="separate"/>
      </w:r>
      <w:r>
        <w:rPr>
          <w:b/>
          <w:bCs/>
          <w:color w:val="000000"/>
          <w:lang w:val="en-US"/>
        </w:rPr>
        <w:t>Error! Not a valid bookmark self-reference.</w:t>
      </w:r>
      <w:r>
        <w:rPr>
          <w:color w:val="000000"/>
        </w:rPr>
        <w:fldChar w:fldCharType="end"/>
      </w:r>
      <w:r>
        <w:rPr>
          <w:color w:val="000000"/>
        </w:rPr>
        <w:t xml:space="preserve"> </w:t>
      </w:r>
      <w:r w:rsidRPr="007D38C4">
        <w:rPr>
          <w:color w:val="000000"/>
        </w:rPr>
        <w:t>is a scatter plot of model-</w:t>
      </w:r>
      <w:r>
        <w:rPr>
          <w:color w:val="000000"/>
        </w:rPr>
        <w:t>Estd</w:t>
      </w:r>
      <w:r w:rsidRPr="007D38C4">
        <w:rPr>
          <w:color w:val="000000"/>
        </w:rPr>
        <w:t xml:space="preserve"> and QOF prevalence of diagnosed</w:t>
      </w:r>
      <w:r>
        <w:rPr>
          <w:color w:val="000000"/>
        </w:rPr>
        <w:t xml:space="preserve"> COPD</w:t>
      </w:r>
      <w:r w:rsidRPr="007D38C4">
        <w:rPr>
          <w:color w:val="000000"/>
        </w:rPr>
        <w:t>.</w:t>
      </w:r>
    </w:p>
    <w:p w:rsidR="000C0A41" w:rsidRPr="00237A2F" w:rsidRDefault="000C0A41" w:rsidP="00970D1A">
      <w:pPr>
        <w:pStyle w:val="Caption"/>
      </w:pPr>
      <w:r w:rsidRPr="00237A2F">
        <w:t xml:space="preserve">Figure </w:t>
      </w:r>
      <w:fldSimple w:instr=" SEQ Figure \* ARABIC ">
        <w:r>
          <w:rPr>
            <w:noProof/>
          </w:rPr>
          <w:t>8</w:t>
        </w:r>
      </w:fldSimple>
      <w:bookmarkEnd w:id="105"/>
      <w:r w:rsidRPr="00237A2F">
        <w:t>: scatter plot of model-</w:t>
      </w:r>
      <w:r>
        <w:t>Estd and QOF prevalence of COPD</w:t>
      </w:r>
    </w:p>
    <w:p w:rsidR="000C0A41" w:rsidRDefault="000C0A41" w:rsidP="00970D1A">
      <w:pPr>
        <w:jc w:val="center"/>
      </w:pPr>
      <w:r>
        <w:rPr>
          <w:noProof/>
          <w:lang w:eastAsia="en-GB"/>
        </w:rPr>
        <w:drawing>
          <wp:inline distT="0" distB="0" distL="0" distR="0" wp14:anchorId="21417AB0" wp14:editId="680C86C1">
            <wp:extent cx="5526000" cy="4143600"/>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6000" cy="4143600"/>
                    </a:xfrm>
                    <a:prstGeom prst="rect">
                      <a:avLst/>
                    </a:prstGeom>
                    <a:noFill/>
                    <a:ln>
                      <a:noFill/>
                    </a:ln>
                  </pic:spPr>
                </pic:pic>
              </a:graphicData>
            </a:graphic>
          </wp:inline>
        </w:drawing>
      </w:r>
    </w:p>
    <w:p w:rsidR="000C0A41" w:rsidRDefault="000C0A41" w:rsidP="00970D1A">
      <w:pPr>
        <w:sectPr w:rsidR="000C0A41" w:rsidSect="007C7AF0">
          <w:pgSz w:w="11906" w:h="16838"/>
          <w:pgMar w:top="1440" w:right="1440" w:bottom="1440" w:left="1440" w:header="709" w:footer="709" w:gutter="0"/>
          <w:cols w:space="708"/>
          <w:docGrid w:linePitch="360"/>
        </w:sectPr>
      </w:pPr>
    </w:p>
    <w:p w:rsidR="000C0A41" w:rsidRDefault="000C0A41" w:rsidP="000C0A41">
      <w:pPr>
        <w:pStyle w:val="Heading1"/>
        <w:numPr>
          <w:ilvl w:val="0"/>
          <w:numId w:val="19"/>
        </w:numPr>
      </w:pPr>
      <w:bookmarkStart w:id="106" w:name="_Toc458185288"/>
      <w:r>
        <w:lastRenderedPageBreak/>
        <w:t>Discussion</w:t>
      </w:r>
      <w:bookmarkEnd w:id="106"/>
    </w:p>
    <w:p w:rsidR="000C0A41" w:rsidRDefault="000C0A41" w:rsidP="006041E6">
      <w:pPr>
        <w:rPr>
          <w:rFonts w:ascii="Calibri" w:hAnsi="Calibri"/>
          <w:lang w:val="en-US"/>
        </w:rPr>
      </w:pPr>
      <w:r>
        <w:rPr>
          <w:rFonts w:ascii="Calibri" w:hAnsi="Calibri"/>
          <w:lang w:val="en-US"/>
        </w:rPr>
        <w:t>For the COPD model we chose to use CPRD as the data source because of the problems we had experienced previously using HSfE 2010 spirometry data when attempting to redevelop the 2007 COPD model. All methods of estimating local prevalence using risk factors are very data hungry because prevalence values have to be calculated for all permutations of risk factor categories. If too much data is missing from groups of cells, estimates become unstable. CPRD generally allows much larger samples of cases and controls. The disadvantage of CPRD data is that we know COPD is under-diagnosed in general practice, and also that spirometry recording in high risk e.g. over 35 smokers (as opposed to already diagnosed or very high risk patients where the GP suspects the disease) is very patchy. Few CCGs have run high risk screening programmes, although those that have often dramatically increase diagnoses as we have previously shown.</w:t>
      </w:r>
      <w:r>
        <w:rPr>
          <w:rFonts w:ascii="Calibri" w:hAnsi="Calibri"/>
          <w:noProof/>
          <w:lang w:val="en-US"/>
        </w:rPr>
        <w:t>[81 ,82]</w:t>
      </w:r>
    </w:p>
    <w:p w:rsidR="000C0A41" w:rsidRDefault="000C0A41" w:rsidP="006041E6">
      <w:pPr>
        <w:rPr>
          <w:rFonts w:ascii="Calibri" w:hAnsi="Calibri"/>
          <w:lang w:val="en-US"/>
        </w:rPr>
      </w:pPr>
    </w:p>
    <w:p w:rsidR="000C0A41" w:rsidRDefault="000C0A41" w:rsidP="006041E6">
      <w:r>
        <w:rPr>
          <w:rFonts w:ascii="Calibri" w:hAnsi="Calibri"/>
          <w:lang w:val="en-US"/>
        </w:rPr>
        <w:t xml:space="preserve">The major problem with our estimates is our inability, in the time and resources available, to create a diagnostic algorithm which enabled us to reliably supplement the CPRD and HES diagnostic codes which form the final outcome used in the model. In combination with diagnostic codes </w:t>
      </w:r>
      <w:r>
        <w:t>(i.e. CPRD+HES+Algorithm COPD)</w:t>
      </w:r>
      <w:r>
        <w:rPr>
          <w:rFonts w:ascii="Calibri" w:hAnsi="Calibri"/>
          <w:lang w:val="en-US"/>
        </w:rPr>
        <w:t xml:space="preserve">, the algorithm we used, which had the highest PPV of 45% as determined by Quint et al, identified </w:t>
      </w:r>
      <w:r>
        <w:t>from the baseline tables a prevalence of   579,741/3,001,300, or 16% of over 35s, which is obviously too high. Moreover, the ORs for the algorithm defined cases were quite different from those for the other groups, so we did not use this flow in producing the local estimates. As a result as-defined COPD prevalence in our CPRD dataset is only 2.4%, although this is markedly higher than the 1.83% national prevalence based on QOF COPD registers. Actual prevalence lies somewhere in between.</w:t>
      </w:r>
    </w:p>
    <w:p w:rsidR="000C0A41" w:rsidRDefault="000C0A41" w:rsidP="006041E6"/>
    <w:p w:rsidR="000C0A41" w:rsidRDefault="000C0A41" w:rsidP="00E37C08">
      <w:r>
        <w:t xml:space="preserve">The actual prevalence of COPD is a moving target. Using the HSfE 2010 definition, data, COPD prevalence in English over 35s is about 12%- see our </w:t>
      </w:r>
      <w:r>
        <w:fldChar w:fldCharType="begin"/>
      </w:r>
      <w:r>
        <w:instrText xml:space="preserve"> REF _Ref457912753 \h </w:instrText>
      </w:r>
      <w:r>
        <w:fldChar w:fldCharType="separate"/>
      </w:r>
      <w:r>
        <w:t xml:space="preserve">Table </w:t>
      </w:r>
      <w:r>
        <w:rPr>
          <w:noProof/>
        </w:rPr>
        <w:t>6</w:t>
      </w:r>
      <w:r>
        <w:fldChar w:fldCharType="end"/>
      </w:r>
      <w:r>
        <w:t xml:space="preserve"> using HSfE 2001 and 2010 data (2010 used the additional criterion of FEV1&lt;80% predicted).</w:t>
      </w:r>
      <w:r>
        <w:rPr>
          <w:noProof/>
        </w:rPr>
        <w:t>[3]</w:t>
      </w:r>
      <w:r>
        <w:t xml:space="preserve"> However many COPD experts believe that the PPV of the 2010 definition is only about 50%, implying over-diagnosis, and bronchodilator challenge was not used. Nevertheless, it seems likely that actual prevalence must be at least 6%, at least double what we have definitely established here.</w:t>
      </w:r>
    </w:p>
    <w:p w:rsidR="000C0A41" w:rsidRDefault="000C0A41" w:rsidP="00E37C08"/>
    <w:p w:rsidR="000C0A41" w:rsidRPr="00EC7073" w:rsidRDefault="000C0A41" w:rsidP="00E37C08">
      <w:r>
        <w:t xml:space="preserve">The CPRD COPD prevalence model prevalence as it currently stands is therefore disappointing and certainly under-estimates actual prevalence, because we have failed to identify patients who are likely to have COPD but do not have a diagnosis from any source. However we did not have the time or resources to investigate further. It is possible that we could use 2010 HSfE data now that we have a better method of producing local estimates than was the case in 2012. In addition there is an obvious need to look within high risk groups such as our algorithm group for other supporting evidence e.g. spirometry data. We therefore recommend that these estimates should not be used except as an interim measure which now includes HES diagnoses, and suggest that PHE considers allocating additional funding to look further.  </w:t>
      </w:r>
    </w:p>
    <w:p w:rsidR="000C0A41" w:rsidRDefault="000C0A41" w:rsidP="005F7501">
      <w:r>
        <w:br w:type="page"/>
      </w:r>
    </w:p>
    <w:p w:rsidR="000C0A41" w:rsidRPr="00385A7B" w:rsidRDefault="000C0A41" w:rsidP="000C0A41">
      <w:pPr>
        <w:pStyle w:val="Heading1"/>
        <w:numPr>
          <w:ilvl w:val="0"/>
          <w:numId w:val="19"/>
        </w:numPr>
      </w:pPr>
      <w:bookmarkStart w:id="107" w:name="_Toc458185289"/>
      <w:r w:rsidRPr="00385A7B">
        <w:lastRenderedPageBreak/>
        <w:t>References</w:t>
      </w:r>
      <w:bookmarkEnd w:id="107"/>
    </w:p>
    <w:p w:rsidR="000C0A41" w:rsidRPr="007A6CA5" w:rsidRDefault="000C0A41" w:rsidP="000C0A41">
      <w:pPr>
        <w:pStyle w:val="EndNoteBibliography"/>
        <w:spacing w:after="120"/>
        <w:ind w:left="280" w:hanging="280"/>
        <w:contextualSpacing w:val="0"/>
        <w:jc w:val="left"/>
      </w:pPr>
      <w:bookmarkStart w:id="108" w:name="_ENREF_1"/>
      <w:r w:rsidRPr="007A6CA5">
        <w:t xml:space="preserve">1. National Institute for Clinical Excellence. CG101 Chronic obstructive pulmonary disease (update): full guideline. 2010. Link: </w:t>
      </w:r>
      <w:r w:rsidRPr="000C0A41">
        <w:t>http://guidance.nice.org.uk/CG101/Guidance/pdf/English</w:t>
      </w:r>
      <w:r w:rsidRPr="007A6CA5">
        <w:t>.</w:t>
      </w:r>
      <w:bookmarkEnd w:id="108"/>
    </w:p>
    <w:p w:rsidR="000C0A41" w:rsidRPr="007A6CA5" w:rsidRDefault="000C0A41" w:rsidP="000C0A41">
      <w:pPr>
        <w:pStyle w:val="EndNoteBibliography"/>
        <w:spacing w:after="120"/>
        <w:ind w:left="280" w:hanging="280"/>
        <w:contextualSpacing w:val="0"/>
        <w:jc w:val="left"/>
      </w:pPr>
      <w:bookmarkStart w:id="109" w:name="_ENREF_2"/>
      <w:r w:rsidRPr="007A6CA5">
        <w:t xml:space="preserve">2. Nacul L, Soljak M, Meade T. Model for estimating the population prevalence of chronic obstructive pulmonary disease: cross sectional data from the Health Survey for England. Population Health Metrics 2007;5(1):8. Link: </w:t>
      </w:r>
      <w:r w:rsidRPr="000C0A41">
        <w:t>http://www.pophealthmetrics.com/content/5/1/8</w:t>
      </w:r>
      <w:r w:rsidRPr="007A6CA5">
        <w:t>.</w:t>
      </w:r>
      <w:bookmarkEnd w:id="109"/>
    </w:p>
    <w:p w:rsidR="000C0A41" w:rsidRPr="007A6CA5" w:rsidRDefault="000C0A41" w:rsidP="000C0A41">
      <w:pPr>
        <w:pStyle w:val="EndNoteBibliography"/>
        <w:spacing w:after="120"/>
        <w:ind w:left="280" w:hanging="280"/>
        <w:contextualSpacing w:val="0"/>
        <w:jc w:val="left"/>
      </w:pPr>
      <w:bookmarkStart w:id="110" w:name="_ENREF_3"/>
      <w:r w:rsidRPr="007A6CA5">
        <w:t xml:space="preserve">3. Mindell J, Chaudhury M, Aresu M, Jarvis D. Health Survey for England 2010: Chapter 3, lung function in adults. </w:t>
      </w:r>
      <w:r w:rsidRPr="007A6CA5">
        <w:rPr>
          <w:i/>
        </w:rPr>
        <w:t>Health Survey for England 2010: Respiratory Health</w:t>
      </w:r>
      <w:r w:rsidRPr="007A6CA5">
        <w:t xml:space="preserve">. London: NHS Information Centre for Health &amp; Social Care, 2011. </w:t>
      </w:r>
      <w:r w:rsidRPr="000C0A41">
        <w:t>http://www.ic.nhs.uk/catalogue/PUB03023/heal-surv-eng-2010-resp-heal-ch3-func-adul.pdf</w:t>
      </w:r>
      <w:r w:rsidRPr="007A6CA5">
        <w:t>.</w:t>
      </w:r>
      <w:bookmarkEnd w:id="110"/>
    </w:p>
    <w:p w:rsidR="000C0A41" w:rsidRPr="007A6CA5" w:rsidRDefault="000C0A41" w:rsidP="000C0A41">
      <w:pPr>
        <w:pStyle w:val="EndNoteBibliography"/>
        <w:spacing w:after="120"/>
        <w:ind w:left="280" w:hanging="280"/>
        <w:contextualSpacing w:val="0"/>
        <w:jc w:val="left"/>
      </w:pPr>
      <w:bookmarkStart w:id="111" w:name="_ENREF_4"/>
      <w:r w:rsidRPr="007A6CA5">
        <w:t xml:space="preserve">4. Halpin DMG, Miravitlles M. Chronic Obstructive Pulmonary Disease: The Disease and Its Burden to Society. Proceedings of the American Thoracic Society 2006;3(7):619-23. Link: </w:t>
      </w:r>
      <w:r w:rsidRPr="000C0A41">
        <w:t>http://pats.atsjournals.org/cgi/content/abstract/3/7/619</w:t>
      </w:r>
      <w:r w:rsidRPr="007A6CA5">
        <w:t>.</w:t>
      </w:r>
      <w:bookmarkEnd w:id="111"/>
    </w:p>
    <w:p w:rsidR="000C0A41" w:rsidRPr="007A6CA5" w:rsidRDefault="000C0A41" w:rsidP="000C0A41">
      <w:pPr>
        <w:pStyle w:val="EndNoteBibliography"/>
        <w:spacing w:after="120"/>
        <w:ind w:left="280" w:hanging="280"/>
        <w:contextualSpacing w:val="0"/>
        <w:jc w:val="left"/>
      </w:pPr>
      <w:bookmarkStart w:id="112" w:name="_ENREF_5"/>
      <w:r w:rsidRPr="007A6CA5">
        <w:t xml:space="preserve">5. Devereux G. ABC of chronic obstructive pulmonary disease: Definition, epidemiology, and risk factors. BMJ 2006;332(7550):1142-44. Link: </w:t>
      </w:r>
      <w:r w:rsidRPr="000C0A41">
        <w:t>http://www.bmj.com/highwire/filestream/358314/field_highwire_article_pdf/0/1142.full.pdf</w:t>
      </w:r>
      <w:r w:rsidRPr="007A6CA5">
        <w:t>.</w:t>
      </w:r>
      <w:bookmarkEnd w:id="112"/>
    </w:p>
    <w:p w:rsidR="000C0A41" w:rsidRPr="007A6CA5" w:rsidRDefault="000C0A41" w:rsidP="000C0A41">
      <w:pPr>
        <w:pStyle w:val="EndNoteBibliography"/>
        <w:spacing w:after="120"/>
        <w:ind w:left="280" w:hanging="280"/>
        <w:contextualSpacing w:val="0"/>
        <w:jc w:val="left"/>
      </w:pPr>
      <w:bookmarkStart w:id="113" w:name="_ENREF_6"/>
      <w:r w:rsidRPr="007A6CA5">
        <w:t xml:space="preserve">6. Chief Medical Officer. CMO Report 2004: It takes your breath away: the impact of chronic obstructive pulmonary disease. 2005. Link: </w:t>
      </w:r>
      <w:r w:rsidRPr="000C0A41">
        <w:t>http://www.dh.gov.uk/en/Publicationsandstatistics/Publications/AnnualReports/DH_4115776?IdcService=GET_FILE&amp;dID=1956&amp;Rendition=Web</w:t>
      </w:r>
      <w:r w:rsidRPr="007A6CA5">
        <w:t>.</w:t>
      </w:r>
      <w:bookmarkEnd w:id="113"/>
    </w:p>
    <w:p w:rsidR="000C0A41" w:rsidRPr="007A6CA5" w:rsidRDefault="000C0A41" w:rsidP="000C0A41">
      <w:pPr>
        <w:pStyle w:val="EndNoteBibliography"/>
        <w:spacing w:after="120"/>
        <w:ind w:left="280" w:hanging="280"/>
        <w:contextualSpacing w:val="0"/>
        <w:jc w:val="left"/>
      </w:pPr>
      <w:bookmarkStart w:id="114" w:name="_ENREF_7"/>
      <w:r w:rsidRPr="007A6CA5">
        <w:t xml:space="preserve">7. Halpin DMG. Health Economics of Chronic Obstructive Pulmonary Disease. Proceedings of the American Thoracic Society 2006;3(3):227-33. Link: </w:t>
      </w:r>
      <w:r w:rsidRPr="000C0A41">
        <w:t>http://pats.atsjournals.org/cgi/content/abstract/3/3/227</w:t>
      </w:r>
      <w:r w:rsidRPr="007A6CA5">
        <w:t>.</w:t>
      </w:r>
      <w:bookmarkEnd w:id="114"/>
    </w:p>
    <w:p w:rsidR="000C0A41" w:rsidRPr="007A6CA5" w:rsidRDefault="000C0A41" w:rsidP="000C0A41">
      <w:pPr>
        <w:pStyle w:val="EndNoteBibliography"/>
        <w:spacing w:after="120"/>
        <w:ind w:left="280" w:hanging="280"/>
        <w:contextualSpacing w:val="0"/>
        <w:jc w:val="left"/>
      </w:pPr>
      <w:bookmarkStart w:id="115" w:name="_ENREF_8"/>
      <w:r w:rsidRPr="007A6CA5">
        <w:t xml:space="preserve">8. Garcia-Aymerich J, Serra Pons I, Mannino DM, Maas AK, Miller DP, Davis KJ. Lung function impairment, COPD hospitalisations and subsequent mortality. Thorax 2011. Link: </w:t>
      </w:r>
      <w:r w:rsidRPr="000C0A41">
        <w:t>http://thorax.bmj.com/content/early/2011/04/22/thx.2010.152876.abstract</w:t>
      </w:r>
      <w:r w:rsidRPr="007A6CA5">
        <w:t>.</w:t>
      </w:r>
      <w:bookmarkEnd w:id="115"/>
    </w:p>
    <w:p w:rsidR="000C0A41" w:rsidRPr="007A6CA5" w:rsidRDefault="000C0A41" w:rsidP="000C0A41">
      <w:pPr>
        <w:pStyle w:val="EndNoteBibliography"/>
        <w:spacing w:after="120"/>
        <w:ind w:left="280" w:hanging="280"/>
        <w:contextualSpacing w:val="0"/>
        <w:jc w:val="left"/>
      </w:pPr>
      <w:bookmarkStart w:id="116" w:name="_ENREF_9"/>
      <w:r w:rsidRPr="007A6CA5">
        <w:t>9. Sorlie PD, Kannel WB, O'Connor G. Mortality associated with respiratory function and symptoms in advanced age. The Framingham Study. Am Rev Respir Dis 1989;140:379-84. Link.</w:t>
      </w:r>
      <w:bookmarkEnd w:id="116"/>
    </w:p>
    <w:p w:rsidR="000C0A41" w:rsidRPr="007A6CA5" w:rsidRDefault="000C0A41" w:rsidP="000C0A41">
      <w:pPr>
        <w:pStyle w:val="EndNoteBibliography"/>
        <w:spacing w:after="120"/>
        <w:ind w:left="280" w:hanging="280"/>
        <w:contextualSpacing w:val="0"/>
        <w:jc w:val="left"/>
      </w:pPr>
      <w:bookmarkStart w:id="117" w:name="_ENREF_10"/>
      <w:r w:rsidRPr="007A6CA5">
        <w:t xml:space="preserve">10. Feary JR, Rodrigues LC, Smith CJ, Hubbard RB, Gibson JE. Prevalence of major comorbidities in subjects with COPD and incidence of myocardial infarction and stroke: a comprehensive analysis using data from primary care. Thorax 2010;65(11):956-62. Link: </w:t>
      </w:r>
      <w:r w:rsidRPr="000C0A41">
        <w:t>http://thorax.bmj.com/content/65/11/956.abstract</w:t>
      </w:r>
      <w:r w:rsidRPr="007A6CA5">
        <w:t>.</w:t>
      </w:r>
      <w:bookmarkEnd w:id="117"/>
    </w:p>
    <w:p w:rsidR="000C0A41" w:rsidRPr="007A6CA5" w:rsidRDefault="000C0A41" w:rsidP="000C0A41">
      <w:pPr>
        <w:pStyle w:val="EndNoteBibliography"/>
        <w:spacing w:after="120"/>
        <w:ind w:left="280" w:hanging="280"/>
        <w:contextualSpacing w:val="0"/>
        <w:jc w:val="left"/>
      </w:pPr>
      <w:bookmarkStart w:id="118" w:name="_ENREF_11"/>
      <w:r w:rsidRPr="007A6CA5">
        <w:t xml:space="preserve">11. Coultas DB, Mapel D, Gagnon RC, Lydick E. The Health Impact of Undiagnosed Airflow Obstruction in a National Sample of United States Adults. American Journal of Respiratory and Critical Care Medicine 2001;164(3):372-77. Link: </w:t>
      </w:r>
      <w:r w:rsidRPr="000C0A41">
        <w:t>http://ajrccm.atsjournals.org/cgi/content/full/164/3/372</w:t>
      </w:r>
      <w:r w:rsidRPr="007A6CA5">
        <w:t>.</w:t>
      </w:r>
      <w:bookmarkEnd w:id="118"/>
    </w:p>
    <w:p w:rsidR="000C0A41" w:rsidRPr="007A6CA5" w:rsidRDefault="000C0A41" w:rsidP="000C0A41">
      <w:pPr>
        <w:pStyle w:val="EndNoteBibliography"/>
        <w:spacing w:after="120"/>
        <w:ind w:left="280" w:hanging="280"/>
        <w:contextualSpacing w:val="0"/>
        <w:jc w:val="left"/>
      </w:pPr>
      <w:bookmarkStart w:id="119" w:name="_ENREF_12"/>
      <w:r w:rsidRPr="007A6CA5">
        <w:t xml:space="preserve">12. Godtfredsen NS, Vestbo J, Osler M, Prescott E. Risk of hospital admission for COPD following smoking cessation and reduction: a Danish population study. Thorax 2002;57(11):967-72. Link: </w:t>
      </w:r>
      <w:r w:rsidRPr="000C0A41">
        <w:t>http://thorax.bmj.com/cgi/content/abstract/57/11/967</w:t>
      </w:r>
      <w:r w:rsidRPr="007A6CA5">
        <w:t>.</w:t>
      </w:r>
      <w:bookmarkEnd w:id="119"/>
    </w:p>
    <w:p w:rsidR="000C0A41" w:rsidRPr="007A6CA5" w:rsidRDefault="000C0A41" w:rsidP="000C0A41">
      <w:pPr>
        <w:pStyle w:val="EndNoteBibliography"/>
        <w:spacing w:after="120"/>
        <w:ind w:left="280" w:hanging="280"/>
        <w:contextualSpacing w:val="0"/>
        <w:jc w:val="left"/>
      </w:pPr>
      <w:bookmarkStart w:id="120" w:name="_ENREF_13"/>
      <w:r w:rsidRPr="007A6CA5">
        <w:t xml:space="preserve">13. Anthonisen NR, Skeans MA, Wise RA, Manfreda J, Kanner RE, Connett JE, Lung Health Study Research G. The effects of smoking cessation intervention on 14.5-year mortality. A randomized clinical trial. Annals of Internal Medicine 2005;142:233-39. Link: </w:t>
      </w:r>
      <w:r w:rsidRPr="000C0A41">
        <w:t>http://www.annals.org/cgi/content/full/142/4/233</w:t>
      </w:r>
      <w:r w:rsidRPr="007A6CA5">
        <w:t>.</w:t>
      </w:r>
      <w:bookmarkEnd w:id="120"/>
    </w:p>
    <w:p w:rsidR="000C0A41" w:rsidRPr="007A6CA5" w:rsidRDefault="000C0A41" w:rsidP="000C0A41">
      <w:pPr>
        <w:pStyle w:val="EndNoteBibliography"/>
        <w:spacing w:after="120"/>
        <w:ind w:left="280" w:hanging="280"/>
        <w:contextualSpacing w:val="0"/>
        <w:jc w:val="left"/>
      </w:pPr>
      <w:bookmarkStart w:id="121" w:name="_ENREF_14"/>
      <w:r w:rsidRPr="007A6CA5">
        <w:t xml:space="preserve">14. Gorecka D, Bednarek M, Nowinski A, Puscinska E, Goljan-Geremek A, Zielinski J. Diagnosis of airflow limitation combined with smoking cessation advice increases stop-smoking rate. Chest 2003;123:1916-23. Link: </w:t>
      </w:r>
      <w:r w:rsidRPr="000C0A41">
        <w:t>http://www.chestjournal.org/content/123/6/1916.full</w:t>
      </w:r>
      <w:r w:rsidRPr="007A6CA5">
        <w:t>.</w:t>
      </w:r>
      <w:bookmarkEnd w:id="121"/>
    </w:p>
    <w:p w:rsidR="000C0A41" w:rsidRPr="007A6CA5" w:rsidRDefault="000C0A41" w:rsidP="000C0A41">
      <w:pPr>
        <w:pStyle w:val="EndNoteBibliography"/>
        <w:spacing w:after="120"/>
        <w:ind w:left="280" w:hanging="280"/>
        <w:contextualSpacing w:val="0"/>
        <w:jc w:val="left"/>
      </w:pPr>
      <w:bookmarkStart w:id="122" w:name="_ENREF_15"/>
      <w:r w:rsidRPr="007A6CA5">
        <w:t xml:space="preserve">15. Kinnula VL, Vasankari T, Kontula E, Sovijarvi A, Saynajakangas O, Pietinalho A. The 10-year COPD Programme in Finland: effects on quality of diagnosis, smoking, prevalence, hospital admissions and mortality. Primary Care Respiratory Journal 2011;20(2):178-83. Link: </w:t>
      </w:r>
      <w:r w:rsidRPr="000C0A41">
        <w:t>http://www.thepcrj.org/journ/view_article.php?article_id=789</w:t>
      </w:r>
      <w:r w:rsidRPr="007A6CA5">
        <w:t>.</w:t>
      </w:r>
      <w:bookmarkEnd w:id="122"/>
    </w:p>
    <w:p w:rsidR="000C0A41" w:rsidRPr="007A6CA5" w:rsidRDefault="000C0A41" w:rsidP="000C0A41">
      <w:pPr>
        <w:pStyle w:val="EndNoteBibliography"/>
        <w:spacing w:after="120"/>
        <w:ind w:left="280" w:hanging="280"/>
        <w:contextualSpacing w:val="0"/>
        <w:jc w:val="left"/>
      </w:pPr>
      <w:bookmarkStart w:id="123" w:name="_ENREF_16"/>
      <w:r w:rsidRPr="007A6CA5">
        <w:lastRenderedPageBreak/>
        <w:t xml:space="preserve">16. National collaborating centre for chronic conditions. Chronic Obstructive Pulmonary Disease. National clinical guideline on management of chronic obstructive pulmonary disease in adults in primary and secondary care. Appendix B: The cost effectiveness of opportunistic case finding in primary care. Thorax 2004;59(90001):i175-i90. Link: </w:t>
      </w:r>
      <w:r w:rsidRPr="000C0A41">
        <w:t>http://thorax.bmj.com/content/59/suppl_1/i175.full.pdf+html</w:t>
      </w:r>
      <w:r w:rsidRPr="007A6CA5">
        <w:t>.</w:t>
      </w:r>
      <w:bookmarkEnd w:id="123"/>
    </w:p>
    <w:p w:rsidR="000C0A41" w:rsidRPr="007A6CA5" w:rsidRDefault="000C0A41" w:rsidP="000C0A41">
      <w:pPr>
        <w:pStyle w:val="EndNoteBibliography"/>
        <w:spacing w:after="120"/>
        <w:ind w:left="280" w:hanging="280"/>
        <w:contextualSpacing w:val="0"/>
        <w:jc w:val="left"/>
      </w:pPr>
      <w:bookmarkStart w:id="124" w:name="_ENREF_17"/>
      <w:r w:rsidRPr="007A6CA5">
        <w:t xml:space="preserve">17. Department of Health / Medical Directorate / Respiratory Team. An outcomes strategy for people with chronic obstructive pulmonary disease (COPD) and asthma in England:   Health Do, 2011. </w:t>
      </w:r>
      <w:r w:rsidRPr="000C0A41">
        <w:t>http://www.dh.gov.uk/prod_consum_dh/groups/dh_digitalassets/documents/digitalasset/dh_128428.pdf</w:t>
      </w:r>
      <w:r w:rsidRPr="007A6CA5">
        <w:t>.</w:t>
      </w:r>
      <w:bookmarkEnd w:id="124"/>
    </w:p>
    <w:p w:rsidR="000C0A41" w:rsidRPr="007A6CA5" w:rsidRDefault="000C0A41" w:rsidP="000C0A41">
      <w:pPr>
        <w:pStyle w:val="EndNoteBibliography"/>
        <w:spacing w:after="120"/>
        <w:ind w:left="280" w:hanging="280"/>
        <w:contextualSpacing w:val="0"/>
        <w:jc w:val="left"/>
      </w:pPr>
      <w:bookmarkStart w:id="125" w:name="_ENREF_18"/>
      <w:r w:rsidRPr="007A6CA5">
        <w:t xml:space="preserve">18. British Thoracic Society. Diagnosing COPD. Thorax 2004;59(90001):i27-i38. Link: </w:t>
      </w:r>
      <w:r w:rsidRPr="000C0A41">
        <w:t>http://thorax.bmj.com/cgi/reprint/59/suppl_1/i27</w:t>
      </w:r>
      <w:r w:rsidRPr="007A6CA5">
        <w:t>.</w:t>
      </w:r>
      <w:bookmarkEnd w:id="125"/>
    </w:p>
    <w:p w:rsidR="000C0A41" w:rsidRPr="007A6CA5" w:rsidRDefault="000C0A41" w:rsidP="000C0A41">
      <w:pPr>
        <w:pStyle w:val="EndNoteBibliography"/>
        <w:spacing w:after="120"/>
        <w:ind w:left="280" w:hanging="280"/>
        <w:contextualSpacing w:val="0"/>
        <w:jc w:val="left"/>
      </w:pPr>
      <w:bookmarkStart w:id="126" w:name="_ENREF_19"/>
      <w:r w:rsidRPr="007A6CA5">
        <w:t xml:space="preserve">19. Nacul L, Soljak M, Samarasundera E, Hopkinson NS, Lacerda E, Indulkar T, Flowers J, Walford H, Majeed A. COPD in England: a comparison of expected, model-based prevalence and observed prevalence from general practice data. Journal of Public Health 2011;33(1):108-16. Link: </w:t>
      </w:r>
      <w:r w:rsidRPr="000C0A41">
        <w:t>http://jpubhealth.oxfordjournals.org/content/33/1/108.full</w:t>
      </w:r>
      <w:r w:rsidRPr="007A6CA5">
        <w:t>.</w:t>
      </w:r>
      <w:bookmarkEnd w:id="126"/>
    </w:p>
    <w:p w:rsidR="000C0A41" w:rsidRPr="007A6CA5" w:rsidRDefault="000C0A41" w:rsidP="000C0A41">
      <w:pPr>
        <w:pStyle w:val="EndNoteBibliography"/>
        <w:spacing w:after="120"/>
        <w:ind w:left="280" w:hanging="280"/>
        <w:contextualSpacing w:val="0"/>
        <w:jc w:val="left"/>
      </w:pPr>
      <w:bookmarkStart w:id="127" w:name="_ENREF_20"/>
      <w:r w:rsidRPr="007A6CA5">
        <w:t>20. GOLD. Global strategy for the diagnosis, management, and prevention of chronic obstructive pulmonary disease. 2015. Link.</w:t>
      </w:r>
      <w:bookmarkEnd w:id="127"/>
    </w:p>
    <w:p w:rsidR="000C0A41" w:rsidRPr="007A6CA5" w:rsidRDefault="000C0A41" w:rsidP="000C0A41">
      <w:pPr>
        <w:pStyle w:val="EndNoteBibliography"/>
        <w:spacing w:after="120"/>
        <w:ind w:left="280" w:hanging="280"/>
        <w:contextualSpacing w:val="0"/>
        <w:jc w:val="left"/>
      </w:pPr>
      <w:bookmarkStart w:id="128" w:name="_ENREF_21"/>
      <w:r w:rsidRPr="007A6CA5">
        <w:t xml:space="preserve">21. Bhatt SP, Sieren JC, Dransfield MT, Washko GR, Newell JD, Stinson DA, Zamba GKD, Hoffman EA. Comparison of spirometric thresholds in diagnosing smoking-related airflow obstruction. Thorax 2013. Link: </w:t>
      </w:r>
      <w:r w:rsidRPr="000C0A41">
        <w:t>http://thorax.bmj.com/content/early/2013/03/22/thoraxjnl-2012-202810.abstract</w:t>
      </w:r>
      <w:r w:rsidRPr="007A6CA5">
        <w:t>.</w:t>
      </w:r>
      <w:bookmarkEnd w:id="128"/>
    </w:p>
    <w:p w:rsidR="000C0A41" w:rsidRPr="007A6CA5" w:rsidRDefault="000C0A41" w:rsidP="000C0A41">
      <w:pPr>
        <w:pStyle w:val="EndNoteBibliography"/>
        <w:spacing w:after="120"/>
        <w:ind w:left="280" w:hanging="280"/>
        <w:contextualSpacing w:val="0"/>
        <w:jc w:val="left"/>
      </w:pPr>
      <w:bookmarkStart w:id="129" w:name="_ENREF_22"/>
      <w:r w:rsidRPr="007A6CA5">
        <w:t xml:space="preserve">22. Halbert RJ, Natoli JL, Gano A, Badamgarav E, Buist AS, Mannino DM. Global burden of COPD: systematic review and meta-analysis. European Respiratory Journal 2006;28(3):523-32. Link: </w:t>
      </w:r>
      <w:r w:rsidRPr="000C0A41">
        <w:t>http://erj.ersjournals.com/cgi/content/abstract/28/3/523</w:t>
      </w:r>
      <w:r w:rsidRPr="007A6CA5">
        <w:t>.</w:t>
      </w:r>
      <w:bookmarkEnd w:id="129"/>
    </w:p>
    <w:p w:rsidR="000C0A41" w:rsidRPr="007A6CA5" w:rsidRDefault="000C0A41" w:rsidP="000C0A41">
      <w:pPr>
        <w:pStyle w:val="EndNoteBibliography"/>
        <w:spacing w:after="120"/>
        <w:ind w:left="280" w:hanging="280"/>
        <w:contextualSpacing w:val="0"/>
        <w:jc w:val="left"/>
      </w:pPr>
      <w:bookmarkStart w:id="130" w:name="_ENREF_23"/>
      <w:r w:rsidRPr="007A6CA5">
        <w:t xml:space="preserve">23. Shahab L, Jarvis MJ, Britton J, West R. Prevalence, diagnosis and relation to tobacco dependence of chronic obstructive pulmonary disease in a nationally representative population sample. Thorax 2006;61(12):1043-47. Link: </w:t>
      </w:r>
      <w:r w:rsidRPr="000C0A41">
        <w:t>http://thorax.bmj.com/content/61/12/1043.abstract</w:t>
      </w:r>
      <w:r w:rsidRPr="007A6CA5">
        <w:t>.</w:t>
      </w:r>
      <w:bookmarkEnd w:id="130"/>
    </w:p>
    <w:p w:rsidR="000C0A41" w:rsidRPr="007A6CA5" w:rsidRDefault="000C0A41" w:rsidP="000C0A41">
      <w:pPr>
        <w:pStyle w:val="EndNoteBibliography"/>
        <w:spacing w:after="120"/>
        <w:ind w:left="280" w:hanging="280"/>
        <w:contextualSpacing w:val="0"/>
        <w:jc w:val="left"/>
      </w:pPr>
      <w:bookmarkStart w:id="131" w:name="_ENREF_24"/>
      <w:r w:rsidRPr="007A6CA5">
        <w:t>24. Halbert RJ, Isonaka S, George D, Iqbal A. Interpreting COPD prevalence estimates. What is the true burden of disease? Chest 2003;123(5):1684-92. Link.</w:t>
      </w:r>
      <w:bookmarkEnd w:id="131"/>
    </w:p>
    <w:p w:rsidR="000C0A41" w:rsidRPr="007A6CA5" w:rsidRDefault="000C0A41" w:rsidP="000C0A41">
      <w:pPr>
        <w:pStyle w:val="EndNoteBibliography"/>
        <w:spacing w:after="120"/>
        <w:ind w:left="280" w:hanging="280"/>
        <w:contextualSpacing w:val="0"/>
        <w:jc w:val="left"/>
      </w:pPr>
      <w:bookmarkStart w:id="132" w:name="_ENREF_25"/>
      <w:r w:rsidRPr="007A6CA5">
        <w:t xml:space="preserve">25. Stevens A, Raftery J, Mant J. </w:t>
      </w:r>
      <w:r w:rsidRPr="007A6CA5">
        <w:rPr>
          <w:i/>
        </w:rPr>
        <w:t>Health Care Needs Assessment</w:t>
      </w:r>
      <w:r w:rsidRPr="007A6CA5">
        <w:t>. Abingdon: Radcliffe Publishing, 2004.</w:t>
      </w:r>
      <w:bookmarkEnd w:id="132"/>
    </w:p>
    <w:p w:rsidR="000C0A41" w:rsidRPr="007A6CA5" w:rsidRDefault="000C0A41" w:rsidP="000C0A41">
      <w:pPr>
        <w:pStyle w:val="EndNoteBibliography"/>
        <w:spacing w:after="120"/>
        <w:ind w:left="280" w:hanging="280"/>
        <w:contextualSpacing w:val="0"/>
        <w:jc w:val="left"/>
      </w:pPr>
      <w:bookmarkStart w:id="133" w:name="_ENREF_26"/>
      <w:r w:rsidRPr="007A6CA5">
        <w:t>26. Bakke PS, Baste V, Hanoa R, Gulsvik A. Prevalence of obstructive lung disease in a general population: relation to occupational title and exposure to some airborne agents. Thorax 1991;46:863-70. Link.</w:t>
      </w:r>
      <w:bookmarkEnd w:id="133"/>
    </w:p>
    <w:p w:rsidR="000C0A41" w:rsidRPr="007A6CA5" w:rsidRDefault="000C0A41" w:rsidP="000C0A41">
      <w:pPr>
        <w:pStyle w:val="EndNoteBibliography"/>
        <w:spacing w:after="120"/>
        <w:ind w:left="280" w:hanging="280"/>
        <w:contextualSpacing w:val="0"/>
        <w:jc w:val="left"/>
      </w:pPr>
      <w:bookmarkStart w:id="134" w:name="_ENREF_27"/>
      <w:r w:rsidRPr="007A6CA5">
        <w:t xml:space="preserve">27. Mannino Dm GRCPTLLE. Obstructive lung disease and low lung function in adults in the united states: Data from the national health and nutrition examination survey, 1988-1994. Archives of Internal Medicine 2000;160(11):1683-89. Link: </w:t>
      </w:r>
      <w:r w:rsidRPr="000C0A41">
        <w:t>http://dx.doi.org/10.1001/archinte.160.11.1683</w:t>
      </w:r>
      <w:r w:rsidRPr="007A6CA5">
        <w:t>.</w:t>
      </w:r>
      <w:bookmarkEnd w:id="134"/>
    </w:p>
    <w:p w:rsidR="000C0A41" w:rsidRPr="007A6CA5" w:rsidRDefault="000C0A41" w:rsidP="000C0A41">
      <w:pPr>
        <w:pStyle w:val="EndNoteBibliography"/>
        <w:spacing w:after="120"/>
        <w:ind w:left="280" w:hanging="280"/>
        <w:contextualSpacing w:val="0"/>
        <w:jc w:val="left"/>
      </w:pPr>
      <w:bookmarkStart w:id="135" w:name="_ENREF_28"/>
      <w:r w:rsidRPr="007A6CA5">
        <w:t>28. Jordan LM, Berra JCM, Inigo MC, Diez L, Garmendia Z. Enfermedad pulmonary obstructive cronica en la poblacion general. Estudio epidemiologico realizado em Guipuzcoa. Arch Bronchoneumol 1998;34(1):23-27. Link.</w:t>
      </w:r>
      <w:bookmarkEnd w:id="135"/>
    </w:p>
    <w:p w:rsidR="000C0A41" w:rsidRPr="007A6CA5" w:rsidRDefault="000C0A41" w:rsidP="000C0A41">
      <w:pPr>
        <w:pStyle w:val="EndNoteBibliography"/>
        <w:spacing w:after="120"/>
        <w:ind w:left="280" w:hanging="280"/>
        <w:contextualSpacing w:val="0"/>
        <w:jc w:val="left"/>
      </w:pPr>
      <w:bookmarkStart w:id="136" w:name="_ENREF_29"/>
      <w:r w:rsidRPr="007A6CA5">
        <w:t xml:space="preserve">29. Murtagh E, Heaney L, Gingles J, Shepherd R, Kee F, Patterson C, MacMahon J. The prevalence of obstructive lung disease in a general population sample: The NICECOPD study. European Journal of Epidemiology 2005;20(5):443-53. Link: </w:t>
      </w:r>
      <w:r w:rsidRPr="000C0A41">
        <w:t>http://dx.doi.org/10.1007/s10654-005-1248-8</w:t>
      </w:r>
      <w:r w:rsidRPr="007A6CA5">
        <w:t>.</w:t>
      </w:r>
      <w:bookmarkEnd w:id="136"/>
    </w:p>
    <w:p w:rsidR="000C0A41" w:rsidRPr="007A6CA5" w:rsidRDefault="000C0A41" w:rsidP="000C0A41">
      <w:pPr>
        <w:pStyle w:val="EndNoteBibliography"/>
        <w:spacing w:after="120"/>
        <w:ind w:left="280" w:hanging="280"/>
        <w:contextualSpacing w:val="0"/>
        <w:jc w:val="left"/>
      </w:pPr>
      <w:bookmarkStart w:id="137" w:name="_ENREF_30"/>
      <w:r w:rsidRPr="007A6CA5">
        <w:t xml:space="preserve">30. McKay AJ, Mahesh PA, Fordham JZ, Majeed A. Prevalence of COPD in India: a systematic review. Primary Care Respiratory Journal 2012;21(3):313-21. Link: </w:t>
      </w:r>
      <w:r w:rsidRPr="000C0A41">
        <w:t>http://www.thepcrj.org/journ/view_article.php?article_id=938</w:t>
      </w:r>
      <w:r w:rsidRPr="007A6CA5">
        <w:t>.</w:t>
      </w:r>
      <w:bookmarkEnd w:id="137"/>
    </w:p>
    <w:p w:rsidR="000C0A41" w:rsidRPr="007A6CA5" w:rsidRDefault="000C0A41" w:rsidP="000C0A41">
      <w:pPr>
        <w:pStyle w:val="EndNoteBibliography"/>
        <w:spacing w:after="120"/>
        <w:ind w:left="280" w:hanging="280"/>
        <w:contextualSpacing w:val="0"/>
        <w:jc w:val="left"/>
      </w:pPr>
      <w:bookmarkStart w:id="138" w:name="_ENREF_31"/>
      <w:r w:rsidRPr="007A6CA5">
        <w:t xml:space="preserve">31. Vozoris NT. Prevalence, risk factors, activity limitation and health care utilization of an obese, population-based sample with chronic obstructive pulmonary disease. Canadian Respiratory Journal 2012;19(3):e18. </w:t>
      </w:r>
      <w:bookmarkEnd w:id="138"/>
    </w:p>
    <w:p w:rsidR="000C0A41" w:rsidRPr="007A6CA5" w:rsidRDefault="000C0A41" w:rsidP="000C0A41">
      <w:pPr>
        <w:pStyle w:val="EndNoteBibliography"/>
        <w:spacing w:after="120"/>
        <w:ind w:left="280" w:hanging="280"/>
        <w:contextualSpacing w:val="0"/>
        <w:jc w:val="left"/>
      </w:pPr>
      <w:bookmarkStart w:id="139" w:name="_ENREF_32"/>
      <w:r w:rsidRPr="007A6CA5">
        <w:t xml:space="preserve">32. Musafiri S, van Meerbeeck J, Musango L, Brusselle G, Joos G, Seminega B, Rutayisire C. Prevalence of atopy, asthma and COPD in an urban and a rural area of an African country. Respiratory Medicine 2011;105(11):1596-605. Link: </w:t>
      </w:r>
      <w:r w:rsidRPr="000C0A41">
        <w:t>http://www.sciencedirect.com/science/article/pii/S0954611111002137</w:t>
      </w:r>
      <w:r w:rsidRPr="007A6CA5">
        <w:t>.</w:t>
      </w:r>
      <w:bookmarkEnd w:id="139"/>
    </w:p>
    <w:p w:rsidR="000C0A41" w:rsidRPr="007A6CA5" w:rsidRDefault="000C0A41" w:rsidP="000C0A41">
      <w:pPr>
        <w:pStyle w:val="EndNoteBibliography"/>
        <w:spacing w:after="120"/>
        <w:ind w:left="280" w:hanging="280"/>
        <w:contextualSpacing w:val="0"/>
        <w:jc w:val="left"/>
      </w:pPr>
      <w:bookmarkStart w:id="140" w:name="_ENREF_33"/>
      <w:r w:rsidRPr="007A6CA5">
        <w:t xml:space="preserve">33. Yin P, Zhang M, Li Y, Jiang Y, Zhao W. Prevalence of COPD and its association with socioeconomic status in China: Findings from China Chronic Disease Risk Factor Surveillance 2007. BMC Public Health 2011;11(1):586. Link: </w:t>
      </w:r>
      <w:r w:rsidRPr="000C0A41">
        <w:t>http://www.biomedcentral.com/1471-2458/11/586</w:t>
      </w:r>
      <w:r w:rsidRPr="007A6CA5">
        <w:t>.</w:t>
      </w:r>
      <w:bookmarkEnd w:id="140"/>
    </w:p>
    <w:p w:rsidR="000C0A41" w:rsidRPr="007A6CA5" w:rsidRDefault="000C0A41" w:rsidP="000C0A41">
      <w:pPr>
        <w:pStyle w:val="EndNoteBibliography"/>
        <w:spacing w:after="120"/>
        <w:ind w:left="280" w:hanging="280"/>
        <w:contextualSpacing w:val="0"/>
        <w:jc w:val="left"/>
      </w:pPr>
      <w:bookmarkStart w:id="141" w:name="_ENREF_34"/>
      <w:r w:rsidRPr="007A6CA5">
        <w:t xml:space="preserve">34. Mascarenhas J, Falc, o H, Louren, o P, cia, Paulo C, Patacho M, Bettencourt P, Azevedo A. Population-Based Study on the Prevalence of Spirometric Obstructive Pattern in Porto, Portugal. Respiratory Care 2011;56(5):619-25. Link: </w:t>
      </w:r>
      <w:r w:rsidRPr="000C0A41">
        <w:t>http://www.ingentaconnect.com/content/jrcc/rc/2011/00000056/00000005/art00008</w:t>
      </w:r>
    </w:p>
    <w:p w:rsidR="000C0A41" w:rsidRPr="007A6CA5" w:rsidRDefault="000C0A41" w:rsidP="000C0A41">
      <w:pPr>
        <w:pStyle w:val="EndNoteBibliography"/>
        <w:spacing w:after="120"/>
        <w:ind w:left="280" w:hanging="280"/>
        <w:contextualSpacing w:val="0"/>
        <w:jc w:val="left"/>
      </w:pPr>
      <w:bookmarkStart w:id="142" w:name="_ENREF_35"/>
      <w:bookmarkEnd w:id="141"/>
      <w:r w:rsidRPr="007A6CA5">
        <w:t xml:space="preserve">35. Yoo KH, Kim YS, Sheen SS, Park JH, Hwang YI, Kim S-H, Yoon HI, Lim SC, Park JY, Park SJ, Seo KH, Kim KU, Oh Y-M, Lee NY, Kim JS, Oh KW, Kim YT, Park I-W, Lee S-D, Kim SK, Kim YK, Han SK. Prevalence of chronic obstructive pulmonary disease in Korea: The fourth Korean National Health and Nutrition Examination Survey, 2008. Respirology 2011;16(4):659-65. Link: </w:t>
      </w:r>
      <w:r w:rsidRPr="000C0A41">
        <w:t>http://dx.doi.org/10.1111/j.1440-1843.2011.01951.x</w:t>
      </w:r>
      <w:r w:rsidRPr="007A6CA5">
        <w:t>.</w:t>
      </w:r>
      <w:bookmarkEnd w:id="142"/>
    </w:p>
    <w:p w:rsidR="000C0A41" w:rsidRPr="007A6CA5" w:rsidRDefault="000C0A41" w:rsidP="000C0A41">
      <w:pPr>
        <w:pStyle w:val="EndNoteBibliography"/>
        <w:spacing w:after="120"/>
        <w:ind w:left="280" w:hanging="280"/>
        <w:contextualSpacing w:val="0"/>
        <w:jc w:val="left"/>
      </w:pPr>
      <w:bookmarkStart w:id="143" w:name="_ENREF_36"/>
      <w:r w:rsidRPr="007A6CA5">
        <w:t xml:space="preserve">36. Deveci F, Deveci SE, Türkoğlu S, Turgut T, Kirkil G, Rahman S, Açik Y, Muz MH. The prevalence of chronic obstructive pulmonary disease in Elazig, Eastern Turkey. European Journal of Internal Medicine 2011;22(2):172-76. Link: </w:t>
      </w:r>
      <w:r w:rsidRPr="000C0A41">
        <w:t>http://www.sciencedirect.com/science/article/pii/S0953620510002621</w:t>
      </w:r>
      <w:r w:rsidRPr="007A6CA5">
        <w:t>.</w:t>
      </w:r>
      <w:bookmarkEnd w:id="143"/>
    </w:p>
    <w:p w:rsidR="000C0A41" w:rsidRPr="007A6CA5" w:rsidRDefault="000C0A41" w:rsidP="000C0A41">
      <w:pPr>
        <w:pStyle w:val="EndNoteBibliography"/>
        <w:spacing w:after="120"/>
        <w:ind w:left="280" w:hanging="280"/>
        <w:contextualSpacing w:val="0"/>
        <w:jc w:val="left"/>
      </w:pPr>
      <w:bookmarkStart w:id="144" w:name="_ENREF_37"/>
      <w:r w:rsidRPr="007A6CA5">
        <w:t xml:space="preserve">37. Fabricius P, Løkke A, Marott JL, Vestbo J, Lange P. Prevalence of COPD in Copenhagen. Respiratory Medicine 2011;105(3):410-17. Link: </w:t>
      </w:r>
      <w:r w:rsidRPr="000C0A41">
        <w:t>http://www.sciencedirect.com/science/article/pii/S0954611110004245</w:t>
      </w:r>
      <w:r w:rsidRPr="007A6CA5">
        <w:t>.</w:t>
      </w:r>
      <w:bookmarkEnd w:id="144"/>
    </w:p>
    <w:p w:rsidR="000C0A41" w:rsidRPr="007A6CA5" w:rsidRDefault="000C0A41" w:rsidP="000C0A41">
      <w:pPr>
        <w:pStyle w:val="EndNoteBibliography"/>
        <w:spacing w:after="120"/>
        <w:ind w:left="280" w:hanging="280"/>
        <w:contextualSpacing w:val="0"/>
        <w:jc w:val="left"/>
      </w:pPr>
      <w:bookmarkStart w:id="145" w:name="_ENREF_38"/>
      <w:r w:rsidRPr="007A6CA5">
        <w:t xml:space="preserve">38. Cazzola M, Puxeddu E, Bettoncelli G, Novelli L, Segreti A, Cricelli C, Calzetta L. The prevalence of asthma and COPD in Italy: A practice-based study. Respiratory Medicine 2011;105(3):386-91. Link: </w:t>
      </w:r>
      <w:r w:rsidRPr="000C0A41">
        <w:t>http://www.sciencedirect.com/science/article/pii/S0954611110004270</w:t>
      </w:r>
      <w:r w:rsidRPr="007A6CA5">
        <w:t>.</w:t>
      </w:r>
      <w:bookmarkEnd w:id="145"/>
    </w:p>
    <w:p w:rsidR="000C0A41" w:rsidRPr="007A6CA5" w:rsidRDefault="000C0A41" w:rsidP="000C0A41">
      <w:pPr>
        <w:pStyle w:val="EndNoteBibliography"/>
        <w:spacing w:after="120"/>
        <w:ind w:left="280" w:hanging="280"/>
        <w:contextualSpacing w:val="0"/>
        <w:jc w:val="left"/>
      </w:pPr>
      <w:bookmarkStart w:id="146" w:name="_ENREF_39"/>
      <w:r w:rsidRPr="007A6CA5">
        <w:t xml:space="preserve">39. Vozoris NT, Stanbrook MB. Smoking prevalence, behaviours, and cessation among individuals with COPD or asthma. Respiratory Medicine 2011;105(3):477-84. Link: </w:t>
      </w:r>
      <w:r w:rsidRPr="000C0A41">
        <w:t>http://www.sciencedirect.com/science/article/pii/S095461111000380X</w:t>
      </w:r>
      <w:r w:rsidRPr="007A6CA5">
        <w:t>.</w:t>
      </w:r>
      <w:bookmarkEnd w:id="146"/>
    </w:p>
    <w:p w:rsidR="000C0A41" w:rsidRPr="007A6CA5" w:rsidRDefault="000C0A41" w:rsidP="000C0A41">
      <w:pPr>
        <w:pStyle w:val="EndNoteBibliography"/>
        <w:spacing w:after="120"/>
        <w:ind w:left="280" w:hanging="280"/>
        <w:contextualSpacing w:val="0"/>
        <w:jc w:val="left"/>
      </w:pPr>
      <w:bookmarkStart w:id="147" w:name="_ENREF_40"/>
      <w:r w:rsidRPr="007A6CA5">
        <w:t xml:space="preserve">40. Buist AS, McBurnie MA, Vollmer WM, Gillespie S, Burney P, Mannino DM, Menezes AMB, Sullivan SD, Lee TA, Weiss KB, Jensen RL, Marks GB, Gulsvik A, Nizankowska-Mogilnicka E. International variation in the prevalence of COPD (The BOLD Study): a population-based prevalence study. The Lancet 2007;370(9589):741-50. Link: </w:t>
      </w:r>
      <w:r w:rsidRPr="000C0A41">
        <w:t>http://www.sciencedirect.com/science/article/B6T1B-4PJ7SYW-11/1/8c9777f9bb9b2ea6a47947c730c796ac</w:t>
      </w:r>
      <w:r w:rsidRPr="007A6CA5">
        <w:t>.</w:t>
      </w:r>
      <w:bookmarkEnd w:id="147"/>
    </w:p>
    <w:p w:rsidR="000C0A41" w:rsidRPr="007A6CA5" w:rsidRDefault="000C0A41" w:rsidP="000C0A41">
      <w:pPr>
        <w:pStyle w:val="EndNoteBibliography"/>
        <w:spacing w:after="120"/>
        <w:ind w:left="280" w:hanging="280"/>
        <w:contextualSpacing w:val="0"/>
        <w:jc w:val="left"/>
      </w:pPr>
      <w:bookmarkStart w:id="148" w:name="_ENREF_41"/>
      <w:r w:rsidRPr="007A6CA5">
        <w:t xml:space="preserve">41. Vanfleteren LEGW, Franssen FME, Wesseling G, Wouters EFM. The prevalence of chronic obstructive pulmonary disease in Maastricht, the Netherlands. Respiratory Medicine 2012;106(6):871-74. Link: </w:t>
      </w:r>
      <w:r w:rsidRPr="000C0A41">
        <w:t>http://www.sciencedirect.com/science/article/pii/S0954611112000418</w:t>
      </w:r>
      <w:r w:rsidRPr="007A6CA5">
        <w:t>.</w:t>
      </w:r>
      <w:bookmarkEnd w:id="148"/>
    </w:p>
    <w:p w:rsidR="000C0A41" w:rsidRPr="007A6CA5" w:rsidRDefault="000C0A41" w:rsidP="000C0A41">
      <w:pPr>
        <w:pStyle w:val="EndNoteBibliography"/>
        <w:spacing w:after="120"/>
        <w:ind w:left="280" w:hanging="280"/>
        <w:contextualSpacing w:val="0"/>
        <w:jc w:val="left"/>
      </w:pPr>
      <w:bookmarkStart w:id="149" w:name="_ENREF_42"/>
      <w:r w:rsidRPr="007A6CA5">
        <w:t xml:space="preserve">42. Danielsson P, Ólafsdóttir IS, Benediktsdóttir B, Gíslason T, Janson C. The prevalence of chronic obstructive pulmonary disease in Uppsala, Sweden – the Burden of Obstructive Lung Disease (BOLD) study: cross-sectional population-based study. The Clinical Respiratory Journal 2012;6(2):120-27. Link: </w:t>
      </w:r>
      <w:r w:rsidRPr="000C0A41">
        <w:t>http://dx.doi.org/10.1111/j.1752-699X.2011.00257.x</w:t>
      </w:r>
      <w:r w:rsidRPr="007A6CA5">
        <w:t>.</w:t>
      </w:r>
      <w:bookmarkEnd w:id="149"/>
    </w:p>
    <w:p w:rsidR="000C0A41" w:rsidRPr="007A6CA5" w:rsidRDefault="000C0A41" w:rsidP="000C0A41">
      <w:pPr>
        <w:pStyle w:val="EndNoteBibliography"/>
        <w:spacing w:after="120"/>
        <w:ind w:left="280" w:hanging="280"/>
        <w:contextualSpacing w:val="0"/>
        <w:jc w:val="left"/>
      </w:pPr>
      <w:bookmarkStart w:id="150" w:name="_ENREF_43"/>
      <w:r w:rsidRPr="007A6CA5">
        <w:t xml:space="preserve">43. Sandelowsky H, Stallberg B, Nager A, Hasselstrom J. The prevalence of undiagnosed chronic obstructive pulmonary disease in a primary care population with respiratory tract infections - a case finding study. BMC Family Practice 2011;12(1):122. Link: </w:t>
      </w:r>
      <w:r w:rsidRPr="000C0A41">
        <w:t>http://www.biomedcentral.com/1471-2296/12/122</w:t>
      </w:r>
      <w:r w:rsidRPr="007A6CA5">
        <w:t>.</w:t>
      </w:r>
      <w:bookmarkEnd w:id="150"/>
    </w:p>
    <w:p w:rsidR="000C0A41" w:rsidRPr="007A6CA5" w:rsidRDefault="000C0A41" w:rsidP="000C0A41">
      <w:pPr>
        <w:pStyle w:val="EndNoteBibliography"/>
        <w:spacing w:after="120"/>
        <w:ind w:left="280" w:hanging="280"/>
        <w:contextualSpacing w:val="0"/>
        <w:jc w:val="left"/>
      </w:pPr>
      <w:bookmarkStart w:id="151" w:name="_ENREF_44"/>
      <w:r w:rsidRPr="007A6CA5">
        <w:lastRenderedPageBreak/>
        <w:t xml:space="preserve">44. Afonso ASM, Verhamme KMC, Sturkenboom MCJM, Brusselle GGO. COPD in the general population: Prevalence, incidence and survival. Respiratory Medicine 2011;105(12):1872-84. Link: </w:t>
      </w:r>
      <w:r w:rsidRPr="000C0A41">
        <w:t>http://www.sciencedirect.com/science/article/pii/S0954611111002125</w:t>
      </w:r>
      <w:r w:rsidRPr="007A6CA5">
        <w:t>.</w:t>
      </w:r>
      <w:bookmarkEnd w:id="151"/>
    </w:p>
    <w:p w:rsidR="000C0A41" w:rsidRPr="007A6CA5" w:rsidRDefault="000C0A41" w:rsidP="000C0A41">
      <w:pPr>
        <w:pStyle w:val="EndNoteBibliography"/>
        <w:spacing w:after="120"/>
        <w:ind w:left="280" w:hanging="280"/>
        <w:contextualSpacing w:val="0"/>
        <w:jc w:val="left"/>
      </w:pPr>
      <w:bookmarkStart w:id="152" w:name="_ENREF_45"/>
      <w:r w:rsidRPr="007A6CA5">
        <w:t xml:space="preserve">45. Roche N, Perez T, Neukirch F, Carré P, Terrioux P, Pouchain D, Ostinelli J, Suret C, Meleze S, Huchon G. High prevalence of COPD symptoms in the general population contrasting with low awareness of the disease. Revue des Maladies Respiratoires 2011;28(7):e58-e65. Link: </w:t>
      </w:r>
      <w:r w:rsidRPr="000C0A41">
        <w:t>http://www.sciencedirect.com/science/article/pii/S076184251100283X</w:t>
      </w:r>
      <w:r w:rsidRPr="007A6CA5">
        <w:t>.</w:t>
      </w:r>
      <w:bookmarkEnd w:id="152"/>
    </w:p>
    <w:p w:rsidR="000C0A41" w:rsidRPr="007A6CA5" w:rsidRDefault="000C0A41" w:rsidP="000C0A41">
      <w:pPr>
        <w:pStyle w:val="EndNoteBibliography"/>
        <w:spacing w:after="120"/>
        <w:ind w:left="280" w:hanging="280"/>
        <w:contextualSpacing w:val="0"/>
        <w:jc w:val="left"/>
      </w:pPr>
      <w:bookmarkStart w:id="153" w:name="_ENREF_46"/>
      <w:r w:rsidRPr="007A6CA5">
        <w:t xml:space="preserve">46. Quint JK, Müllerova H, DiSantostefano RL, Forbes H, Eaton S, Hurst JR, Davis K, Smeeth L. Validation of chronic obstructive pulmonary disease recording in the Clinical Practice Research Datalink (CPRD-GOLD). BMJ Open 2014;4(7). Link: </w:t>
      </w:r>
      <w:r w:rsidRPr="000C0A41">
        <w:t>http://bmjopen.bmj.com/content/4/7/e005540.abstract</w:t>
      </w:r>
      <w:r w:rsidRPr="007A6CA5">
        <w:t>.</w:t>
      </w:r>
      <w:bookmarkEnd w:id="153"/>
    </w:p>
    <w:p w:rsidR="000C0A41" w:rsidRPr="007A6CA5" w:rsidRDefault="000C0A41" w:rsidP="000C0A41">
      <w:pPr>
        <w:pStyle w:val="EndNoteBibliography"/>
        <w:spacing w:after="120"/>
        <w:ind w:left="280" w:hanging="280"/>
        <w:contextualSpacing w:val="0"/>
        <w:jc w:val="left"/>
      </w:pPr>
      <w:bookmarkStart w:id="154" w:name="_ENREF_47"/>
      <w:r w:rsidRPr="007A6CA5">
        <w:t xml:space="preserve">47. Feenstra TL, van Genugten MLL, Hoogenveen RT, Woulters EF, Rutten-van Molken Maureen MH. The Impact of Aging and Smoking on the Future Burden of Chronic Obstructive Pulmonary Disease . A Model Analysis in the Netherlands. American Journal of Respiratory and Critical Care Medicine 2001;164(4):590-96. Link: </w:t>
      </w:r>
      <w:r w:rsidRPr="000C0A41">
        <w:t>http://ajrccm.atsjournals.org/cgi/content/abstract/164/4/590</w:t>
      </w:r>
      <w:r w:rsidRPr="007A6CA5">
        <w:t>.</w:t>
      </w:r>
      <w:bookmarkEnd w:id="154"/>
    </w:p>
    <w:p w:rsidR="000C0A41" w:rsidRPr="007A6CA5" w:rsidRDefault="000C0A41" w:rsidP="000C0A41">
      <w:pPr>
        <w:pStyle w:val="EndNoteBibliography"/>
        <w:spacing w:after="120"/>
        <w:ind w:left="280" w:hanging="280"/>
        <w:contextualSpacing w:val="0"/>
        <w:jc w:val="left"/>
      </w:pPr>
      <w:bookmarkStart w:id="155" w:name="_ENREF_48"/>
      <w:r w:rsidRPr="007A6CA5">
        <w:t xml:space="preserve">48. Mannino DM, Buist AS. Global burden of COPD: risk factors, prevalence, and future trends. The Lancet 2007;370(9589):765-73. Link: </w:t>
      </w:r>
      <w:r w:rsidRPr="000C0A41">
        <w:t>http://www.sciencedirect.com/science/article/pii/S0140673607613804</w:t>
      </w:r>
      <w:r w:rsidRPr="007A6CA5">
        <w:t>.</w:t>
      </w:r>
      <w:bookmarkEnd w:id="155"/>
    </w:p>
    <w:p w:rsidR="000C0A41" w:rsidRPr="007A6CA5" w:rsidRDefault="000C0A41" w:rsidP="000C0A41">
      <w:pPr>
        <w:pStyle w:val="EndNoteBibliography"/>
        <w:spacing w:after="120"/>
        <w:ind w:left="280" w:hanging="280"/>
        <w:contextualSpacing w:val="0"/>
        <w:jc w:val="left"/>
      </w:pPr>
      <w:bookmarkStart w:id="156" w:name="_ENREF_49"/>
      <w:r w:rsidRPr="007A6CA5">
        <w:t xml:space="preserve">49. Abrahams Z, Williamson A, Purcell S, Broomfield H, Stern M. Patients with severe COPD referred for pulmonary rehabilitation who never attend: Use of hospital resources and risk of death. Thorax 2009;64:A99. Link: </w:t>
      </w:r>
      <w:r w:rsidRPr="000C0A41">
        <w:t>http://thorax.bmj.com/content/64/Suppl_4/A100.full.pdf</w:t>
      </w:r>
    </w:p>
    <w:p w:rsidR="000C0A41" w:rsidRPr="007A6CA5" w:rsidRDefault="000C0A41" w:rsidP="000C0A41">
      <w:pPr>
        <w:pStyle w:val="EndNoteBibliography"/>
        <w:spacing w:after="120"/>
        <w:ind w:left="280" w:hanging="280"/>
        <w:contextualSpacing w:val="0"/>
        <w:jc w:val="left"/>
      </w:pPr>
      <w:bookmarkStart w:id="157" w:name="_ENREF_50"/>
      <w:bookmarkEnd w:id="156"/>
      <w:r w:rsidRPr="007A6CA5">
        <w:t>50. Pride N. Chronic obstructive pulmonary disease in the United Kingdom: trends in mortality, morbidity, and smoking. Current opinion in pulmonary medicine 2002;8(2):95-101. Link: file://I:\Modelling\Prevalence Modelling\COPD Prevalence Model\References\Pride N COPD in the UK- trends in mortality , morbidity, and smoking Curr Opin Pulm Med 2002 8 95.pdf</w:t>
      </w:r>
      <w:r>
        <w:t xml:space="preserve">. </w:t>
      </w:r>
      <w:r w:rsidRPr="000C0A41">
        <w:t>http://ovidsp.uk.ovid.com/spb/ovidweb.cgi</w:t>
      </w:r>
      <w:r w:rsidRPr="007A6CA5">
        <w:t>.</w:t>
      </w:r>
      <w:bookmarkEnd w:id="157"/>
    </w:p>
    <w:p w:rsidR="000C0A41" w:rsidRPr="007A6CA5" w:rsidRDefault="000C0A41" w:rsidP="000C0A41">
      <w:pPr>
        <w:pStyle w:val="EndNoteBibliography"/>
        <w:spacing w:after="120"/>
        <w:ind w:left="280" w:hanging="280"/>
        <w:contextualSpacing w:val="0"/>
        <w:jc w:val="left"/>
      </w:pPr>
      <w:bookmarkStart w:id="158" w:name="_ENREF_51"/>
      <w:r w:rsidRPr="007A6CA5">
        <w:t xml:space="preserve">51. Pulmonary rehabilitation in the spotlight. Breathe 2014;10(2):96-96. Link: </w:t>
      </w:r>
      <w:r w:rsidRPr="000C0A41">
        <w:t>http://err.ersjournals.com/content/22/130/577.full.pdf</w:t>
      </w:r>
      <w:r w:rsidRPr="007A6CA5">
        <w:t>.</w:t>
      </w:r>
      <w:bookmarkEnd w:id="158"/>
    </w:p>
    <w:p w:rsidR="000C0A41" w:rsidRPr="007A6CA5" w:rsidRDefault="000C0A41" w:rsidP="000C0A41">
      <w:pPr>
        <w:pStyle w:val="EndNoteBibliography"/>
        <w:spacing w:after="120"/>
        <w:ind w:left="280" w:hanging="280"/>
        <w:contextualSpacing w:val="0"/>
        <w:jc w:val="left"/>
      </w:pPr>
      <w:bookmarkStart w:id="159" w:name="_ENREF_52"/>
      <w:r w:rsidRPr="007A6CA5">
        <w:t xml:space="preserve">52. Doll R, Peto R, Wheatley K, Gray R, Sutherland I. Mortality in relation to smoking: 40 years' observations on male British doctors. BMJ 1994;309(6959):901-11. Link: </w:t>
      </w:r>
      <w:r w:rsidRPr="000C0A41">
        <w:t>http://www.bmj.com/cgi/content/abstract/309/6959/901</w:t>
      </w:r>
    </w:p>
    <w:p w:rsidR="000C0A41" w:rsidRPr="007A6CA5" w:rsidRDefault="000C0A41" w:rsidP="000C0A41">
      <w:pPr>
        <w:pStyle w:val="EndNoteBibliography"/>
        <w:spacing w:after="120"/>
        <w:ind w:left="280" w:hanging="280"/>
        <w:contextualSpacing w:val="0"/>
        <w:jc w:val="left"/>
      </w:pPr>
      <w:bookmarkStart w:id="160" w:name="_ENREF_53"/>
      <w:bookmarkEnd w:id="159"/>
      <w:r w:rsidRPr="007A6CA5">
        <w:t xml:space="preserve">53. Gershon AS, Wang C, Wilton AS, Raut R, To T. Trends in Chronic Obstructive Pulmonary Disease Prevalence, Incidence, and Mortality in Ontario, Canada, 1996 to 2007: A Population-Based Study. Archives of Internal Medicine 2010;170(6):560-65. Link: </w:t>
      </w:r>
      <w:r w:rsidRPr="000C0A41">
        <w:t>http://archinte.ama-assn.org/cgi/content/abstract/170/6/560</w:t>
      </w:r>
    </w:p>
    <w:p w:rsidR="000C0A41" w:rsidRPr="007A6CA5" w:rsidRDefault="000C0A41" w:rsidP="000C0A41">
      <w:pPr>
        <w:pStyle w:val="EndNoteBibliography"/>
        <w:spacing w:after="120"/>
        <w:ind w:left="280" w:hanging="280"/>
        <w:contextualSpacing w:val="0"/>
        <w:jc w:val="left"/>
      </w:pPr>
      <w:bookmarkStart w:id="161" w:name="_ENREF_54"/>
      <w:bookmarkEnd w:id="160"/>
      <w:r w:rsidRPr="007A6CA5">
        <w:t xml:space="preserve">54. Gingter C, Wilm S, Abholz HH. Is COPD a rare disease? Prevalence and identification rates in smokers aged 40 years and over within general practice in Germany. Family Practice 2009;26(1):3-9. Link: </w:t>
      </w:r>
      <w:r w:rsidRPr="000C0A41">
        <w:t>http://fampra.oxfordjournals.org/cgi/content/abstract/26/1/3</w:t>
      </w:r>
    </w:p>
    <w:p w:rsidR="000C0A41" w:rsidRPr="007A6CA5" w:rsidRDefault="000C0A41" w:rsidP="000C0A41">
      <w:pPr>
        <w:pStyle w:val="EndNoteBibliography"/>
        <w:spacing w:after="120"/>
        <w:ind w:left="280" w:hanging="280"/>
        <w:contextualSpacing w:val="0"/>
        <w:jc w:val="left"/>
      </w:pPr>
      <w:bookmarkStart w:id="162" w:name="_ENREF_55"/>
      <w:bookmarkEnd w:id="161"/>
      <w:r w:rsidRPr="007A6CA5">
        <w:t xml:space="preserve">55. Global Initiative for Chronic Lung Disease. Global strategy for the diagnosis, management, and prevention of chronic obstructive pulmonary disease (GOLD). Updated 2010. Link: </w:t>
      </w:r>
      <w:r w:rsidRPr="000C0A41">
        <w:t>www.goldcopd.org/uploads/users/files/GOLDReport_April112011.pdf</w:t>
      </w:r>
      <w:r w:rsidRPr="007A6CA5">
        <w:t>.</w:t>
      </w:r>
      <w:bookmarkEnd w:id="162"/>
    </w:p>
    <w:p w:rsidR="000C0A41" w:rsidRPr="007A6CA5" w:rsidRDefault="000C0A41" w:rsidP="000C0A41">
      <w:pPr>
        <w:pStyle w:val="EndNoteBibliography"/>
        <w:spacing w:after="120"/>
        <w:ind w:left="280" w:hanging="280"/>
        <w:contextualSpacing w:val="0"/>
        <w:jc w:val="left"/>
      </w:pPr>
      <w:bookmarkStart w:id="163" w:name="_ENREF_56"/>
      <w:r w:rsidRPr="007A6CA5">
        <w:t xml:space="preserve">56. Bucknall CE, Miller G, Lloyd SM, Cleland J, McCluskey S, Cotton M, Stevenson RD, Cotton P, McConnachie A. Glasgow supported self-management trial (GSuST) for patients with moderate to severe COPD: randomised controlled trial [with consumer summary]. BMJ 2012;344:e1060. Link: </w:t>
      </w:r>
      <w:r w:rsidRPr="000C0A41">
        <w:t>http://www.ncbi.nlm.nih.gov/pmc/articles/PMC3295724/pdf/bmj.e1060.pdf</w:t>
      </w:r>
      <w:r w:rsidRPr="007A6CA5">
        <w:t>.</w:t>
      </w:r>
      <w:bookmarkEnd w:id="163"/>
    </w:p>
    <w:p w:rsidR="000C0A41" w:rsidRPr="007A6CA5" w:rsidRDefault="000C0A41" w:rsidP="000C0A41">
      <w:pPr>
        <w:pStyle w:val="EndNoteBibliography"/>
        <w:spacing w:after="120"/>
        <w:ind w:left="280" w:hanging="280"/>
        <w:contextualSpacing w:val="0"/>
        <w:jc w:val="left"/>
      </w:pPr>
      <w:bookmarkStart w:id="164" w:name="_ENREF_57"/>
      <w:r w:rsidRPr="007A6CA5">
        <w:t xml:space="preserve">57. Bischoff EWMA, Schermer TRJ, Bor H, Brown P, van Weel C, van den Bosch WJHM. Trends in COPD prevalence and exacerbation rates in Dutch primary care. British Journal of General Practice 2009;59(569):927-33. Link: </w:t>
      </w:r>
      <w:r w:rsidRPr="000C0A41">
        <w:t>http://www.ingentaconnect.com/content/rcgp/bjgp/2009/00000059/00000569/art00013</w:t>
      </w:r>
    </w:p>
    <w:p w:rsidR="000C0A41" w:rsidRPr="007A6CA5" w:rsidRDefault="000C0A41" w:rsidP="000C0A41">
      <w:pPr>
        <w:pStyle w:val="EndNoteBibliography"/>
        <w:spacing w:after="120"/>
        <w:ind w:left="280" w:hanging="280"/>
        <w:contextualSpacing w:val="0"/>
        <w:jc w:val="left"/>
      </w:pPr>
      <w:bookmarkStart w:id="165" w:name="_ENREF_58"/>
      <w:bookmarkEnd w:id="164"/>
      <w:r w:rsidRPr="007A6CA5">
        <w:t xml:space="preserve">58. Gray LA, Leyland AH, Benzeval M, Watt GCM. Explaining the social patterning of lung function in adulthood at different ages: the roles of childhood precursors, health behaviours and environmental factors. Journal of Epidemiology and Community Health 2013. Link: </w:t>
      </w:r>
      <w:r w:rsidRPr="000C0A41">
        <w:t>http://jech.bmj.com/content/early/2013/08/08/jech-2012-201704.abstract</w:t>
      </w:r>
      <w:r w:rsidRPr="007A6CA5">
        <w:t>.</w:t>
      </w:r>
      <w:bookmarkEnd w:id="165"/>
    </w:p>
    <w:p w:rsidR="000C0A41" w:rsidRPr="007A6CA5" w:rsidRDefault="000C0A41" w:rsidP="000C0A41">
      <w:pPr>
        <w:pStyle w:val="EndNoteBibliography"/>
        <w:spacing w:after="120"/>
        <w:ind w:left="280" w:hanging="280"/>
        <w:contextualSpacing w:val="0"/>
        <w:jc w:val="left"/>
      </w:pPr>
      <w:bookmarkStart w:id="166" w:name="_ENREF_59"/>
      <w:r w:rsidRPr="007A6CA5">
        <w:t xml:space="preserve">59. Ward K, Hubbard R. Is adult height related to the risk of having chronic obstructive pulmonary disease? Journal of Epidemiology and Community Health 2011;65(3):226-29. Link: </w:t>
      </w:r>
      <w:r w:rsidRPr="000C0A41">
        <w:t>http://jech.bmj.com/content/65/3/226.abstract</w:t>
      </w:r>
      <w:r w:rsidRPr="007A6CA5">
        <w:t>.</w:t>
      </w:r>
      <w:bookmarkEnd w:id="166"/>
    </w:p>
    <w:p w:rsidR="000C0A41" w:rsidRPr="007A6CA5" w:rsidRDefault="000C0A41" w:rsidP="000C0A41">
      <w:pPr>
        <w:pStyle w:val="EndNoteBibliography"/>
        <w:spacing w:after="120"/>
        <w:ind w:left="280" w:hanging="280"/>
        <w:contextualSpacing w:val="0"/>
        <w:jc w:val="left"/>
      </w:pPr>
      <w:bookmarkStart w:id="167" w:name="_ENREF_60"/>
      <w:r w:rsidRPr="007A6CA5">
        <w:t xml:space="preserve">60. Brusselle G. Why doesn't reducing exacerbations decrease COPD mortality? The Lancet Respiratory Medicine 2014;2(9):681-83. Link: </w:t>
      </w:r>
      <w:r w:rsidRPr="000C0A41">
        <w:t>http://www.elsevier.com/journals/the-lancet-respiratory-medicine/2213-2600</w:t>
      </w:r>
    </w:p>
    <w:p w:rsidR="000C0A41" w:rsidRPr="007A6CA5" w:rsidRDefault="000C0A41" w:rsidP="000C0A41">
      <w:pPr>
        <w:pStyle w:val="EndNoteBibliography"/>
        <w:spacing w:after="120"/>
        <w:ind w:left="280" w:hanging="280"/>
        <w:contextualSpacing w:val="0"/>
        <w:jc w:val="left"/>
      </w:pPr>
      <w:bookmarkStart w:id="168" w:name="_ENREF_61"/>
      <w:bookmarkEnd w:id="167"/>
      <w:r w:rsidRPr="007A6CA5">
        <w:t xml:space="preserve">61. Bednarek M, Gorecka D, Wielgomas J, Czajkowska-Malinowska M, Regula J, Mieszko-Filipczyk G, Jasionowicz M, Bijata-Bronisz R, Lempicka-Jastrzebska M, Czajkowski M, Przybylski G, Zielinski J. Smokers with airway obstruction are more likely to quit smoking. Thorax 2006;61(10):869-73. Link: </w:t>
      </w:r>
      <w:r w:rsidRPr="000C0A41">
        <w:t>http://thorax.bmj.com/cgi/content/abstract/61/10/869</w:t>
      </w:r>
    </w:p>
    <w:p w:rsidR="000C0A41" w:rsidRPr="007A6CA5" w:rsidRDefault="000C0A41" w:rsidP="000C0A41">
      <w:pPr>
        <w:pStyle w:val="EndNoteBibliography"/>
        <w:spacing w:after="120"/>
        <w:ind w:left="280" w:hanging="280"/>
        <w:contextualSpacing w:val="0"/>
        <w:jc w:val="left"/>
      </w:pPr>
      <w:bookmarkStart w:id="169" w:name="_ENREF_62"/>
      <w:bookmarkEnd w:id="168"/>
      <w:r w:rsidRPr="007A6CA5">
        <w:t>62. Chapman KR, Tashkin DP, Pye DJ. Gender bias in the diagnosis of COPD. Chest 2001;119(6):1691-5. Link.</w:t>
      </w:r>
      <w:bookmarkEnd w:id="169"/>
    </w:p>
    <w:p w:rsidR="000C0A41" w:rsidRPr="007A6CA5" w:rsidRDefault="000C0A41" w:rsidP="000C0A41">
      <w:pPr>
        <w:pStyle w:val="EndNoteBibliography"/>
        <w:spacing w:after="120"/>
        <w:ind w:left="280" w:hanging="280"/>
        <w:contextualSpacing w:val="0"/>
        <w:jc w:val="left"/>
      </w:pPr>
      <w:bookmarkStart w:id="170" w:name="_ENREF_63"/>
      <w:r w:rsidRPr="007A6CA5">
        <w:t xml:space="preserve">63. Jordan RE, Miller MR, Lam K-bH, Cheng KK, Marsh J, Adab P. Sex, susceptibility to smoking and chronic obstructive pulmonary disease: the effect of different diagnostic criteria. Analysis of the </w:t>
      </w:r>
      <w:r w:rsidRPr="007A6CA5">
        <w:lastRenderedPageBreak/>
        <w:t xml:space="preserve">Health Survey for England. Thorax 2012;67(7):600-05. Link: </w:t>
      </w:r>
      <w:r w:rsidRPr="000C0A41">
        <w:t>http://thorax.bmj.com/content/67/7/600.abstract</w:t>
      </w:r>
      <w:r w:rsidRPr="007A6CA5">
        <w:t>.</w:t>
      </w:r>
      <w:bookmarkEnd w:id="170"/>
    </w:p>
    <w:p w:rsidR="000C0A41" w:rsidRPr="007A6CA5" w:rsidRDefault="000C0A41" w:rsidP="000C0A41">
      <w:pPr>
        <w:pStyle w:val="EndNoteBibliography"/>
        <w:spacing w:after="120"/>
        <w:ind w:left="280" w:hanging="280"/>
        <w:contextualSpacing w:val="0"/>
        <w:jc w:val="left"/>
      </w:pPr>
      <w:bookmarkStart w:id="171" w:name="_ENREF_64"/>
      <w:r w:rsidRPr="007A6CA5">
        <w:t xml:space="preserve">64. Rostron BL, Chang CM, Pechacek TF. EStimation of cigarette smoking–attributable morbidity in the united states. JAMA Internal Medicine 2014;174(12):1922-28. Link: </w:t>
      </w:r>
      <w:r w:rsidRPr="000C0A41">
        <w:t>http://dx.doi.org/10.1001/jamainternmed.2014.5219</w:t>
      </w:r>
    </w:p>
    <w:p w:rsidR="000C0A41" w:rsidRPr="007A6CA5" w:rsidRDefault="000C0A41" w:rsidP="000C0A41">
      <w:pPr>
        <w:pStyle w:val="EndNoteBibliography"/>
        <w:spacing w:after="120"/>
        <w:ind w:left="280" w:hanging="280"/>
        <w:contextualSpacing w:val="0"/>
        <w:jc w:val="left"/>
      </w:pPr>
      <w:bookmarkStart w:id="172" w:name="_ENREF_65"/>
      <w:bookmarkStart w:id="173" w:name="_GoBack"/>
      <w:bookmarkEnd w:id="171"/>
      <w:bookmarkEnd w:id="173"/>
      <w:r w:rsidRPr="007A6CA5">
        <w:t xml:space="preserve">65. Soriano JB, Maier WC, Egger P, Visick G, Thakrar B, Sykes J, Pride NB. Recent trends in physician diagnosed COPD in women and men in the UK. Thorax 2000;55(9):789-94. Link: </w:t>
      </w:r>
      <w:r w:rsidRPr="000C0A41">
        <w:t>http://thorax.bmj.com/cgi/content/abstract/55/9/789</w:t>
      </w:r>
    </w:p>
    <w:p w:rsidR="000C0A41" w:rsidRPr="007A6CA5" w:rsidRDefault="000C0A41" w:rsidP="000C0A41">
      <w:pPr>
        <w:pStyle w:val="EndNoteBibliography"/>
        <w:spacing w:after="120"/>
        <w:ind w:left="280" w:hanging="280"/>
        <w:contextualSpacing w:val="0"/>
        <w:jc w:val="left"/>
      </w:pPr>
      <w:bookmarkStart w:id="174" w:name="_ENREF_66"/>
      <w:bookmarkEnd w:id="172"/>
      <w:r w:rsidRPr="007A6CA5">
        <w:t xml:space="preserve">66. Hnizdo E, Sullivan PA, Bang KM, Wagner G. Association between Chronic Obstructive Pulmonary Disease and Employment by Industry and Occupation in the US Population: A Study of Data from the Third National Health and Nutrition Examination Survey. American Journal of Epidemiology 2002;156(8):738-46. Link: </w:t>
      </w:r>
      <w:r w:rsidRPr="000C0A41">
        <w:t>http://aje.oxfordjournals.org/cgi/content/abstract/156/8/738</w:t>
      </w:r>
      <w:r w:rsidRPr="007A6CA5">
        <w:t>.</w:t>
      </w:r>
      <w:bookmarkEnd w:id="174"/>
    </w:p>
    <w:p w:rsidR="000C0A41" w:rsidRPr="007A6CA5" w:rsidRDefault="000C0A41" w:rsidP="000C0A41">
      <w:pPr>
        <w:pStyle w:val="EndNoteBibliography"/>
        <w:spacing w:after="120"/>
        <w:ind w:left="280" w:hanging="280"/>
        <w:contextualSpacing w:val="0"/>
        <w:jc w:val="left"/>
      </w:pPr>
      <w:bookmarkStart w:id="175" w:name="_ENREF_67"/>
      <w:r w:rsidRPr="007A6CA5">
        <w:t xml:space="preserve">67. Melville AM, Pless-Mulloli T, Afolabi OA, Stenton SC. COPD prevalence and its association with occupational exposures in a general population. European Respiratory Journal 2010;36(3):488-93. Link: </w:t>
      </w:r>
      <w:r w:rsidRPr="000C0A41">
        <w:t>http://erj.ersjournals.com/content/36/3/488.abstract</w:t>
      </w:r>
      <w:r w:rsidRPr="007A6CA5">
        <w:t>.</w:t>
      </w:r>
      <w:bookmarkEnd w:id="175"/>
    </w:p>
    <w:p w:rsidR="000C0A41" w:rsidRPr="007A6CA5" w:rsidRDefault="000C0A41" w:rsidP="000C0A41">
      <w:pPr>
        <w:pStyle w:val="EndNoteBibliography"/>
        <w:spacing w:after="120"/>
        <w:ind w:left="280" w:hanging="280"/>
        <w:contextualSpacing w:val="0"/>
        <w:jc w:val="left"/>
      </w:pPr>
      <w:bookmarkStart w:id="176" w:name="_ENREF_68"/>
      <w:r w:rsidRPr="007A6CA5">
        <w:t xml:space="preserve">68. Søyseth V, Johnsen HL, Bugge MD, Hetland SM, Kongerud J. Prevalence of airflow limitation among employees in Norwegian smelters: a longitudinal study. Occupational and Environmental Medicine 2011;68(1):24-29. Link: </w:t>
      </w:r>
      <w:r w:rsidRPr="000C0A41">
        <w:t>http://oem.bmj.com/content/68/1/24.abstract</w:t>
      </w:r>
      <w:r w:rsidRPr="007A6CA5">
        <w:t>.</w:t>
      </w:r>
      <w:bookmarkEnd w:id="176"/>
    </w:p>
    <w:p w:rsidR="000C0A41" w:rsidRPr="007A6CA5" w:rsidRDefault="000C0A41" w:rsidP="000C0A41">
      <w:pPr>
        <w:pStyle w:val="EndNoteBibliography"/>
        <w:spacing w:after="120"/>
        <w:ind w:left="280" w:hanging="280"/>
        <w:contextualSpacing w:val="0"/>
        <w:jc w:val="left"/>
      </w:pPr>
      <w:bookmarkStart w:id="177" w:name="_ENREF_69"/>
      <w:r w:rsidRPr="007A6CA5">
        <w:t xml:space="preserve">69. Forey BA, Thornton AJ, Lee PN. Systematic review with meta-analysis of the epidemiological evidence relating smoking to COPD, chronic bronchitis and emphysema. BMC pulmonary medicine 2011;11(1):1-61. Link: </w:t>
      </w:r>
      <w:r w:rsidRPr="000C0A41">
        <w:t>http://dx.doi.org/10.1186/1471-2466-11-36</w:t>
      </w:r>
      <w:r w:rsidRPr="007A6CA5">
        <w:t>.</w:t>
      </w:r>
      <w:bookmarkEnd w:id="177"/>
    </w:p>
    <w:p w:rsidR="000C0A41" w:rsidRPr="007A6CA5" w:rsidRDefault="000C0A41" w:rsidP="000C0A41">
      <w:pPr>
        <w:pStyle w:val="EndNoteBibliography"/>
        <w:spacing w:after="120"/>
        <w:ind w:left="280" w:hanging="280"/>
        <w:contextualSpacing w:val="0"/>
        <w:jc w:val="left"/>
      </w:pPr>
      <w:bookmarkStart w:id="178" w:name="_ENREF_70"/>
      <w:r w:rsidRPr="007A6CA5">
        <w:t xml:space="preserve">70. Hooper R, Burney P, Vollmer WM, McBurnie MA, Gislason T, Tan WC, Jithoo A, Kocabas A, Welte T, Buist AS. Risk factors for COPD spirometrically defined from the lower limit of normal in the BOLD project. European Respiratory Journal 2012;39(6):1343-53. Link: </w:t>
      </w:r>
      <w:r w:rsidRPr="000C0A41">
        <w:t>http://erj.ersjournals.com/content/erj/39/6/1343.full.pdf</w:t>
      </w:r>
      <w:r w:rsidRPr="007A6CA5">
        <w:t>.</w:t>
      </w:r>
      <w:bookmarkEnd w:id="178"/>
    </w:p>
    <w:p w:rsidR="000C0A41" w:rsidRPr="007A6CA5" w:rsidRDefault="000C0A41" w:rsidP="000C0A41">
      <w:pPr>
        <w:pStyle w:val="EndNoteBibliography"/>
        <w:spacing w:after="120"/>
        <w:ind w:left="280" w:hanging="280"/>
        <w:contextualSpacing w:val="0"/>
        <w:jc w:val="left"/>
      </w:pPr>
      <w:bookmarkStart w:id="179" w:name="_ENREF_71"/>
      <w:r w:rsidRPr="007A6CA5">
        <w:t xml:space="preserve">71. Herrett E, Gallagher AM, Bhaskaran K, Forbes H, Mathur R, van Staa T, Smeeth L. Data Resource Profile: Clinical Practice Research Datalink (CPRD). International Journal of Epidemiology 2015. Link: </w:t>
      </w:r>
      <w:r w:rsidRPr="000C0A41">
        <w:t>http://ije.oxfordjournals.org/content/early/2015/06/06/ije.dyv098.abstract</w:t>
      </w:r>
      <w:r w:rsidRPr="007A6CA5">
        <w:t>.</w:t>
      </w:r>
      <w:bookmarkEnd w:id="179"/>
    </w:p>
    <w:p w:rsidR="000C0A41" w:rsidRPr="007A6CA5" w:rsidRDefault="000C0A41" w:rsidP="000C0A41">
      <w:pPr>
        <w:pStyle w:val="EndNoteBibliography"/>
        <w:spacing w:after="120"/>
        <w:ind w:left="280" w:hanging="280"/>
        <w:contextualSpacing w:val="0"/>
        <w:jc w:val="left"/>
      </w:pPr>
      <w:bookmarkStart w:id="180" w:name="_ENREF_72"/>
      <w:r w:rsidRPr="007A6CA5">
        <w:t xml:space="preserve">72. Department of Health. General Practice Physical Activity Questionnaire (GPPAQ). Online:   Health Do, 2014. </w:t>
      </w:r>
      <w:r w:rsidRPr="000C0A41">
        <w:t>https://www.gov.uk/government/publications/general-practice-physical-activity-questionnaire-gppaq</w:t>
      </w:r>
      <w:r w:rsidRPr="007A6CA5">
        <w:t>.</w:t>
      </w:r>
      <w:bookmarkEnd w:id="180"/>
    </w:p>
    <w:p w:rsidR="000C0A41" w:rsidRPr="007A6CA5" w:rsidRDefault="000C0A41" w:rsidP="000C0A41">
      <w:pPr>
        <w:pStyle w:val="EndNoteBibliography"/>
        <w:spacing w:after="120"/>
        <w:ind w:left="280" w:hanging="280"/>
        <w:contextualSpacing w:val="0"/>
        <w:jc w:val="left"/>
      </w:pPr>
      <w:bookmarkStart w:id="181" w:name="_ENREF_73"/>
      <w:r w:rsidRPr="007A6CA5">
        <w:t xml:space="preserve">73. Kirkwood BR, Sterne JAC. Regression modelling. In: K M, editor. </w:t>
      </w:r>
      <w:r w:rsidRPr="007A6CA5">
        <w:rPr>
          <w:i/>
        </w:rPr>
        <w:t>Medical Statistics</w:t>
      </w:r>
      <w:r w:rsidRPr="007A6CA5">
        <w:t>. USA: Blackwell Publishing company, 2003:339-42.</w:t>
      </w:r>
      <w:bookmarkEnd w:id="181"/>
    </w:p>
    <w:p w:rsidR="000C0A41" w:rsidRPr="007A6CA5" w:rsidRDefault="000C0A41" w:rsidP="000C0A41">
      <w:pPr>
        <w:pStyle w:val="EndNoteBibliography"/>
        <w:spacing w:after="120"/>
        <w:ind w:left="280" w:hanging="280"/>
        <w:contextualSpacing w:val="0"/>
        <w:jc w:val="left"/>
      </w:pPr>
      <w:bookmarkStart w:id="182" w:name="_ENREF_74"/>
      <w:r w:rsidRPr="007A6CA5">
        <w:t>74. Newson RB. Attributable and unattributable risks and fractions and other scenario comparisons. Stata Journal 2013;13(4):672-98. Link: &lt;Go to ISI&gt;://WOS:000329680600001.</w:t>
      </w:r>
      <w:bookmarkEnd w:id="182"/>
    </w:p>
    <w:p w:rsidR="000C0A41" w:rsidRPr="007A6CA5" w:rsidRDefault="000C0A41" w:rsidP="000C0A41">
      <w:pPr>
        <w:pStyle w:val="EndNoteBibliography"/>
        <w:spacing w:after="120"/>
        <w:ind w:left="280" w:hanging="280"/>
        <w:contextualSpacing w:val="0"/>
        <w:jc w:val="left"/>
      </w:pPr>
      <w:bookmarkStart w:id="183" w:name="_ENREF_75"/>
      <w:r w:rsidRPr="007A6CA5">
        <w:t>75. Newson RB. Attributable and unattributable risks and fractions and other scenario comparisons. Stata J 2013;13:672-98. Link.</w:t>
      </w:r>
      <w:bookmarkEnd w:id="183"/>
    </w:p>
    <w:p w:rsidR="000C0A41" w:rsidRPr="007A6CA5" w:rsidRDefault="000C0A41" w:rsidP="000C0A41">
      <w:pPr>
        <w:pStyle w:val="EndNoteBibliography"/>
        <w:spacing w:after="120"/>
        <w:ind w:left="280" w:hanging="280"/>
        <w:contextualSpacing w:val="0"/>
        <w:jc w:val="left"/>
      </w:pPr>
      <w:bookmarkStart w:id="184" w:name="_ENREF_76"/>
      <w:r w:rsidRPr="007A6CA5">
        <w:t xml:space="preserve">76. NHS Employers. Quality and Outcomes Framework guidance for GMS contract 2013/14. Online:   Health, 2013. </w:t>
      </w:r>
      <w:r w:rsidRPr="000C0A41">
        <w:t>http://www.nhsemployers.org/your-workforce/primary-care-contacts/general-medical-services/quality-and-outcomes-framework/changes-to-qof-201314</w:t>
      </w:r>
      <w:r w:rsidRPr="007A6CA5">
        <w:t>.</w:t>
      </w:r>
      <w:bookmarkEnd w:id="184"/>
    </w:p>
    <w:p w:rsidR="000C0A41" w:rsidRPr="007A6CA5" w:rsidRDefault="000C0A41" w:rsidP="000C0A41">
      <w:pPr>
        <w:pStyle w:val="EndNoteBibliography"/>
        <w:spacing w:after="120"/>
        <w:ind w:left="280" w:hanging="280"/>
        <w:contextualSpacing w:val="0"/>
        <w:jc w:val="left"/>
      </w:pPr>
      <w:bookmarkStart w:id="185" w:name="_ENREF_77"/>
      <w:r w:rsidRPr="007A6CA5">
        <w:t xml:space="preserve">77. Soljak M, Samarasundera E, Indulkar T, Walford H, Majeed A. Variations in cardiovascular disease under-diagnosis in England: national cross-sectional spatial analysis. BMC Cardiovascular Disorders 2011;11(1):12. Link: </w:t>
      </w:r>
      <w:r w:rsidRPr="000C0A41">
        <w:t>http://www.biomedcentral.com/1471-2261/11/12</w:t>
      </w:r>
      <w:r w:rsidRPr="007A6CA5">
        <w:t>.</w:t>
      </w:r>
      <w:bookmarkEnd w:id="185"/>
    </w:p>
    <w:p w:rsidR="000C0A41" w:rsidRPr="007A6CA5" w:rsidRDefault="000C0A41" w:rsidP="000C0A41">
      <w:pPr>
        <w:pStyle w:val="EndNoteBibliography"/>
        <w:spacing w:after="120"/>
        <w:ind w:left="280" w:hanging="280"/>
        <w:contextualSpacing w:val="0"/>
        <w:jc w:val="left"/>
      </w:pPr>
      <w:bookmarkStart w:id="186" w:name="_ENREF_78"/>
      <w:r w:rsidRPr="007A6CA5">
        <w:t xml:space="preserve">78. Bland JM, Altman DG. Measuring agreement in method comparison studies. Statistical Methods in Medical Research 1999;8(2):135-60. Link: </w:t>
      </w:r>
      <w:r w:rsidRPr="000C0A41">
        <w:t>http://smm.sagepub.com/content/8/2/135.abstract</w:t>
      </w:r>
      <w:r w:rsidRPr="007A6CA5">
        <w:t>.</w:t>
      </w:r>
      <w:bookmarkEnd w:id="186"/>
    </w:p>
    <w:p w:rsidR="000C0A41" w:rsidRPr="007A6CA5" w:rsidRDefault="000C0A41" w:rsidP="000C0A41">
      <w:pPr>
        <w:pStyle w:val="EndNoteBibliography"/>
        <w:spacing w:after="120"/>
        <w:ind w:left="280" w:hanging="280"/>
        <w:contextualSpacing w:val="0"/>
        <w:jc w:val="left"/>
      </w:pPr>
      <w:bookmarkStart w:id="187" w:name="_ENREF_79"/>
      <w:r w:rsidRPr="007A6CA5">
        <w:lastRenderedPageBreak/>
        <w:t xml:space="preserve">79. Ludbrook J. Linear regression analysis for comparing two measurers or methods of measurement: But which regression? Clinical and Experimental Pharmacology and Physiology 2010;37(7):692-99. Link: </w:t>
      </w:r>
      <w:r w:rsidRPr="000C0A41">
        <w:t>http://dx.doi.org/10.1111/j.1440-1681.2010.05376.x</w:t>
      </w:r>
      <w:r w:rsidRPr="007A6CA5">
        <w:t>.</w:t>
      </w:r>
      <w:bookmarkEnd w:id="187"/>
    </w:p>
    <w:p w:rsidR="000C0A41" w:rsidRPr="007A6CA5" w:rsidRDefault="000C0A41" w:rsidP="000C0A41">
      <w:pPr>
        <w:pStyle w:val="EndNoteBibliography"/>
        <w:spacing w:after="120"/>
        <w:ind w:left="280" w:hanging="280"/>
        <w:contextualSpacing w:val="0"/>
        <w:jc w:val="left"/>
      </w:pPr>
      <w:bookmarkStart w:id="188" w:name="_ENREF_80"/>
      <w:r w:rsidRPr="007A6CA5">
        <w:t xml:space="preserve">80. Francq BG, Govaerts B. How to regress and predict in a Bland–Altman plot? Review and contribution based on tolerance intervals and correlated-errors-in-variables models. Statistics in Medicine 2016;35(14):2328-58. Link: </w:t>
      </w:r>
      <w:r w:rsidRPr="000C0A41">
        <w:t>http://dx.doi.org/10.1002/sim.6872</w:t>
      </w:r>
      <w:r w:rsidRPr="007A6CA5">
        <w:t>.</w:t>
      </w:r>
      <w:bookmarkEnd w:id="188"/>
    </w:p>
    <w:p w:rsidR="000C0A41" w:rsidRPr="007A6CA5" w:rsidRDefault="000C0A41" w:rsidP="000C0A41">
      <w:pPr>
        <w:pStyle w:val="EndNoteBibliography"/>
        <w:spacing w:after="120"/>
        <w:ind w:left="280" w:hanging="280"/>
        <w:contextualSpacing w:val="0"/>
        <w:jc w:val="left"/>
      </w:pPr>
      <w:bookmarkStart w:id="189" w:name="_ENREF_81"/>
      <w:r w:rsidRPr="007A6CA5">
        <w:t xml:space="preserve">81. Falzon C, Elkin SL, Kelly JL, Lynch F, Blake ID, Hopkinson NS. Can financial incentives for improvements in healthcare quality enhance identification of COPD in primary care? Thorax 2010. Link: </w:t>
      </w:r>
      <w:r w:rsidRPr="000C0A41">
        <w:t>http://thorax.bmj.com/content/early/2010/10/14/thx.2010.140913.short</w:t>
      </w:r>
      <w:r w:rsidRPr="007A6CA5">
        <w:t>.</w:t>
      </w:r>
      <w:bookmarkEnd w:id="189"/>
    </w:p>
    <w:p w:rsidR="000C0A41" w:rsidRPr="007A6CA5" w:rsidRDefault="000C0A41" w:rsidP="000C0A41">
      <w:pPr>
        <w:pStyle w:val="EndNoteBibliography"/>
        <w:spacing w:after="120"/>
        <w:ind w:left="280" w:hanging="280"/>
        <w:contextualSpacing w:val="0"/>
        <w:jc w:val="left"/>
      </w:pPr>
      <w:bookmarkStart w:id="190" w:name="_ENREF_82"/>
      <w:r w:rsidRPr="007A6CA5">
        <w:t xml:space="preserve">82. Falzon C, Soljak M, Elkin SL, Blake ID, Hopkinson NS. Finding the missing millions - the impact of a locally enhanced service for COPD on current and projected rates of diagnosis: a population-based prevalence study using interrupted time series analysis. 2013. Link: </w:t>
      </w:r>
      <w:r w:rsidRPr="000C0A41">
        <w:t>http://www.nature.com/articles/pcrj20138</w:t>
      </w:r>
      <w:r w:rsidRPr="007A6CA5">
        <w:t>.</w:t>
      </w:r>
      <w:bookmarkEnd w:id="190"/>
    </w:p>
    <w:p w:rsidR="000C0A41" w:rsidRDefault="000C0A41" w:rsidP="005F7501">
      <w:pPr>
        <w:spacing w:after="240"/>
        <w:ind w:left="284" w:hanging="284"/>
        <w:contextualSpacing w:val="0"/>
      </w:pPr>
      <w:r>
        <w:br w:type="page"/>
      </w:r>
    </w:p>
    <w:p w:rsidR="000C0A41" w:rsidRPr="00385A7B" w:rsidRDefault="000C0A41" w:rsidP="000C0A41">
      <w:pPr>
        <w:pStyle w:val="Heading1"/>
        <w:numPr>
          <w:ilvl w:val="0"/>
          <w:numId w:val="19"/>
        </w:numPr>
      </w:pPr>
      <w:bookmarkStart w:id="191" w:name="_Ref444490652"/>
      <w:bookmarkStart w:id="192" w:name="_Ref457481200"/>
      <w:bookmarkStart w:id="193" w:name="_Toc458185290"/>
      <w:r w:rsidRPr="00385A7B">
        <w:lastRenderedPageBreak/>
        <w:t xml:space="preserve">Appendix: </w:t>
      </w:r>
      <w:bookmarkEnd w:id="191"/>
      <w:r>
        <w:t>additional information</w:t>
      </w:r>
      <w:bookmarkEnd w:id="192"/>
      <w:bookmarkEnd w:id="193"/>
    </w:p>
    <w:p w:rsidR="000C0A41" w:rsidRDefault="000C0A41" w:rsidP="003E1973">
      <w:pPr>
        <w:pStyle w:val="Heading2"/>
        <w:rPr>
          <w:color w:val="auto"/>
        </w:rPr>
      </w:pPr>
      <w:bookmarkStart w:id="194" w:name="_Ref457481171"/>
      <w:bookmarkStart w:id="195" w:name="_Toc458185291"/>
      <w:r>
        <w:rPr>
          <w:color w:val="auto"/>
        </w:rPr>
        <w:t>CPRD m</w:t>
      </w:r>
      <w:r w:rsidRPr="003E1973">
        <w:rPr>
          <w:color w:val="auto"/>
        </w:rPr>
        <w:t>edcodes</w:t>
      </w:r>
      <w:r>
        <w:rPr>
          <w:color w:val="auto"/>
        </w:rPr>
        <w:t xml:space="preserve"> and drug codes</w:t>
      </w:r>
      <w:bookmarkEnd w:id="194"/>
      <w:bookmarkEnd w:id="195"/>
    </w:p>
    <w:p w:rsidR="000C0A41" w:rsidRPr="00A73FAF" w:rsidRDefault="000C0A41" w:rsidP="00A73FAF">
      <w:r>
        <w:fldChar w:fldCharType="begin"/>
      </w:r>
      <w:r>
        <w:instrText xml:space="preserve"> REF _Ref457322514 \h </w:instrText>
      </w:r>
      <w:r>
        <w:fldChar w:fldCharType="separate"/>
      </w:r>
      <w:r>
        <w:t xml:space="preserve">Table </w:t>
      </w:r>
      <w:r>
        <w:rPr>
          <w:noProof/>
        </w:rPr>
        <w:t>23</w:t>
      </w:r>
      <w:r>
        <w:fldChar w:fldCharType="end"/>
      </w:r>
      <w:r>
        <w:t xml:space="preserve"> shows the CPRD </w:t>
      </w:r>
      <w:r w:rsidRPr="00A73FAF">
        <w:t>Medcodes relevant to the diagnosis of COPD from validated CPRD definition</w:t>
      </w:r>
      <w:r>
        <w:t>s.</w:t>
      </w:r>
      <w:r>
        <w:rPr>
          <w:noProof/>
        </w:rPr>
        <w:t>[46]</w:t>
      </w:r>
    </w:p>
    <w:p w:rsidR="000C0A41" w:rsidRDefault="000C0A41" w:rsidP="005834D3">
      <w:pPr>
        <w:pStyle w:val="Caption"/>
      </w:pPr>
      <w:bookmarkStart w:id="196" w:name="_Ref457322514"/>
      <w:r>
        <w:t xml:space="preserve">Table </w:t>
      </w:r>
      <w:fldSimple w:instr=" SEQ Table \* ARABIC ">
        <w:r>
          <w:rPr>
            <w:noProof/>
          </w:rPr>
          <w:t>23</w:t>
        </w:r>
      </w:fldSimple>
      <w:bookmarkEnd w:id="196"/>
      <w:r w:rsidRPr="006519B5">
        <w:t xml:space="preserve">: </w:t>
      </w:r>
      <w:r>
        <w:t>Medcodes relevant to the diagnosis of COPD from validated CPRD definition</w:t>
      </w:r>
      <w:r>
        <w:rPr>
          <w:rStyle w:val="FootnoteReference"/>
        </w:rPr>
        <w:footnoteReference w:id="2"/>
      </w:r>
    </w:p>
    <w:tbl>
      <w:tblPr>
        <w:tblStyle w:val="GridTable4-Accent1"/>
        <w:tblW w:w="8784" w:type="dxa"/>
        <w:jc w:val="center"/>
        <w:tblLayout w:type="fixed"/>
        <w:tblLook w:val="04A0" w:firstRow="1" w:lastRow="0" w:firstColumn="1" w:lastColumn="0" w:noHBand="0" w:noVBand="1"/>
      </w:tblPr>
      <w:tblGrid>
        <w:gridCol w:w="1645"/>
        <w:gridCol w:w="5721"/>
        <w:gridCol w:w="1418"/>
      </w:tblGrid>
      <w:tr w:rsidR="000C0A41" w:rsidRPr="003812BB" w:rsidTr="00A73FAF">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645" w:type="dxa"/>
            <w:vAlign w:val="center"/>
          </w:tcPr>
          <w:p w:rsidR="000C0A41" w:rsidRPr="003812BB" w:rsidRDefault="000C0A41" w:rsidP="00BD30B6">
            <w:pPr>
              <w:jc w:val="center"/>
              <w:rPr>
                <w:lang w:eastAsia="en-GB"/>
              </w:rPr>
            </w:pPr>
            <w:r>
              <w:rPr>
                <w:lang w:eastAsia="en-GB"/>
              </w:rPr>
              <w:t>Code type</w:t>
            </w:r>
          </w:p>
        </w:tc>
        <w:tc>
          <w:tcPr>
            <w:tcW w:w="5721" w:type="dxa"/>
            <w:noWrap/>
          </w:tcPr>
          <w:p w:rsidR="000C0A41" w:rsidRPr="003812BB" w:rsidRDefault="000C0A41" w:rsidP="00BD30B6">
            <w:pPr>
              <w:jc w:val="center"/>
              <w:cnfStyle w:val="100000000000" w:firstRow="1" w:lastRow="0" w:firstColumn="0" w:lastColumn="0" w:oddVBand="0" w:evenVBand="0" w:oddHBand="0" w:evenHBand="0" w:firstRowFirstColumn="0" w:firstRowLastColumn="0" w:lastRowFirstColumn="0" w:lastRowLastColumn="0"/>
              <w:rPr>
                <w:lang w:eastAsia="en-GB"/>
              </w:rPr>
            </w:pPr>
            <w:r>
              <w:rPr>
                <w:lang w:eastAsia="en-GB"/>
              </w:rPr>
              <w:t>Text</w:t>
            </w:r>
          </w:p>
        </w:tc>
        <w:tc>
          <w:tcPr>
            <w:tcW w:w="1418" w:type="dxa"/>
          </w:tcPr>
          <w:p w:rsidR="000C0A41" w:rsidRPr="003812BB" w:rsidRDefault="000C0A41" w:rsidP="00BD30B6">
            <w:pPr>
              <w:jc w:val="center"/>
              <w:cnfStyle w:val="100000000000" w:firstRow="1" w:lastRow="0" w:firstColumn="0" w:lastColumn="0" w:oddVBand="0" w:evenVBand="0" w:oddHBand="0" w:evenHBand="0" w:firstRowFirstColumn="0" w:firstRowLastColumn="0" w:lastRowFirstColumn="0" w:lastRowLastColumn="0"/>
              <w:rPr>
                <w:lang w:eastAsia="en-GB"/>
              </w:rPr>
            </w:pPr>
            <w:r>
              <w:rPr>
                <w:lang w:eastAsia="en-GB"/>
              </w:rPr>
              <w:t>Medcodes</w:t>
            </w:r>
          </w:p>
        </w:tc>
      </w:tr>
      <w:tr w:rsidR="000C0A41" w:rsidRPr="003812BB" w:rsidTr="00A73F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5" w:type="dxa"/>
            <w:vMerge w:val="restart"/>
            <w:vAlign w:val="center"/>
          </w:tcPr>
          <w:p w:rsidR="000C0A41" w:rsidRPr="003812BB" w:rsidRDefault="000C0A41" w:rsidP="00BD30B6">
            <w:pPr>
              <w:rPr>
                <w:lang w:eastAsia="en-GB"/>
              </w:rPr>
            </w:pPr>
            <w:r>
              <w:rPr>
                <w:lang w:eastAsia="en-GB"/>
              </w:rPr>
              <w:t>Doctor diagnoses</w:t>
            </w:r>
          </w:p>
        </w:tc>
        <w:tc>
          <w:tcPr>
            <w:tcW w:w="5721" w:type="dxa"/>
            <w:noWrap/>
            <w:vAlign w:val="bottom"/>
          </w:tcPr>
          <w:p w:rsidR="000C0A41" w:rsidRPr="003812BB" w:rsidRDefault="000C0A41" w:rsidP="00BD30B6">
            <w:pPr>
              <w:cnfStyle w:val="000000100000" w:firstRow="0" w:lastRow="0" w:firstColumn="0" w:lastColumn="0" w:oddVBand="0" w:evenVBand="0" w:oddHBand="1" w:evenHBand="0" w:firstRowFirstColumn="0" w:firstRowLastColumn="0" w:lastRowFirstColumn="0" w:lastRowLastColumn="0"/>
              <w:rPr>
                <w:lang w:eastAsia="en-GB"/>
              </w:rPr>
            </w:pPr>
            <w:r>
              <w:rPr>
                <w:rFonts w:ascii="Calibri" w:hAnsi="Calibri"/>
                <w:color w:val="000000"/>
              </w:rPr>
              <w:t>emphysema</w:t>
            </w:r>
          </w:p>
        </w:tc>
        <w:tc>
          <w:tcPr>
            <w:tcW w:w="1418" w:type="dxa"/>
            <w:vAlign w:val="bottom"/>
          </w:tcPr>
          <w:p w:rsidR="000C0A41" w:rsidRPr="003812BB" w:rsidRDefault="000C0A41" w:rsidP="00BD30B6">
            <w:pPr>
              <w:jc w:val="center"/>
              <w:cnfStyle w:val="000000100000" w:firstRow="0" w:lastRow="0" w:firstColumn="0" w:lastColumn="0" w:oddVBand="0" w:evenVBand="0" w:oddHBand="1" w:evenHBand="0" w:firstRowFirstColumn="0" w:firstRowLastColumn="0" w:lastRowFirstColumn="0" w:lastRowLastColumn="0"/>
              <w:rPr>
                <w:lang w:eastAsia="en-GB"/>
              </w:rPr>
            </w:pPr>
            <w:r>
              <w:rPr>
                <w:rFonts w:ascii="Calibri" w:hAnsi="Calibri"/>
                <w:color w:val="000000"/>
              </w:rPr>
              <w:t>794</w:t>
            </w:r>
          </w:p>
        </w:tc>
      </w:tr>
      <w:tr w:rsidR="000C0A41" w:rsidRPr="003812BB" w:rsidTr="00A73FAF">
        <w:trPr>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vAlign w:val="bottom"/>
          </w:tcPr>
          <w:p w:rsidR="000C0A41" w:rsidRPr="003812BB" w:rsidRDefault="000C0A41" w:rsidP="00BD30B6">
            <w:pPr>
              <w:cnfStyle w:val="000000000000" w:firstRow="0" w:lastRow="0" w:firstColumn="0" w:lastColumn="0" w:oddVBand="0" w:evenVBand="0" w:oddHBand="0" w:evenHBand="0" w:firstRowFirstColumn="0" w:firstRowLastColumn="0" w:lastRowFirstColumn="0" w:lastRowLastColumn="0"/>
              <w:rPr>
                <w:lang w:eastAsia="en-GB"/>
              </w:rPr>
            </w:pPr>
            <w:r>
              <w:rPr>
                <w:rFonts w:ascii="Calibri" w:hAnsi="Calibri"/>
                <w:color w:val="000000"/>
              </w:rPr>
              <w:t>chronic obstructive airways disease</w:t>
            </w:r>
          </w:p>
        </w:tc>
        <w:tc>
          <w:tcPr>
            <w:tcW w:w="1418" w:type="dxa"/>
            <w:vAlign w:val="bottom"/>
          </w:tcPr>
          <w:p w:rsidR="000C0A41" w:rsidRPr="003812BB" w:rsidRDefault="000C0A41" w:rsidP="00BD30B6">
            <w:pPr>
              <w:jc w:val="center"/>
              <w:cnfStyle w:val="000000000000" w:firstRow="0" w:lastRow="0" w:firstColumn="0" w:lastColumn="0" w:oddVBand="0" w:evenVBand="0" w:oddHBand="0" w:evenHBand="0" w:firstRowFirstColumn="0" w:firstRowLastColumn="0" w:lastRowFirstColumn="0" w:lastRowLastColumn="0"/>
              <w:rPr>
                <w:lang w:eastAsia="en-GB"/>
              </w:rPr>
            </w:pPr>
            <w:r>
              <w:rPr>
                <w:rFonts w:ascii="Calibri" w:hAnsi="Calibri"/>
                <w:color w:val="000000"/>
              </w:rPr>
              <w:t>998</w:t>
            </w:r>
          </w:p>
        </w:tc>
      </w:tr>
      <w:tr w:rsidR="000C0A41" w:rsidRPr="003812BB" w:rsidTr="00A73F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vAlign w:val="bottom"/>
          </w:tcPr>
          <w:p w:rsidR="000C0A41" w:rsidRPr="003812BB" w:rsidRDefault="000C0A41" w:rsidP="00BD30B6">
            <w:pPr>
              <w:cnfStyle w:val="000000100000" w:firstRow="0" w:lastRow="0" w:firstColumn="0" w:lastColumn="0" w:oddVBand="0" w:evenVBand="0" w:oddHBand="1" w:evenHBand="0" w:firstRowFirstColumn="0" w:firstRowLastColumn="0" w:lastRowFirstColumn="0" w:lastRowLastColumn="0"/>
              <w:rPr>
                <w:lang w:eastAsia="en-GB"/>
              </w:rPr>
            </w:pPr>
            <w:r>
              <w:rPr>
                <w:rFonts w:ascii="Calibri" w:hAnsi="Calibri"/>
                <w:color w:val="000000"/>
              </w:rPr>
              <w:t>chronic obstructive pulmonary disease</w:t>
            </w:r>
          </w:p>
        </w:tc>
        <w:tc>
          <w:tcPr>
            <w:tcW w:w="1418" w:type="dxa"/>
            <w:vAlign w:val="bottom"/>
          </w:tcPr>
          <w:p w:rsidR="000C0A41" w:rsidRPr="003812BB" w:rsidRDefault="000C0A41" w:rsidP="00BD30B6">
            <w:pPr>
              <w:jc w:val="center"/>
              <w:cnfStyle w:val="000000100000" w:firstRow="0" w:lastRow="0" w:firstColumn="0" w:lastColumn="0" w:oddVBand="0" w:evenVBand="0" w:oddHBand="1" w:evenHBand="0" w:firstRowFirstColumn="0" w:firstRowLastColumn="0" w:lastRowFirstColumn="0" w:lastRowLastColumn="0"/>
              <w:rPr>
                <w:lang w:eastAsia="en-GB"/>
              </w:rPr>
            </w:pPr>
            <w:r>
              <w:rPr>
                <w:rFonts w:ascii="Calibri" w:hAnsi="Calibri"/>
                <w:color w:val="000000"/>
              </w:rPr>
              <w:t>1001</w:t>
            </w:r>
          </w:p>
        </w:tc>
      </w:tr>
      <w:tr w:rsidR="000C0A41" w:rsidRPr="003812BB" w:rsidTr="00A73FAF">
        <w:trPr>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vAlign w:val="bottom"/>
          </w:tcPr>
          <w:p w:rsidR="000C0A41" w:rsidRPr="003812BB" w:rsidRDefault="000C0A41" w:rsidP="00BD30B6">
            <w:pPr>
              <w:cnfStyle w:val="000000000000" w:firstRow="0" w:lastRow="0" w:firstColumn="0" w:lastColumn="0" w:oddVBand="0" w:evenVBand="0" w:oddHBand="0" w:evenHBand="0" w:firstRowFirstColumn="0" w:firstRowLastColumn="0" w:lastRowFirstColumn="0" w:lastRowLastColumn="0"/>
              <w:rPr>
                <w:lang w:eastAsia="en-GB"/>
              </w:rPr>
            </w:pPr>
            <w:r>
              <w:rPr>
                <w:rFonts w:ascii="Calibri" w:hAnsi="Calibri"/>
                <w:color w:val="000000"/>
              </w:rPr>
              <w:t>chronic bronchitis</w:t>
            </w:r>
          </w:p>
        </w:tc>
        <w:tc>
          <w:tcPr>
            <w:tcW w:w="1418" w:type="dxa"/>
            <w:vAlign w:val="bottom"/>
          </w:tcPr>
          <w:p w:rsidR="000C0A41" w:rsidRPr="003812BB" w:rsidRDefault="000C0A41" w:rsidP="00BD30B6">
            <w:pPr>
              <w:jc w:val="center"/>
              <w:cnfStyle w:val="000000000000" w:firstRow="0" w:lastRow="0" w:firstColumn="0" w:lastColumn="0" w:oddVBand="0" w:evenVBand="0" w:oddHBand="0" w:evenHBand="0" w:firstRowFirstColumn="0" w:firstRowLastColumn="0" w:lastRowFirstColumn="0" w:lastRowLastColumn="0"/>
              <w:rPr>
                <w:lang w:eastAsia="en-GB"/>
              </w:rPr>
            </w:pPr>
            <w:r>
              <w:rPr>
                <w:rFonts w:ascii="Calibri" w:hAnsi="Calibri"/>
                <w:color w:val="000000"/>
              </w:rPr>
              <w:t>3243</w:t>
            </w:r>
          </w:p>
        </w:tc>
      </w:tr>
      <w:tr w:rsidR="000C0A41" w:rsidRPr="003812BB" w:rsidTr="00A73F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vAlign w:val="bottom"/>
          </w:tcPr>
          <w:p w:rsidR="000C0A41" w:rsidRPr="003812BB" w:rsidRDefault="000C0A41" w:rsidP="00BD30B6">
            <w:pPr>
              <w:cnfStyle w:val="000000100000" w:firstRow="0" w:lastRow="0" w:firstColumn="0" w:lastColumn="0" w:oddVBand="0" w:evenVBand="0" w:oddHBand="1" w:evenHBand="0" w:firstRowFirstColumn="0" w:firstRowLastColumn="0" w:lastRowFirstColumn="0" w:lastRowLastColumn="0"/>
              <w:rPr>
                <w:lang w:eastAsia="en-GB"/>
              </w:rPr>
            </w:pPr>
            <w:r>
              <w:rPr>
                <w:rFonts w:ascii="Calibri" w:hAnsi="Calibri"/>
                <w:color w:val="000000"/>
              </w:rPr>
              <w:t>airways obstructn irreversible</w:t>
            </w:r>
          </w:p>
        </w:tc>
        <w:tc>
          <w:tcPr>
            <w:tcW w:w="1418" w:type="dxa"/>
            <w:vAlign w:val="bottom"/>
          </w:tcPr>
          <w:p w:rsidR="000C0A41" w:rsidRPr="003812BB" w:rsidRDefault="000C0A41" w:rsidP="00BD30B6">
            <w:pPr>
              <w:jc w:val="center"/>
              <w:cnfStyle w:val="000000100000" w:firstRow="0" w:lastRow="0" w:firstColumn="0" w:lastColumn="0" w:oddVBand="0" w:evenVBand="0" w:oddHBand="1" w:evenHBand="0" w:firstRowFirstColumn="0" w:firstRowLastColumn="0" w:lastRowFirstColumn="0" w:lastRowLastColumn="0"/>
              <w:rPr>
                <w:lang w:eastAsia="en-GB"/>
              </w:rPr>
            </w:pPr>
            <w:r>
              <w:rPr>
                <w:rFonts w:ascii="Calibri" w:hAnsi="Calibri"/>
                <w:color w:val="000000"/>
              </w:rPr>
              <w:t>4084</w:t>
            </w:r>
          </w:p>
        </w:tc>
      </w:tr>
      <w:tr w:rsidR="000C0A41" w:rsidRPr="003812BB" w:rsidTr="00A73FAF">
        <w:trPr>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vAlign w:val="bottom"/>
          </w:tcPr>
          <w:p w:rsidR="000C0A41" w:rsidRPr="003812BB" w:rsidRDefault="000C0A41" w:rsidP="00BD30B6">
            <w:pPr>
              <w:cnfStyle w:val="000000000000" w:firstRow="0" w:lastRow="0" w:firstColumn="0" w:lastColumn="0" w:oddVBand="0" w:evenVBand="0" w:oddHBand="0" w:evenHBand="0" w:firstRowFirstColumn="0" w:firstRowLastColumn="0" w:lastRowFirstColumn="0" w:lastRowLastColumn="0"/>
              <w:rPr>
                <w:lang w:eastAsia="en-GB"/>
              </w:rPr>
            </w:pPr>
            <w:r>
              <w:rPr>
                <w:rFonts w:ascii="Calibri" w:hAnsi="Calibri"/>
                <w:color w:val="000000"/>
              </w:rPr>
              <w:t>chronic obstructive airways disease nos</w:t>
            </w:r>
          </w:p>
        </w:tc>
        <w:tc>
          <w:tcPr>
            <w:tcW w:w="1418" w:type="dxa"/>
            <w:vAlign w:val="bottom"/>
          </w:tcPr>
          <w:p w:rsidR="000C0A41" w:rsidRPr="003812BB" w:rsidRDefault="000C0A41" w:rsidP="00BD30B6">
            <w:pPr>
              <w:jc w:val="center"/>
              <w:cnfStyle w:val="000000000000" w:firstRow="0" w:lastRow="0" w:firstColumn="0" w:lastColumn="0" w:oddVBand="0" w:evenVBand="0" w:oddHBand="0" w:evenHBand="0" w:firstRowFirstColumn="0" w:firstRowLastColumn="0" w:lastRowFirstColumn="0" w:lastRowLastColumn="0"/>
              <w:rPr>
                <w:lang w:eastAsia="en-GB"/>
              </w:rPr>
            </w:pPr>
            <w:r>
              <w:rPr>
                <w:rFonts w:ascii="Calibri" w:hAnsi="Calibri"/>
                <w:color w:val="000000"/>
              </w:rPr>
              <w:t>5710</w:t>
            </w:r>
          </w:p>
        </w:tc>
      </w:tr>
      <w:tr w:rsidR="000C0A41" w:rsidRPr="003812BB" w:rsidTr="00A73F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vAlign w:val="bottom"/>
          </w:tcPr>
          <w:p w:rsidR="000C0A41" w:rsidRPr="003812BB" w:rsidRDefault="000C0A41" w:rsidP="00BD30B6">
            <w:pPr>
              <w:cnfStyle w:val="000000100000" w:firstRow="0" w:lastRow="0" w:firstColumn="0" w:lastColumn="0" w:oddVBand="0" w:evenVBand="0" w:oddHBand="1" w:evenHBand="0" w:firstRowFirstColumn="0" w:firstRowLastColumn="0" w:lastRowFirstColumn="0" w:lastRowLastColumn="0"/>
              <w:rPr>
                <w:lang w:eastAsia="en-GB"/>
              </w:rPr>
            </w:pPr>
            <w:r>
              <w:rPr>
                <w:rFonts w:ascii="Calibri" w:hAnsi="Calibri"/>
                <w:color w:val="000000"/>
              </w:rPr>
              <w:t>chronic obstructive pulmonary disease monitoring</w:t>
            </w:r>
          </w:p>
        </w:tc>
        <w:tc>
          <w:tcPr>
            <w:tcW w:w="1418" w:type="dxa"/>
            <w:vAlign w:val="bottom"/>
          </w:tcPr>
          <w:p w:rsidR="000C0A41" w:rsidRPr="003812BB" w:rsidRDefault="000C0A41" w:rsidP="00BD30B6">
            <w:pPr>
              <w:jc w:val="center"/>
              <w:cnfStyle w:val="000000100000" w:firstRow="0" w:lastRow="0" w:firstColumn="0" w:lastColumn="0" w:oddVBand="0" w:evenVBand="0" w:oddHBand="1" w:evenHBand="0" w:firstRowFirstColumn="0" w:firstRowLastColumn="0" w:lastRowFirstColumn="0" w:lastRowLastColumn="0"/>
              <w:rPr>
                <w:lang w:eastAsia="en-GB"/>
              </w:rPr>
            </w:pPr>
            <w:r>
              <w:rPr>
                <w:rFonts w:ascii="Calibri" w:hAnsi="Calibri"/>
                <w:color w:val="000000"/>
              </w:rPr>
              <w:t>9520</w:t>
            </w:r>
          </w:p>
        </w:tc>
      </w:tr>
      <w:tr w:rsidR="000C0A41" w:rsidRPr="003812BB" w:rsidTr="00A73FAF">
        <w:trPr>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vAlign w:val="bottom"/>
          </w:tcPr>
          <w:p w:rsidR="000C0A41" w:rsidRPr="003812BB" w:rsidRDefault="000C0A41" w:rsidP="00BD30B6">
            <w:pPr>
              <w:cnfStyle w:val="000000000000" w:firstRow="0" w:lastRow="0" w:firstColumn="0" w:lastColumn="0" w:oddVBand="0" w:evenVBand="0" w:oddHBand="0" w:evenHBand="0" w:firstRowFirstColumn="0" w:firstRowLastColumn="0" w:lastRowFirstColumn="0" w:lastRowLastColumn="0"/>
              <w:rPr>
                <w:lang w:eastAsia="en-GB"/>
              </w:rPr>
            </w:pPr>
            <w:r>
              <w:rPr>
                <w:rFonts w:ascii="Calibri" w:hAnsi="Calibri"/>
                <w:color w:val="000000"/>
              </w:rPr>
              <w:t>severe chronic obstructive pulmonary disease</w:t>
            </w:r>
          </w:p>
        </w:tc>
        <w:tc>
          <w:tcPr>
            <w:tcW w:w="1418" w:type="dxa"/>
            <w:vAlign w:val="bottom"/>
          </w:tcPr>
          <w:p w:rsidR="000C0A41" w:rsidRPr="003812BB" w:rsidRDefault="000C0A41" w:rsidP="00BD30B6">
            <w:pPr>
              <w:jc w:val="center"/>
              <w:cnfStyle w:val="000000000000" w:firstRow="0" w:lastRow="0" w:firstColumn="0" w:lastColumn="0" w:oddVBand="0" w:evenVBand="0" w:oddHBand="0" w:evenHBand="0" w:firstRowFirstColumn="0" w:firstRowLastColumn="0" w:lastRowFirstColumn="0" w:lastRowLastColumn="0"/>
              <w:rPr>
                <w:lang w:eastAsia="en-GB"/>
              </w:rPr>
            </w:pPr>
            <w:r>
              <w:rPr>
                <w:rFonts w:ascii="Calibri" w:hAnsi="Calibri"/>
                <w:color w:val="000000"/>
              </w:rPr>
              <w:t>9876</w:t>
            </w:r>
          </w:p>
        </w:tc>
      </w:tr>
      <w:tr w:rsidR="000C0A41" w:rsidRPr="003812BB" w:rsidTr="00A73F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vAlign w:val="bottom"/>
          </w:tcPr>
          <w:p w:rsidR="000C0A41" w:rsidRPr="003812BB" w:rsidRDefault="000C0A41" w:rsidP="00BD30B6">
            <w:pPr>
              <w:cnfStyle w:val="000000100000" w:firstRow="0" w:lastRow="0" w:firstColumn="0" w:lastColumn="0" w:oddVBand="0" w:evenVBand="0" w:oddHBand="1" w:evenHBand="0" w:firstRowFirstColumn="0" w:firstRowLastColumn="0" w:lastRowFirstColumn="0" w:lastRowLastColumn="0"/>
              <w:rPr>
                <w:lang w:eastAsia="en-GB"/>
              </w:rPr>
            </w:pPr>
            <w:r>
              <w:rPr>
                <w:rFonts w:ascii="Calibri" w:hAnsi="Calibri"/>
                <w:color w:val="000000"/>
              </w:rPr>
              <w:t>moderate chronic obstructive pulmonary disease</w:t>
            </w:r>
          </w:p>
        </w:tc>
        <w:tc>
          <w:tcPr>
            <w:tcW w:w="1418" w:type="dxa"/>
            <w:vAlign w:val="bottom"/>
          </w:tcPr>
          <w:p w:rsidR="000C0A41" w:rsidRPr="003812BB" w:rsidRDefault="000C0A41" w:rsidP="00BD30B6">
            <w:pPr>
              <w:jc w:val="center"/>
              <w:cnfStyle w:val="000000100000" w:firstRow="0" w:lastRow="0" w:firstColumn="0" w:lastColumn="0" w:oddVBand="0" w:evenVBand="0" w:oddHBand="1" w:evenHBand="0" w:firstRowFirstColumn="0" w:firstRowLastColumn="0" w:lastRowFirstColumn="0" w:lastRowLastColumn="0"/>
              <w:rPr>
                <w:lang w:eastAsia="en-GB"/>
              </w:rPr>
            </w:pPr>
            <w:r>
              <w:rPr>
                <w:rFonts w:ascii="Calibri" w:hAnsi="Calibri"/>
                <w:color w:val="000000"/>
              </w:rPr>
              <w:t>10802</w:t>
            </w:r>
          </w:p>
        </w:tc>
      </w:tr>
      <w:tr w:rsidR="000C0A41" w:rsidRPr="003812BB" w:rsidTr="00A73FAF">
        <w:trPr>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vAlign w:val="bottom"/>
          </w:tcPr>
          <w:p w:rsidR="000C0A41" w:rsidRPr="003812BB" w:rsidRDefault="000C0A41" w:rsidP="00BD30B6">
            <w:pPr>
              <w:cnfStyle w:val="000000000000" w:firstRow="0" w:lastRow="0" w:firstColumn="0" w:lastColumn="0" w:oddVBand="0" w:evenVBand="0" w:oddHBand="0" w:evenHBand="0" w:firstRowFirstColumn="0" w:firstRowLastColumn="0" w:lastRowFirstColumn="0" w:lastRowLastColumn="0"/>
              <w:rPr>
                <w:lang w:eastAsia="en-GB"/>
              </w:rPr>
            </w:pPr>
            <w:r>
              <w:rPr>
                <w:rFonts w:ascii="Calibri" w:hAnsi="Calibri"/>
                <w:color w:val="000000"/>
              </w:rPr>
              <w:t>mild chronic obstructive pulmonary disease</w:t>
            </w:r>
          </w:p>
        </w:tc>
        <w:tc>
          <w:tcPr>
            <w:tcW w:w="1418" w:type="dxa"/>
            <w:vAlign w:val="bottom"/>
          </w:tcPr>
          <w:p w:rsidR="000C0A41" w:rsidRPr="003812BB" w:rsidRDefault="000C0A41" w:rsidP="00BD30B6">
            <w:pPr>
              <w:jc w:val="center"/>
              <w:cnfStyle w:val="000000000000" w:firstRow="0" w:lastRow="0" w:firstColumn="0" w:lastColumn="0" w:oddVBand="0" w:evenVBand="0" w:oddHBand="0" w:evenHBand="0" w:firstRowFirstColumn="0" w:firstRowLastColumn="0" w:lastRowFirstColumn="0" w:lastRowLastColumn="0"/>
              <w:rPr>
                <w:lang w:eastAsia="en-GB"/>
              </w:rPr>
            </w:pPr>
            <w:r>
              <w:rPr>
                <w:rFonts w:ascii="Calibri" w:hAnsi="Calibri"/>
                <w:color w:val="000000"/>
              </w:rPr>
              <w:t>10863</w:t>
            </w:r>
          </w:p>
        </w:tc>
      </w:tr>
      <w:tr w:rsidR="000C0A41" w:rsidRPr="003812BB" w:rsidTr="00A73F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vAlign w:val="bottom"/>
          </w:tcPr>
          <w:p w:rsidR="000C0A41" w:rsidRPr="003812BB" w:rsidRDefault="000C0A41" w:rsidP="00BD30B6">
            <w:pPr>
              <w:cnfStyle w:val="000000100000" w:firstRow="0" w:lastRow="0" w:firstColumn="0" w:lastColumn="0" w:oddVBand="0" w:evenVBand="0" w:oddHBand="1" w:evenHBand="0" w:firstRowFirstColumn="0" w:firstRowLastColumn="0" w:lastRowFirstColumn="0" w:lastRowLastColumn="0"/>
              <w:rPr>
                <w:lang w:eastAsia="en-GB"/>
              </w:rPr>
            </w:pPr>
            <w:r>
              <w:rPr>
                <w:rFonts w:ascii="Calibri" w:hAnsi="Calibri"/>
                <w:color w:val="000000"/>
              </w:rPr>
              <w:t>centrilobular emphysema</w:t>
            </w:r>
          </w:p>
        </w:tc>
        <w:tc>
          <w:tcPr>
            <w:tcW w:w="1418" w:type="dxa"/>
            <w:vAlign w:val="bottom"/>
          </w:tcPr>
          <w:p w:rsidR="000C0A41" w:rsidRPr="003812BB" w:rsidRDefault="000C0A41" w:rsidP="00BD30B6">
            <w:pPr>
              <w:jc w:val="center"/>
              <w:cnfStyle w:val="000000100000" w:firstRow="0" w:lastRow="0" w:firstColumn="0" w:lastColumn="0" w:oddVBand="0" w:evenVBand="0" w:oddHBand="1" w:evenHBand="0" w:firstRowFirstColumn="0" w:firstRowLastColumn="0" w:lastRowFirstColumn="0" w:lastRowLastColumn="0"/>
              <w:rPr>
                <w:lang w:eastAsia="en-GB"/>
              </w:rPr>
            </w:pPr>
            <w:r>
              <w:rPr>
                <w:rFonts w:ascii="Calibri" w:hAnsi="Calibri"/>
                <w:color w:val="000000"/>
              </w:rPr>
              <w:t>10980</w:t>
            </w:r>
          </w:p>
        </w:tc>
      </w:tr>
      <w:tr w:rsidR="000C0A41" w:rsidRPr="003812BB" w:rsidTr="00A73FAF">
        <w:trPr>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vAlign w:val="bottom"/>
          </w:tcPr>
          <w:p w:rsidR="000C0A41" w:rsidRPr="003812BB" w:rsidRDefault="000C0A41" w:rsidP="00BD30B6">
            <w:pPr>
              <w:cnfStyle w:val="000000000000" w:firstRow="0" w:lastRow="0" w:firstColumn="0" w:lastColumn="0" w:oddVBand="0" w:evenVBand="0" w:oddHBand="0" w:evenHBand="0" w:firstRowFirstColumn="0" w:firstRowLastColumn="0" w:lastRowFirstColumn="0" w:lastRowLastColumn="0"/>
              <w:rPr>
                <w:lang w:eastAsia="en-GB"/>
              </w:rPr>
            </w:pPr>
            <w:r>
              <w:rPr>
                <w:rFonts w:ascii="Calibri" w:hAnsi="Calibri"/>
                <w:color w:val="000000"/>
              </w:rPr>
              <w:t>admit copd emergency</w:t>
            </w:r>
          </w:p>
        </w:tc>
        <w:tc>
          <w:tcPr>
            <w:tcW w:w="1418" w:type="dxa"/>
            <w:vAlign w:val="bottom"/>
          </w:tcPr>
          <w:p w:rsidR="000C0A41" w:rsidRPr="003812BB" w:rsidRDefault="000C0A41" w:rsidP="00BD30B6">
            <w:pPr>
              <w:jc w:val="center"/>
              <w:cnfStyle w:val="000000000000" w:firstRow="0" w:lastRow="0" w:firstColumn="0" w:lastColumn="0" w:oddVBand="0" w:evenVBand="0" w:oddHBand="0" w:evenHBand="0" w:firstRowFirstColumn="0" w:firstRowLastColumn="0" w:lastRowFirstColumn="0" w:lastRowLastColumn="0"/>
              <w:rPr>
                <w:lang w:eastAsia="en-GB"/>
              </w:rPr>
            </w:pPr>
            <w:r>
              <w:rPr>
                <w:rFonts w:ascii="Calibri" w:hAnsi="Calibri"/>
                <w:color w:val="000000"/>
              </w:rPr>
              <w:t>11019</w:t>
            </w:r>
          </w:p>
        </w:tc>
      </w:tr>
      <w:tr w:rsidR="000C0A41" w:rsidRPr="003812BB" w:rsidTr="00A73F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vAlign w:val="bottom"/>
          </w:tcPr>
          <w:p w:rsidR="000C0A41" w:rsidRPr="003812BB" w:rsidRDefault="000C0A41" w:rsidP="00BD30B6">
            <w:pPr>
              <w:cnfStyle w:val="000000100000" w:firstRow="0" w:lastRow="0" w:firstColumn="0" w:lastColumn="0" w:oddVBand="0" w:evenVBand="0" w:oddHBand="1" w:evenHBand="0" w:firstRowFirstColumn="0" w:firstRowLastColumn="0" w:lastRowFirstColumn="0" w:lastRowLastColumn="0"/>
              <w:rPr>
                <w:lang w:eastAsia="en-GB"/>
              </w:rPr>
            </w:pPr>
            <w:r>
              <w:rPr>
                <w:rFonts w:ascii="Calibri" w:hAnsi="Calibri"/>
                <w:color w:val="000000"/>
              </w:rPr>
              <w:t>chronic obstructive pulmonary disease annual review</w:t>
            </w:r>
          </w:p>
        </w:tc>
        <w:tc>
          <w:tcPr>
            <w:tcW w:w="1418" w:type="dxa"/>
            <w:vAlign w:val="bottom"/>
          </w:tcPr>
          <w:p w:rsidR="000C0A41" w:rsidRPr="003812BB" w:rsidRDefault="000C0A41" w:rsidP="00BD30B6">
            <w:pPr>
              <w:jc w:val="center"/>
              <w:cnfStyle w:val="000000100000" w:firstRow="0" w:lastRow="0" w:firstColumn="0" w:lastColumn="0" w:oddVBand="0" w:evenVBand="0" w:oddHBand="1" w:evenHBand="0" w:firstRowFirstColumn="0" w:firstRowLastColumn="0" w:lastRowFirstColumn="0" w:lastRowLastColumn="0"/>
              <w:rPr>
                <w:lang w:eastAsia="en-GB"/>
              </w:rPr>
            </w:pPr>
            <w:r>
              <w:rPr>
                <w:rFonts w:ascii="Calibri" w:hAnsi="Calibri"/>
                <w:color w:val="000000"/>
              </w:rPr>
              <w:t>11287</w:t>
            </w:r>
          </w:p>
        </w:tc>
      </w:tr>
      <w:tr w:rsidR="000C0A41" w:rsidRPr="003812BB" w:rsidTr="00A73FAF">
        <w:trPr>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vAlign w:val="bottom"/>
          </w:tcPr>
          <w:p w:rsidR="000C0A41" w:rsidRPr="003812BB" w:rsidRDefault="000C0A41" w:rsidP="00BD30B6">
            <w:pPr>
              <w:cnfStyle w:val="000000000000" w:firstRow="0" w:lastRow="0" w:firstColumn="0" w:lastColumn="0" w:oddVBand="0" w:evenVBand="0" w:oddHBand="0" w:evenHBand="0" w:firstRowFirstColumn="0" w:firstRowLastColumn="0" w:lastRowFirstColumn="0" w:lastRowLastColumn="0"/>
              <w:rPr>
                <w:lang w:eastAsia="en-GB"/>
              </w:rPr>
            </w:pPr>
            <w:r>
              <w:rPr>
                <w:rFonts w:ascii="Calibri" w:hAnsi="Calibri"/>
                <w:color w:val="000000"/>
              </w:rPr>
              <w:t>emphysematous bronchitis</w:t>
            </w:r>
          </w:p>
        </w:tc>
        <w:tc>
          <w:tcPr>
            <w:tcW w:w="1418" w:type="dxa"/>
            <w:vAlign w:val="bottom"/>
          </w:tcPr>
          <w:p w:rsidR="000C0A41" w:rsidRPr="003812BB" w:rsidRDefault="000C0A41" w:rsidP="00BD30B6">
            <w:pPr>
              <w:jc w:val="center"/>
              <w:cnfStyle w:val="000000000000" w:firstRow="0" w:lastRow="0" w:firstColumn="0" w:lastColumn="0" w:oddVBand="0" w:evenVBand="0" w:oddHBand="0" w:evenHBand="0" w:firstRowFirstColumn="0" w:firstRowLastColumn="0" w:lastRowFirstColumn="0" w:lastRowLastColumn="0"/>
              <w:rPr>
                <w:lang w:eastAsia="en-GB"/>
              </w:rPr>
            </w:pPr>
            <w:r>
              <w:rPr>
                <w:rFonts w:ascii="Calibri" w:hAnsi="Calibri"/>
                <w:color w:val="000000"/>
              </w:rPr>
              <w:t>14798</w:t>
            </w:r>
          </w:p>
        </w:tc>
      </w:tr>
      <w:tr w:rsidR="000C0A41" w:rsidRPr="003812BB" w:rsidTr="00A73F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vAlign w:val="bottom"/>
          </w:tcPr>
          <w:p w:rsidR="000C0A41" w:rsidRPr="003812BB" w:rsidRDefault="000C0A41" w:rsidP="00BD30B6">
            <w:pPr>
              <w:cnfStyle w:val="000000100000" w:firstRow="0" w:lastRow="0" w:firstColumn="0" w:lastColumn="0" w:oddVBand="0" w:evenVBand="0" w:oddHBand="1" w:evenHBand="0" w:firstRowFirstColumn="0" w:firstRowLastColumn="0" w:lastRowFirstColumn="0" w:lastRowLastColumn="0"/>
              <w:rPr>
                <w:lang w:eastAsia="en-GB"/>
              </w:rPr>
            </w:pPr>
            <w:r>
              <w:rPr>
                <w:rFonts w:ascii="Calibri" w:hAnsi="Calibri"/>
                <w:color w:val="000000"/>
              </w:rPr>
              <w:t>chronic bronchitis nos</w:t>
            </w:r>
          </w:p>
        </w:tc>
        <w:tc>
          <w:tcPr>
            <w:tcW w:w="1418" w:type="dxa"/>
            <w:vAlign w:val="bottom"/>
          </w:tcPr>
          <w:p w:rsidR="000C0A41" w:rsidRPr="003812BB" w:rsidRDefault="000C0A41" w:rsidP="00BD30B6">
            <w:pPr>
              <w:jc w:val="center"/>
              <w:cnfStyle w:val="000000100000" w:firstRow="0" w:lastRow="0" w:firstColumn="0" w:lastColumn="0" w:oddVBand="0" w:evenVBand="0" w:oddHBand="1" w:evenHBand="0" w:firstRowFirstColumn="0" w:firstRowLastColumn="0" w:lastRowFirstColumn="0" w:lastRowLastColumn="0"/>
              <w:rPr>
                <w:lang w:eastAsia="en-GB"/>
              </w:rPr>
            </w:pPr>
            <w:r>
              <w:rPr>
                <w:rFonts w:ascii="Calibri" w:hAnsi="Calibri"/>
                <w:color w:val="000000"/>
              </w:rPr>
              <w:t>15157</w:t>
            </w:r>
          </w:p>
        </w:tc>
      </w:tr>
      <w:tr w:rsidR="000C0A41" w:rsidRPr="003812BB" w:rsidTr="00A73FAF">
        <w:trPr>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vAlign w:val="bottom"/>
          </w:tcPr>
          <w:p w:rsidR="000C0A41" w:rsidRPr="003812BB" w:rsidRDefault="000C0A41" w:rsidP="00BD30B6">
            <w:pPr>
              <w:cnfStyle w:val="000000000000" w:firstRow="0" w:lastRow="0" w:firstColumn="0" w:lastColumn="0" w:oddVBand="0" w:evenVBand="0" w:oddHBand="0" w:evenHBand="0" w:firstRowFirstColumn="0" w:firstRowLastColumn="0" w:lastRowFirstColumn="0" w:lastRowLastColumn="0"/>
              <w:rPr>
                <w:lang w:eastAsia="en-GB"/>
              </w:rPr>
            </w:pPr>
            <w:r>
              <w:rPr>
                <w:rFonts w:ascii="Calibri" w:hAnsi="Calibri"/>
                <w:color w:val="000000"/>
              </w:rPr>
              <w:t>other emphysema nos</w:t>
            </w:r>
          </w:p>
        </w:tc>
        <w:tc>
          <w:tcPr>
            <w:tcW w:w="1418" w:type="dxa"/>
            <w:vAlign w:val="bottom"/>
          </w:tcPr>
          <w:p w:rsidR="000C0A41" w:rsidRPr="003812BB" w:rsidRDefault="000C0A41" w:rsidP="00BD30B6">
            <w:pPr>
              <w:jc w:val="center"/>
              <w:cnfStyle w:val="000000000000" w:firstRow="0" w:lastRow="0" w:firstColumn="0" w:lastColumn="0" w:oddVBand="0" w:evenVBand="0" w:oddHBand="0" w:evenHBand="0" w:firstRowFirstColumn="0" w:firstRowLastColumn="0" w:lastRowFirstColumn="0" w:lastRowLastColumn="0"/>
              <w:rPr>
                <w:lang w:eastAsia="en-GB"/>
              </w:rPr>
            </w:pPr>
            <w:r>
              <w:rPr>
                <w:rFonts w:ascii="Calibri" w:hAnsi="Calibri"/>
                <w:color w:val="000000"/>
              </w:rPr>
              <w:t>16410</w:t>
            </w:r>
          </w:p>
        </w:tc>
      </w:tr>
      <w:tr w:rsidR="000C0A41" w:rsidRPr="003812BB" w:rsidTr="00A73F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vAlign w:val="bottom"/>
          </w:tcPr>
          <w:p w:rsidR="000C0A41" w:rsidRPr="003812BB" w:rsidRDefault="000C0A41" w:rsidP="00BD30B6">
            <w:pPr>
              <w:cnfStyle w:val="000000100000" w:firstRow="0" w:lastRow="0" w:firstColumn="0" w:lastColumn="0" w:oddVBand="0" w:evenVBand="0" w:oddHBand="1" w:evenHBand="0" w:firstRowFirstColumn="0" w:firstRowLastColumn="0" w:lastRowFirstColumn="0" w:lastRowLastColumn="0"/>
              <w:rPr>
                <w:lang w:eastAsia="en-GB"/>
              </w:rPr>
            </w:pPr>
            <w:r>
              <w:rPr>
                <w:rFonts w:ascii="Calibri" w:hAnsi="Calibri"/>
                <w:color w:val="000000"/>
              </w:rPr>
              <w:t>copd follow-up</w:t>
            </w:r>
          </w:p>
        </w:tc>
        <w:tc>
          <w:tcPr>
            <w:tcW w:w="1418" w:type="dxa"/>
            <w:vAlign w:val="bottom"/>
          </w:tcPr>
          <w:p w:rsidR="000C0A41" w:rsidRPr="003812BB" w:rsidRDefault="000C0A41" w:rsidP="00BD30B6">
            <w:pPr>
              <w:jc w:val="center"/>
              <w:cnfStyle w:val="000000100000" w:firstRow="0" w:lastRow="0" w:firstColumn="0" w:lastColumn="0" w:oddVBand="0" w:evenVBand="0" w:oddHBand="1" w:evenHBand="0" w:firstRowFirstColumn="0" w:firstRowLastColumn="0" w:lastRowFirstColumn="0" w:lastRowLastColumn="0"/>
              <w:rPr>
                <w:lang w:eastAsia="en-GB"/>
              </w:rPr>
            </w:pPr>
            <w:r>
              <w:rPr>
                <w:rFonts w:ascii="Calibri" w:hAnsi="Calibri"/>
                <w:color w:val="000000"/>
              </w:rPr>
              <w:t>18476</w:t>
            </w:r>
          </w:p>
        </w:tc>
      </w:tr>
      <w:tr w:rsidR="000C0A41" w:rsidRPr="003812BB" w:rsidTr="00A73FAF">
        <w:trPr>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vAlign w:val="bottom"/>
          </w:tcPr>
          <w:p w:rsidR="000C0A41" w:rsidRPr="003812BB" w:rsidRDefault="000C0A41" w:rsidP="00BD30B6">
            <w:pPr>
              <w:cnfStyle w:val="000000000000" w:firstRow="0" w:lastRow="0" w:firstColumn="0" w:lastColumn="0" w:oddVBand="0" w:evenVBand="0" w:oddHBand="0" w:evenHBand="0" w:firstRowFirstColumn="0" w:firstRowLastColumn="0" w:lastRowFirstColumn="0" w:lastRowLastColumn="0"/>
              <w:rPr>
                <w:lang w:eastAsia="en-GB"/>
              </w:rPr>
            </w:pPr>
            <w:r>
              <w:rPr>
                <w:rFonts w:ascii="Calibri" w:hAnsi="Calibri"/>
                <w:color w:val="000000"/>
              </w:rPr>
              <w:t>copd self-management plan given</w:t>
            </w:r>
          </w:p>
        </w:tc>
        <w:tc>
          <w:tcPr>
            <w:tcW w:w="1418" w:type="dxa"/>
            <w:vAlign w:val="bottom"/>
          </w:tcPr>
          <w:p w:rsidR="000C0A41" w:rsidRPr="003812BB" w:rsidRDefault="000C0A41" w:rsidP="00BD30B6">
            <w:pPr>
              <w:jc w:val="center"/>
              <w:cnfStyle w:val="000000000000" w:firstRow="0" w:lastRow="0" w:firstColumn="0" w:lastColumn="0" w:oddVBand="0" w:evenVBand="0" w:oddHBand="0" w:evenHBand="0" w:firstRowFirstColumn="0" w:firstRowLastColumn="0" w:lastRowFirstColumn="0" w:lastRowLastColumn="0"/>
              <w:rPr>
                <w:lang w:eastAsia="en-GB"/>
              </w:rPr>
            </w:pPr>
            <w:r>
              <w:rPr>
                <w:rFonts w:ascii="Calibri" w:hAnsi="Calibri"/>
                <w:color w:val="000000"/>
              </w:rPr>
              <w:t>18501</w:t>
            </w:r>
          </w:p>
        </w:tc>
      </w:tr>
      <w:tr w:rsidR="000C0A41" w:rsidRPr="003812BB" w:rsidTr="00A73F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vAlign w:val="bottom"/>
          </w:tcPr>
          <w:p w:rsidR="000C0A41" w:rsidRPr="003812BB" w:rsidRDefault="000C0A41" w:rsidP="00BD30B6">
            <w:pPr>
              <w:cnfStyle w:val="000000100000" w:firstRow="0" w:lastRow="0" w:firstColumn="0" w:lastColumn="0" w:oddVBand="0" w:evenVBand="0" w:oddHBand="1" w:evenHBand="0" w:firstRowFirstColumn="0" w:firstRowLastColumn="0" w:lastRowFirstColumn="0" w:lastRowLastColumn="0"/>
              <w:rPr>
                <w:lang w:eastAsia="en-GB"/>
              </w:rPr>
            </w:pPr>
            <w:r>
              <w:rPr>
                <w:rFonts w:ascii="Calibri" w:hAnsi="Calibri"/>
                <w:color w:val="000000"/>
              </w:rPr>
              <w:t>chronic obstructive pulmonary disease follow-up</w:t>
            </w:r>
          </w:p>
        </w:tc>
        <w:tc>
          <w:tcPr>
            <w:tcW w:w="1418" w:type="dxa"/>
            <w:vAlign w:val="bottom"/>
          </w:tcPr>
          <w:p w:rsidR="000C0A41" w:rsidRPr="003812BB" w:rsidRDefault="000C0A41" w:rsidP="00BD30B6">
            <w:pPr>
              <w:jc w:val="center"/>
              <w:cnfStyle w:val="000000100000" w:firstRow="0" w:lastRow="0" w:firstColumn="0" w:lastColumn="0" w:oddVBand="0" w:evenVBand="0" w:oddHBand="1" w:evenHBand="0" w:firstRowFirstColumn="0" w:firstRowLastColumn="0" w:lastRowFirstColumn="0" w:lastRowLastColumn="0"/>
              <w:rPr>
                <w:lang w:eastAsia="en-GB"/>
              </w:rPr>
            </w:pPr>
            <w:r>
              <w:rPr>
                <w:rFonts w:ascii="Calibri" w:hAnsi="Calibri"/>
                <w:color w:val="000000"/>
              </w:rPr>
              <w:t>18621</w:t>
            </w:r>
          </w:p>
        </w:tc>
      </w:tr>
      <w:tr w:rsidR="000C0A41" w:rsidRPr="003812BB" w:rsidTr="00A73FAF">
        <w:trPr>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vAlign w:val="bottom"/>
          </w:tcPr>
          <w:p w:rsidR="000C0A41" w:rsidRPr="003812BB" w:rsidRDefault="000C0A41" w:rsidP="00BD30B6">
            <w:pPr>
              <w:cnfStyle w:val="000000000000" w:firstRow="0" w:lastRow="0" w:firstColumn="0" w:lastColumn="0" w:oddVBand="0" w:evenVBand="0" w:oddHBand="0" w:evenHBand="0" w:firstRowFirstColumn="0" w:firstRowLastColumn="0" w:lastRowFirstColumn="0" w:lastRowLastColumn="0"/>
              <w:rPr>
                <w:lang w:eastAsia="en-GB"/>
              </w:rPr>
            </w:pPr>
            <w:r>
              <w:rPr>
                <w:rFonts w:ascii="Calibri" w:hAnsi="Calibri"/>
                <w:color w:val="000000"/>
              </w:rPr>
              <w:t>chronic obstructive pulmonary disease monitoring admin</w:t>
            </w:r>
          </w:p>
        </w:tc>
        <w:tc>
          <w:tcPr>
            <w:tcW w:w="1418" w:type="dxa"/>
            <w:vAlign w:val="bottom"/>
          </w:tcPr>
          <w:p w:rsidR="000C0A41" w:rsidRPr="003812BB" w:rsidRDefault="000C0A41" w:rsidP="00BD30B6">
            <w:pPr>
              <w:jc w:val="center"/>
              <w:cnfStyle w:val="000000000000" w:firstRow="0" w:lastRow="0" w:firstColumn="0" w:lastColumn="0" w:oddVBand="0" w:evenVBand="0" w:oddHBand="0" w:evenHBand="0" w:firstRowFirstColumn="0" w:firstRowLastColumn="0" w:lastRowFirstColumn="0" w:lastRowLastColumn="0"/>
              <w:rPr>
                <w:lang w:eastAsia="en-GB"/>
              </w:rPr>
            </w:pPr>
            <w:r>
              <w:rPr>
                <w:rFonts w:ascii="Calibri" w:hAnsi="Calibri"/>
                <w:color w:val="000000"/>
              </w:rPr>
              <w:t>18792</w:t>
            </w:r>
          </w:p>
        </w:tc>
      </w:tr>
      <w:tr w:rsidR="000C0A41" w:rsidRPr="003812BB" w:rsidTr="00A73F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vAlign w:val="bottom"/>
          </w:tcPr>
          <w:p w:rsidR="000C0A41" w:rsidRPr="003812BB" w:rsidRDefault="000C0A41" w:rsidP="00BD30B6">
            <w:pPr>
              <w:cnfStyle w:val="000000100000" w:firstRow="0" w:lastRow="0" w:firstColumn="0" w:lastColumn="0" w:oddVBand="0" w:evenVBand="0" w:oddHBand="1" w:evenHBand="0" w:firstRowFirstColumn="0" w:firstRowLastColumn="0" w:lastRowFirstColumn="0" w:lastRowLastColumn="0"/>
              <w:rPr>
                <w:lang w:eastAsia="en-GB"/>
              </w:rPr>
            </w:pPr>
            <w:r>
              <w:rPr>
                <w:rFonts w:ascii="Calibri" w:hAnsi="Calibri"/>
                <w:color w:val="000000"/>
              </w:rPr>
              <w:t>emergency copd admission since last appointment</w:t>
            </w:r>
          </w:p>
        </w:tc>
        <w:tc>
          <w:tcPr>
            <w:tcW w:w="1418" w:type="dxa"/>
            <w:vAlign w:val="bottom"/>
          </w:tcPr>
          <w:p w:rsidR="000C0A41" w:rsidRPr="003812BB" w:rsidRDefault="000C0A41" w:rsidP="00BD30B6">
            <w:pPr>
              <w:jc w:val="center"/>
              <w:cnfStyle w:val="000000100000" w:firstRow="0" w:lastRow="0" w:firstColumn="0" w:lastColumn="0" w:oddVBand="0" w:evenVBand="0" w:oddHBand="1" w:evenHBand="0" w:firstRowFirstColumn="0" w:firstRowLastColumn="0" w:lastRowFirstColumn="0" w:lastRowLastColumn="0"/>
              <w:rPr>
                <w:lang w:eastAsia="en-GB"/>
              </w:rPr>
            </w:pPr>
            <w:r>
              <w:rPr>
                <w:rFonts w:ascii="Calibri" w:hAnsi="Calibri"/>
                <w:color w:val="000000"/>
              </w:rPr>
              <w:t>19003</w:t>
            </w:r>
          </w:p>
        </w:tc>
      </w:tr>
      <w:tr w:rsidR="000C0A41" w:rsidRPr="003812BB" w:rsidTr="00A73FAF">
        <w:trPr>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vAlign w:val="bottom"/>
          </w:tcPr>
          <w:p w:rsidR="000C0A41" w:rsidRPr="003812BB" w:rsidRDefault="000C0A41" w:rsidP="00BD30B6">
            <w:pPr>
              <w:cnfStyle w:val="000000000000" w:firstRow="0" w:lastRow="0" w:firstColumn="0" w:lastColumn="0" w:oddVBand="0" w:evenVBand="0" w:oddHBand="0" w:evenHBand="0" w:firstRowFirstColumn="0" w:firstRowLastColumn="0" w:lastRowFirstColumn="0" w:lastRowLastColumn="0"/>
              <w:rPr>
                <w:lang w:eastAsia="en-GB"/>
              </w:rPr>
            </w:pPr>
            <w:r>
              <w:rPr>
                <w:rFonts w:ascii="Calibri" w:hAnsi="Calibri"/>
                <w:color w:val="000000"/>
              </w:rPr>
              <w:t>copd accident and emergency attendance since last visit</w:t>
            </w:r>
          </w:p>
        </w:tc>
        <w:tc>
          <w:tcPr>
            <w:tcW w:w="1418" w:type="dxa"/>
            <w:vAlign w:val="bottom"/>
          </w:tcPr>
          <w:p w:rsidR="000C0A41" w:rsidRPr="003812BB" w:rsidRDefault="000C0A41" w:rsidP="00BD30B6">
            <w:pPr>
              <w:jc w:val="center"/>
              <w:cnfStyle w:val="000000000000" w:firstRow="0" w:lastRow="0" w:firstColumn="0" w:lastColumn="0" w:oddVBand="0" w:evenVBand="0" w:oddHBand="0" w:evenHBand="0" w:firstRowFirstColumn="0" w:firstRowLastColumn="0" w:lastRowFirstColumn="0" w:lastRowLastColumn="0"/>
              <w:rPr>
                <w:lang w:eastAsia="en-GB"/>
              </w:rPr>
            </w:pPr>
            <w:r>
              <w:rPr>
                <w:rFonts w:ascii="Calibri" w:hAnsi="Calibri"/>
                <w:color w:val="000000"/>
              </w:rPr>
              <w:t>19106</w:t>
            </w:r>
          </w:p>
        </w:tc>
      </w:tr>
      <w:tr w:rsidR="000C0A41" w:rsidRPr="003812BB" w:rsidTr="00A73F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vAlign w:val="bottom"/>
          </w:tcPr>
          <w:p w:rsidR="000C0A41" w:rsidRPr="003812BB" w:rsidRDefault="000C0A41" w:rsidP="00BD30B6">
            <w:pPr>
              <w:cnfStyle w:val="000000100000" w:firstRow="0" w:lastRow="0" w:firstColumn="0" w:lastColumn="0" w:oddVBand="0" w:evenVBand="0" w:oddHBand="1" w:evenHBand="0" w:firstRowFirstColumn="0" w:firstRowLastColumn="0" w:lastRowFirstColumn="0" w:lastRowLastColumn="0"/>
              <w:rPr>
                <w:lang w:eastAsia="en-GB"/>
              </w:rPr>
            </w:pPr>
            <w:r>
              <w:rPr>
                <w:rFonts w:ascii="Calibri" w:hAnsi="Calibri"/>
                <w:color w:val="000000"/>
              </w:rPr>
              <w:t>chronic bullous emphysema nos</w:t>
            </w:r>
          </w:p>
        </w:tc>
        <w:tc>
          <w:tcPr>
            <w:tcW w:w="1418" w:type="dxa"/>
            <w:vAlign w:val="bottom"/>
          </w:tcPr>
          <w:p w:rsidR="000C0A41" w:rsidRPr="003812BB" w:rsidRDefault="000C0A41" w:rsidP="00BD30B6">
            <w:pPr>
              <w:jc w:val="center"/>
              <w:cnfStyle w:val="000000100000" w:firstRow="0" w:lastRow="0" w:firstColumn="0" w:lastColumn="0" w:oddVBand="0" w:evenVBand="0" w:oddHBand="1" w:evenHBand="0" w:firstRowFirstColumn="0" w:firstRowLastColumn="0" w:lastRowFirstColumn="0" w:lastRowLastColumn="0"/>
              <w:rPr>
                <w:lang w:eastAsia="en-GB"/>
              </w:rPr>
            </w:pPr>
            <w:r>
              <w:rPr>
                <w:rFonts w:ascii="Calibri" w:hAnsi="Calibri"/>
                <w:color w:val="000000"/>
              </w:rPr>
              <w:t>23492</w:t>
            </w:r>
          </w:p>
        </w:tc>
      </w:tr>
      <w:tr w:rsidR="000C0A41" w:rsidRPr="003812BB" w:rsidTr="00A73FAF">
        <w:trPr>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vAlign w:val="bottom"/>
          </w:tcPr>
          <w:p w:rsidR="000C0A41" w:rsidRPr="003812BB" w:rsidRDefault="000C0A41" w:rsidP="00BD30B6">
            <w:pPr>
              <w:cnfStyle w:val="000000000000" w:firstRow="0" w:lastRow="0" w:firstColumn="0" w:lastColumn="0" w:oddVBand="0" w:evenVBand="0" w:oddHBand="0" w:evenHBand="0" w:firstRowFirstColumn="0" w:firstRowLastColumn="0" w:lastRowFirstColumn="0" w:lastRowLastColumn="0"/>
              <w:rPr>
                <w:lang w:eastAsia="en-GB"/>
              </w:rPr>
            </w:pPr>
            <w:r>
              <w:rPr>
                <w:rFonts w:ascii="Calibri" w:hAnsi="Calibri"/>
                <w:color w:val="000000"/>
              </w:rPr>
              <w:t>chronic obstructive pulmonary disease monitoring by nurse</w:t>
            </w:r>
          </w:p>
        </w:tc>
        <w:tc>
          <w:tcPr>
            <w:tcW w:w="1418" w:type="dxa"/>
            <w:vAlign w:val="bottom"/>
          </w:tcPr>
          <w:p w:rsidR="000C0A41" w:rsidRPr="003812BB" w:rsidRDefault="000C0A41" w:rsidP="00BD30B6">
            <w:pPr>
              <w:jc w:val="center"/>
              <w:cnfStyle w:val="000000000000" w:firstRow="0" w:lastRow="0" w:firstColumn="0" w:lastColumn="0" w:oddVBand="0" w:evenVBand="0" w:oddHBand="0" w:evenHBand="0" w:firstRowFirstColumn="0" w:firstRowLastColumn="0" w:lastRowFirstColumn="0" w:lastRowLastColumn="0"/>
              <w:rPr>
                <w:lang w:eastAsia="en-GB"/>
              </w:rPr>
            </w:pPr>
            <w:r>
              <w:rPr>
                <w:rFonts w:ascii="Calibri" w:hAnsi="Calibri"/>
                <w:color w:val="000000"/>
              </w:rPr>
              <w:t>26018</w:t>
            </w:r>
          </w:p>
        </w:tc>
      </w:tr>
      <w:tr w:rsidR="000C0A41" w:rsidRPr="003812BB" w:rsidTr="00A73F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vAlign w:val="bottom"/>
          </w:tcPr>
          <w:p w:rsidR="000C0A41" w:rsidRPr="003812BB" w:rsidRDefault="000C0A41" w:rsidP="00BD30B6">
            <w:pPr>
              <w:cnfStyle w:val="000000100000" w:firstRow="0" w:lastRow="0" w:firstColumn="0" w:lastColumn="0" w:oddVBand="0" w:evenVBand="0" w:oddHBand="1" w:evenHBand="0" w:firstRowFirstColumn="0" w:firstRowLastColumn="0" w:lastRowFirstColumn="0" w:lastRowLastColumn="0"/>
              <w:rPr>
                <w:lang w:eastAsia="en-GB"/>
              </w:rPr>
            </w:pPr>
            <w:r>
              <w:rPr>
                <w:rFonts w:ascii="Calibri" w:hAnsi="Calibri"/>
                <w:color w:val="000000"/>
              </w:rPr>
              <w:t>chronic bullous emphysema</w:t>
            </w:r>
          </w:p>
        </w:tc>
        <w:tc>
          <w:tcPr>
            <w:tcW w:w="1418" w:type="dxa"/>
            <w:vAlign w:val="bottom"/>
          </w:tcPr>
          <w:p w:rsidR="000C0A41" w:rsidRPr="003812BB" w:rsidRDefault="000C0A41" w:rsidP="00BD30B6">
            <w:pPr>
              <w:jc w:val="center"/>
              <w:cnfStyle w:val="000000100000" w:firstRow="0" w:lastRow="0" w:firstColumn="0" w:lastColumn="0" w:oddVBand="0" w:evenVBand="0" w:oddHBand="1" w:evenHBand="0" w:firstRowFirstColumn="0" w:firstRowLastColumn="0" w:lastRowFirstColumn="0" w:lastRowLastColumn="0"/>
              <w:rPr>
                <w:lang w:eastAsia="en-GB"/>
              </w:rPr>
            </w:pPr>
            <w:r>
              <w:rPr>
                <w:rFonts w:ascii="Calibri" w:hAnsi="Calibri"/>
                <w:color w:val="000000"/>
              </w:rPr>
              <w:t>26306</w:t>
            </w:r>
          </w:p>
        </w:tc>
      </w:tr>
      <w:tr w:rsidR="000C0A41" w:rsidRPr="003812BB" w:rsidTr="00A73FAF">
        <w:trPr>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vAlign w:val="bottom"/>
          </w:tcPr>
          <w:p w:rsidR="000C0A41" w:rsidRPr="003812BB" w:rsidRDefault="000C0A41" w:rsidP="00BD30B6">
            <w:pPr>
              <w:cnfStyle w:val="000000000000" w:firstRow="0" w:lastRow="0" w:firstColumn="0" w:lastColumn="0" w:oddVBand="0" w:evenVBand="0" w:oddHBand="0" w:evenHBand="0" w:firstRowFirstColumn="0" w:firstRowLastColumn="0" w:lastRowFirstColumn="0" w:lastRowLastColumn="0"/>
              <w:rPr>
                <w:lang w:eastAsia="en-GB"/>
              </w:rPr>
            </w:pPr>
            <w:r>
              <w:rPr>
                <w:rFonts w:ascii="Calibri" w:hAnsi="Calibri"/>
                <w:color w:val="000000"/>
              </w:rPr>
              <w:t>chronic obstructive pulmonary disease monitoring 1st letter</w:t>
            </w:r>
          </w:p>
        </w:tc>
        <w:tc>
          <w:tcPr>
            <w:tcW w:w="1418" w:type="dxa"/>
            <w:vAlign w:val="bottom"/>
          </w:tcPr>
          <w:p w:rsidR="000C0A41" w:rsidRPr="003812BB" w:rsidRDefault="000C0A41" w:rsidP="00BD30B6">
            <w:pPr>
              <w:jc w:val="center"/>
              <w:cnfStyle w:val="000000000000" w:firstRow="0" w:lastRow="0" w:firstColumn="0" w:lastColumn="0" w:oddVBand="0" w:evenVBand="0" w:oddHBand="0" w:evenHBand="0" w:firstRowFirstColumn="0" w:firstRowLastColumn="0" w:lastRowFirstColumn="0" w:lastRowLastColumn="0"/>
              <w:rPr>
                <w:lang w:eastAsia="en-GB"/>
              </w:rPr>
            </w:pPr>
            <w:r>
              <w:rPr>
                <w:rFonts w:ascii="Calibri" w:hAnsi="Calibri"/>
                <w:color w:val="000000"/>
              </w:rPr>
              <w:t>28755</w:t>
            </w:r>
          </w:p>
        </w:tc>
      </w:tr>
      <w:tr w:rsidR="000C0A41" w:rsidRPr="003812BB" w:rsidTr="00A73F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vAlign w:val="bottom"/>
          </w:tcPr>
          <w:p w:rsidR="000C0A41" w:rsidRPr="003812BB" w:rsidRDefault="000C0A41" w:rsidP="00BD30B6">
            <w:pPr>
              <w:cnfStyle w:val="000000100000" w:firstRow="0" w:lastRow="0" w:firstColumn="0" w:lastColumn="0" w:oddVBand="0" w:evenVBand="0" w:oddHBand="1" w:evenHBand="0" w:firstRowFirstColumn="0" w:firstRowLastColumn="0" w:lastRowFirstColumn="0" w:lastRowLastColumn="0"/>
              <w:rPr>
                <w:lang w:eastAsia="en-GB"/>
              </w:rPr>
            </w:pPr>
            <w:r>
              <w:rPr>
                <w:rFonts w:ascii="Calibri" w:hAnsi="Calibri"/>
                <w:color w:val="000000"/>
              </w:rPr>
              <w:t>emphysema nos</w:t>
            </w:r>
          </w:p>
        </w:tc>
        <w:tc>
          <w:tcPr>
            <w:tcW w:w="1418" w:type="dxa"/>
            <w:vAlign w:val="bottom"/>
          </w:tcPr>
          <w:p w:rsidR="000C0A41" w:rsidRPr="003812BB" w:rsidRDefault="000C0A41" w:rsidP="00BD30B6">
            <w:pPr>
              <w:jc w:val="center"/>
              <w:cnfStyle w:val="000000100000" w:firstRow="0" w:lastRow="0" w:firstColumn="0" w:lastColumn="0" w:oddVBand="0" w:evenVBand="0" w:oddHBand="1" w:evenHBand="0" w:firstRowFirstColumn="0" w:firstRowLastColumn="0" w:lastRowFirstColumn="0" w:lastRowLastColumn="0"/>
              <w:rPr>
                <w:lang w:eastAsia="en-GB"/>
              </w:rPr>
            </w:pPr>
            <w:r>
              <w:rPr>
                <w:rFonts w:ascii="Calibri" w:hAnsi="Calibri"/>
                <w:color w:val="000000"/>
              </w:rPr>
              <w:t>33450</w:t>
            </w:r>
          </w:p>
        </w:tc>
      </w:tr>
      <w:tr w:rsidR="000C0A41" w:rsidRPr="003812BB" w:rsidTr="00A73FAF">
        <w:trPr>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vAlign w:val="bottom"/>
          </w:tcPr>
          <w:p w:rsidR="000C0A41" w:rsidRPr="003812BB" w:rsidRDefault="000C0A41" w:rsidP="00BD30B6">
            <w:pPr>
              <w:cnfStyle w:val="000000000000" w:firstRow="0" w:lastRow="0" w:firstColumn="0" w:lastColumn="0" w:oddVBand="0" w:evenVBand="0" w:oddHBand="0" w:evenHBand="0" w:firstRowFirstColumn="0" w:firstRowLastColumn="0" w:lastRowFirstColumn="0" w:lastRowLastColumn="0"/>
              <w:rPr>
                <w:lang w:eastAsia="en-GB"/>
              </w:rPr>
            </w:pPr>
            <w:r>
              <w:rPr>
                <w:rFonts w:ascii="Calibri" w:hAnsi="Calibri"/>
                <w:color w:val="000000"/>
              </w:rPr>
              <w:t>chronic obstructive pulmonary disease monitoring 2nd letter</w:t>
            </w:r>
          </w:p>
        </w:tc>
        <w:tc>
          <w:tcPr>
            <w:tcW w:w="1418" w:type="dxa"/>
            <w:vAlign w:val="bottom"/>
          </w:tcPr>
          <w:p w:rsidR="000C0A41" w:rsidRPr="003812BB" w:rsidRDefault="000C0A41" w:rsidP="00BD30B6">
            <w:pPr>
              <w:jc w:val="center"/>
              <w:cnfStyle w:val="000000000000" w:firstRow="0" w:lastRow="0" w:firstColumn="0" w:lastColumn="0" w:oddVBand="0" w:evenVBand="0" w:oddHBand="0" w:evenHBand="0" w:firstRowFirstColumn="0" w:firstRowLastColumn="0" w:lastRowFirstColumn="0" w:lastRowLastColumn="0"/>
              <w:rPr>
                <w:lang w:eastAsia="en-GB"/>
              </w:rPr>
            </w:pPr>
            <w:r>
              <w:rPr>
                <w:rFonts w:ascii="Calibri" w:hAnsi="Calibri"/>
                <w:color w:val="000000"/>
              </w:rPr>
              <w:t>34202</w:t>
            </w:r>
          </w:p>
        </w:tc>
      </w:tr>
      <w:tr w:rsidR="000C0A41" w:rsidRPr="003812BB" w:rsidTr="00A73F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vAlign w:val="bottom"/>
          </w:tcPr>
          <w:p w:rsidR="000C0A41" w:rsidRPr="003812BB" w:rsidRDefault="000C0A41" w:rsidP="00BD30B6">
            <w:pPr>
              <w:cnfStyle w:val="000000100000" w:firstRow="0" w:lastRow="0" w:firstColumn="0" w:lastColumn="0" w:oddVBand="0" w:evenVBand="0" w:oddHBand="1" w:evenHBand="0" w:firstRowFirstColumn="0" w:firstRowLastColumn="0" w:lastRowFirstColumn="0" w:lastRowLastColumn="0"/>
              <w:rPr>
                <w:lang w:eastAsia="en-GB"/>
              </w:rPr>
            </w:pPr>
            <w:r>
              <w:rPr>
                <w:rFonts w:ascii="Calibri" w:hAnsi="Calibri"/>
                <w:color w:val="000000"/>
              </w:rPr>
              <w:t>chronic obstructive pulmonary disease monitoring 3rd letter</w:t>
            </w:r>
          </w:p>
        </w:tc>
        <w:tc>
          <w:tcPr>
            <w:tcW w:w="1418" w:type="dxa"/>
            <w:vAlign w:val="bottom"/>
          </w:tcPr>
          <w:p w:rsidR="000C0A41" w:rsidRPr="003812BB" w:rsidRDefault="000C0A41" w:rsidP="00BD30B6">
            <w:pPr>
              <w:jc w:val="center"/>
              <w:cnfStyle w:val="000000100000" w:firstRow="0" w:lastRow="0" w:firstColumn="0" w:lastColumn="0" w:oddVBand="0" w:evenVBand="0" w:oddHBand="1" w:evenHBand="0" w:firstRowFirstColumn="0" w:firstRowLastColumn="0" w:lastRowFirstColumn="0" w:lastRowLastColumn="0"/>
              <w:rPr>
                <w:lang w:eastAsia="en-GB"/>
              </w:rPr>
            </w:pPr>
            <w:r>
              <w:rPr>
                <w:rFonts w:ascii="Calibri" w:hAnsi="Calibri"/>
                <w:color w:val="000000"/>
              </w:rPr>
              <w:t>34215</w:t>
            </w:r>
          </w:p>
        </w:tc>
      </w:tr>
      <w:tr w:rsidR="000C0A41" w:rsidRPr="003812BB" w:rsidTr="00A73FAF">
        <w:trPr>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vAlign w:val="bottom"/>
          </w:tcPr>
          <w:p w:rsidR="000C0A41" w:rsidRPr="003812BB" w:rsidRDefault="000C0A41" w:rsidP="00BD30B6">
            <w:pPr>
              <w:cnfStyle w:val="000000000000" w:firstRow="0" w:lastRow="0" w:firstColumn="0" w:lastColumn="0" w:oddVBand="0" w:evenVBand="0" w:oddHBand="0" w:evenHBand="0" w:firstRowFirstColumn="0" w:firstRowLastColumn="0" w:lastRowFirstColumn="0" w:lastRowLastColumn="0"/>
              <w:rPr>
                <w:lang w:eastAsia="en-GB"/>
              </w:rPr>
            </w:pPr>
            <w:r>
              <w:rPr>
                <w:rFonts w:ascii="Calibri" w:hAnsi="Calibri"/>
                <w:color w:val="000000"/>
              </w:rPr>
              <w:t>chronic obstructive pulmonary disease nos</w:t>
            </w:r>
          </w:p>
        </w:tc>
        <w:tc>
          <w:tcPr>
            <w:tcW w:w="1418" w:type="dxa"/>
            <w:vAlign w:val="bottom"/>
          </w:tcPr>
          <w:p w:rsidR="000C0A41" w:rsidRPr="003812BB" w:rsidRDefault="000C0A41" w:rsidP="00BD30B6">
            <w:pPr>
              <w:jc w:val="center"/>
              <w:cnfStyle w:val="000000000000" w:firstRow="0" w:lastRow="0" w:firstColumn="0" w:lastColumn="0" w:oddVBand="0" w:evenVBand="0" w:oddHBand="0" w:evenHBand="0" w:firstRowFirstColumn="0" w:firstRowLastColumn="0" w:lastRowFirstColumn="0" w:lastRowLastColumn="0"/>
              <w:rPr>
                <w:lang w:eastAsia="en-GB"/>
              </w:rPr>
            </w:pPr>
            <w:r>
              <w:rPr>
                <w:rFonts w:ascii="Calibri" w:hAnsi="Calibri"/>
                <w:color w:val="000000"/>
              </w:rPr>
              <w:t>37247</w:t>
            </w:r>
          </w:p>
        </w:tc>
      </w:tr>
      <w:tr w:rsidR="000C0A41" w:rsidRPr="003812BB" w:rsidTr="00A73F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vAlign w:val="bottom"/>
          </w:tcPr>
          <w:p w:rsidR="000C0A41" w:rsidRPr="003812BB" w:rsidRDefault="000C0A41" w:rsidP="00BD30B6">
            <w:pPr>
              <w:cnfStyle w:val="000000100000" w:firstRow="0" w:lastRow="0" w:firstColumn="0" w:lastColumn="0" w:oddVBand="0" w:evenVBand="0" w:oddHBand="1" w:evenHBand="0" w:firstRowFirstColumn="0" w:firstRowLastColumn="0" w:lastRowFirstColumn="0" w:lastRowLastColumn="0"/>
              <w:rPr>
                <w:lang w:eastAsia="en-GB"/>
              </w:rPr>
            </w:pPr>
            <w:r>
              <w:rPr>
                <w:rFonts w:ascii="Calibri" w:hAnsi="Calibri"/>
                <w:color w:val="000000"/>
              </w:rPr>
              <w:t>chronic obstructive pulmonary disease monitoring due</w:t>
            </w:r>
          </w:p>
        </w:tc>
        <w:tc>
          <w:tcPr>
            <w:tcW w:w="1418" w:type="dxa"/>
            <w:vAlign w:val="bottom"/>
          </w:tcPr>
          <w:p w:rsidR="000C0A41" w:rsidRPr="003812BB" w:rsidRDefault="000C0A41" w:rsidP="00BD30B6">
            <w:pPr>
              <w:jc w:val="center"/>
              <w:cnfStyle w:val="000000100000" w:firstRow="0" w:lastRow="0" w:firstColumn="0" w:lastColumn="0" w:oddVBand="0" w:evenVBand="0" w:oddHBand="1" w:evenHBand="0" w:firstRowFirstColumn="0" w:firstRowLastColumn="0" w:lastRowFirstColumn="0" w:lastRowLastColumn="0"/>
              <w:rPr>
                <w:lang w:eastAsia="en-GB"/>
              </w:rPr>
            </w:pPr>
            <w:r>
              <w:rPr>
                <w:rFonts w:ascii="Calibri" w:hAnsi="Calibri"/>
                <w:color w:val="000000"/>
              </w:rPr>
              <w:t>37371</w:t>
            </w:r>
          </w:p>
        </w:tc>
      </w:tr>
      <w:tr w:rsidR="000C0A41" w:rsidRPr="003812BB" w:rsidTr="00A73FAF">
        <w:trPr>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vAlign w:val="bottom"/>
          </w:tcPr>
          <w:p w:rsidR="000C0A41" w:rsidRPr="003812BB" w:rsidRDefault="000C0A41" w:rsidP="00BD30B6">
            <w:pPr>
              <w:cnfStyle w:val="000000000000" w:firstRow="0" w:lastRow="0" w:firstColumn="0" w:lastColumn="0" w:oddVBand="0" w:evenVBand="0" w:oddHBand="0" w:evenHBand="0" w:firstRowFirstColumn="0" w:firstRowLastColumn="0" w:lastRowFirstColumn="0" w:lastRowLastColumn="0"/>
              <w:rPr>
                <w:lang w:eastAsia="en-GB"/>
              </w:rPr>
            </w:pPr>
            <w:r>
              <w:rPr>
                <w:rFonts w:ascii="Calibri" w:hAnsi="Calibri"/>
                <w:color w:val="000000"/>
              </w:rPr>
              <w:t>other emphysema</w:t>
            </w:r>
          </w:p>
        </w:tc>
        <w:tc>
          <w:tcPr>
            <w:tcW w:w="1418" w:type="dxa"/>
            <w:vAlign w:val="bottom"/>
          </w:tcPr>
          <w:p w:rsidR="000C0A41" w:rsidRPr="003812BB" w:rsidRDefault="000C0A41" w:rsidP="00BD30B6">
            <w:pPr>
              <w:jc w:val="center"/>
              <w:cnfStyle w:val="000000000000" w:firstRow="0" w:lastRow="0" w:firstColumn="0" w:lastColumn="0" w:oddVBand="0" w:evenVBand="0" w:oddHBand="0" w:evenHBand="0" w:firstRowFirstColumn="0" w:firstRowLastColumn="0" w:lastRowFirstColumn="0" w:lastRowLastColumn="0"/>
              <w:rPr>
                <w:lang w:eastAsia="en-GB"/>
              </w:rPr>
            </w:pPr>
            <w:r>
              <w:rPr>
                <w:rFonts w:ascii="Calibri" w:hAnsi="Calibri"/>
                <w:color w:val="000000"/>
              </w:rPr>
              <w:t>40788</w:t>
            </w:r>
          </w:p>
        </w:tc>
      </w:tr>
      <w:tr w:rsidR="000C0A41" w:rsidRPr="003812BB" w:rsidTr="00A73F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vAlign w:val="bottom"/>
          </w:tcPr>
          <w:p w:rsidR="000C0A41" w:rsidRPr="003812BB" w:rsidRDefault="000C0A41" w:rsidP="00BD30B6">
            <w:pPr>
              <w:cnfStyle w:val="000000100000" w:firstRow="0" w:lastRow="0" w:firstColumn="0" w:lastColumn="0" w:oddVBand="0" w:evenVBand="0" w:oddHBand="1" w:evenHBand="0" w:firstRowFirstColumn="0" w:firstRowLastColumn="0" w:lastRowFirstColumn="0" w:lastRowLastColumn="0"/>
              <w:rPr>
                <w:lang w:eastAsia="en-GB"/>
              </w:rPr>
            </w:pPr>
            <w:r>
              <w:rPr>
                <w:rFonts w:ascii="Calibri" w:hAnsi="Calibri"/>
                <w:color w:val="000000"/>
              </w:rPr>
              <w:t>coad follow-up</w:t>
            </w:r>
          </w:p>
        </w:tc>
        <w:tc>
          <w:tcPr>
            <w:tcW w:w="1418" w:type="dxa"/>
            <w:vAlign w:val="bottom"/>
          </w:tcPr>
          <w:p w:rsidR="000C0A41" w:rsidRPr="003812BB" w:rsidRDefault="000C0A41" w:rsidP="00BD30B6">
            <w:pPr>
              <w:jc w:val="center"/>
              <w:cnfStyle w:val="000000100000" w:firstRow="0" w:lastRow="0" w:firstColumn="0" w:lastColumn="0" w:oddVBand="0" w:evenVBand="0" w:oddHBand="1" w:evenHBand="0" w:firstRowFirstColumn="0" w:firstRowLastColumn="0" w:lastRowFirstColumn="0" w:lastRowLastColumn="0"/>
              <w:rPr>
                <w:lang w:eastAsia="en-GB"/>
              </w:rPr>
            </w:pPr>
            <w:r>
              <w:rPr>
                <w:rFonts w:ascii="Calibri" w:hAnsi="Calibri"/>
                <w:color w:val="000000"/>
              </w:rPr>
              <w:t>42624</w:t>
            </w:r>
          </w:p>
        </w:tc>
      </w:tr>
      <w:tr w:rsidR="000C0A41" w:rsidRPr="003812BB" w:rsidTr="00A73FAF">
        <w:trPr>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vAlign w:val="bottom"/>
          </w:tcPr>
          <w:p w:rsidR="000C0A41" w:rsidRPr="003812BB" w:rsidRDefault="000C0A41" w:rsidP="00BD30B6">
            <w:pPr>
              <w:cnfStyle w:val="000000000000" w:firstRow="0" w:lastRow="0" w:firstColumn="0" w:lastColumn="0" w:oddVBand="0" w:evenVBand="0" w:oddHBand="0" w:evenHBand="0" w:firstRowFirstColumn="0" w:firstRowLastColumn="0" w:lastRowFirstColumn="0" w:lastRowLastColumn="0"/>
              <w:rPr>
                <w:lang w:eastAsia="en-GB"/>
              </w:rPr>
            </w:pPr>
            <w:r>
              <w:rPr>
                <w:rFonts w:ascii="Calibri" w:hAnsi="Calibri"/>
                <w:color w:val="000000"/>
              </w:rPr>
              <w:t>obstructive chronic bronchitis nos</w:t>
            </w:r>
          </w:p>
        </w:tc>
        <w:tc>
          <w:tcPr>
            <w:tcW w:w="1418" w:type="dxa"/>
            <w:vAlign w:val="bottom"/>
          </w:tcPr>
          <w:p w:rsidR="000C0A41" w:rsidRPr="003812BB" w:rsidRDefault="000C0A41" w:rsidP="00BD30B6">
            <w:pPr>
              <w:jc w:val="center"/>
              <w:cnfStyle w:val="000000000000" w:firstRow="0" w:lastRow="0" w:firstColumn="0" w:lastColumn="0" w:oddVBand="0" w:evenVBand="0" w:oddHBand="0" w:evenHBand="0" w:firstRowFirstColumn="0" w:firstRowLastColumn="0" w:lastRowFirstColumn="0" w:lastRowLastColumn="0"/>
              <w:rPr>
                <w:lang w:eastAsia="en-GB"/>
              </w:rPr>
            </w:pPr>
            <w:r>
              <w:rPr>
                <w:rFonts w:ascii="Calibri" w:hAnsi="Calibri"/>
                <w:color w:val="000000"/>
              </w:rPr>
              <w:t>44525</w:t>
            </w:r>
          </w:p>
        </w:tc>
      </w:tr>
      <w:tr w:rsidR="000C0A41" w:rsidRPr="003812BB" w:rsidTr="00A73F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vAlign w:val="bottom"/>
          </w:tcPr>
          <w:p w:rsidR="000C0A41" w:rsidRPr="003812BB" w:rsidRDefault="000C0A41" w:rsidP="00BD30B6">
            <w:pPr>
              <w:cnfStyle w:val="000000100000" w:firstRow="0" w:lastRow="0" w:firstColumn="0" w:lastColumn="0" w:oddVBand="0" w:evenVBand="0" w:oddHBand="1" w:evenHBand="0" w:firstRowFirstColumn="0" w:firstRowLastColumn="0" w:lastRowFirstColumn="0" w:lastRowLastColumn="0"/>
              <w:rPr>
                <w:lang w:eastAsia="en-GB"/>
              </w:rPr>
            </w:pPr>
            <w:r>
              <w:rPr>
                <w:rFonts w:ascii="Calibri" w:hAnsi="Calibri"/>
                <w:color w:val="000000"/>
              </w:rPr>
              <w:t>chronic obstructive pulmonary disease does not disturb sleep</w:t>
            </w:r>
          </w:p>
        </w:tc>
        <w:tc>
          <w:tcPr>
            <w:tcW w:w="1418" w:type="dxa"/>
            <w:vAlign w:val="bottom"/>
          </w:tcPr>
          <w:p w:rsidR="000C0A41" w:rsidRPr="003812BB" w:rsidRDefault="000C0A41" w:rsidP="00BD30B6">
            <w:pPr>
              <w:jc w:val="center"/>
              <w:cnfStyle w:val="000000100000" w:firstRow="0" w:lastRow="0" w:firstColumn="0" w:lastColumn="0" w:oddVBand="0" w:evenVBand="0" w:oddHBand="1" w:evenHBand="0" w:firstRowFirstColumn="0" w:firstRowLastColumn="0" w:lastRowFirstColumn="0" w:lastRowLastColumn="0"/>
              <w:rPr>
                <w:lang w:eastAsia="en-GB"/>
              </w:rPr>
            </w:pPr>
            <w:r>
              <w:rPr>
                <w:rFonts w:ascii="Calibri" w:hAnsi="Calibri"/>
                <w:color w:val="000000"/>
              </w:rPr>
              <w:t>45771</w:t>
            </w:r>
          </w:p>
        </w:tc>
      </w:tr>
      <w:tr w:rsidR="000C0A41" w:rsidRPr="003812BB" w:rsidTr="00A73FAF">
        <w:trPr>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vAlign w:val="bottom"/>
          </w:tcPr>
          <w:p w:rsidR="000C0A41" w:rsidRPr="003812BB" w:rsidRDefault="000C0A41" w:rsidP="00BD30B6">
            <w:pPr>
              <w:cnfStyle w:val="000000000000" w:firstRow="0" w:lastRow="0" w:firstColumn="0" w:lastColumn="0" w:oddVBand="0" w:evenVBand="0" w:oddHBand="0" w:evenHBand="0" w:firstRowFirstColumn="0" w:firstRowLastColumn="0" w:lastRowFirstColumn="0" w:lastRowLastColumn="0"/>
              <w:rPr>
                <w:lang w:eastAsia="en-GB"/>
              </w:rPr>
            </w:pPr>
            <w:r>
              <w:rPr>
                <w:rFonts w:ascii="Calibri" w:hAnsi="Calibri"/>
                <w:color w:val="000000"/>
              </w:rPr>
              <w:t>chronic obstructive pulmonary disease monitoring by doctor</w:t>
            </w:r>
          </w:p>
        </w:tc>
        <w:tc>
          <w:tcPr>
            <w:tcW w:w="1418" w:type="dxa"/>
            <w:vAlign w:val="bottom"/>
          </w:tcPr>
          <w:p w:rsidR="000C0A41" w:rsidRPr="003812BB" w:rsidRDefault="000C0A41" w:rsidP="00BD30B6">
            <w:pPr>
              <w:jc w:val="center"/>
              <w:cnfStyle w:val="000000000000" w:firstRow="0" w:lastRow="0" w:firstColumn="0" w:lastColumn="0" w:oddVBand="0" w:evenVBand="0" w:oddHBand="0" w:evenHBand="0" w:firstRowFirstColumn="0" w:firstRowLastColumn="0" w:lastRowFirstColumn="0" w:lastRowLastColumn="0"/>
              <w:rPr>
                <w:lang w:eastAsia="en-GB"/>
              </w:rPr>
            </w:pPr>
            <w:r>
              <w:rPr>
                <w:rFonts w:ascii="Calibri" w:hAnsi="Calibri"/>
                <w:color w:val="000000"/>
              </w:rPr>
              <w:t>45998</w:t>
            </w:r>
          </w:p>
        </w:tc>
      </w:tr>
      <w:tr w:rsidR="000C0A41" w:rsidRPr="003812BB" w:rsidTr="00A73F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vAlign w:val="bottom"/>
          </w:tcPr>
          <w:p w:rsidR="000C0A41" w:rsidRPr="003812BB" w:rsidRDefault="000C0A41" w:rsidP="00BD30B6">
            <w:pPr>
              <w:cnfStyle w:val="000000100000" w:firstRow="0" w:lastRow="0" w:firstColumn="0" w:lastColumn="0" w:oddVBand="0" w:evenVBand="0" w:oddHBand="1" w:evenHBand="0" w:firstRowFirstColumn="0" w:firstRowLastColumn="0" w:lastRowFirstColumn="0" w:lastRowLastColumn="0"/>
              <w:rPr>
                <w:lang w:eastAsia="en-GB"/>
              </w:rPr>
            </w:pPr>
            <w:r>
              <w:rPr>
                <w:rFonts w:ascii="Calibri" w:hAnsi="Calibri"/>
                <w:color w:val="000000"/>
              </w:rPr>
              <w:t>multiple copd emergency hospital admissions</w:t>
            </w:r>
          </w:p>
        </w:tc>
        <w:tc>
          <w:tcPr>
            <w:tcW w:w="1418" w:type="dxa"/>
            <w:vAlign w:val="bottom"/>
          </w:tcPr>
          <w:p w:rsidR="000C0A41" w:rsidRPr="003812BB" w:rsidRDefault="000C0A41" w:rsidP="00BD30B6">
            <w:pPr>
              <w:jc w:val="center"/>
              <w:cnfStyle w:val="000000100000" w:firstRow="0" w:lastRow="0" w:firstColumn="0" w:lastColumn="0" w:oddVBand="0" w:evenVBand="0" w:oddHBand="1" w:evenHBand="0" w:firstRowFirstColumn="0" w:firstRowLastColumn="0" w:lastRowFirstColumn="0" w:lastRowLastColumn="0"/>
              <w:rPr>
                <w:lang w:eastAsia="en-GB"/>
              </w:rPr>
            </w:pPr>
            <w:r>
              <w:rPr>
                <w:rFonts w:ascii="Calibri" w:hAnsi="Calibri"/>
                <w:color w:val="000000"/>
              </w:rPr>
              <w:t>46036</w:t>
            </w:r>
          </w:p>
        </w:tc>
      </w:tr>
      <w:tr w:rsidR="000C0A41" w:rsidRPr="003812BB" w:rsidTr="00A73FAF">
        <w:trPr>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vAlign w:val="bottom"/>
          </w:tcPr>
          <w:p w:rsidR="000C0A41" w:rsidRPr="003812BB" w:rsidRDefault="000C0A41" w:rsidP="00BD30B6">
            <w:pPr>
              <w:cnfStyle w:val="000000000000" w:firstRow="0" w:lastRow="0" w:firstColumn="0" w:lastColumn="0" w:oddVBand="0" w:evenVBand="0" w:oddHBand="0" w:evenHBand="0" w:firstRowFirstColumn="0" w:firstRowLastColumn="0" w:lastRowFirstColumn="0" w:lastRowLastColumn="0"/>
              <w:rPr>
                <w:lang w:eastAsia="en-GB"/>
              </w:rPr>
            </w:pPr>
            <w:r>
              <w:rPr>
                <w:rFonts w:ascii="Calibri" w:hAnsi="Calibri"/>
                <w:color w:val="000000"/>
              </w:rPr>
              <w:t>panlobular emphysema</w:t>
            </w:r>
          </w:p>
        </w:tc>
        <w:tc>
          <w:tcPr>
            <w:tcW w:w="1418" w:type="dxa"/>
            <w:vAlign w:val="bottom"/>
          </w:tcPr>
          <w:p w:rsidR="000C0A41" w:rsidRPr="003812BB" w:rsidRDefault="000C0A41" w:rsidP="00BD30B6">
            <w:pPr>
              <w:jc w:val="center"/>
              <w:cnfStyle w:val="000000000000" w:firstRow="0" w:lastRow="0" w:firstColumn="0" w:lastColumn="0" w:oddVBand="0" w:evenVBand="0" w:oddHBand="0" w:evenHBand="0" w:firstRowFirstColumn="0" w:firstRowLastColumn="0" w:lastRowFirstColumn="0" w:lastRowLastColumn="0"/>
              <w:rPr>
                <w:lang w:eastAsia="en-GB"/>
              </w:rPr>
            </w:pPr>
            <w:r>
              <w:rPr>
                <w:rFonts w:ascii="Calibri" w:hAnsi="Calibri"/>
                <w:color w:val="000000"/>
              </w:rPr>
              <w:t>46578</w:t>
            </w:r>
          </w:p>
        </w:tc>
      </w:tr>
      <w:tr w:rsidR="000C0A41" w:rsidRPr="003812BB" w:rsidTr="00A73F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vAlign w:val="bottom"/>
          </w:tcPr>
          <w:p w:rsidR="000C0A41" w:rsidRPr="003812BB" w:rsidRDefault="000C0A41" w:rsidP="00BD30B6">
            <w:pPr>
              <w:cnfStyle w:val="000000100000" w:firstRow="0" w:lastRow="0" w:firstColumn="0" w:lastColumn="0" w:oddVBand="0" w:evenVBand="0" w:oddHBand="1" w:evenHBand="0" w:firstRowFirstColumn="0" w:firstRowLastColumn="0" w:lastRowFirstColumn="0" w:lastRowLastColumn="0"/>
              <w:rPr>
                <w:lang w:eastAsia="en-GB"/>
              </w:rPr>
            </w:pPr>
            <w:r>
              <w:rPr>
                <w:rFonts w:ascii="Calibri" w:hAnsi="Calibri"/>
                <w:color w:val="000000"/>
              </w:rPr>
              <w:t>segmental bullous emphysema</w:t>
            </w:r>
          </w:p>
        </w:tc>
        <w:tc>
          <w:tcPr>
            <w:tcW w:w="1418" w:type="dxa"/>
            <w:vAlign w:val="bottom"/>
          </w:tcPr>
          <w:p w:rsidR="000C0A41" w:rsidRPr="003812BB" w:rsidRDefault="000C0A41" w:rsidP="00BD30B6">
            <w:pPr>
              <w:jc w:val="center"/>
              <w:cnfStyle w:val="000000100000" w:firstRow="0" w:lastRow="0" w:firstColumn="0" w:lastColumn="0" w:oddVBand="0" w:evenVBand="0" w:oddHBand="1" w:evenHBand="0" w:firstRowFirstColumn="0" w:firstRowLastColumn="0" w:lastRowFirstColumn="0" w:lastRowLastColumn="0"/>
              <w:rPr>
                <w:lang w:eastAsia="en-GB"/>
              </w:rPr>
            </w:pPr>
            <w:r>
              <w:rPr>
                <w:rFonts w:ascii="Calibri" w:hAnsi="Calibri"/>
                <w:color w:val="000000"/>
              </w:rPr>
              <w:t>56860</w:t>
            </w:r>
          </w:p>
        </w:tc>
      </w:tr>
      <w:tr w:rsidR="000C0A41" w:rsidRPr="003812BB" w:rsidTr="00A73FAF">
        <w:trPr>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vAlign w:val="bottom"/>
          </w:tcPr>
          <w:p w:rsidR="000C0A41" w:rsidRPr="003812BB" w:rsidRDefault="000C0A41" w:rsidP="00BD30B6">
            <w:pPr>
              <w:cnfStyle w:val="000000000000" w:firstRow="0" w:lastRow="0" w:firstColumn="0" w:lastColumn="0" w:oddVBand="0" w:evenVBand="0" w:oddHBand="0" w:evenHBand="0" w:firstRowFirstColumn="0" w:firstRowLastColumn="0" w:lastRowFirstColumn="0" w:lastRowLastColumn="0"/>
              <w:rPr>
                <w:lang w:eastAsia="en-GB"/>
              </w:rPr>
            </w:pPr>
            <w:r>
              <w:rPr>
                <w:rFonts w:ascii="Calibri" w:hAnsi="Calibri"/>
                <w:color w:val="000000"/>
              </w:rPr>
              <w:t>giant bullous emphysema</w:t>
            </w:r>
          </w:p>
        </w:tc>
        <w:tc>
          <w:tcPr>
            <w:tcW w:w="1418" w:type="dxa"/>
            <w:vAlign w:val="bottom"/>
          </w:tcPr>
          <w:p w:rsidR="000C0A41" w:rsidRPr="003812BB" w:rsidRDefault="000C0A41" w:rsidP="00BD30B6">
            <w:pPr>
              <w:jc w:val="center"/>
              <w:cnfStyle w:val="000000000000" w:firstRow="0" w:lastRow="0" w:firstColumn="0" w:lastColumn="0" w:oddVBand="0" w:evenVBand="0" w:oddHBand="0" w:evenHBand="0" w:firstRowFirstColumn="0" w:firstRowLastColumn="0" w:lastRowFirstColumn="0" w:lastRowLastColumn="0"/>
              <w:rPr>
                <w:lang w:eastAsia="en-GB"/>
              </w:rPr>
            </w:pPr>
            <w:r>
              <w:rPr>
                <w:rFonts w:ascii="Calibri" w:hAnsi="Calibri"/>
                <w:color w:val="000000"/>
              </w:rPr>
              <w:t>60188</w:t>
            </w:r>
          </w:p>
        </w:tc>
      </w:tr>
      <w:tr w:rsidR="000C0A41" w:rsidRPr="003812BB" w:rsidTr="00A73F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vAlign w:val="bottom"/>
          </w:tcPr>
          <w:p w:rsidR="000C0A41" w:rsidRPr="003812BB" w:rsidRDefault="000C0A41" w:rsidP="00BD30B6">
            <w:pPr>
              <w:cnfStyle w:val="000000100000" w:firstRow="0" w:lastRow="0" w:firstColumn="0" w:lastColumn="0" w:oddVBand="0" w:evenVBand="0" w:oddHBand="1" w:evenHBand="0" w:firstRowFirstColumn="0" w:firstRowLastColumn="0" w:lastRowFirstColumn="0" w:lastRowLastColumn="0"/>
              <w:rPr>
                <w:lang w:eastAsia="en-GB"/>
              </w:rPr>
            </w:pPr>
            <w:r>
              <w:rPr>
                <w:rFonts w:ascii="Calibri" w:hAnsi="Calibri"/>
                <w:color w:val="000000"/>
              </w:rPr>
              <w:t>[x]other specified chronic obstructive pulmonary disease</w:t>
            </w:r>
          </w:p>
        </w:tc>
        <w:tc>
          <w:tcPr>
            <w:tcW w:w="1418" w:type="dxa"/>
            <w:vAlign w:val="bottom"/>
          </w:tcPr>
          <w:p w:rsidR="000C0A41" w:rsidRPr="003812BB" w:rsidRDefault="000C0A41" w:rsidP="00BD30B6">
            <w:pPr>
              <w:jc w:val="center"/>
              <w:cnfStyle w:val="000000100000" w:firstRow="0" w:lastRow="0" w:firstColumn="0" w:lastColumn="0" w:oddVBand="0" w:evenVBand="0" w:oddHBand="1" w:evenHBand="0" w:firstRowFirstColumn="0" w:firstRowLastColumn="0" w:lastRowFirstColumn="0" w:lastRowLastColumn="0"/>
              <w:rPr>
                <w:lang w:eastAsia="en-GB"/>
              </w:rPr>
            </w:pPr>
            <w:r>
              <w:rPr>
                <w:rFonts w:ascii="Calibri" w:hAnsi="Calibri"/>
                <w:color w:val="000000"/>
              </w:rPr>
              <w:t>65733</w:t>
            </w:r>
          </w:p>
        </w:tc>
      </w:tr>
      <w:tr w:rsidR="000C0A41" w:rsidRPr="003812BB" w:rsidTr="00A73FAF">
        <w:trPr>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vAlign w:val="bottom"/>
          </w:tcPr>
          <w:p w:rsidR="000C0A41" w:rsidRPr="003812BB" w:rsidRDefault="000C0A41" w:rsidP="00BD30B6">
            <w:pPr>
              <w:cnfStyle w:val="000000000000" w:firstRow="0" w:lastRow="0" w:firstColumn="0" w:lastColumn="0" w:oddVBand="0" w:evenVBand="0" w:oddHBand="0" w:evenHBand="0" w:firstRowFirstColumn="0" w:firstRowLastColumn="0" w:lastRowFirstColumn="0" w:lastRowLastColumn="0"/>
              <w:rPr>
                <w:lang w:eastAsia="en-GB"/>
              </w:rPr>
            </w:pPr>
            <w:r>
              <w:rPr>
                <w:rFonts w:ascii="Calibri" w:hAnsi="Calibri"/>
                <w:color w:val="000000"/>
              </w:rPr>
              <w:t>[x]other emphysema</w:t>
            </w:r>
          </w:p>
        </w:tc>
        <w:tc>
          <w:tcPr>
            <w:tcW w:w="1418" w:type="dxa"/>
            <w:vAlign w:val="bottom"/>
          </w:tcPr>
          <w:p w:rsidR="000C0A41" w:rsidRPr="003812BB" w:rsidRDefault="000C0A41" w:rsidP="00BD30B6">
            <w:pPr>
              <w:jc w:val="center"/>
              <w:cnfStyle w:val="000000000000" w:firstRow="0" w:lastRow="0" w:firstColumn="0" w:lastColumn="0" w:oddVBand="0" w:evenVBand="0" w:oddHBand="0" w:evenHBand="0" w:firstRowFirstColumn="0" w:firstRowLastColumn="0" w:lastRowFirstColumn="0" w:lastRowLastColumn="0"/>
              <w:rPr>
                <w:lang w:eastAsia="en-GB"/>
              </w:rPr>
            </w:pPr>
            <w:r>
              <w:rPr>
                <w:rFonts w:ascii="Calibri" w:hAnsi="Calibri"/>
                <w:color w:val="000000"/>
              </w:rPr>
              <w:t>66058</w:t>
            </w:r>
          </w:p>
        </w:tc>
      </w:tr>
      <w:tr w:rsidR="000C0A41" w:rsidRPr="003812BB" w:rsidTr="00A73F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vAlign w:val="bottom"/>
          </w:tcPr>
          <w:p w:rsidR="000C0A41" w:rsidRPr="003812BB" w:rsidRDefault="000C0A41" w:rsidP="00BD30B6">
            <w:pPr>
              <w:cnfStyle w:val="000000100000" w:firstRow="0" w:lastRow="0" w:firstColumn="0" w:lastColumn="0" w:oddVBand="0" w:evenVBand="0" w:oddHBand="1" w:evenHBand="0" w:firstRowFirstColumn="0" w:firstRowLastColumn="0" w:lastRowFirstColumn="0" w:lastRowLastColumn="0"/>
              <w:rPr>
                <w:lang w:eastAsia="en-GB"/>
              </w:rPr>
            </w:pPr>
            <w:r>
              <w:rPr>
                <w:rFonts w:ascii="Calibri" w:hAnsi="Calibri"/>
                <w:color w:val="000000"/>
              </w:rPr>
              <w:t>other specified chronic obstructive pulmonary disease</w:t>
            </w:r>
          </w:p>
        </w:tc>
        <w:tc>
          <w:tcPr>
            <w:tcW w:w="1418" w:type="dxa"/>
            <w:vAlign w:val="bottom"/>
          </w:tcPr>
          <w:p w:rsidR="000C0A41" w:rsidRPr="003812BB" w:rsidRDefault="000C0A41" w:rsidP="00BD30B6">
            <w:pPr>
              <w:jc w:val="center"/>
              <w:cnfStyle w:val="000000100000" w:firstRow="0" w:lastRow="0" w:firstColumn="0" w:lastColumn="0" w:oddVBand="0" w:evenVBand="0" w:oddHBand="1" w:evenHBand="0" w:firstRowFirstColumn="0" w:firstRowLastColumn="0" w:lastRowFirstColumn="0" w:lastRowLastColumn="0"/>
              <w:rPr>
                <w:lang w:eastAsia="en-GB"/>
              </w:rPr>
            </w:pPr>
            <w:r>
              <w:rPr>
                <w:rFonts w:ascii="Calibri" w:hAnsi="Calibri"/>
                <w:color w:val="000000"/>
              </w:rPr>
              <w:t>67040</w:t>
            </w:r>
          </w:p>
        </w:tc>
      </w:tr>
      <w:tr w:rsidR="000C0A41" w:rsidRPr="003812BB" w:rsidTr="00A73FAF">
        <w:trPr>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vAlign w:val="bottom"/>
          </w:tcPr>
          <w:p w:rsidR="000C0A41" w:rsidRPr="003812BB" w:rsidRDefault="000C0A41" w:rsidP="00BD30B6">
            <w:pPr>
              <w:cnfStyle w:val="000000000000" w:firstRow="0" w:lastRow="0" w:firstColumn="0" w:lastColumn="0" w:oddVBand="0" w:evenVBand="0" w:oddHBand="0" w:evenHBand="0" w:firstRowFirstColumn="0" w:firstRowLastColumn="0" w:lastRowFirstColumn="0" w:lastRowLastColumn="0"/>
              <w:rPr>
                <w:lang w:eastAsia="en-GB"/>
              </w:rPr>
            </w:pPr>
            <w:r>
              <w:rPr>
                <w:rFonts w:ascii="Calibri" w:hAnsi="Calibri"/>
                <w:color w:val="000000"/>
              </w:rPr>
              <w:t>zonal bullous emphysema</w:t>
            </w:r>
          </w:p>
        </w:tc>
        <w:tc>
          <w:tcPr>
            <w:tcW w:w="1418" w:type="dxa"/>
            <w:vAlign w:val="bottom"/>
          </w:tcPr>
          <w:p w:rsidR="000C0A41" w:rsidRPr="003812BB" w:rsidRDefault="000C0A41" w:rsidP="00BD30B6">
            <w:pPr>
              <w:jc w:val="center"/>
              <w:cnfStyle w:val="000000000000" w:firstRow="0" w:lastRow="0" w:firstColumn="0" w:lastColumn="0" w:oddVBand="0" w:evenVBand="0" w:oddHBand="0" w:evenHBand="0" w:firstRowFirstColumn="0" w:firstRowLastColumn="0" w:lastRowFirstColumn="0" w:lastRowLastColumn="0"/>
              <w:rPr>
                <w:lang w:eastAsia="en-GB"/>
              </w:rPr>
            </w:pPr>
            <w:r>
              <w:rPr>
                <w:rFonts w:ascii="Calibri" w:hAnsi="Calibri"/>
                <w:color w:val="000000"/>
              </w:rPr>
              <w:t>68662</w:t>
            </w:r>
          </w:p>
        </w:tc>
      </w:tr>
      <w:tr w:rsidR="000C0A41" w:rsidRPr="003812BB" w:rsidTr="00A73F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vAlign w:val="bottom"/>
          </w:tcPr>
          <w:p w:rsidR="000C0A41" w:rsidRPr="003812BB" w:rsidRDefault="000C0A41" w:rsidP="00BD30B6">
            <w:pPr>
              <w:cnfStyle w:val="000000100000" w:firstRow="0" w:lastRow="0" w:firstColumn="0" w:lastColumn="0" w:oddVBand="0" w:evenVBand="0" w:oddHBand="1" w:evenHBand="0" w:firstRowFirstColumn="0" w:firstRowLastColumn="0" w:lastRowFirstColumn="0" w:lastRowLastColumn="0"/>
              <w:rPr>
                <w:lang w:eastAsia="en-GB"/>
              </w:rPr>
            </w:pPr>
            <w:r>
              <w:rPr>
                <w:rFonts w:ascii="Calibri" w:hAnsi="Calibri"/>
                <w:color w:val="000000"/>
              </w:rPr>
              <w:t>very severe chronic obstructive pulmonary disease</w:t>
            </w:r>
          </w:p>
        </w:tc>
        <w:tc>
          <w:tcPr>
            <w:tcW w:w="1418" w:type="dxa"/>
            <w:vAlign w:val="bottom"/>
          </w:tcPr>
          <w:p w:rsidR="000C0A41" w:rsidRPr="003812BB" w:rsidRDefault="000C0A41" w:rsidP="00BD30B6">
            <w:pPr>
              <w:jc w:val="center"/>
              <w:cnfStyle w:val="000000100000" w:firstRow="0" w:lastRow="0" w:firstColumn="0" w:lastColumn="0" w:oddVBand="0" w:evenVBand="0" w:oddHBand="1" w:evenHBand="0" w:firstRowFirstColumn="0" w:firstRowLastColumn="0" w:lastRowFirstColumn="0" w:lastRowLastColumn="0"/>
              <w:rPr>
                <w:lang w:eastAsia="en-GB"/>
              </w:rPr>
            </w:pPr>
            <w:r>
              <w:rPr>
                <w:rFonts w:ascii="Calibri" w:hAnsi="Calibri"/>
                <w:color w:val="000000"/>
              </w:rPr>
              <w:t>93568</w:t>
            </w:r>
          </w:p>
        </w:tc>
      </w:tr>
      <w:tr w:rsidR="000C0A41" w:rsidRPr="003812BB" w:rsidTr="00A73FAF">
        <w:trPr>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vAlign w:val="bottom"/>
          </w:tcPr>
          <w:p w:rsidR="000C0A41" w:rsidRPr="003812BB" w:rsidRDefault="000C0A41" w:rsidP="00BD30B6">
            <w:pPr>
              <w:cnfStyle w:val="000000000000" w:firstRow="0" w:lastRow="0" w:firstColumn="0" w:lastColumn="0" w:oddVBand="0" w:evenVBand="0" w:oddHBand="0" w:evenHBand="0" w:firstRowFirstColumn="0" w:firstRowLastColumn="0" w:lastRowFirstColumn="0" w:lastRowLastColumn="0"/>
              <w:rPr>
                <w:lang w:eastAsia="en-GB"/>
              </w:rPr>
            </w:pPr>
            <w:r>
              <w:rPr>
                <w:rFonts w:ascii="Calibri" w:hAnsi="Calibri"/>
                <w:color w:val="000000"/>
              </w:rPr>
              <w:t>copd - enhanced services administration</w:t>
            </w:r>
          </w:p>
        </w:tc>
        <w:tc>
          <w:tcPr>
            <w:tcW w:w="1418" w:type="dxa"/>
            <w:vAlign w:val="bottom"/>
          </w:tcPr>
          <w:p w:rsidR="000C0A41" w:rsidRPr="003812BB" w:rsidRDefault="000C0A41" w:rsidP="00BD30B6">
            <w:pPr>
              <w:jc w:val="center"/>
              <w:cnfStyle w:val="000000000000" w:firstRow="0" w:lastRow="0" w:firstColumn="0" w:lastColumn="0" w:oddVBand="0" w:evenVBand="0" w:oddHBand="0" w:evenHBand="0" w:firstRowFirstColumn="0" w:firstRowLastColumn="0" w:lastRowFirstColumn="0" w:lastRowLastColumn="0"/>
              <w:rPr>
                <w:lang w:eastAsia="en-GB"/>
              </w:rPr>
            </w:pPr>
            <w:r>
              <w:rPr>
                <w:rFonts w:ascii="Calibri" w:hAnsi="Calibri"/>
                <w:color w:val="000000"/>
              </w:rPr>
              <w:t>97800</w:t>
            </w:r>
          </w:p>
        </w:tc>
      </w:tr>
      <w:tr w:rsidR="000C0A41" w:rsidRPr="003812BB" w:rsidTr="00A73F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vAlign w:val="bottom"/>
          </w:tcPr>
          <w:p w:rsidR="000C0A41" w:rsidRPr="003812BB" w:rsidRDefault="000C0A41" w:rsidP="00BD30B6">
            <w:pPr>
              <w:cnfStyle w:val="000000100000" w:firstRow="0" w:lastRow="0" w:firstColumn="0" w:lastColumn="0" w:oddVBand="0" w:evenVBand="0" w:oddHBand="1" w:evenHBand="0" w:firstRowFirstColumn="0" w:firstRowLastColumn="0" w:lastRowFirstColumn="0" w:lastRowLastColumn="0"/>
              <w:rPr>
                <w:lang w:eastAsia="en-GB"/>
              </w:rPr>
            </w:pPr>
            <w:r>
              <w:rPr>
                <w:rFonts w:ascii="Calibri" w:hAnsi="Calibri"/>
                <w:color w:val="000000"/>
              </w:rPr>
              <w:t>copd structured smoking assessment declined - enh serv admin</w:t>
            </w:r>
          </w:p>
        </w:tc>
        <w:tc>
          <w:tcPr>
            <w:tcW w:w="1418" w:type="dxa"/>
            <w:vAlign w:val="bottom"/>
          </w:tcPr>
          <w:p w:rsidR="000C0A41" w:rsidRPr="003812BB" w:rsidRDefault="000C0A41" w:rsidP="00BD30B6">
            <w:pPr>
              <w:jc w:val="center"/>
              <w:cnfStyle w:val="000000100000" w:firstRow="0" w:lastRow="0" w:firstColumn="0" w:lastColumn="0" w:oddVBand="0" w:evenVBand="0" w:oddHBand="1" w:evenHBand="0" w:firstRowFirstColumn="0" w:firstRowLastColumn="0" w:lastRowFirstColumn="0" w:lastRowLastColumn="0"/>
              <w:rPr>
                <w:lang w:eastAsia="en-GB"/>
              </w:rPr>
            </w:pPr>
            <w:r>
              <w:rPr>
                <w:rFonts w:ascii="Calibri" w:hAnsi="Calibri"/>
                <w:color w:val="000000"/>
              </w:rPr>
              <w:t>98283</w:t>
            </w:r>
          </w:p>
        </w:tc>
      </w:tr>
      <w:tr w:rsidR="000C0A41" w:rsidRPr="003812BB" w:rsidTr="00A73FAF">
        <w:trPr>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vAlign w:val="bottom"/>
          </w:tcPr>
          <w:p w:rsidR="000C0A41" w:rsidRPr="00C93FF0" w:rsidRDefault="000C0A41" w:rsidP="00BD30B6">
            <w:pPr>
              <w:cnfStyle w:val="000000000000" w:firstRow="0" w:lastRow="0" w:firstColumn="0" w:lastColumn="0" w:oddVBand="0" w:evenVBand="0" w:oddHBand="0" w:evenHBand="0" w:firstRowFirstColumn="0" w:firstRowLastColumn="0" w:lastRowFirstColumn="0" w:lastRowLastColumn="0"/>
              <w:rPr>
                <w:lang w:eastAsia="en-GB"/>
              </w:rPr>
            </w:pPr>
            <w:r>
              <w:rPr>
                <w:rFonts w:ascii="Calibri" w:hAnsi="Calibri"/>
                <w:color w:val="000000"/>
              </w:rPr>
              <w:t>refer copd structured smoking assessment - enhanc serv admin</w:t>
            </w:r>
          </w:p>
        </w:tc>
        <w:tc>
          <w:tcPr>
            <w:tcW w:w="1418" w:type="dxa"/>
            <w:vAlign w:val="bottom"/>
          </w:tcPr>
          <w:p w:rsidR="000C0A41" w:rsidRPr="003812BB" w:rsidRDefault="000C0A41" w:rsidP="00BD30B6">
            <w:pPr>
              <w:jc w:val="center"/>
              <w:cnfStyle w:val="000000000000" w:firstRow="0" w:lastRow="0" w:firstColumn="0" w:lastColumn="0" w:oddVBand="0" w:evenVBand="0" w:oddHBand="0" w:evenHBand="0" w:firstRowFirstColumn="0" w:firstRowLastColumn="0" w:lastRowFirstColumn="0" w:lastRowLastColumn="0"/>
              <w:rPr>
                <w:lang w:eastAsia="en-GB"/>
              </w:rPr>
            </w:pPr>
            <w:r>
              <w:rPr>
                <w:rFonts w:ascii="Calibri" w:hAnsi="Calibri"/>
                <w:color w:val="000000"/>
              </w:rPr>
              <w:t>98284</w:t>
            </w:r>
          </w:p>
        </w:tc>
      </w:tr>
      <w:tr w:rsidR="000C0A41" w:rsidRPr="003812BB" w:rsidTr="00A73F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vAlign w:val="bottom"/>
          </w:tcPr>
          <w:p w:rsidR="000C0A41" w:rsidRPr="003812BB" w:rsidRDefault="000C0A41" w:rsidP="00BD30B6">
            <w:pPr>
              <w:cnfStyle w:val="000000100000" w:firstRow="0" w:lastRow="0" w:firstColumn="0" w:lastColumn="0" w:oddVBand="0" w:evenVBand="0" w:oddHBand="1" w:evenHBand="0" w:firstRowFirstColumn="0" w:firstRowLastColumn="0" w:lastRowFirstColumn="0" w:lastRowLastColumn="0"/>
              <w:rPr>
                <w:lang w:eastAsia="en-GB"/>
              </w:rPr>
            </w:pPr>
            <w:r>
              <w:rPr>
                <w:rFonts w:ascii="Calibri" w:hAnsi="Calibri"/>
                <w:color w:val="000000"/>
              </w:rPr>
              <w:t>copd patient unsuitable for pulmonary rehab - enh serv admin</w:t>
            </w:r>
          </w:p>
        </w:tc>
        <w:tc>
          <w:tcPr>
            <w:tcW w:w="1418" w:type="dxa"/>
            <w:vAlign w:val="bottom"/>
          </w:tcPr>
          <w:p w:rsidR="000C0A41" w:rsidRPr="003812BB" w:rsidRDefault="000C0A41" w:rsidP="00BD30B6">
            <w:pPr>
              <w:jc w:val="center"/>
              <w:cnfStyle w:val="000000100000" w:firstRow="0" w:lastRow="0" w:firstColumn="0" w:lastColumn="0" w:oddVBand="0" w:evenVBand="0" w:oddHBand="1" w:evenHBand="0" w:firstRowFirstColumn="0" w:firstRowLastColumn="0" w:lastRowFirstColumn="0" w:lastRowLastColumn="0"/>
              <w:rPr>
                <w:lang w:eastAsia="en-GB"/>
              </w:rPr>
            </w:pPr>
            <w:r>
              <w:rPr>
                <w:rFonts w:ascii="Calibri" w:hAnsi="Calibri"/>
                <w:color w:val="000000"/>
              </w:rPr>
              <w:t>99948</w:t>
            </w:r>
          </w:p>
        </w:tc>
      </w:tr>
      <w:tr w:rsidR="000C0A41" w:rsidRPr="003812BB" w:rsidTr="00A73FAF">
        <w:trPr>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vAlign w:val="bottom"/>
          </w:tcPr>
          <w:p w:rsidR="000C0A41" w:rsidRPr="003812BB" w:rsidRDefault="000C0A41" w:rsidP="00BD30B6">
            <w:pPr>
              <w:cnfStyle w:val="000000000000" w:firstRow="0" w:lastRow="0" w:firstColumn="0" w:lastColumn="0" w:oddVBand="0" w:evenVBand="0" w:oddHBand="0" w:evenHBand="0" w:firstRowFirstColumn="0" w:firstRowLastColumn="0" w:lastRowFirstColumn="0" w:lastRowLastColumn="0"/>
              <w:rPr>
                <w:lang w:eastAsia="en-GB"/>
              </w:rPr>
            </w:pPr>
            <w:r>
              <w:rPr>
                <w:rFonts w:ascii="Calibri" w:hAnsi="Calibri"/>
                <w:color w:val="000000"/>
              </w:rPr>
              <w:t>clinical chronic obstructive pulmonary disease questionnaire</w:t>
            </w:r>
          </w:p>
        </w:tc>
        <w:tc>
          <w:tcPr>
            <w:tcW w:w="1418" w:type="dxa"/>
            <w:vAlign w:val="bottom"/>
          </w:tcPr>
          <w:p w:rsidR="000C0A41" w:rsidRPr="003812BB" w:rsidRDefault="000C0A41" w:rsidP="00BD30B6">
            <w:pPr>
              <w:jc w:val="center"/>
              <w:cnfStyle w:val="000000000000" w:firstRow="0" w:lastRow="0" w:firstColumn="0" w:lastColumn="0" w:oddVBand="0" w:evenVBand="0" w:oddHBand="0" w:evenHBand="0" w:firstRowFirstColumn="0" w:firstRowLastColumn="0" w:lastRowFirstColumn="0" w:lastRowLastColumn="0"/>
              <w:rPr>
                <w:lang w:eastAsia="en-GB"/>
              </w:rPr>
            </w:pPr>
            <w:r>
              <w:rPr>
                <w:rFonts w:ascii="Calibri" w:hAnsi="Calibri"/>
                <w:color w:val="000000"/>
              </w:rPr>
              <w:t>100877</w:t>
            </w:r>
          </w:p>
        </w:tc>
      </w:tr>
      <w:tr w:rsidR="000C0A41" w:rsidRPr="003812BB" w:rsidTr="00A73F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vAlign w:val="bottom"/>
          </w:tcPr>
          <w:p w:rsidR="000C0A41" w:rsidRPr="003812BB" w:rsidRDefault="000C0A41" w:rsidP="00BD30B6">
            <w:pPr>
              <w:cnfStyle w:val="000000100000" w:firstRow="0" w:lastRow="0" w:firstColumn="0" w:lastColumn="0" w:oddVBand="0" w:evenVBand="0" w:oddHBand="1" w:evenHBand="0" w:firstRowFirstColumn="0" w:firstRowLastColumn="0" w:lastRowFirstColumn="0" w:lastRowLastColumn="0"/>
              <w:rPr>
                <w:lang w:eastAsia="en-GB"/>
              </w:rPr>
            </w:pPr>
            <w:r>
              <w:rPr>
                <w:rFonts w:ascii="Calibri" w:hAnsi="Calibri"/>
                <w:color w:val="000000"/>
              </w:rPr>
              <w:t>issue of chronic obstructive pulmonary disease rescue pack</w:t>
            </w:r>
          </w:p>
        </w:tc>
        <w:tc>
          <w:tcPr>
            <w:tcW w:w="1418" w:type="dxa"/>
            <w:vAlign w:val="bottom"/>
          </w:tcPr>
          <w:p w:rsidR="000C0A41" w:rsidRPr="003812BB" w:rsidRDefault="000C0A41" w:rsidP="00BD30B6">
            <w:pPr>
              <w:jc w:val="center"/>
              <w:cnfStyle w:val="000000100000" w:firstRow="0" w:lastRow="0" w:firstColumn="0" w:lastColumn="0" w:oddVBand="0" w:evenVBand="0" w:oddHBand="1" w:evenHBand="0" w:firstRowFirstColumn="0" w:firstRowLastColumn="0" w:lastRowFirstColumn="0" w:lastRowLastColumn="0"/>
              <w:rPr>
                <w:lang w:eastAsia="en-GB"/>
              </w:rPr>
            </w:pPr>
            <w:r>
              <w:rPr>
                <w:rFonts w:ascii="Calibri" w:hAnsi="Calibri"/>
                <w:color w:val="000000"/>
              </w:rPr>
              <w:t>101042</w:t>
            </w:r>
          </w:p>
        </w:tc>
      </w:tr>
      <w:tr w:rsidR="000C0A41" w:rsidRPr="003812BB" w:rsidTr="00A73FAF">
        <w:trPr>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vAlign w:val="bottom"/>
          </w:tcPr>
          <w:p w:rsidR="000C0A41" w:rsidRPr="003812BB" w:rsidRDefault="000C0A41" w:rsidP="00BD30B6">
            <w:pPr>
              <w:cnfStyle w:val="000000000000" w:firstRow="0" w:lastRow="0" w:firstColumn="0" w:lastColumn="0" w:oddVBand="0" w:evenVBand="0" w:oddHBand="0" w:evenHBand="0" w:firstRowFirstColumn="0" w:firstRowLastColumn="0" w:lastRowFirstColumn="0" w:lastRowLastColumn="0"/>
              <w:rPr>
                <w:lang w:eastAsia="en-GB"/>
              </w:rPr>
            </w:pPr>
            <w:r>
              <w:rPr>
                <w:rFonts w:ascii="Calibri" w:hAnsi="Calibri"/>
                <w:color w:val="000000"/>
              </w:rPr>
              <w:t>chronic obstructive pulmonary disease 3 monthly review</w:t>
            </w:r>
          </w:p>
        </w:tc>
        <w:tc>
          <w:tcPr>
            <w:tcW w:w="1418" w:type="dxa"/>
            <w:vAlign w:val="bottom"/>
          </w:tcPr>
          <w:p w:rsidR="000C0A41" w:rsidRPr="003812BB" w:rsidRDefault="000C0A41" w:rsidP="00BD30B6">
            <w:pPr>
              <w:jc w:val="center"/>
              <w:cnfStyle w:val="000000000000" w:firstRow="0" w:lastRow="0" w:firstColumn="0" w:lastColumn="0" w:oddVBand="0" w:evenVBand="0" w:oddHBand="0" w:evenHBand="0" w:firstRowFirstColumn="0" w:firstRowLastColumn="0" w:lastRowFirstColumn="0" w:lastRowLastColumn="0"/>
              <w:rPr>
                <w:lang w:eastAsia="en-GB"/>
              </w:rPr>
            </w:pPr>
            <w:r>
              <w:rPr>
                <w:rFonts w:ascii="Calibri" w:hAnsi="Calibri"/>
                <w:color w:val="000000"/>
              </w:rPr>
              <w:t>102685</w:t>
            </w:r>
          </w:p>
        </w:tc>
      </w:tr>
      <w:tr w:rsidR="000C0A41" w:rsidRPr="003812BB" w:rsidTr="00A73F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vAlign w:val="bottom"/>
          </w:tcPr>
          <w:p w:rsidR="000C0A41" w:rsidRPr="003812BB" w:rsidRDefault="000C0A41" w:rsidP="00BD30B6">
            <w:pPr>
              <w:cnfStyle w:val="000000100000" w:firstRow="0" w:lastRow="0" w:firstColumn="0" w:lastColumn="0" w:oddVBand="0" w:evenVBand="0" w:oddHBand="1" w:evenHBand="0" w:firstRowFirstColumn="0" w:firstRowLastColumn="0" w:lastRowFirstColumn="0" w:lastRowLastColumn="0"/>
              <w:rPr>
                <w:lang w:eastAsia="en-GB"/>
              </w:rPr>
            </w:pPr>
            <w:r>
              <w:rPr>
                <w:rFonts w:ascii="Calibri" w:hAnsi="Calibri"/>
                <w:color w:val="000000"/>
              </w:rPr>
              <w:t>chronic obstructive pulmonary disease 6 monthly review</w:t>
            </w:r>
          </w:p>
        </w:tc>
        <w:tc>
          <w:tcPr>
            <w:tcW w:w="1418" w:type="dxa"/>
            <w:vAlign w:val="bottom"/>
          </w:tcPr>
          <w:p w:rsidR="000C0A41" w:rsidRPr="003812BB" w:rsidRDefault="000C0A41" w:rsidP="00BD30B6">
            <w:pPr>
              <w:jc w:val="center"/>
              <w:cnfStyle w:val="000000100000" w:firstRow="0" w:lastRow="0" w:firstColumn="0" w:lastColumn="0" w:oddVBand="0" w:evenVBand="0" w:oddHBand="1" w:evenHBand="0" w:firstRowFirstColumn="0" w:firstRowLastColumn="0" w:lastRowFirstColumn="0" w:lastRowLastColumn="0"/>
              <w:rPr>
                <w:lang w:eastAsia="en-GB"/>
              </w:rPr>
            </w:pPr>
            <w:r>
              <w:rPr>
                <w:rFonts w:ascii="Calibri" w:hAnsi="Calibri"/>
                <w:color w:val="000000"/>
              </w:rPr>
              <w:t>103007</w:t>
            </w:r>
          </w:p>
        </w:tc>
      </w:tr>
      <w:tr w:rsidR="000C0A41" w:rsidRPr="003812BB" w:rsidTr="00A73FAF">
        <w:trPr>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vAlign w:val="bottom"/>
          </w:tcPr>
          <w:p w:rsidR="000C0A41" w:rsidRPr="003812BB" w:rsidRDefault="000C0A41" w:rsidP="00BD30B6">
            <w:pPr>
              <w:cnfStyle w:val="000000000000" w:firstRow="0" w:lastRow="0" w:firstColumn="0" w:lastColumn="0" w:oddVBand="0" w:evenVBand="0" w:oddHBand="0" w:evenHBand="0" w:firstRowFirstColumn="0" w:firstRowLastColumn="0" w:lastRowFirstColumn="0" w:lastRowLastColumn="0"/>
              <w:rPr>
                <w:lang w:eastAsia="en-GB"/>
              </w:rPr>
            </w:pPr>
            <w:r>
              <w:rPr>
                <w:rFonts w:ascii="Calibri" w:hAnsi="Calibri"/>
                <w:color w:val="000000"/>
              </w:rPr>
              <w:t>referred for copd structured smoking assessment</w:t>
            </w:r>
          </w:p>
        </w:tc>
        <w:tc>
          <w:tcPr>
            <w:tcW w:w="1418" w:type="dxa"/>
            <w:vAlign w:val="bottom"/>
          </w:tcPr>
          <w:p w:rsidR="000C0A41" w:rsidRPr="003812BB" w:rsidRDefault="000C0A41" w:rsidP="00BD30B6">
            <w:pPr>
              <w:jc w:val="center"/>
              <w:cnfStyle w:val="000000000000" w:firstRow="0" w:lastRow="0" w:firstColumn="0" w:lastColumn="0" w:oddVBand="0" w:evenVBand="0" w:oddHBand="0" w:evenHBand="0" w:firstRowFirstColumn="0" w:firstRowLastColumn="0" w:lastRowFirstColumn="0" w:lastRowLastColumn="0"/>
              <w:rPr>
                <w:lang w:eastAsia="en-GB"/>
              </w:rPr>
            </w:pPr>
            <w:r>
              <w:rPr>
                <w:rFonts w:ascii="Calibri" w:hAnsi="Calibri"/>
                <w:color w:val="000000"/>
              </w:rPr>
              <w:t>103400</w:t>
            </w:r>
          </w:p>
        </w:tc>
      </w:tr>
      <w:tr w:rsidR="000C0A41" w:rsidRPr="003812BB" w:rsidTr="00A73F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vAlign w:val="bottom"/>
          </w:tcPr>
          <w:p w:rsidR="000C0A41" w:rsidRPr="003812BB" w:rsidRDefault="000C0A41" w:rsidP="00BD30B6">
            <w:pPr>
              <w:cnfStyle w:val="000000100000" w:firstRow="0" w:lastRow="0" w:firstColumn="0" w:lastColumn="0" w:oddVBand="0" w:evenVBand="0" w:oddHBand="1" w:evenHBand="0" w:firstRowFirstColumn="0" w:firstRowLastColumn="0" w:lastRowFirstColumn="0" w:lastRowLastColumn="0"/>
              <w:rPr>
                <w:lang w:eastAsia="en-GB"/>
              </w:rPr>
            </w:pPr>
            <w:r>
              <w:rPr>
                <w:rFonts w:ascii="Calibri" w:hAnsi="Calibri"/>
                <w:color w:val="000000"/>
              </w:rPr>
              <w:t>copd structured smoking assessment declined</w:t>
            </w:r>
          </w:p>
        </w:tc>
        <w:tc>
          <w:tcPr>
            <w:tcW w:w="1418" w:type="dxa"/>
            <w:vAlign w:val="bottom"/>
          </w:tcPr>
          <w:p w:rsidR="000C0A41" w:rsidRPr="003812BB" w:rsidRDefault="000C0A41" w:rsidP="00BD30B6">
            <w:pPr>
              <w:jc w:val="center"/>
              <w:cnfStyle w:val="000000100000" w:firstRow="0" w:lastRow="0" w:firstColumn="0" w:lastColumn="0" w:oddVBand="0" w:evenVBand="0" w:oddHBand="1" w:evenHBand="0" w:firstRowFirstColumn="0" w:firstRowLastColumn="0" w:lastRowFirstColumn="0" w:lastRowLastColumn="0"/>
              <w:rPr>
                <w:lang w:eastAsia="en-GB"/>
              </w:rPr>
            </w:pPr>
            <w:r>
              <w:rPr>
                <w:rFonts w:ascii="Calibri" w:hAnsi="Calibri"/>
                <w:color w:val="000000"/>
              </w:rPr>
              <w:t>103760</w:t>
            </w:r>
          </w:p>
        </w:tc>
      </w:tr>
      <w:tr w:rsidR="000C0A41" w:rsidRPr="003812BB" w:rsidTr="00A73FAF">
        <w:trPr>
          <w:jc w:val="center"/>
        </w:trPr>
        <w:tc>
          <w:tcPr>
            <w:cnfStyle w:val="001000000000" w:firstRow="0" w:lastRow="0" w:firstColumn="1" w:lastColumn="0" w:oddVBand="0" w:evenVBand="0" w:oddHBand="0" w:evenHBand="0" w:firstRowFirstColumn="0" w:firstRowLastColumn="0" w:lastRowFirstColumn="0" w:lastRowLastColumn="0"/>
            <w:tcW w:w="1645" w:type="dxa"/>
            <w:vMerge/>
            <w:tcBorders>
              <w:bottom w:val="single" w:sz="4" w:space="0" w:color="auto"/>
            </w:tcBorders>
            <w:vAlign w:val="center"/>
          </w:tcPr>
          <w:p w:rsidR="000C0A41" w:rsidRPr="003812BB" w:rsidRDefault="000C0A41" w:rsidP="00BD30B6">
            <w:pPr>
              <w:rPr>
                <w:lang w:eastAsia="en-GB"/>
              </w:rPr>
            </w:pPr>
          </w:p>
        </w:tc>
        <w:tc>
          <w:tcPr>
            <w:tcW w:w="5721" w:type="dxa"/>
            <w:noWrap/>
            <w:vAlign w:val="bottom"/>
          </w:tcPr>
          <w:p w:rsidR="000C0A41" w:rsidRPr="003812BB" w:rsidRDefault="000C0A41" w:rsidP="00BD30B6">
            <w:pPr>
              <w:cnfStyle w:val="000000000000" w:firstRow="0" w:lastRow="0" w:firstColumn="0" w:lastColumn="0" w:oddVBand="0" w:evenVBand="0" w:oddHBand="0" w:evenHBand="0" w:firstRowFirstColumn="0" w:firstRowLastColumn="0" w:lastRowFirstColumn="0" w:lastRowLastColumn="0"/>
              <w:rPr>
                <w:lang w:eastAsia="en-GB"/>
              </w:rPr>
            </w:pPr>
            <w:r>
              <w:rPr>
                <w:rFonts w:ascii="Calibri" w:hAnsi="Calibri"/>
                <w:color w:val="000000"/>
              </w:rPr>
              <w:t>copd patient unsuitable for pulmonary rehabilitation</w:t>
            </w:r>
          </w:p>
        </w:tc>
        <w:tc>
          <w:tcPr>
            <w:tcW w:w="1418" w:type="dxa"/>
            <w:vAlign w:val="bottom"/>
          </w:tcPr>
          <w:p w:rsidR="000C0A41" w:rsidRPr="003812BB" w:rsidRDefault="000C0A41" w:rsidP="00BD30B6">
            <w:pPr>
              <w:jc w:val="center"/>
              <w:cnfStyle w:val="000000000000" w:firstRow="0" w:lastRow="0" w:firstColumn="0" w:lastColumn="0" w:oddVBand="0" w:evenVBand="0" w:oddHBand="0" w:evenHBand="0" w:firstRowFirstColumn="0" w:firstRowLastColumn="0" w:lastRowFirstColumn="0" w:lastRowLastColumn="0"/>
              <w:rPr>
                <w:lang w:eastAsia="en-GB"/>
              </w:rPr>
            </w:pPr>
            <w:r>
              <w:rPr>
                <w:rFonts w:ascii="Calibri" w:hAnsi="Calibri"/>
                <w:color w:val="000000"/>
              </w:rPr>
              <w:t>103864</w:t>
            </w:r>
          </w:p>
        </w:tc>
      </w:tr>
      <w:tr w:rsidR="000C0A41" w:rsidRPr="003812BB" w:rsidTr="00A73F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5" w:type="dxa"/>
            <w:vMerge w:val="restart"/>
            <w:tcBorders>
              <w:top w:val="single" w:sz="4" w:space="0" w:color="auto"/>
            </w:tcBorders>
            <w:vAlign w:val="center"/>
          </w:tcPr>
          <w:p w:rsidR="000C0A41" w:rsidRPr="003812BB" w:rsidRDefault="000C0A41" w:rsidP="00BD30B6">
            <w:pPr>
              <w:rPr>
                <w:lang w:eastAsia="en-GB"/>
              </w:rPr>
            </w:pPr>
            <w:r>
              <w:rPr>
                <w:lang w:eastAsia="en-GB"/>
              </w:rPr>
              <w:t>Cough</w:t>
            </w:r>
          </w:p>
        </w:tc>
        <w:tc>
          <w:tcPr>
            <w:tcW w:w="5721" w:type="dxa"/>
            <w:noWrap/>
          </w:tcPr>
          <w:p w:rsidR="000C0A41" w:rsidRPr="003812BB" w:rsidRDefault="000C0A41" w:rsidP="00BD30B6">
            <w:pPr>
              <w:cnfStyle w:val="000000100000" w:firstRow="0" w:lastRow="0" w:firstColumn="0" w:lastColumn="0" w:oddVBand="0" w:evenVBand="0" w:oddHBand="1" w:evenHBand="0" w:firstRowFirstColumn="0" w:firstRowLastColumn="0" w:lastRowFirstColumn="0" w:lastRowLastColumn="0"/>
              <w:rPr>
                <w:lang w:eastAsia="en-GB"/>
              </w:rPr>
            </w:pPr>
            <w:r w:rsidRPr="0055590B">
              <w:t>cough</w:t>
            </w:r>
          </w:p>
        </w:tc>
        <w:tc>
          <w:tcPr>
            <w:tcW w:w="1418" w:type="dxa"/>
          </w:tcPr>
          <w:p w:rsidR="000C0A41" w:rsidRPr="003812BB" w:rsidRDefault="000C0A41" w:rsidP="00BD30B6">
            <w:pPr>
              <w:jc w:val="center"/>
              <w:cnfStyle w:val="000000100000" w:firstRow="0" w:lastRow="0" w:firstColumn="0" w:lastColumn="0" w:oddVBand="0" w:evenVBand="0" w:oddHBand="1" w:evenHBand="0" w:firstRowFirstColumn="0" w:firstRowLastColumn="0" w:lastRowFirstColumn="0" w:lastRowLastColumn="0"/>
              <w:rPr>
                <w:lang w:eastAsia="en-GB"/>
              </w:rPr>
            </w:pPr>
            <w:r w:rsidRPr="00092B09">
              <w:t>92</w:t>
            </w:r>
          </w:p>
        </w:tc>
      </w:tr>
      <w:tr w:rsidR="000C0A41" w:rsidRPr="003812BB" w:rsidTr="00A73FAF">
        <w:trPr>
          <w:jc w:val="center"/>
        </w:trPr>
        <w:tc>
          <w:tcPr>
            <w:cnfStyle w:val="001000000000" w:firstRow="0" w:lastRow="0" w:firstColumn="1" w:lastColumn="0" w:oddVBand="0" w:evenVBand="0" w:oddHBand="0" w:evenHBand="0" w:firstRowFirstColumn="0" w:firstRowLastColumn="0" w:lastRowFirstColumn="0" w:lastRowLastColumn="0"/>
            <w:tcW w:w="1645" w:type="dxa"/>
            <w:vMerge/>
            <w:shd w:val="clear" w:color="auto" w:fill="DEEAF6" w:themeFill="accent1" w:themeFillTint="33"/>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000000" w:firstRow="0" w:lastRow="0" w:firstColumn="0" w:lastColumn="0" w:oddVBand="0" w:evenVBand="0" w:oddHBand="0" w:evenHBand="0" w:firstRowFirstColumn="0" w:firstRowLastColumn="0" w:lastRowFirstColumn="0" w:lastRowLastColumn="0"/>
              <w:rPr>
                <w:lang w:eastAsia="en-GB"/>
              </w:rPr>
            </w:pPr>
            <w:r w:rsidRPr="0055590B">
              <w:t>chesty cough</w:t>
            </w:r>
          </w:p>
        </w:tc>
        <w:tc>
          <w:tcPr>
            <w:tcW w:w="1418" w:type="dxa"/>
          </w:tcPr>
          <w:p w:rsidR="000C0A41" w:rsidRPr="003812BB" w:rsidRDefault="000C0A41" w:rsidP="00BD30B6">
            <w:pPr>
              <w:jc w:val="center"/>
              <w:cnfStyle w:val="000000000000" w:firstRow="0" w:lastRow="0" w:firstColumn="0" w:lastColumn="0" w:oddVBand="0" w:evenVBand="0" w:oddHBand="0" w:evenHBand="0" w:firstRowFirstColumn="0" w:firstRowLastColumn="0" w:lastRowFirstColumn="0" w:lastRowLastColumn="0"/>
              <w:rPr>
                <w:lang w:eastAsia="en-GB"/>
              </w:rPr>
            </w:pPr>
            <w:r w:rsidRPr="00092B09">
              <w:t>292</w:t>
            </w:r>
          </w:p>
        </w:tc>
      </w:tr>
      <w:tr w:rsidR="000C0A41" w:rsidRPr="003812BB" w:rsidTr="00A73F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100000" w:firstRow="0" w:lastRow="0" w:firstColumn="0" w:lastColumn="0" w:oddVBand="0" w:evenVBand="0" w:oddHBand="1" w:evenHBand="0" w:firstRowFirstColumn="0" w:firstRowLastColumn="0" w:lastRowFirstColumn="0" w:lastRowLastColumn="0"/>
              <w:rPr>
                <w:lang w:eastAsia="en-GB"/>
              </w:rPr>
            </w:pPr>
            <w:r w:rsidRPr="0055590B">
              <w:t>bronchial cough</w:t>
            </w:r>
          </w:p>
        </w:tc>
        <w:tc>
          <w:tcPr>
            <w:tcW w:w="1418" w:type="dxa"/>
          </w:tcPr>
          <w:p w:rsidR="000C0A41" w:rsidRPr="003812BB" w:rsidRDefault="000C0A41" w:rsidP="00BD30B6">
            <w:pPr>
              <w:jc w:val="center"/>
              <w:cnfStyle w:val="000000100000" w:firstRow="0" w:lastRow="0" w:firstColumn="0" w:lastColumn="0" w:oddVBand="0" w:evenVBand="0" w:oddHBand="1" w:evenHBand="0" w:firstRowFirstColumn="0" w:firstRowLastColumn="0" w:lastRowFirstColumn="0" w:lastRowLastColumn="0"/>
              <w:rPr>
                <w:lang w:eastAsia="en-GB"/>
              </w:rPr>
            </w:pPr>
            <w:r w:rsidRPr="00092B09">
              <w:t>1025</w:t>
            </w:r>
          </w:p>
        </w:tc>
      </w:tr>
      <w:tr w:rsidR="000C0A41" w:rsidRPr="003812BB" w:rsidTr="00A73FAF">
        <w:trPr>
          <w:jc w:val="center"/>
        </w:trPr>
        <w:tc>
          <w:tcPr>
            <w:cnfStyle w:val="001000000000" w:firstRow="0" w:lastRow="0" w:firstColumn="1" w:lastColumn="0" w:oddVBand="0" w:evenVBand="0" w:oddHBand="0" w:evenHBand="0" w:firstRowFirstColumn="0" w:firstRowLastColumn="0" w:lastRowFirstColumn="0" w:lastRowLastColumn="0"/>
            <w:tcW w:w="1645" w:type="dxa"/>
            <w:vMerge/>
            <w:shd w:val="clear" w:color="auto" w:fill="DEEAF6" w:themeFill="accent1" w:themeFillTint="33"/>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000000" w:firstRow="0" w:lastRow="0" w:firstColumn="0" w:lastColumn="0" w:oddVBand="0" w:evenVBand="0" w:oddHBand="0" w:evenHBand="0" w:firstRowFirstColumn="0" w:firstRowLastColumn="0" w:lastRowFirstColumn="0" w:lastRowLastColumn="0"/>
              <w:rPr>
                <w:lang w:eastAsia="en-GB"/>
              </w:rPr>
            </w:pPr>
            <w:r w:rsidRPr="0055590B">
              <w:t>[d]cough</w:t>
            </w:r>
          </w:p>
        </w:tc>
        <w:tc>
          <w:tcPr>
            <w:tcW w:w="1418" w:type="dxa"/>
          </w:tcPr>
          <w:p w:rsidR="000C0A41" w:rsidRPr="003812BB" w:rsidRDefault="000C0A41" w:rsidP="00BD30B6">
            <w:pPr>
              <w:jc w:val="center"/>
              <w:cnfStyle w:val="000000000000" w:firstRow="0" w:lastRow="0" w:firstColumn="0" w:lastColumn="0" w:oddVBand="0" w:evenVBand="0" w:oddHBand="0" w:evenHBand="0" w:firstRowFirstColumn="0" w:firstRowLastColumn="0" w:lastRowFirstColumn="0" w:lastRowLastColumn="0"/>
              <w:rPr>
                <w:lang w:eastAsia="en-GB"/>
              </w:rPr>
            </w:pPr>
            <w:r w:rsidRPr="00092B09">
              <w:t>1160</w:t>
            </w:r>
          </w:p>
        </w:tc>
      </w:tr>
      <w:tr w:rsidR="000C0A41" w:rsidRPr="003812BB" w:rsidTr="00A73F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100000" w:firstRow="0" w:lastRow="0" w:firstColumn="0" w:lastColumn="0" w:oddVBand="0" w:evenVBand="0" w:oddHBand="1" w:evenHBand="0" w:firstRowFirstColumn="0" w:firstRowLastColumn="0" w:lastRowFirstColumn="0" w:lastRowLastColumn="0"/>
              <w:rPr>
                <w:lang w:eastAsia="en-GB"/>
              </w:rPr>
            </w:pPr>
            <w:r w:rsidRPr="0055590B">
              <w:t>productive cough nos</w:t>
            </w:r>
          </w:p>
        </w:tc>
        <w:tc>
          <w:tcPr>
            <w:tcW w:w="1418" w:type="dxa"/>
          </w:tcPr>
          <w:p w:rsidR="000C0A41" w:rsidRPr="003812BB" w:rsidRDefault="000C0A41" w:rsidP="00BD30B6">
            <w:pPr>
              <w:jc w:val="center"/>
              <w:cnfStyle w:val="000000100000" w:firstRow="0" w:lastRow="0" w:firstColumn="0" w:lastColumn="0" w:oddVBand="0" w:evenVBand="0" w:oddHBand="1" w:evenHBand="0" w:firstRowFirstColumn="0" w:firstRowLastColumn="0" w:lastRowFirstColumn="0" w:lastRowLastColumn="0"/>
              <w:rPr>
                <w:lang w:eastAsia="en-GB"/>
              </w:rPr>
            </w:pPr>
            <w:r w:rsidRPr="00092B09">
              <w:t>1234</w:t>
            </w:r>
          </w:p>
        </w:tc>
      </w:tr>
      <w:tr w:rsidR="000C0A41" w:rsidRPr="003812BB" w:rsidTr="00A73FAF">
        <w:trPr>
          <w:jc w:val="center"/>
        </w:trPr>
        <w:tc>
          <w:tcPr>
            <w:cnfStyle w:val="001000000000" w:firstRow="0" w:lastRow="0" w:firstColumn="1" w:lastColumn="0" w:oddVBand="0" w:evenVBand="0" w:oddHBand="0" w:evenHBand="0" w:firstRowFirstColumn="0" w:firstRowLastColumn="0" w:lastRowFirstColumn="0" w:lastRowLastColumn="0"/>
            <w:tcW w:w="1645" w:type="dxa"/>
            <w:vMerge/>
            <w:shd w:val="clear" w:color="auto" w:fill="DEEAF6" w:themeFill="accent1" w:themeFillTint="33"/>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000000" w:firstRow="0" w:lastRow="0" w:firstColumn="0" w:lastColumn="0" w:oddVBand="0" w:evenVBand="0" w:oddHBand="0" w:evenHBand="0" w:firstRowFirstColumn="0" w:firstRowLastColumn="0" w:lastRowFirstColumn="0" w:lastRowLastColumn="0"/>
              <w:rPr>
                <w:lang w:eastAsia="en-GB"/>
              </w:rPr>
            </w:pPr>
            <w:r w:rsidRPr="0055590B">
              <w:t>c/o - cough</w:t>
            </w:r>
          </w:p>
        </w:tc>
        <w:tc>
          <w:tcPr>
            <w:tcW w:w="1418" w:type="dxa"/>
          </w:tcPr>
          <w:p w:rsidR="000C0A41" w:rsidRPr="003812BB" w:rsidRDefault="000C0A41" w:rsidP="00BD30B6">
            <w:pPr>
              <w:jc w:val="center"/>
              <w:cnfStyle w:val="000000000000" w:firstRow="0" w:lastRow="0" w:firstColumn="0" w:lastColumn="0" w:oddVBand="0" w:evenVBand="0" w:oddHBand="0" w:evenHBand="0" w:firstRowFirstColumn="0" w:firstRowLastColumn="0" w:lastRowFirstColumn="0" w:lastRowLastColumn="0"/>
              <w:rPr>
                <w:lang w:eastAsia="en-GB"/>
              </w:rPr>
            </w:pPr>
            <w:r w:rsidRPr="00092B09">
              <w:t>1273</w:t>
            </w:r>
          </w:p>
        </w:tc>
      </w:tr>
      <w:tr w:rsidR="000C0A41" w:rsidRPr="003812BB" w:rsidTr="00A73F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100000" w:firstRow="0" w:lastRow="0" w:firstColumn="0" w:lastColumn="0" w:oddVBand="0" w:evenVBand="0" w:oddHBand="1" w:evenHBand="0" w:firstRowFirstColumn="0" w:firstRowLastColumn="0" w:lastRowFirstColumn="0" w:lastRowLastColumn="0"/>
              <w:rPr>
                <w:lang w:eastAsia="en-GB"/>
              </w:rPr>
            </w:pPr>
            <w:r w:rsidRPr="0055590B">
              <w:t>chronic cough</w:t>
            </w:r>
          </w:p>
        </w:tc>
        <w:tc>
          <w:tcPr>
            <w:tcW w:w="1418" w:type="dxa"/>
          </w:tcPr>
          <w:p w:rsidR="000C0A41" w:rsidRPr="003812BB" w:rsidRDefault="000C0A41" w:rsidP="00BD30B6">
            <w:pPr>
              <w:jc w:val="center"/>
              <w:cnfStyle w:val="000000100000" w:firstRow="0" w:lastRow="0" w:firstColumn="0" w:lastColumn="0" w:oddVBand="0" w:evenVBand="0" w:oddHBand="1" w:evenHBand="0" w:firstRowFirstColumn="0" w:firstRowLastColumn="0" w:lastRowFirstColumn="0" w:lastRowLastColumn="0"/>
              <w:rPr>
                <w:lang w:eastAsia="en-GB"/>
              </w:rPr>
            </w:pPr>
            <w:r w:rsidRPr="00092B09">
              <w:t>1612</w:t>
            </w:r>
          </w:p>
        </w:tc>
      </w:tr>
      <w:tr w:rsidR="000C0A41" w:rsidRPr="003812BB" w:rsidTr="00A73FAF">
        <w:trPr>
          <w:jc w:val="center"/>
        </w:trPr>
        <w:tc>
          <w:tcPr>
            <w:cnfStyle w:val="001000000000" w:firstRow="0" w:lastRow="0" w:firstColumn="1" w:lastColumn="0" w:oddVBand="0" w:evenVBand="0" w:oddHBand="0" w:evenHBand="0" w:firstRowFirstColumn="0" w:firstRowLastColumn="0" w:lastRowFirstColumn="0" w:lastRowLastColumn="0"/>
            <w:tcW w:w="1645" w:type="dxa"/>
            <w:vMerge/>
            <w:shd w:val="clear" w:color="auto" w:fill="DEEAF6" w:themeFill="accent1" w:themeFillTint="33"/>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000000" w:firstRow="0" w:lastRow="0" w:firstColumn="0" w:lastColumn="0" w:oddVBand="0" w:evenVBand="0" w:oddHBand="0" w:evenHBand="0" w:firstRowFirstColumn="0" w:firstRowLastColumn="0" w:lastRowFirstColumn="0" w:lastRowLastColumn="0"/>
              <w:rPr>
                <w:lang w:eastAsia="en-GB"/>
              </w:rPr>
            </w:pPr>
            <w:r w:rsidRPr="0055590B">
              <w:t>night cough present</w:t>
            </w:r>
          </w:p>
        </w:tc>
        <w:tc>
          <w:tcPr>
            <w:tcW w:w="1418" w:type="dxa"/>
          </w:tcPr>
          <w:p w:rsidR="000C0A41" w:rsidRPr="003812BB" w:rsidRDefault="000C0A41" w:rsidP="00BD30B6">
            <w:pPr>
              <w:jc w:val="center"/>
              <w:cnfStyle w:val="000000000000" w:firstRow="0" w:lastRow="0" w:firstColumn="0" w:lastColumn="0" w:oddVBand="0" w:evenVBand="0" w:oddHBand="0" w:evenHBand="0" w:firstRowFirstColumn="0" w:firstRowLastColumn="0" w:lastRowFirstColumn="0" w:lastRowLastColumn="0"/>
              <w:rPr>
                <w:lang w:eastAsia="en-GB"/>
              </w:rPr>
            </w:pPr>
            <w:r w:rsidRPr="00092B09">
              <w:t>3068</w:t>
            </w:r>
          </w:p>
        </w:tc>
      </w:tr>
      <w:tr w:rsidR="000C0A41" w:rsidRPr="003812BB" w:rsidTr="00A73F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100000" w:firstRow="0" w:lastRow="0" w:firstColumn="0" w:lastColumn="0" w:oddVBand="0" w:evenVBand="0" w:oddHBand="1" w:evenHBand="0" w:firstRowFirstColumn="0" w:firstRowLastColumn="0" w:lastRowFirstColumn="0" w:lastRowLastColumn="0"/>
              <w:rPr>
                <w:lang w:eastAsia="en-GB"/>
              </w:rPr>
            </w:pPr>
            <w:r w:rsidRPr="0055590B">
              <w:t>persistent cough</w:t>
            </w:r>
          </w:p>
        </w:tc>
        <w:tc>
          <w:tcPr>
            <w:tcW w:w="1418" w:type="dxa"/>
          </w:tcPr>
          <w:p w:rsidR="000C0A41" w:rsidRPr="003812BB" w:rsidRDefault="000C0A41" w:rsidP="00BD30B6">
            <w:pPr>
              <w:jc w:val="center"/>
              <w:cnfStyle w:val="000000100000" w:firstRow="0" w:lastRow="0" w:firstColumn="0" w:lastColumn="0" w:oddVBand="0" w:evenVBand="0" w:oddHBand="1" w:evenHBand="0" w:firstRowFirstColumn="0" w:firstRowLastColumn="0" w:lastRowFirstColumn="0" w:lastRowLastColumn="0"/>
              <w:rPr>
                <w:lang w:eastAsia="en-GB"/>
              </w:rPr>
            </w:pPr>
            <w:r w:rsidRPr="00092B09">
              <w:t>3628</w:t>
            </w:r>
          </w:p>
        </w:tc>
      </w:tr>
      <w:tr w:rsidR="000C0A41" w:rsidRPr="003812BB" w:rsidTr="00A73FAF">
        <w:trPr>
          <w:jc w:val="center"/>
        </w:trPr>
        <w:tc>
          <w:tcPr>
            <w:cnfStyle w:val="001000000000" w:firstRow="0" w:lastRow="0" w:firstColumn="1" w:lastColumn="0" w:oddVBand="0" w:evenVBand="0" w:oddHBand="0" w:evenHBand="0" w:firstRowFirstColumn="0" w:firstRowLastColumn="0" w:lastRowFirstColumn="0" w:lastRowLastColumn="0"/>
            <w:tcW w:w="1645" w:type="dxa"/>
            <w:vMerge/>
            <w:shd w:val="clear" w:color="auto" w:fill="DEEAF6" w:themeFill="accent1" w:themeFillTint="33"/>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000000" w:firstRow="0" w:lastRow="0" w:firstColumn="0" w:lastColumn="0" w:oddVBand="0" w:evenVBand="0" w:oddHBand="0" w:evenHBand="0" w:firstRowFirstColumn="0" w:firstRowLastColumn="0" w:lastRowFirstColumn="0" w:lastRowLastColumn="0"/>
              <w:rPr>
                <w:lang w:eastAsia="en-GB"/>
              </w:rPr>
            </w:pPr>
            <w:r w:rsidRPr="0055590B">
              <w:t>coughing up phlegm</w:t>
            </w:r>
          </w:p>
        </w:tc>
        <w:tc>
          <w:tcPr>
            <w:tcW w:w="1418" w:type="dxa"/>
          </w:tcPr>
          <w:p w:rsidR="000C0A41" w:rsidRPr="003812BB" w:rsidRDefault="000C0A41" w:rsidP="00BD30B6">
            <w:pPr>
              <w:jc w:val="center"/>
              <w:cnfStyle w:val="000000000000" w:firstRow="0" w:lastRow="0" w:firstColumn="0" w:lastColumn="0" w:oddVBand="0" w:evenVBand="0" w:oddHBand="0" w:evenHBand="0" w:firstRowFirstColumn="0" w:firstRowLastColumn="0" w:lastRowFirstColumn="0" w:lastRowLastColumn="0"/>
              <w:rPr>
                <w:lang w:eastAsia="en-GB"/>
              </w:rPr>
            </w:pPr>
            <w:r w:rsidRPr="00092B09">
              <w:t>3645</w:t>
            </w:r>
          </w:p>
        </w:tc>
      </w:tr>
      <w:tr w:rsidR="000C0A41" w:rsidRPr="003812BB" w:rsidTr="00A73F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100000" w:firstRow="0" w:lastRow="0" w:firstColumn="0" w:lastColumn="0" w:oddVBand="0" w:evenVBand="0" w:oddHBand="1" w:evenHBand="0" w:firstRowFirstColumn="0" w:firstRowLastColumn="0" w:lastRowFirstColumn="0" w:lastRowLastColumn="0"/>
              <w:rPr>
                <w:lang w:eastAsia="en-GB"/>
              </w:rPr>
            </w:pPr>
            <w:r w:rsidRPr="0055590B">
              <w:t>morning cough</w:t>
            </w:r>
          </w:p>
        </w:tc>
        <w:tc>
          <w:tcPr>
            <w:tcW w:w="1418" w:type="dxa"/>
          </w:tcPr>
          <w:p w:rsidR="000C0A41" w:rsidRPr="003812BB" w:rsidRDefault="000C0A41" w:rsidP="00BD30B6">
            <w:pPr>
              <w:jc w:val="center"/>
              <w:cnfStyle w:val="000000100000" w:firstRow="0" w:lastRow="0" w:firstColumn="0" w:lastColumn="0" w:oddVBand="0" w:evenVBand="0" w:oddHBand="1" w:evenHBand="0" w:firstRowFirstColumn="0" w:firstRowLastColumn="0" w:lastRowFirstColumn="0" w:lastRowLastColumn="0"/>
              <w:rPr>
                <w:lang w:eastAsia="en-GB"/>
              </w:rPr>
            </w:pPr>
            <w:r w:rsidRPr="00092B09">
              <w:t>4070</w:t>
            </w:r>
          </w:p>
        </w:tc>
      </w:tr>
      <w:tr w:rsidR="000C0A41" w:rsidRPr="003812BB" w:rsidTr="00A73FAF">
        <w:trPr>
          <w:jc w:val="center"/>
        </w:trPr>
        <w:tc>
          <w:tcPr>
            <w:cnfStyle w:val="001000000000" w:firstRow="0" w:lastRow="0" w:firstColumn="1" w:lastColumn="0" w:oddVBand="0" w:evenVBand="0" w:oddHBand="0" w:evenHBand="0" w:firstRowFirstColumn="0" w:firstRowLastColumn="0" w:lastRowFirstColumn="0" w:lastRowLastColumn="0"/>
            <w:tcW w:w="1645" w:type="dxa"/>
            <w:vMerge/>
            <w:shd w:val="clear" w:color="auto" w:fill="DEEAF6" w:themeFill="accent1" w:themeFillTint="33"/>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000000" w:firstRow="0" w:lastRow="0" w:firstColumn="0" w:lastColumn="0" w:oddVBand="0" w:evenVBand="0" w:oddHBand="0" w:evenHBand="0" w:firstRowFirstColumn="0" w:firstRowLastColumn="0" w:lastRowFirstColumn="0" w:lastRowLastColumn="0"/>
              <w:rPr>
                <w:lang w:eastAsia="en-GB"/>
              </w:rPr>
            </w:pPr>
            <w:r w:rsidRPr="0055590B">
              <w:t>nocturnal cough / wheeze</w:t>
            </w:r>
          </w:p>
        </w:tc>
        <w:tc>
          <w:tcPr>
            <w:tcW w:w="1418" w:type="dxa"/>
          </w:tcPr>
          <w:p w:rsidR="000C0A41" w:rsidRPr="003812BB" w:rsidRDefault="000C0A41" w:rsidP="00BD30B6">
            <w:pPr>
              <w:jc w:val="center"/>
              <w:cnfStyle w:val="000000000000" w:firstRow="0" w:lastRow="0" w:firstColumn="0" w:lastColumn="0" w:oddVBand="0" w:evenVBand="0" w:oddHBand="0" w:evenHBand="0" w:firstRowFirstColumn="0" w:firstRowLastColumn="0" w:lastRowFirstColumn="0" w:lastRowLastColumn="0"/>
              <w:rPr>
                <w:lang w:eastAsia="en-GB"/>
              </w:rPr>
            </w:pPr>
            <w:r w:rsidRPr="00092B09">
              <w:t>4836</w:t>
            </w:r>
          </w:p>
        </w:tc>
      </w:tr>
      <w:tr w:rsidR="000C0A41" w:rsidRPr="003812BB" w:rsidTr="00A73F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100000" w:firstRow="0" w:lastRow="0" w:firstColumn="0" w:lastColumn="0" w:oddVBand="0" w:evenVBand="0" w:oddHBand="1" w:evenHBand="0" w:firstRowFirstColumn="0" w:firstRowLastColumn="0" w:lastRowFirstColumn="0" w:lastRowLastColumn="0"/>
              <w:rPr>
                <w:lang w:eastAsia="en-GB"/>
              </w:rPr>
            </w:pPr>
            <w:r w:rsidRPr="0055590B">
              <w:t>dry cough</w:t>
            </w:r>
          </w:p>
        </w:tc>
        <w:tc>
          <w:tcPr>
            <w:tcW w:w="1418" w:type="dxa"/>
          </w:tcPr>
          <w:p w:rsidR="000C0A41" w:rsidRPr="003812BB" w:rsidRDefault="000C0A41" w:rsidP="00BD30B6">
            <w:pPr>
              <w:jc w:val="center"/>
              <w:cnfStyle w:val="000000100000" w:firstRow="0" w:lastRow="0" w:firstColumn="0" w:lastColumn="0" w:oddVBand="0" w:evenVBand="0" w:oddHBand="1" w:evenHBand="0" w:firstRowFirstColumn="0" w:firstRowLastColumn="0" w:lastRowFirstColumn="0" w:lastRowLastColumn="0"/>
              <w:rPr>
                <w:lang w:eastAsia="en-GB"/>
              </w:rPr>
            </w:pPr>
            <w:r w:rsidRPr="00092B09">
              <w:t>4931</w:t>
            </w:r>
          </w:p>
        </w:tc>
      </w:tr>
      <w:tr w:rsidR="000C0A41" w:rsidRPr="003812BB" w:rsidTr="00A73FAF">
        <w:trPr>
          <w:jc w:val="center"/>
        </w:trPr>
        <w:tc>
          <w:tcPr>
            <w:cnfStyle w:val="001000000000" w:firstRow="0" w:lastRow="0" w:firstColumn="1" w:lastColumn="0" w:oddVBand="0" w:evenVBand="0" w:oddHBand="0" w:evenHBand="0" w:firstRowFirstColumn="0" w:firstRowLastColumn="0" w:lastRowFirstColumn="0" w:lastRowLastColumn="0"/>
            <w:tcW w:w="1645" w:type="dxa"/>
            <w:vMerge/>
            <w:shd w:val="clear" w:color="auto" w:fill="DEEAF6" w:themeFill="accent1" w:themeFillTint="33"/>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000000" w:firstRow="0" w:lastRow="0" w:firstColumn="0" w:lastColumn="0" w:oddVBand="0" w:evenVBand="0" w:oddHBand="0" w:evenHBand="0" w:firstRowFirstColumn="0" w:firstRowLastColumn="0" w:lastRowFirstColumn="0" w:lastRowLastColumn="0"/>
              <w:rPr>
                <w:lang w:eastAsia="en-GB"/>
              </w:rPr>
            </w:pPr>
            <w:r w:rsidRPr="0055590B">
              <w:t>productive cough -clear sputum</w:t>
            </w:r>
          </w:p>
        </w:tc>
        <w:tc>
          <w:tcPr>
            <w:tcW w:w="1418" w:type="dxa"/>
          </w:tcPr>
          <w:p w:rsidR="000C0A41" w:rsidRPr="003812BB" w:rsidRDefault="000C0A41" w:rsidP="00BD30B6">
            <w:pPr>
              <w:jc w:val="center"/>
              <w:cnfStyle w:val="000000000000" w:firstRow="0" w:lastRow="0" w:firstColumn="0" w:lastColumn="0" w:oddVBand="0" w:evenVBand="0" w:oddHBand="0" w:evenHBand="0" w:firstRowFirstColumn="0" w:firstRowLastColumn="0" w:lastRowFirstColumn="0" w:lastRowLastColumn="0"/>
              <w:rPr>
                <w:lang w:eastAsia="en-GB"/>
              </w:rPr>
            </w:pPr>
            <w:r w:rsidRPr="00092B09">
              <w:t>7706</w:t>
            </w:r>
          </w:p>
        </w:tc>
      </w:tr>
      <w:tr w:rsidR="000C0A41" w:rsidRPr="003812BB" w:rsidTr="00A73F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100000" w:firstRow="0" w:lastRow="0" w:firstColumn="0" w:lastColumn="0" w:oddVBand="0" w:evenVBand="0" w:oddHBand="1" w:evenHBand="0" w:firstRowFirstColumn="0" w:firstRowLastColumn="0" w:lastRowFirstColumn="0" w:lastRowLastColumn="0"/>
              <w:rPr>
                <w:lang w:eastAsia="en-GB"/>
              </w:rPr>
            </w:pPr>
            <w:r w:rsidRPr="0055590B">
              <w:t>cough symptom nos</w:t>
            </w:r>
          </w:p>
        </w:tc>
        <w:tc>
          <w:tcPr>
            <w:tcW w:w="1418" w:type="dxa"/>
          </w:tcPr>
          <w:p w:rsidR="000C0A41" w:rsidRPr="003812BB" w:rsidRDefault="000C0A41" w:rsidP="00BD30B6">
            <w:pPr>
              <w:jc w:val="center"/>
              <w:cnfStyle w:val="000000100000" w:firstRow="0" w:lastRow="0" w:firstColumn="0" w:lastColumn="0" w:oddVBand="0" w:evenVBand="0" w:oddHBand="1" w:evenHBand="0" w:firstRowFirstColumn="0" w:firstRowLastColumn="0" w:lastRowFirstColumn="0" w:lastRowLastColumn="0"/>
              <w:rPr>
                <w:lang w:eastAsia="en-GB"/>
              </w:rPr>
            </w:pPr>
            <w:r w:rsidRPr="00092B09">
              <w:t>7707</w:t>
            </w:r>
          </w:p>
        </w:tc>
      </w:tr>
      <w:tr w:rsidR="000C0A41" w:rsidRPr="003812BB" w:rsidTr="00A73FAF">
        <w:trPr>
          <w:jc w:val="center"/>
        </w:trPr>
        <w:tc>
          <w:tcPr>
            <w:cnfStyle w:val="001000000000" w:firstRow="0" w:lastRow="0" w:firstColumn="1" w:lastColumn="0" w:oddVBand="0" w:evenVBand="0" w:oddHBand="0" w:evenHBand="0" w:firstRowFirstColumn="0" w:firstRowLastColumn="0" w:lastRowFirstColumn="0" w:lastRowLastColumn="0"/>
            <w:tcW w:w="1645" w:type="dxa"/>
            <w:vMerge/>
            <w:shd w:val="clear" w:color="auto" w:fill="DEEAF6" w:themeFill="accent1" w:themeFillTint="33"/>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000000" w:firstRow="0" w:lastRow="0" w:firstColumn="0" w:lastColumn="0" w:oddVBand="0" w:evenVBand="0" w:oddHBand="0" w:evenHBand="0" w:firstRowFirstColumn="0" w:firstRowLastColumn="0" w:lastRowFirstColumn="0" w:lastRowLastColumn="0"/>
              <w:rPr>
                <w:lang w:eastAsia="en-GB"/>
              </w:rPr>
            </w:pPr>
            <w:r w:rsidRPr="0055590B">
              <w:t>productive cough-yellow sputum</w:t>
            </w:r>
          </w:p>
        </w:tc>
        <w:tc>
          <w:tcPr>
            <w:tcW w:w="1418" w:type="dxa"/>
          </w:tcPr>
          <w:p w:rsidR="000C0A41" w:rsidRPr="003812BB" w:rsidRDefault="000C0A41" w:rsidP="00BD30B6">
            <w:pPr>
              <w:jc w:val="center"/>
              <w:cnfStyle w:val="000000000000" w:firstRow="0" w:lastRow="0" w:firstColumn="0" w:lastColumn="0" w:oddVBand="0" w:evenVBand="0" w:oddHBand="0" w:evenHBand="0" w:firstRowFirstColumn="0" w:firstRowLastColumn="0" w:lastRowFirstColumn="0" w:lastRowLastColumn="0"/>
              <w:rPr>
                <w:lang w:eastAsia="en-GB"/>
              </w:rPr>
            </w:pPr>
            <w:r w:rsidRPr="00092B09">
              <w:t>7708</w:t>
            </w:r>
          </w:p>
        </w:tc>
      </w:tr>
      <w:tr w:rsidR="000C0A41" w:rsidRPr="003812BB" w:rsidTr="00A73F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100000" w:firstRow="0" w:lastRow="0" w:firstColumn="0" w:lastColumn="0" w:oddVBand="0" w:evenVBand="0" w:oddHBand="1" w:evenHBand="0" w:firstRowFirstColumn="0" w:firstRowLastColumn="0" w:lastRowFirstColumn="0" w:lastRowLastColumn="0"/>
              <w:rPr>
                <w:lang w:eastAsia="en-GB"/>
              </w:rPr>
            </w:pPr>
            <w:r w:rsidRPr="0055590B">
              <w:t>productive cough -green sputum</w:t>
            </w:r>
          </w:p>
        </w:tc>
        <w:tc>
          <w:tcPr>
            <w:tcW w:w="1418" w:type="dxa"/>
          </w:tcPr>
          <w:p w:rsidR="000C0A41" w:rsidRPr="003812BB" w:rsidRDefault="000C0A41" w:rsidP="00BD30B6">
            <w:pPr>
              <w:jc w:val="center"/>
              <w:cnfStyle w:val="000000100000" w:firstRow="0" w:lastRow="0" w:firstColumn="0" w:lastColumn="0" w:oddVBand="0" w:evenVBand="0" w:oddHBand="1" w:evenHBand="0" w:firstRowFirstColumn="0" w:firstRowLastColumn="0" w:lastRowFirstColumn="0" w:lastRowLastColumn="0"/>
              <w:rPr>
                <w:lang w:eastAsia="en-GB"/>
              </w:rPr>
            </w:pPr>
            <w:r w:rsidRPr="00092B09">
              <w:t>7773</w:t>
            </w:r>
          </w:p>
        </w:tc>
      </w:tr>
      <w:tr w:rsidR="000C0A41" w:rsidRPr="003812BB" w:rsidTr="00A73FAF">
        <w:trPr>
          <w:jc w:val="center"/>
        </w:trPr>
        <w:tc>
          <w:tcPr>
            <w:cnfStyle w:val="001000000000" w:firstRow="0" w:lastRow="0" w:firstColumn="1" w:lastColumn="0" w:oddVBand="0" w:evenVBand="0" w:oddHBand="0" w:evenHBand="0" w:firstRowFirstColumn="0" w:firstRowLastColumn="0" w:lastRowFirstColumn="0" w:lastRowLastColumn="0"/>
            <w:tcW w:w="1645" w:type="dxa"/>
            <w:vMerge/>
            <w:shd w:val="clear" w:color="auto" w:fill="DEEAF6" w:themeFill="accent1" w:themeFillTint="33"/>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000000" w:firstRow="0" w:lastRow="0" w:firstColumn="0" w:lastColumn="0" w:oddVBand="0" w:evenVBand="0" w:oddHBand="0" w:evenHBand="0" w:firstRowFirstColumn="0" w:firstRowLastColumn="0" w:lastRowFirstColumn="0" w:lastRowLastColumn="0"/>
              <w:rPr>
                <w:lang w:eastAsia="en-GB"/>
              </w:rPr>
            </w:pPr>
            <w:r w:rsidRPr="0055590B">
              <w:t>smokers' cough</w:t>
            </w:r>
          </w:p>
        </w:tc>
        <w:tc>
          <w:tcPr>
            <w:tcW w:w="1418" w:type="dxa"/>
          </w:tcPr>
          <w:p w:rsidR="000C0A41" w:rsidRPr="003812BB" w:rsidRDefault="000C0A41" w:rsidP="00BD30B6">
            <w:pPr>
              <w:jc w:val="center"/>
              <w:cnfStyle w:val="000000000000" w:firstRow="0" w:lastRow="0" w:firstColumn="0" w:lastColumn="0" w:oddVBand="0" w:evenVBand="0" w:oddHBand="0" w:evenHBand="0" w:firstRowFirstColumn="0" w:firstRowLastColumn="0" w:lastRowFirstColumn="0" w:lastRowLastColumn="0"/>
              <w:rPr>
                <w:lang w:eastAsia="en-GB"/>
              </w:rPr>
            </w:pPr>
            <w:r w:rsidRPr="00092B09">
              <w:t>16717</w:t>
            </w:r>
          </w:p>
        </w:tc>
      </w:tr>
      <w:tr w:rsidR="000C0A41" w:rsidRPr="003812BB" w:rsidTr="00A73F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100000" w:firstRow="0" w:lastRow="0" w:firstColumn="0" w:lastColumn="0" w:oddVBand="0" w:evenVBand="0" w:oddHBand="1" w:evenHBand="0" w:firstRowFirstColumn="0" w:firstRowLastColumn="0" w:lastRowFirstColumn="0" w:lastRowLastColumn="0"/>
              <w:rPr>
                <w:lang w:eastAsia="en-GB"/>
              </w:rPr>
            </w:pPr>
            <w:r w:rsidRPr="0055590B">
              <w:t>difficulty in coughing up sputum</w:t>
            </w:r>
          </w:p>
        </w:tc>
        <w:tc>
          <w:tcPr>
            <w:tcW w:w="1418" w:type="dxa"/>
          </w:tcPr>
          <w:p w:rsidR="000C0A41" w:rsidRPr="003812BB" w:rsidRDefault="000C0A41" w:rsidP="00BD30B6">
            <w:pPr>
              <w:jc w:val="center"/>
              <w:cnfStyle w:val="000000100000" w:firstRow="0" w:lastRow="0" w:firstColumn="0" w:lastColumn="0" w:oddVBand="0" w:evenVBand="0" w:oddHBand="1" w:evenHBand="0" w:firstRowFirstColumn="0" w:firstRowLastColumn="0" w:lastRowFirstColumn="0" w:lastRowLastColumn="0"/>
              <w:rPr>
                <w:lang w:eastAsia="en-GB"/>
              </w:rPr>
            </w:pPr>
            <w:r w:rsidRPr="00092B09">
              <w:t>22318</w:t>
            </w:r>
          </w:p>
        </w:tc>
      </w:tr>
      <w:tr w:rsidR="000C0A41" w:rsidRPr="003812BB" w:rsidTr="00A73FAF">
        <w:trPr>
          <w:jc w:val="center"/>
        </w:trPr>
        <w:tc>
          <w:tcPr>
            <w:cnfStyle w:val="001000000000" w:firstRow="0" w:lastRow="0" w:firstColumn="1" w:lastColumn="0" w:oddVBand="0" w:evenVBand="0" w:oddHBand="0" w:evenHBand="0" w:firstRowFirstColumn="0" w:firstRowLastColumn="0" w:lastRowFirstColumn="0" w:lastRowLastColumn="0"/>
            <w:tcW w:w="1645" w:type="dxa"/>
            <w:vMerge/>
            <w:shd w:val="clear" w:color="auto" w:fill="DEEAF6" w:themeFill="accent1" w:themeFillTint="33"/>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000000" w:firstRow="0" w:lastRow="0" w:firstColumn="0" w:lastColumn="0" w:oddVBand="0" w:evenVBand="0" w:oddHBand="0" w:evenHBand="0" w:firstRowFirstColumn="0" w:firstRowLastColumn="0" w:lastRowFirstColumn="0" w:lastRowLastColumn="0"/>
              <w:rPr>
                <w:lang w:eastAsia="en-GB"/>
              </w:rPr>
            </w:pPr>
            <w:r w:rsidRPr="00AA61CB">
              <w:t>evening cough</w:t>
            </w:r>
          </w:p>
        </w:tc>
        <w:tc>
          <w:tcPr>
            <w:tcW w:w="1418" w:type="dxa"/>
          </w:tcPr>
          <w:p w:rsidR="000C0A41" w:rsidRPr="003812BB" w:rsidRDefault="000C0A41" w:rsidP="00BD30B6">
            <w:pPr>
              <w:jc w:val="center"/>
              <w:cnfStyle w:val="000000000000" w:firstRow="0" w:lastRow="0" w:firstColumn="0" w:lastColumn="0" w:oddVBand="0" w:evenVBand="0" w:oddHBand="0" w:evenHBand="0" w:firstRowFirstColumn="0" w:firstRowLastColumn="0" w:lastRowFirstColumn="0" w:lastRowLastColumn="0"/>
              <w:rPr>
                <w:lang w:eastAsia="en-GB"/>
              </w:rPr>
            </w:pPr>
            <w:r w:rsidRPr="00092B09">
              <w:t>29318</w:t>
            </w:r>
          </w:p>
        </w:tc>
      </w:tr>
      <w:tr w:rsidR="000C0A41" w:rsidRPr="003812BB" w:rsidTr="00A73F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100000" w:firstRow="0" w:lastRow="0" w:firstColumn="0" w:lastColumn="0" w:oddVBand="0" w:evenVBand="0" w:oddHBand="1" w:evenHBand="0" w:firstRowFirstColumn="0" w:firstRowLastColumn="0" w:lastRowFirstColumn="0" w:lastRowLastColumn="0"/>
              <w:rPr>
                <w:lang w:eastAsia="en-GB"/>
              </w:rPr>
            </w:pPr>
            <w:r w:rsidRPr="00AA61CB">
              <w:t>unexplained cough</w:t>
            </w:r>
          </w:p>
        </w:tc>
        <w:tc>
          <w:tcPr>
            <w:tcW w:w="1418" w:type="dxa"/>
          </w:tcPr>
          <w:p w:rsidR="000C0A41" w:rsidRPr="003812BB" w:rsidRDefault="000C0A41" w:rsidP="00BD30B6">
            <w:pPr>
              <w:jc w:val="center"/>
              <w:cnfStyle w:val="000000100000" w:firstRow="0" w:lastRow="0" w:firstColumn="0" w:lastColumn="0" w:oddVBand="0" w:evenVBand="0" w:oddHBand="1" w:evenHBand="0" w:firstRowFirstColumn="0" w:firstRowLastColumn="0" w:lastRowFirstColumn="0" w:lastRowLastColumn="0"/>
              <w:rPr>
                <w:lang w:eastAsia="en-GB"/>
              </w:rPr>
            </w:pPr>
            <w:r w:rsidRPr="00092B09">
              <w:t>43795</w:t>
            </w:r>
          </w:p>
        </w:tc>
      </w:tr>
      <w:tr w:rsidR="000C0A41" w:rsidRPr="003812BB" w:rsidTr="00A73FAF">
        <w:trPr>
          <w:jc w:val="center"/>
        </w:trPr>
        <w:tc>
          <w:tcPr>
            <w:cnfStyle w:val="001000000000" w:firstRow="0" w:lastRow="0" w:firstColumn="1" w:lastColumn="0" w:oddVBand="0" w:evenVBand="0" w:oddHBand="0" w:evenHBand="0" w:firstRowFirstColumn="0" w:firstRowLastColumn="0" w:lastRowFirstColumn="0" w:lastRowLastColumn="0"/>
            <w:tcW w:w="1645" w:type="dxa"/>
            <w:vMerge/>
            <w:shd w:val="clear" w:color="auto" w:fill="DEEAF6" w:themeFill="accent1" w:themeFillTint="33"/>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000000" w:firstRow="0" w:lastRow="0" w:firstColumn="0" w:lastColumn="0" w:oddVBand="0" w:evenVBand="0" w:oddHBand="0" w:evenHBand="0" w:firstRowFirstColumn="0" w:firstRowLastColumn="0" w:lastRowFirstColumn="0" w:lastRowLastColumn="0"/>
              <w:rPr>
                <w:lang w:eastAsia="en-GB"/>
              </w:rPr>
            </w:pPr>
            <w:r w:rsidRPr="00AA61CB">
              <w:t>cough aggravates symptom</w:t>
            </w:r>
          </w:p>
        </w:tc>
        <w:tc>
          <w:tcPr>
            <w:tcW w:w="1418" w:type="dxa"/>
          </w:tcPr>
          <w:p w:rsidR="000C0A41" w:rsidRPr="003812BB" w:rsidRDefault="000C0A41" w:rsidP="00BD30B6">
            <w:pPr>
              <w:jc w:val="center"/>
              <w:cnfStyle w:val="000000000000" w:firstRow="0" w:lastRow="0" w:firstColumn="0" w:lastColumn="0" w:oddVBand="0" w:evenVBand="0" w:oddHBand="0" w:evenHBand="0" w:firstRowFirstColumn="0" w:firstRowLastColumn="0" w:lastRowFirstColumn="0" w:lastRowLastColumn="0"/>
              <w:rPr>
                <w:lang w:eastAsia="en-GB"/>
              </w:rPr>
            </w:pPr>
            <w:r w:rsidRPr="00092B09">
              <w:t>60903</w:t>
            </w:r>
          </w:p>
        </w:tc>
      </w:tr>
      <w:tr w:rsidR="000C0A41" w:rsidRPr="003812BB" w:rsidTr="00A73F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100000" w:firstRow="0" w:lastRow="0" w:firstColumn="0" w:lastColumn="0" w:oddVBand="0" w:evenVBand="0" w:oddHBand="1" w:evenHBand="0" w:firstRowFirstColumn="0" w:firstRowLastColumn="0" w:lastRowFirstColumn="0" w:lastRowLastColumn="0"/>
              <w:rPr>
                <w:lang w:eastAsia="en-GB"/>
              </w:rPr>
            </w:pPr>
            <w:r w:rsidRPr="00AA61CB">
              <w:t>cough on exercise</w:t>
            </w:r>
          </w:p>
        </w:tc>
        <w:tc>
          <w:tcPr>
            <w:tcW w:w="1418" w:type="dxa"/>
          </w:tcPr>
          <w:p w:rsidR="000C0A41" w:rsidRPr="003812BB" w:rsidRDefault="000C0A41" w:rsidP="00BD30B6">
            <w:pPr>
              <w:jc w:val="center"/>
              <w:cnfStyle w:val="000000100000" w:firstRow="0" w:lastRow="0" w:firstColumn="0" w:lastColumn="0" w:oddVBand="0" w:evenVBand="0" w:oddHBand="1" w:evenHBand="0" w:firstRowFirstColumn="0" w:firstRowLastColumn="0" w:lastRowFirstColumn="0" w:lastRowLastColumn="0"/>
              <w:rPr>
                <w:lang w:eastAsia="en-GB"/>
              </w:rPr>
            </w:pPr>
            <w:r w:rsidRPr="00092B09">
              <w:t>100333</w:t>
            </w:r>
          </w:p>
        </w:tc>
      </w:tr>
      <w:tr w:rsidR="000C0A41" w:rsidRPr="003812BB" w:rsidTr="00A73FAF">
        <w:trPr>
          <w:jc w:val="center"/>
        </w:trPr>
        <w:tc>
          <w:tcPr>
            <w:cnfStyle w:val="001000000000" w:firstRow="0" w:lastRow="0" w:firstColumn="1" w:lastColumn="0" w:oddVBand="0" w:evenVBand="0" w:oddHBand="0" w:evenHBand="0" w:firstRowFirstColumn="0" w:firstRowLastColumn="0" w:lastRowFirstColumn="0" w:lastRowLastColumn="0"/>
            <w:tcW w:w="1645" w:type="dxa"/>
            <w:vMerge w:val="restart"/>
            <w:shd w:val="clear" w:color="auto" w:fill="DEEAF6" w:themeFill="accent1" w:themeFillTint="33"/>
            <w:vAlign w:val="center"/>
          </w:tcPr>
          <w:p w:rsidR="000C0A41" w:rsidRPr="003812BB" w:rsidRDefault="000C0A41" w:rsidP="00A73FAF">
            <w:pPr>
              <w:jc w:val="left"/>
              <w:rPr>
                <w:lang w:eastAsia="en-GB"/>
              </w:rPr>
            </w:pPr>
            <w:r>
              <w:rPr>
                <w:lang w:eastAsia="en-GB"/>
              </w:rPr>
              <w:t>Breathlessness</w:t>
            </w:r>
          </w:p>
        </w:tc>
        <w:tc>
          <w:tcPr>
            <w:tcW w:w="5721" w:type="dxa"/>
            <w:noWrap/>
          </w:tcPr>
          <w:p w:rsidR="000C0A41" w:rsidRPr="003812BB" w:rsidRDefault="000C0A41" w:rsidP="00BD30B6">
            <w:pPr>
              <w:cnfStyle w:val="000000000000" w:firstRow="0" w:lastRow="0" w:firstColumn="0" w:lastColumn="0" w:oddVBand="0" w:evenVBand="0" w:oddHBand="0" w:evenHBand="0" w:firstRowFirstColumn="0" w:firstRowLastColumn="0" w:lastRowFirstColumn="0" w:lastRowLastColumn="0"/>
              <w:rPr>
                <w:lang w:eastAsia="en-GB"/>
              </w:rPr>
            </w:pPr>
            <w:r w:rsidRPr="00866B78">
              <w:t>[d]breathlessness</w:t>
            </w:r>
          </w:p>
        </w:tc>
        <w:tc>
          <w:tcPr>
            <w:tcW w:w="1418" w:type="dxa"/>
          </w:tcPr>
          <w:p w:rsidR="000C0A41" w:rsidRPr="003812BB" w:rsidRDefault="000C0A41" w:rsidP="00BD30B6">
            <w:pPr>
              <w:jc w:val="center"/>
              <w:cnfStyle w:val="000000000000" w:firstRow="0" w:lastRow="0" w:firstColumn="0" w:lastColumn="0" w:oddVBand="0" w:evenVBand="0" w:oddHBand="0" w:evenHBand="0" w:firstRowFirstColumn="0" w:firstRowLastColumn="0" w:lastRowFirstColumn="0" w:lastRowLastColumn="0"/>
              <w:rPr>
                <w:lang w:eastAsia="en-GB"/>
              </w:rPr>
            </w:pPr>
            <w:r w:rsidRPr="00F30588">
              <w:t>735</w:t>
            </w:r>
          </w:p>
        </w:tc>
      </w:tr>
      <w:tr w:rsidR="000C0A41" w:rsidRPr="003812BB" w:rsidTr="00A73F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100000" w:firstRow="0" w:lastRow="0" w:firstColumn="0" w:lastColumn="0" w:oddVBand="0" w:evenVBand="0" w:oddHBand="1" w:evenHBand="0" w:firstRowFirstColumn="0" w:firstRowLastColumn="0" w:lastRowFirstColumn="0" w:lastRowLastColumn="0"/>
              <w:rPr>
                <w:lang w:eastAsia="en-GB"/>
              </w:rPr>
            </w:pPr>
            <w:r w:rsidRPr="00866B78">
              <w:t>[d]shortness of breath</w:t>
            </w:r>
          </w:p>
        </w:tc>
        <w:tc>
          <w:tcPr>
            <w:tcW w:w="1418" w:type="dxa"/>
          </w:tcPr>
          <w:p w:rsidR="000C0A41" w:rsidRPr="003812BB" w:rsidRDefault="000C0A41" w:rsidP="00BD30B6">
            <w:pPr>
              <w:jc w:val="center"/>
              <w:cnfStyle w:val="000000100000" w:firstRow="0" w:lastRow="0" w:firstColumn="0" w:lastColumn="0" w:oddVBand="0" w:evenVBand="0" w:oddHBand="1" w:evenHBand="0" w:firstRowFirstColumn="0" w:firstRowLastColumn="0" w:lastRowFirstColumn="0" w:lastRowLastColumn="0"/>
              <w:rPr>
                <w:lang w:eastAsia="en-GB"/>
              </w:rPr>
            </w:pPr>
            <w:r w:rsidRPr="00F30588">
              <w:t>741</w:t>
            </w:r>
          </w:p>
        </w:tc>
      </w:tr>
      <w:tr w:rsidR="000C0A41" w:rsidRPr="003812BB" w:rsidTr="00A73FAF">
        <w:trPr>
          <w:jc w:val="center"/>
        </w:trPr>
        <w:tc>
          <w:tcPr>
            <w:cnfStyle w:val="001000000000" w:firstRow="0" w:lastRow="0" w:firstColumn="1" w:lastColumn="0" w:oddVBand="0" w:evenVBand="0" w:oddHBand="0" w:evenHBand="0" w:firstRowFirstColumn="0" w:firstRowLastColumn="0" w:lastRowFirstColumn="0" w:lastRowLastColumn="0"/>
            <w:tcW w:w="1645" w:type="dxa"/>
            <w:vMerge/>
            <w:shd w:val="clear" w:color="auto" w:fill="DEEAF6" w:themeFill="accent1" w:themeFillTint="33"/>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000000" w:firstRow="0" w:lastRow="0" w:firstColumn="0" w:lastColumn="0" w:oddVBand="0" w:evenVBand="0" w:oddHBand="0" w:evenHBand="0" w:firstRowFirstColumn="0" w:firstRowLastColumn="0" w:lastRowFirstColumn="0" w:lastRowLastColumn="0"/>
              <w:rPr>
                <w:lang w:eastAsia="en-GB"/>
              </w:rPr>
            </w:pPr>
            <w:r w:rsidRPr="00866B78">
              <w:t>breathlessness</w:t>
            </w:r>
          </w:p>
        </w:tc>
        <w:tc>
          <w:tcPr>
            <w:tcW w:w="1418" w:type="dxa"/>
          </w:tcPr>
          <w:p w:rsidR="000C0A41" w:rsidRPr="003812BB" w:rsidRDefault="000C0A41" w:rsidP="00BD30B6">
            <w:pPr>
              <w:jc w:val="center"/>
              <w:cnfStyle w:val="000000000000" w:firstRow="0" w:lastRow="0" w:firstColumn="0" w:lastColumn="0" w:oddVBand="0" w:evenVBand="0" w:oddHBand="0" w:evenHBand="0" w:firstRowFirstColumn="0" w:firstRowLastColumn="0" w:lastRowFirstColumn="0" w:lastRowLastColumn="0"/>
              <w:rPr>
                <w:lang w:eastAsia="en-GB"/>
              </w:rPr>
            </w:pPr>
            <w:r w:rsidRPr="00F30588">
              <w:t>1429</w:t>
            </w:r>
          </w:p>
        </w:tc>
      </w:tr>
      <w:tr w:rsidR="000C0A41" w:rsidRPr="003812BB" w:rsidTr="00A73F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100000" w:firstRow="0" w:lastRow="0" w:firstColumn="0" w:lastColumn="0" w:oddVBand="0" w:evenVBand="0" w:oddHBand="1" w:evenHBand="0" w:firstRowFirstColumn="0" w:firstRowLastColumn="0" w:lastRowFirstColumn="0" w:lastRowLastColumn="0"/>
              <w:rPr>
                <w:lang w:eastAsia="en-GB"/>
              </w:rPr>
            </w:pPr>
            <w:r w:rsidRPr="00866B78">
              <w:t>[d]respiratory distress</w:t>
            </w:r>
          </w:p>
        </w:tc>
        <w:tc>
          <w:tcPr>
            <w:tcW w:w="1418" w:type="dxa"/>
          </w:tcPr>
          <w:p w:rsidR="000C0A41" w:rsidRPr="003812BB" w:rsidRDefault="000C0A41" w:rsidP="00BD30B6">
            <w:pPr>
              <w:jc w:val="center"/>
              <w:cnfStyle w:val="000000100000" w:firstRow="0" w:lastRow="0" w:firstColumn="0" w:lastColumn="0" w:oddVBand="0" w:evenVBand="0" w:oddHBand="1" w:evenHBand="0" w:firstRowFirstColumn="0" w:firstRowLastColumn="0" w:lastRowFirstColumn="0" w:lastRowLastColumn="0"/>
              <w:rPr>
                <w:lang w:eastAsia="en-GB"/>
              </w:rPr>
            </w:pPr>
            <w:r w:rsidRPr="00F30588">
              <w:t>2563</w:t>
            </w:r>
          </w:p>
        </w:tc>
      </w:tr>
      <w:tr w:rsidR="000C0A41" w:rsidRPr="003812BB" w:rsidTr="00A73FAF">
        <w:trPr>
          <w:jc w:val="center"/>
        </w:trPr>
        <w:tc>
          <w:tcPr>
            <w:cnfStyle w:val="001000000000" w:firstRow="0" w:lastRow="0" w:firstColumn="1" w:lastColumn="0" w:oddVBand="0" w:evenVBand="0" w:oddHBand="0" w:evenHBand="0" w:firstRowFirstColumn="0" w:firstRowLastColumn="0" w:lastRowFirstColumn="0" w:lastRowLastColumn="0"/>
            <w:tcW w:w="1645" w:type="dxa"/>
            <w:vMerge/>
            <w:shd w:val="clear" w:color="auto" w:fill="DEEAF6" w:themeFill="accent1" w:themeFillTint="33"/>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000000" w:firstRow="0" w:lastRow="0" w:firstColumn="0" w:lastColumn="0" w:oddVBand="0" w:evenVBand="0" w:oddHBand="0" w:evenHBand="0" w:firstRowFirstColumn="0" w:firstRowLastColumn="0" w:lastRowFirstColumn="0" w:lastRowLastColumn="0"/>
              <w:rPr>
                <w:lang w:eastAsia="en-GB"/>
              </w:rPr>
            </w:pPr>
            <w:r w:rsidRPr="00866B78">
              <w:t>short of breath on exertion</w:t>
            </w:r>
          </w:p>
        </w:tc>
        <w:tc>
          <w:tcPr>
            <w:tcW w:w="1418" w:type="dxa"/>
          </w:tcPr>
          <w:p w:rsidR="000C0A41" w:rsidRPr="003812BB" w:rsidRDefault="000C0A41" w:rsidP="00BD30B6">
            <w:pPr>
              <w:jc w:val="center"/>
              <w:cnfStyle w:val="000000000000" w:firstRow="0" w:lastRow="0" w:firstColumn="0" w:lastColumn="0" w:oddVBand="0" w:evenVBand="0" w:oddHBand="0" w:evenHBand="0" w:firstRowFirstColumn="0" w:firstRowLastColumn="0" w:lastRowFirstColumn="0" w:lastRowLastColumn="0"/>
              <w:rPr>
                <w:lang w:eastAsia="en-GB"/>
              </w:rPr>
            </w:pPr>
            <w:r w:rsidRPr="00F30588">
              <w:t>2575</w:t>
            </w:r>
          </w:p>
        </w:tc>
      </w:tr>
      <w:tr w:rsidR="000C0A41" w:rsidRPr="003812BB" w:rsidTr="00A73F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100000" w:firstRow="0" w:lastRow="0" w:firstColumn="0" w:lastColumn="0" w:oddVBand="0" w:evenVBand="0" w:oddHBand="1" w:evenHBand="0" w:firstRowFirstColumn="0" w:firstRowLastColumn="0" w:lastRowFirstColumn="0" w:lastRowLastColumn="0"/>
              <w:rPr>
                <w:lang w:eastAsia="en-GB"/>
              </w:rPr>
            </w:pPr>
            <w:r w:rsidRPr="00866B78">
              <w:t>respiratory distress syndrome</w:t>
            </w:r>
          </w:p>
        </w:tc>
        <w:tc>
          <w:tcPr>
            <w:tcW w:w="1418" w:type="dxa"/>
          </w:tcPr>
          <w:p w:rsidR="000C0A41" w:rsidRPr="003812BB" w:rsidRDefault="000C0A41" w:rsidP="00BD30B6">
            <w:pPr>
              <w:jc w:val="center"/>
              <w:cnfStyle w:val="000000100000" w:firstRow="0" w:lastRow="0" w:firstColumn="0" w:lastColumn="0" w:oddVBand="0" w:evenVBand="0" w:oddHBand="1" w:evenHBand="0" w:firstRowFirstColumn="0" w:firstRowLastColumn="0" w:lastRowFirstColumn="0" w:lastRowLastColumn="0"/>
              <w:rPr>
                <w:lang w:eastAsia="en-GB"/>
              </w:rPr>
            </w:pPr>
            <w:r w:rsidRPr="00F30588">
              <w:t>2737</w:t>
            </w:r>
          </w:p>
        </w:tc>
      </w:tr>
      <w:tr w:rsidR="000C0A41" w:rsidRPr="003812BB" w:rsidTr="00A73FAF">
        <w:trPr>
          <w:jc w:val="center"/>
        </w:trPr>
        <w:tc>
          <w:tcPr>
            <w:cnfStyle w:val="001000000000" w:firstRow="0" w:lastRow="0" w:firstColumn="1" w:lastColumn="0" w:oddVBand="0" w:evenVBand="0" w:oddHBand="0" w:evenHBand="0" w:firstRowFirstColumn="0" w:firstRowLastColumn="0" w:lastRowFirstColumn="0" w:lastRowLastColumn="0"/>
            <w:tcW w:w="1645" w:type="dxa"/>
            <w:vMerge/>
            <w:shd w:val="clear" w:color="auto" w:fill="DEEAF6" w:themeFill="accent1" w:themeFillTint="33"/>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000000" w:firstRow="0" w:lastRow="0" w:firstColumn="0" w:lastColumn="0" w:oddVBand="0" w:evenVBand="0" w:oddHBand="0" w:evenHBand="0" w:firstRowFirstColumn="0" w:firstRowLastColumn="0" w:lastRowFirstColumn="0" w:lastRowLastColumn="0"/>
              <w:rPr>
                <w:lang w:eastAsia="en-GB"/>
              </w:rPr>
            </w:pPr>
            <w:r w:rsidRPr="00866B78">
              <w:t>difficulty breathing</w:t>
            </w:r>
          </w:p>
        </w:tc>
        <w:tc>
          <w:tcPr>
            <w:tcW w:w="1418" w:type="dxa"/>
          </w:tcPr>
          <w:p w:rsidR="000C0A41" w:rsidRPr="003812BB" w:rsidRDefault="000C0A41" w:rsidP="00BD30B6">
            <w:pPr>
              <w:jc w:val="center"/>
              <w:cnfStyle w:val="000000000000" w:firstRow="0" w:lastRow="0" w:firstColumn="0" w:lastColumn="0" w:oddVBand="0" w:evenVBand="0" w:oddHBand="0" w:evenHBand="0" w:firstRowFirstColumn="0" w:firstRowLastColumn="0" w:lastRowFirstColumn="0" w:lastRowLastColumn="0"/>
              <w:rPr>
                <w:lang w:eastAsia="en-GB"/>
              </w:rPr>
            </w:pPr>
            <w:r w:rsidRPr="00F30588">
              <w:t>2931</w:t>
            </w:r>
          </w:p>
        </w:tc>
      </w:tr>
      <w:tr w:rsidR="000C0A41" w:rsidRPr="003812BB" w:rsidTr="00A73F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100000" w:firstRow="0" w:lastRow="0" w:firstColumn="0" w:lastColumn="0" w:oddVBand="0" w:evenVBand="0" w:oddHBand="1" w:evenHBand="0" w:firstRowFirstColumn="0" w:firstRowLastColumn="0" w:lastRowFirstColumn="0" w:lastRowLastColumn="0"/>
              <w:rPr>
                <w:lang w:eastAsia="en-GB"/>
              </w:rPr>
            </w:pPr>
            <w:r w:rsidRPr="00866B78">
              <w:t>[d]dyspnoea</w:t>
            </w:r>
          </w:p>
        </w:tc>
        <w:tc>
          <w:tcPr>
            <w:tcW w:w="1418" w:type="dxa"/>
          </w:tcPr>
          <w:p w:rsidR="000C0A41" w:rsidRPr="003812BB" w:rsidRDefault="000C0A41" w:rsidP="00BD30B6">
            <w:pPr>
              <w:jc w:val="center"/>
              <w:cnfStyle w:val="000000100000" w:firstRow="0" w:lastRow="0" w:firstColumn="0" w:lastColumn="0" w:oddVBand="0" w:evenVBand="0" w:oddHBand="1" w:evenHBand="0" w:firstRowFirstColumn="0" w:firstRowLastColumn="0" w:lastRowFirstColumn="0" w:lastRowLastColumn="0"/>
              <w:rPr>
                <w:lang w:eastAsia="en-GB"/>
              </w:rPr>
            </w:pPr>
            <w:r w:rsidRPr="00F30588">
              <w:t>3092</w:t>
            </w:r>
          </w:p>
        </w:tc>
      </w:tr>
      <w:tr w:rsidR="000C0A41" w:rsidRPr="003812BB" w:rsidTr="00A73FAF">
        <w:trPr>
          <w:jc w:val="center"/>
        </w:trPr>
        <w:tc>
          <w:tcPr>
            <w:cnfStyle w:val="001000000000" w:firstRow="0" w:lastRow="0" w:firstColumn="1" w:lastColumn="0" w:oddVBand="0" w:evenVBand="0" w:oddHBand="0" w:evenHBand="0" w:firstRowFirstColumn="0" w:firstRowLastColumn="0" w:lastRowFirstColumn="0" w:lastRowLastColumn="0"/>
            <w:tcW w:w="1645" w:type="dxa"/>
            <w:vMerge/>
            <w:shd w:val="clear" w:color="auto" w:fill="DEEAF6" w:themeFill="accent1" w:themeFillTint="33"/>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000000" w:firstRow="0" w:lastRow="0" w:firstColumn="0" w:lastColumn="0" w:oddVBand="0" w:evenVBand="0" w:oddHBand="0" w:evenHBand="0" w:firstRowFirstColumn="0" w:firstRowLastColumn="0" w:lastRowFirstColumn="0" w:lastRowLastColumn="0"/>
              <w:rPr>
                <w:lang w:eastAsia="en-GB"/>
              </w:rPr>
            </w:pPr>
            <w:r w:rsidRPr="00866B78">
              <w:t>shortness of breath</w:t>
            </w:r>
          </w:p>
        </w:tc>
        <w:tc>
          <w:tcPr>
            <w:tcW w:w="1418" w:type="dxa"/>
          </w:tcPr>
          <w:p w:rsidR="000C0A41" w:rsidRPr="003812BB" w:rsidRDefault="000C0A41" w:rsidP="00BD30B6">
            <w:pPr>
              <w:jc w:val="center"/>
              <w:cnfStyle w:val="000000000000" w:firstRow="0" w:lastRow="0" w:firstColumn="0" w:lastColumn="0" w:oddVBand="0" w:evenVBand="0" w:oddHBand="0" w:evenHBand="0" w:firstRowFirstColumn="0" w:firstRowLastColumn="0" w:lastRowFirstColumn="0" w:lastRowLastColumn="0"/>
              <w:rPr>
                <w:lang w:eastAsia="en-GB"/>
              </w:rPr>
            </w:pPr>
            <w:r w:rsidRPr="00F30588">
              <w:t>4822</w:t>
            </w:r>
          </w:p>
        </w:tc>
      </w:tr>
      <w:tr w:rsidR="000C0A41" w:rsidRPr="003812BB" w:rsidTr="00A73F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100000" w:firstRow="0" w:lastRow="0" w:firstColumn="0" w:lastColumn="0" w:oddVBand="0" w:evenVBand="0" w:oddHBand="1" w:evenHBand="0" w:firstRowFirstColumn="0" w:firstRowLastColumn="0" w:lastRowFirstColumn="0" w:lastRowLastColumn="0"/>
              <w:rPr>
                <w:lang w:eastAsia="en-GB"/>
              </w:rPr>
            </w:pPr>
            <w:r w:rsidRPr="00866B78">
              <w:t>breathlessness symptom</w:t>
            </w:r>
          </w:p>
        </w:tc>
        <w:tc>
          <w:tcPr>
            <w:tcW w:w="1418" w:type="dxa"/>
          </w:tcPr>
          <w:p w:rsidR="000C0A41" w:rsidRPr="003812BB" w:rsidRDefault="000C0A41" w:rsidP="00BD30B6">
            <w:pPr>
              <w:jc w:val="center"/>
              <w:cnfStyle w:val="000000100000" w:firstRow="0" w:lastRow="0" w:firstColumn="0" w:lastColumn="0" w:oddVBand="0" w:evenVBand="0" w:oddHBand="1" w:evenHBand="0" w:firstRowFirstColumn="0" w:firstRowLastColumn="0" w:lastRowFirstColumn="0" w:lastRowLastColumn="0"/>
              <w:rPr>
                <w:lang w:eastAsia="en-GB"/>
              </w:rPr>
            </w:pPr>
            <w:r w:rsidRPr="00F30588">
              <w:t>5175</w:t>
            </w:r>
          </w:p>
        </w:tc>
      </w:tr>
      <w:tr w:rsidR="000C0A41" w:rsidRPr="003812BB" w:rsidTr="00A73FAF">
        <w:trPr>
          <w:jc w:val="center"/>
        </w:trPr>
        <w:tc>
          <w:tcPr>
            <w:cnfStyle w:val="001000000000" w:firstRow="0" w:lastRow="0" w:firstColumn="1" w:lastColumn="0" w:oddVBand="0" w:evenVBand="0" w:oddHBand="0" w:evenHBand="0" w:firstRowFirstColumn="0" w:firstRowLastColumn="0" w:lastRowFirstColumn="0" w:lastRowLastColumn="0"/>
            <w:tcW w:w="1645" w:type="dxa"/>
            <w:vMerge/>
            <w:shd w:val="clear" w:color="auto" w:fill="DEEAF6" w:themeFill="accent1" w:themeFillTint="33"/>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000000" w:firstRow="0" w:lastRow="0" w:firstColumn="0" w:lastColumn="0" w:oddVBand="0" w:evenVBand="0" w:oddHBand="0" w:evenHBand="0" w:firstRowFirstColumn="0" w:firstRowLastColumn="0" w:lastRowFirstColumn="0" w:lastRowLastColumn="0"/>
              <w:rPr>
                <w:lang w:eastAsia="en-GB"/>
              </w:rPr>
            </w:pPr>
            <w:r w:rsidRPr="00866B78">
              <w:t>shortness of breath symptom</w:t>
            </w:r>
          </w:p>
        </w:tc>
        <w:tc>
          <w:tcPr>
            <w:tcW w:w="1418" w:type="dxa"/>
          </w:tcPr>
          <w:p w:rsidR="000C0A41" w:rsidRPr="003812BB" w:rsidRDefault="000C0A41" w:rsidP="00BD30B6">
            <w:pPr>
              <w:jc w:val="center"/>
              <w:cnfStyle w:val="000000000000" w:firstRow="0" w:lastRow="0" w:firstColumn="0" w:lastColumn="0" w:oddVBand="0" w:evenVBand="0" w:oddHBand="0" w:evenHBand="0" w:firstRowFirstColumn="0" w:firstRowLastColumn="0" w:lastRowFirstColumn="0" w:lastRowLastColumn="0"/>
              <w:rPr>
                <w:lang w:eastAsia="en-GB"/>
              </w:rPr>
            </w:pPr>
            <w:r w:rsidRPr="00F30588">
              <w:t>5349</w:t>
            </w:r>
          </w:p>
        </w:tc>
      </w:tr>
      <w:tr w:rsidR="000C0A41" w:rsidRPr="003812BB" w:rsidTr="00A73F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100000" w:firstRow="0" w:lastRow="0" w:firstColumn="0" w:lastColumn="0" w:oddVBand="0" w:evenVBand="0" w:oddHBand="1" w:evenHBand="0" w:firstRowFirstColumn="0" w:firstRowLastColumn="0" w:lastRowFirstColumn="0" w:lastRowLastColumn="0"/>
              <w:rPr>
                <w:lang w:eastAsia="en-GB"/>
              </w:rPr>
            </w:pPr>
            <w:r w:rsidRPr="00866B78">
              <w:t>dyspnoea - symptom</w:t>
            </w:r>
          </w:p>
        </w:tc>
        <w:tc>
          <w:tcPr>
            <w:tcW w:w="1418" w:type="dxa"/>
          </w:tcPr>
          <w:p w:rsidR="000C0A41" w:rsidRPr="003812BB" w:rsidRDefault="000C0A41" w:rsidP="00BD30B6">
            <w:pPr>
              <w:jc w:val="center"/>
              <w:cnfStyle w:val="000000100000" w:firstRow="0" w:lastRow="0" w:firstColumn="0" w:lastColumn="0" w:oddVBand="0" w:evenVBand="0" w:oddHBand="1" w:evenHBand="0" w:firstRowFirstColumn="0" w:firstRowLastColumn="0" w:lastRowFirstColumn="0" w:lastRowLastColumn="0"/>
              <w:rPr>
                <w:lang w:eastAsia="en-GB"/>
              </w:rPr>
            </w:pPr>
            <w:r w:rsidRPr="00F30588">
              <w:t>5896</w:t>
            </w:r>
          </w:p>
        </w:tc>
      </w:tr>
      <w:tr w:rsidR="000C0A41" w:rsidRPr="003812BB" w:rsidTr="00A73FAF">
        <w:trPr>
          <w:jc w:val="center"/>
        </w:trPr>
        <w:tc>
          <w:tcPr>
            <w:cnfStyle w:val="001000000000" w:firstRow="0" w:lastRow="0" w:firstColumn="1" w:lastColumn="0" w:oddVBand="0" w:evenVBand="0" w:oddHBand="0" w:evenHBand="0" w:firstRowFirstColumn="0" w:firstRowLastColumn="0" w:lastRowFirstColumn="0" w:lastRowLastColumn="0"/>
            <w:tcW w:w="1645" w:type="dxa"/>
            <w:vMerge/>
            <w:shd w:val="clear" w:color="auto" w:fill="DEEAF6" w:themeFill="accent1" w:themeFillTint="33"/>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000000" w:firstRow="0" w:lastRow="0" w:firstColumn="0" w:lastColumn="0" w:oddVBand="0" w:evenVBand="0" w:oddHBand="0" w:evenHBand="0" w:firstRowFirstColumn="0" w:firstRowLastColumn="0" w:lastRowFirstColumn="0" w:lastRowLastColumn="0"/>
              <w:rPr>
                <w:lang w:eastAsia="en-GB"/>
              </w:rPr>
            </w:pPr>
            <w:r w:rsidRPr="00866B78">
              <w:t>breathless - moderate exertion</w:t>
            </w:r>
          </w:p>
        </w:tc>
        <w:tc>
          <w:tcPr>
            <w:tcW w:w="1418" w:type="dxa"/>
          </w:tcPr>
          <w:p w:rsidR="000C0A41" w:rsidRPr="003812BB" w:rsidRDefault="000C0A41" w:rsidP="00BD30B6">
            <w:pPr>
              <w:jc w:val="center"/>
              <w:cnfStyle w:val="000000000000" w:firstRow="0" w:lastRow="0" w:firstColumn="0" w:lastColumn="0" w:oddVBand="0" w:evenVBand="0" w:oddHBand="0" w:evenHBand="0" w:firstRowFirstColumn="0" w:firstRowLastColumn="0" w:lastRowFirstColumn="0" w:lastRowLastColumn="0"/>
              <w:rPr>
                <w:lang w:eastAsia="en-GB"/>
              </w:rPr>
            </w:pPr>
            <w:r w:rsidRPr="00F30588">
              <w:t>6326</w:t>
            </w:r>
          </w:p>
        </w:tc>
      </w:tr>
      <w:tr w:rsidR="000C0A41" w:rsidRPr="003812BB" w:rsidTr="00A73F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100000" w:firstRow="0" w:lastRow="0" w:firstColumn="0" w:lastColumn="0" w:oddVBand="0" w:evenVBand="0" w:oddHBand="1" w:evenHBand="0" w:firstRowFirstColumn="0" w:firstRowLastColumn="0" w:lastRowFirstColumn="0" w:lastRowLastColumn="0"/>
              <w:rPr>
                <w:lang w:eastAsia="en-GB"/>
              </w:rPr>
            </w:pPr>
            <w:r w:rsidRPr="00866B78">
              <w:t>paroxysmal nocturnal dyspnoea</w:t>
            </w:r>
          </w:p>
        </w:tc>
        <w:tc>
          <w:tcPr>
            <w:tcW w:w="1418" w:type="dxa"/>
          </w:tcPr>
          <w:p w:rsidR="000C0A41" w:rsidRPr="003812BB" w:rsidRDefault="000C0A41" w:rsidP="00BD30B6">
            <w:pPr>
              <w:jc w:val="center"/>
              <w:cnfStyle w:val="000000100000" w:firstRow="0" w:lastRow="0" w:firstColumn="0" w:lastColumn="0" w:oddVBand="0" w:evenVBand="0" w:oddHBand="1" w:evenHBand="0" w:firstRowFirstColumn="0" w:firstRowLastColumn="0" w:lastRowFirstColumn="0" w:lastRowLastColumn="0"/>
              <w:rPr>
                <w:lang w:eastAsia="en-GB"/>
              </w:rPr>
            </w:pPr>
            <w:r w:rsidRPr="00F30588">
              <w:t>6434</w:t>
            </w:r>
          </w:p>
        </w:tc>
      </w:tr>
      <w:tr w:rsidR="000C0A41" w:rsidRPr="003812BB" w:rsidTr="00A73FAF">
        <w:trPr>
          <w:jc w:val="center"/>
        </w:trPr>
        <w:tc>
          <w:tcPr>
            <w:cnfStyle w:val="001000000000" w:firstRow="0" w:lastRow="0" w:firstColumn="1" w:lastColumn="0" w:oddVBand="0" w:evenVBand="0" w:oddHBand="0" w:evenHBand="0" w:firstRowFirstColumn="0" w:firstRowLastColumn="0" w:lastRowFirstColumn="0" w:lastRowLastColumn="0"/>
            <w:tcW w:w="1645" w:type="dxa"/>
            <w:vMerge/>
            <w:shd w:val="clear" w:color="auto" w:fill="DEEAF6" w:themeFill="accent1" w:themeFillTint="33"/>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000000" w:firstRow="0" w:lastRow="0" w:firstColumn="0" w:lastColumn="0" w:oddVBand="0" w:evenVBand="0" w:oddHBand="0" w:evenHBand="0" w:firstRowFirstColumn="0" w:firstRowLastColumn="0" w:lastRowFirstColumn="0" w:lastRowLastColumn="0"/>
              <w:rPr>
                <w:lang w:eastAsia="en-GB"/>
              </w:rPr>
            </w:pPr>
            <w:r w:rsidRPr="00866B78">
              <w:t>o/e - dyspnoea</w:t>
            </w:r>
          </w:p>
        </w:tc>
        <w:tc>
          <w:tcPr>
            <w:tcW w:w="1418" w:type="dxa"/>
          </w:tcPr>
          <w:p w:rsidR="000C0A41" w:rsidRPr="003812BB" w:rsidRDefault="000C0A41" w:rsidP="00BD30B6">
            <w:pPr>
              <w:jc w:val="center"/>
              <w:cnfStyle w:val="000000000000" w:firstRow="0" w:lastRow="0" w:firstColumn="0" w:lastColumn="0" w:oddVBand="0" w:evenVBand="0" w:oddHBand="0" w:evenHBand="0" w:firstRowFirstColumn="0" w:firstRowLastColumn="0" w:lastRowFirstColumn="0" w:lastRowLastColumn="0"/>
              <w:rPr>
                <w:lang w:eastAsia="en-GB"/>
              </w:rPr>
            </w:pPr>
            <w:r w:rsidRPr="00F30588">
              <w:t>7000</w:t>
            </w:r>
          </w:p>
        </w:tc>
      </w:tr>
      <w:tr w:rsidR="000C0A41" w:rsidRPr="003812BB" w:rsidTr="00A73F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100000" w:firstRow="0" w:lastRow="0" w:firstColumn="0" w:lastColumn="0" w:oddVBand="0" w:evenVBand="0" w:oddHBand="1" w:evenHBand="0" w:firstRowFirstColumn="0" w:firstRowLastColumn="0" w:lastRowFirstColumn="0" w:lastRowLastColumn="0"/>
              <w:rPr>
                <w:lang w:eastAsia="en-GB"/>
              </w:rPr>
            </w:pPr>
            <w:r w:rsidRPr="00866B78">
              <w:t>o/e - respiratory distress</w:t>
            </w:r>
          </w:p>
        </w:tc>
        <w:tc>
          <w:tcPr>
            <w:tcW w:w="1418" w:type="dxa"/>
          </w:tcPr>
          <w:p w:rsidR="000C0A41" w:rsidRPr="003812BB" w:rsidRDefault="000C0A41" w:rsidP="00BD30B6">
            <w:pPr>
              <w:jc w:val="center"/>
              <w:cnfStyle w:val="000000100000" w:firstRow="0" w:lastRow="0" w:firstColumn="0" w:lastColumn="0" w:oddVBand="0" w:evenVBand="0" w:oddHBand="1" w:evenHBand="0" w:firstRowFirstColumn="0" w:firstRowLastColumn="0" w:lastRowFirstColumn="0" w:lastRowLastColumn="0"/>
              <w:rPr>
                <w:lang w:eastAsia="en-GB"/>
              </w:rPr>
            </w:pPr>
            <w:r w:rsidRPr="00F30588">
              <w:t>7534</w:t>
            </w:r>
          </w:p>
        </w:tc>
      </w:tr>
      <w:tr w:rsidR="000C0A41" w:rsidRPr="003812BB" w:rsidTr="00A73FAF">
        <w:trPr>
          <w:jc w:val="center"/>
        </w:trPr>
        <w:tc>
          <w:tcPr>
            <w:cnfStyle w:val="001000000000" w:firstRow="0" w:lastRow="0" w:firstColumn="1" w:lastColumn="0" w:oddVBand="0" w:evenVBand="0" w:oddHBand="0" w:evenHBand="0" w:firstRowFirstColumn="0" w:firstRowLastColumn="0" w:lastRowFirstColumn="0" w:lastRowLastColumn="0"/>
            <w:tcW w:w="1645" w:type="dxa"/>
            <w:vMerge/>
            <w:shd w:val="clear" w:color="auto" w:fill="DEEAF6" w:themeFill="accent1" w:themeFillTint="33"/>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000000" w:firstRow="0" w:lastRow="0" w:firstColumn="0" w:lastColumn="0" w:oddVBand="0" w:evenVBand="0" w:oddHBand="0" w:evenHBand="0" w:firstRowFirstColumn="0" w:firstRowLastColumn="0" w:lastRowFirstColumn="0" w:lastRowLastColumn="0"/>
              <w:rPr>
                <w:lang w:eastAsia="en-GB"/>
              </w:rPr>
            </w:pPr>
            <w:r w:rsidRPr="00866B78">
              <w:t>breathless - lying flat</w:t>
            </w:r>
          </w:p>
        </w:tc>
        <w:tc>
          <w:tcPr>
            <w:tcW w:w="1418" w:type="dxa"/>
          </w:tcPr>
          <w:p w:rsidR="000C0A41" w:rsidRPr="003812BB" w:rsidRDefault="000C0A41" w:rsidP="00BD30B6">
            <w:pPr>
              <w:jc w:val="center"/>
              <w:cnfStyle w:val="000000000000" w:firstRow="0" w:lastRow="0" w:firstColumn="0" w:lastColumn="0" w:oddVBand="0" w:evenVBand="0" w:oddHBand="0" w:evenHBand="0" w:firstRowFirstColumn="0" w:firstRowLastColumn="0" w:lastRowFirstColumn="0" w:lastRowLastColumn="0"/>
              <w:rPr>
                <w:lang w:eastAsia="en-GB"/>
              </w:rPr>
            </w:pPr>
            <w:r w:rsidRPr="00F30588">
              <w:t>7683</w:t>
            </w:r>
          </w:p>
        </w:tc>
      </w:tr>
      <w:tr w:rsidR="000C0A41" w:rsidRPr="003812BB" w:rsidTr="00A73F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100000" w:firstRow="0" w:lastRow="0" w:firstColumn="0" w:lastColumn="0" w:oddVBand="0" w:evenVBand="0" w:oddHBand="1" w:evenHBand="0" w:firstRowFirstColumn="0" w:firstRowLastColumn="0" w:lastRowFirstColumn="0" w:lastRowLastColumn="0"/>
              <w:rPr>
                <w:lang w:eastAsia="en-GB"/>
              </w:rPr>
            </w:pPr>
            <w:r w:rsidRPr="00866B78">
              <w:t>breathless - mild exertion</w:t>
            </w:r>
          </w:p>
        </w:tc>
        <w:tc>
          <w:tcPr>
            <w:tcW w:w="1418" w:type="dxa"/>
          </w:tcPr>
          <w:p w:rsidR="000C0A41" w:rsidRPr="003812BB" w:rsidRDefault="000C0A41" w:rsidP="00BD30B6">
            <w:pPr>
              <w:jc w:val="center"/>
              <w:cnfStyle w:val="000000100000" w:firstRow="0" w:lastRow="0" w:firstColumn="0" w:lastColumn="0" w:oddVBand="0" w:evenVBand="0" w:oddHBand="1" w:evenHBand="0" w:firstRowFirstColumn="0" w:firstRowLastColumn="0" w:lastRowFirstColumn="0" w:lastRowLastColumn="0"/>
              <w:rPr>
                <w:lang w:eastAsia="en-GB"/>
              </w:rPr>
            </w:pPr>
            <w:r w:rsidRPr="00F30588">
              <w:t>7932</w:t>
            </w:r>
          </w:p>
        </w:tc>
      </w:tr>
      <w:tr w:rsidR="000C0A41" w:rsidRPr="003812BB" w:rsidTr="00A73FAF">
        <w:trPr>
          <w:jc w:val="center"/>
        </w:trPr>
        <w:tc>
          <w:tcPr>
            <w:cnfStyle w:val="001000000000" w:firstRow="0" w:lastRow="0" w:firstColumn="1" w:lastColumn="0" w:oddVBand="0" w:evenVBand="0" w:oddHBand="0" w:evenHBand="0" w:firstRowFirstColumn="0" w:firstRowLastColumn="0" w:lastRowFirstColumn="0" w:lastRowLastColumn="0"/>
            <w:tcW w:w="1645" w:type="dxa"/>
            <w:vMerge/>
            <w:shd w:val="clear" w:color="auto" w:fill="DEEAF6" w:themeFill="accent1" w:themeFillTint="33"/>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000000" w:firstRow="0" w:lastRow="0" w:firstColumn="0" w:lastColumn="0" w:oddVBand="0" w:evenVBand="0" w:oddHBand="0" w:evenHBand="0" w:firstRowFirstColumn="0" w:firstRowLastColumn="0" w:lastRowFirstColumn="0" w:lastRowLastColumn="0"/>
              <w:rPr>
                <w:lang w:eastAsia="en-GB"/>
              </w:rPr>
            </w:pPr>
            <w:r w:rsidRPr="00866B78">
              <w:t>[d]respiratory insufficiency</w:t>
            </w:r>
          </w:p>
        </w:tc>
        <w:tc>
          <w:tcPr>
            <w:tcW w:w="1418" w:type="dxa"/>
          </w:tcPr>
          <w:p w:rsidR="000C0A41" w:rsidRPr="003812BB" w:rsidRDefault="000C0A41" w:rsidP="00BD30B6">
            <w:pPr>
              <w:jc w:val="center"/>
              <w:cnfStyle w:val="000000000000" w:firstRow="0" w:lastRow="0" w:firstColumn="0" w:lastColumn="0" w:oddVBand="0" w:evenVBand="0" w:oddHBand="0" w:evenHBand="0" w:firstRowFirstColumn="0" w:firstRowLastColumn="0" w:lastRowFirstColumn="0" w:lastRowLastColumn="0"/>
              <w:rPr>
                <w:lang w:eastAsia="en-GB"/>
              </w:rPr>
            </w:pPr>
            <w:r w:rsidRPr="00F30588">
              <w:t>9297</w:t>
            </w:r>
          </w:p>
        </w:tc>
      </w:tr>
      <w:tr w:rsidR="000C0A41" w:rsidRPr="003812BB" w:rsidTr="00A73F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100000" w:firstRow="0" w:lastRow="0" w:firstColumn="0" w:lastColumn="0" w:oddVBand="0" w:evenVBand="0" w:oddHBand="1" w:evenHBand="0" w:firstRowFirstColumn="0" w:firstRowLastColumn="0" w:lastRowFirstColumn="0" w:lastRowLastColumn="0"/>
              <w:rPr>
                <w:lang w:eastAsia="en-GB"/>
              </w:rPr>
            </w:pPr>
            <w:r w:rsidRPr="00866B78">
              <w:t>nocturnal dyspnoea</w:t>
            </w:r>
          </w:p>
        </w:tc>
        <w:tc>
          <w:tcPr>
            <w:tcW w:w="1418" w:type="dxa"/>
          </w:tcPr>
          <w:p w:rsidR="000C0A41" w:rsidRPr="003812BB" w:rsidRDefault="000C0A41" w:rsidP="00BD30B6">
            <w:pPr>
              <w:jc w:val="center"/>
              <w:cnfStyle w:val="000000100000" w:firstRow="0" w:lastRow="0" w:firstColumn="0" w:lastColumn="0" w:oddVBand="0" w:evenVBand="0" w:oddHBand="1" w:evenHBand="0" w:firstRowFirstColumn="0" w:firstRowLastColumn="0" w:lastRowFirstColumn="0" w:lastRowLastColumn="0"/>
              <w:rPr>
                <w:lang w:eastAsia="en-GB"/>
              </w:rPr>
            </w:pPr>
            <w:r w:rsidRPr="00F30588">
              <w:t>18116</w:t>
            </w:r>
          </w:p>
        </w:tc>
      </w:tr>
      <w:tr w:rsidR="000C0A41" w:rsidRPr="003812BB" w:rsidTr="00A73FAF">
        <w:trPr>
          <w:jc w:val="center"/>
        </w:trPr>
        <w:tc>
          <w:tcPr>
            <w:cnfStyle w:val="001000000000" w:firstRow="0" w:lastRow="0" w:firstColumn="1" w:lastColumn="0" w:oddVBand="0" w:evenVBand="0" w:oddHBand="0" w:evenHBand="0" w:firstRowFirstColumn="0" w:firstRowLastColumn="0" w:lastRowFirstColumn="0" w:lastRowLastColumn="0"/>
            <w:tcW w:w="1645" w:type="dxa"/>
            <w:vMerge/>
            <w:shd w:val="clear" w:color="auto" w:fill="DEEAF6" w:themeFill="accent1" w:themeFillTint="33"/>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000000" w:firstRow="0" w:lastRow="0" w:firstColumn="0" w:lastColumn="0" w:oddVBand="0" w:evenVBand="0" w:oddHBand="0" w:evenHBand="0" w:firstRowFirstColumn="0" w:firstRowLastColumn="0" w:lastRowFirstColumn="0" w:lastRowLastColumn="0"/>
              <w:rPr>
                <w:lang w:eastAsia="en-GB"/>
              </w:rPr>
            </w:pPr>
            <w:r w:rsidRPr="00866B78">
              <w:t>breathlessness nos</w:t>
            </w:r>
          </w:p>
        </w:tc>
        <w:tc>
          <w:tcPr>
            <w:tcW w:w="1418" w:type="dxa"/>
          </w:tcPr>
          <w:p w:rsidR="000C0A41" w:rsidRPr="003812BB" w:rsidRDefault="000C0A41" w:rsidP="00BD30B6">
            <w:pPr>
              <w:jc w:val="center"/>
              <w:cnfStyle w:val="000000000000" w:firstRow="0" w:lastRow="0" w:firstColumn="0" w:lastColumn="0" w:oddVBand="0" w:evenVBand="0" w:oddHBand="0" w:evenHBand="0" w:firstRowFirstColumn="0" w:firstRowLastColumn="0" w:lastRowFirstColumn="0" w:lastRowLastColumn="0"/>
              <w:rPr>
                <w:lang w:eastAsia="en-GB"/>
              </w:rPr>
            </w:pPr>
            <w:r w:rsidRPr="00F30588">
              <w:t>21801</w:t>
            </w:r>
          </w:p>
        </w:tc>
      </w:tr>
      <w:tr w:rsidR="000C0A41" w:rsidRPr="003812BB" w:rsidTr="00A73F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100000" w:firstRow="0" w:lastRow="0" w:firstColumn="0" w:lastColumn="0" w:oddVBand="0" w:evenVBand="0" w:oddHBand="1" w:evenHBand="0" w:firstRowFirstColumn="0" w:firstRowLastColumn="0" w:lastRowFirstColumn="0" w:lastRowLastColumn="0"/>
              <w:rPr>
                <w:lang w:eastAsia="en-GB"/>
              </w:rPr>
            </w:pPr>
            <w:r w:rsidRPr="00866B78">
              <w:t>short of breath dressing/undressing</w:t>
            </w:r>
          </w:p>
        </w:tc>
        <w:tc>
          <w:tcPr>
            <w:tcW w:w="1418" w:type="dxa"/>
          </w:tcPr>
          <w:p w:rsidR="000C0A41" w:rsidRPr="003812BB" w:rsidRDefault="000C0A41" w:rsidP="00BD30B6">
            <w:pPr>
              <w:jc w:val="center"/>
              <w:cnfStyle w:val="000000100000" w:firstRow="0" w:lastRow="0" w:firstColumn="0" w:lastColumn="0" w:oddVBand="0" w:evenVBand="0" w:oddHBand="1" w:evenHBand="0" w:firstRowFirstColumn="0" w:firstRowLastColumn="0" w:lastRowFirstColumn="0" w:lastRowLastColumn="0"/>
              <w:rPr>
                <w:lang w:eastAsia="en-GB"/>
              </w:rPr>
            </w:pPr>
            <w:r w:rsidRPr="00F30588">
              <w:t>22094</w:t>
            </w:r>
          </w:p>
        </w:tc>
      </w:tr>
      <w:tr w:rsidR="000C0A41" w:rsidRPr="003812BB" w:rsidTr="00A73FAF">
        <w:trPr>
          <w:jc w:val="center"/>
        </w:trPr>
        <w:tc>
          <w:tcPr>
            <w:cnfStyle w:val="001000000000" w:firstRow="0" w:lastRow="0" w:firstColumn="1" w:lastColumn="0" w:oddVBand="0" w:evenVBand="0" w:oddHBand="0" w:evenHBand="0" w:firstRowFirstColumn="0" w:firstRowLastColumn="0" w:lastRowFirstColumn="0" w:lastRowLastColumn="0"/>
            <w:tcW w:w="1645" w:type="dxa"/>
            <w:vMerge/>
            <w:shd w:val="clear" w:color="auto" w:fill="DEEAF6" w:themeFill="accent1" w:themeFillTint="33"/>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000000" w:firstRow="0" w:lastRow="0" w:firstColumn="0" w:lastColumn="0" w:oddVBand="0" w:evenVBand="0" w:oddHBand="0" w:evenHBand="0" w:firstRowFirstColumn="0" w:firstRowLastColumn="0" w:lastRowFirstColumn="0" w:lastRowLastColumn="0"/>
              <w:rPr>
                <w:lang w:eastAsia="en-GB"/>
              </w:rPr>
            </w:pPr>
            <w:r w:rsidRPr="00866B78">
              <w:t>breathless - strenuous exertion</w:t>
            </w:r>
          </w:p>
        </w:tc>
        <w:tc>
          <w:tcPr>
            <w:tcW w:w="1418" w:type="dxa"/>
          </w:tcPr>
          <w:p w:rsidR="000C0A41" w:rsidRPr="003812BB" w:rsidRDefault="000C0A41" w:rsidP="00BD30B6">
            <w:pPr>
              <w:jc w:val="center"/>
              <w:cnfStyle w:val="000000000000" w:firstRow="0" w:lastRow="0" w:firstColumn="0" w:lastColumn="0" w:oddVBand="0" w:evenVBand="0" w:oddHBand="0" w:evenHBand="0" w:firstRowFirstColumn="0" w:firstRowLastColumn="0" w:lastRowFirstColumn="0" w:lastRowLastColumn="0"/>
              <w:rPr>
                <w:lang w:eastAsia="en-GB"/>
              </w:rPr>
            </w:pPr>
            <w:r w:rsidRPr="00F30588">
              <w:t>24889</w:t>
            </w:r>
          </w:p>
        </w:tc>
      </w:tr>
      <w:tr w:rsidR="000C0A41" w:rsidRPr="003812BB" w:rsidTr="00A73F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100000" w:firstRow="0" w:lastRow="0" w:firstColumn="0" w:lastColumn="0" w:oddVBand="0" w:evenVBand="0" w:oddHBand="1" w:evenHBand="0" w:firstRowFirstColumn="0" w:firstRowLastColumn="0" w:lastRowFirstColumn="0" w:lastRowLastColumn="0"/>
              <w:rPr>
                <w:lang w:eastAsia="en-GB"/>
              </w:rPr>
            </w:pPr>
            <w:r w:rsidRPr="00866B78">
              <w:t>breathless - at rest</w:t>
            </w:r>
          </w:p>
        </w:tc>
        <w:tc>
          <w:tcPr>
            <w:tcW w:w="1418" w:type="dxa"/>
          </w:tcPr>
          <w:p w:rsidR="000C0A41" w:rsidRPr="003812BB" w:rsidRDefault="000C0A41" w:rsidP="00BD30B6">
            <w:pPr>
              <w:jc w:val="center"/>
              <w:cnfStyle w:val="000000100000" w:firstRow="0" w:lastRow="0" w:firstColumn="0" w:lastColumn="0" w:oddVBand="0" w:evenVBand="0" w:oddHBand="1" w:evenHBand="0" w:firstRowFirstColumn="0" w:firstRowLastColumn="0" w:lastRowFirstColumn="0" w:lastRowLastColumn="0"/>
              <w:rPr>
                <w:lang w:eastAsia="en-GB"/>
              </w:rPr>
            </w:pPr>
            <w:r w:rsidRPr="00F30588">
              <w:t>31143</w:t>
            </w:r>
          </w:p>
        </w:tc>
      </w:tr>
      <w:tr w:rsidR="000C0A41" w:rsidRPr="003812BB" w:rsidTr="00A73FAF">
        <w:trPr>
          <w:jc w:val="center"/>
        </w:trPr>
        <w:tc>
          <w:tcPr>
            <w:cnfStyle w:val="001000000000" w:firstRow="0" w:lastRow="0" w:firstColumn="1" w:lastColumn="0" w:oddVBand="0" w:evenVBand="0" w:oddHBand="0" w:evenHBand="0" w:firstRowFirstColumn="0" w:firstRowLastColumn="0" w:lastRowFirstColumn="0" w:lastRowLastColumn="0"/>
            <w:tcW w:w="1645" w:type="dxa"/>
            <w:vMerge/>
            <w:shd w:val="clear" w:color="auto" w:fill="DEEAF6" w:themeFill="accent1" w:themeFillTint="33"/>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000000" w:firstRow="0" w:lastRow="0" w:firstColumn="0" w:lastColumn="0" w:oddVBand="0" w:evenVBand="0" w:oddHBand="0" w:evenHBand="0" w:firstRowFirstColumn="0" w:firstRowLastColumn="0" w:lastRowFirstColumn="0" w:lastRowLastColumn="0"/>
              <w:rPr>
                <w:lang w:eastAsia="en-GB"/>
              </w:rPr>
            </w:pPr>
            <w:r w:rsidRPr="00866B78">
              <w:t>dyspnoea on exertion</w:t>
            </w:r>
          </w:p>
        </w:tc>
        <w:tc>
          <w:tcPr>
            <w:tcW w:w="1418" w:type="dxa"/>
          </w:tcPr>
          <w:p w:rsidR="000C0A41" w:rsidRPr="003812BB" w:rsidRDefault="000C0A41" w:rsidP="00BD30B6">
            <w:pPr>
              <w:jc w:val="center"/>
              <w:cnfStyle w:val="000000000000" w:firstRow="0" w:lastRow="0" w:firstColumn="0" w:lastColumn="0" w:oddVBand="0" w:evenVBand="0" w:oddHBand="0" w:evenHBand="0" w:firstRowFirstColumn="0" w:firstRowLastColumn="0" w:lastRowFirstColumn="0" w:lastRowLastColumn="0"/>
              <w:rPr>
                <w:lang w:eastAsia="en-GB"/>
              </w:rPr>
            </w:pPr>
            <w:r w:rsidRPr="00F30588">
              <w:t>53771</w:t>
            </w:r>
          </w:p>
        </w:tc>
      </w:tr>
      <w:tr w:rsidR="000C0A41" w:rsidRPr="003812BB" w:rsidTr="00A73F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100000" w:firstRow="0" w:lastRow="0" w:firstColumn="0" w:lastColumn="0" w:oddVBand="0" w:evenVBand="0" w:oddHBand="1" w:evenHBand="0" w:firstRowFirstColumn="0" w:firstRowLastColumn="0" w:lastRowFirstColumn="0" w:lastRowLastColumn="0"/>
              <w:rPr>
                <w:lang w:eastAsia="en-GB"/>
              </w:rPr>
            </w:pPr>
            <w:r w:rsidRPr="00866B78">
              <w:t>Unable to complete a sentence in one breath</w:t>
            </w:r>
          </w:p>
        </w:tc>
        <w:tc>
          <w:tcPr>
            <w:tcW w:w="1418" w:type="dxa"/>
          </w:tcPr>
          <w:p w:rsidR="000C0A41" w:rsidRPr="003812BB" w:rsidRDefault="000C0A41" w:rsidP="00BD30B6">
            <w:pPr>
              <w:jc w:val="center"/>
              <w:cnfStyle w:val="000000100000" w:firstRow="0" w:lastRow="0" w:firstColumn="0" w:lastColumn="0" w:oddVBand="0" w:evenVBand="0" w:oddHBand="1" w:evenHBand="0" w:firstRowFirstColumn="0" w:firstRowLastColumn="0" w:lastRowFirstColumn="0" w:lastRowLastColumn="0"/>
              <w:rPr>
                <w:lang w:eastAsia="en-GB"/>
              </w:rPr>
            </w:pPr>
            <w:r w:rsidRPr="00F30588">
              <w:t>40813</w:t>
            </w:r>
          </w:p>
        </w:tc>
      </w:tr>
      <w:tr w:rsidR="000C0A41" w:rsidRPr="003812BB" w:rsidTr="00A73FAF">
        <w:trPr>
          <w:jc w:val="center"/>
        </w:trPr>
        <w:tc>
          <w:tcPr>
            <w:cnfStyle w:val="001000000000" w:firstRow="0" w:lastRow="0" w:firstColumn="1" w:lastColumn="0" w:oddVBand="0" w:evenVBand="0" w:oddHBand="0" w:evenHBand="0" w:firstRowFirstColumn="0" w:firstRowLastColumn="0" w:lastRowFirstColumn="0" w:lastRowLastColumn="0"/>
            <w:tcW w:w="1645" w:type="dxa"/>
            <w:vMerge w:val="restart"/>
            <w:shd w:val="clear" w:color="auto" w:fill="DEEAF6" w:themeFill="accent1" w:themeFillTint="33"/>
            <w:vAlign w:val="center"/>
          </w:tcPr>
          <w:p w:rsidR="000C0A41" w:rsidRPr="003812BB" w:rsidRDefault="000C0A41" w:rsidP="00BD30B6">
            <w:pPr>
              <w:rPr>
                <w:lang w:eastAsia="en-GB"/>
              </w:rPr>
            </w:pPr>
            <w:r>
              <w:rPr>
                <w:lang w:eastAsia="en-GB"/>
              </w:rPr>
              <w:t>Sputum</w:t>
            </w:r>
          </w:p>
        </w:tc>
        <w:tc>
          <w:tcPr>
            <w:tcW w:w="5721" w:type="dxa"/>
            <w:noWrap/>
          </w:tcPr>
          <w:p w:rsidR="000C0A41" w:rsidRPr="003812BB" w:rsidRDefault="000C0A41" w:rsidP="00BD30B6">
            <w:pPr>
              <w:cnfStyle w:val="000000000000" w:firstRow="0" w:lastRow="0" w:firstColumn="0" w:lastColumn="0" w:oddVBand="0" w:evenVBand="0" w:oddHBand="0" w:evenHBand="0" w:firstRowFirstColumn="0" w:firstRowLastColumn="0" w:lastRowFirstColumn="0" w:lastRowLastColumn="0"/>
              <w:rPr>
                <w:lang w:eastAsia="en-GB"/>
              </w:rPr>
            </w:pPr>
            <w:r w:rsidRPr="00310779">
              <w:t>chesty cough</w:t>
            </w:r>
          </w:p>
        </w:tc>
        <w:tc>
          <w:tcPr>
            <w:tcW w:w="1418" w:type="dxa"/>
          </w:tcPr>
          <w:p w:rsidR="000C0A41" w:rsidRPr="003812BB" w:rsidRDefault="000C0A41" w:rsidP="00BD30B6">
            <w:pPr>
              <w:jc w:val="center"/>
              <w:cnfStyle w:val="000000000000" w:firstRow="0" w:lastRow="0" w:firstColumn="0" w:lastColumn="0" w:oddVBand="0" w:evenVBand="0" w:oddHBand="0" w:evenHBand="0" w:firstRowFirstColumn="0" w:firstRowLastColumn="0" w:lastRowFirstColumn="0" w:lastRowLastColumn="0"/>
              <w:rPr>
                <w:lang w:eastAsia="en-GB"/>
              </w:rPr>
            </w:pPr>
            <w:r w:rsidRPr="006069D8">
              <w:t>292</w:t>
            </w:r>
          </w:p>
        </w:tc>
      </w:tr>
      <w:tr w:rsidR="000C0A41" w:rsidRPr="003812BB" w:rsidTr="00A73F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100000" w:firstRow="0" w:lastRow="0" w:firstColumn="0" w:lastColumn="0" w:oddVBand="0" w:evenVBand="0" w:oddHBand="1" w:evenHBand="0" w:firstRowFirstColumn="0" w:firstRowLastColumn="0" w:lastRowFirstColumn="0" w:lastRowLastColumn="0"/>
              <w:rPr>
                <w:lang w:eastAsia="en-GB"/>
              </w:rPr>
            </w:pPr>
            <w:r w:rsidRPr="00310779">
              <w:t>bronchial cough</w:t>
            </w:r>
          </w:p>
        </w:tc>
        <w:tc>
          <w:tcPr>
            <w:tcW w:w="1418" w:type="dxa"/>
          </w:tcPr>
          <w:p w:rsidR="000C0A41" w:rsidRPr="003812BB" w:rsidRDefault="000C0A41" w:rsidP="00BD30B6">
            <w:pPr>
              <w:jc w:val="center"/>
              <w:cnfStyle w:val="000000100000" w:firstRow="0" w:lastRow="0" w:firstColumn="0" w:lastColumn="0" w:oddVBand="0" w:evenVBand="0" w:oddHBand="1" w:evenHBand="0" w:firstRowFirstColumn="0" w:firstRowLastColumn="0" w:lastRowFirstColumn="0" w:lastRowLastColumn="0"/>
              <w:rPr>
                <w:lang w:eastAsia="en-GB"/>
              </w:rPr>
            </w:pPr>
            <w:r w:rsidRPr="006069D8">
              <w:t>1025</w:t>
            </w:r>
          </w:p>
        </w:tc>
      </w:tr>
      <w:tr w:rsidR="000C0A41" w:rsidRPr="003812BB" w:rsidTr="00A73FAF">
        <w:trPr>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000000" w:firstRow="0" w:lastRow="0" w:firstColumn="0" w:lastColumn="0" w:oddVBand="0" w:evenVBand="0" w:oddHBand="0" w:evenHBand="0" w:firstRowFirstColumn="0" w:firstRowLastColumn="0" w:lastRowFirstColumn="0" w:lastRowLastColumn="0"/>
              <w:rPr>
                <w:lang w:eastAsia="en-GB"/>
              </w:rPr>
            </w:pPr>
            <w:r w:rsidRPr="00310779">
              <w:t>productive cough nos</w:t>
            </w:r>
          </w:p>
        </w:tc>
        <w:tc>
          <w:tcPr>
            <w:tcW w:w="1418" w:type="dxa"/>
          </w:tcPr>
          <w:p w:rsidR="000C0A41" w:rsidRPr="003812BB" w:rsidRDefault="000C0A41" w:rsidP="00BD30B6">
            <w:pPr>
              <w:jc w:val="center"/>
              <w:cnfStyle w:val="000000000000" w:firstRow="0" w:lastRow="0" w:firstColumn="0" w:lastColumn="0" w:oddVBand="0" w:evenVBand="0" w:oddHBand="0" w:evenHBand="0" w:firstRowFirstColumn="0" w:firstRowLastColumn="0" w:lastRowFirstColumn="0" w:lastRowLastColumn="0"/>
              <w:rPr>
                <w:lang w:eastAsia="en-GB"/>
              </w:rPr>
            </w:pPr>
            <w:r w:rsidRPr="006069D8">
              <w:t>1234</w:t>
            </w:r>
          </w:p>
        </w:tc>
      </w:tr>
      <w:tr w:rsidR="000C0A41" w:rsidRPr="003812BB" w:rsidTr="00A73F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100000" w:firstRow="0" w:lastRow="0" w:firstColumn="0" w:lastColumn="0" w:oddVBand="0" w:evenVBand="0" w:oddHBand="1" w:evenHBand="0" w:firstRowFirstColumn="0" w:firstRowLastColumn="0" w:lastRowFirstColumn="0" w:lastRowLastColumn="0"/>
              <w:rPr>
                <w:lang w:eastAsia="en-GB"/>
              </w:rPr>
            </w:pPr>
            <w:r w:rsidRPr="00310779">
              <w:t>[d]abnormal sputum</w:t>
            </w:r>
          </w:p>
        </w:tc>
        <w:tc>
          <w:tcPr>
            <w:tcW w:w="1418" w:type="dxa"/>
          </w:tcPr>
          <w:p w:rsidR="000C0A41" w:rsidRPr="003812BB" w:rsidRDefault="000C0A41" w:rsidP="00BD30B6">
            <w:pPr>
              <w:jc w:val="center"/>
              <w:cnfStyle w:val="000000100000" w:firstRow="0" w:lastRow="0" w:firstColumn="0" w:lastColumn="0" w:oddVBand="0" w:evenVBand="0" w:oddHBand="1" w:evenHBand="0" w:firstRowFirstColumn="0" w:firstRowLastColumn="0" w:lastRowFirstColumn="0" w:lastRowLastColumn="0"/>
              <w:rPr>
                <w:lang w:eastAsia="en-GB"/>
              </w:rPr>
            </w:pPr>
            <w:r w:rsidRPr="006069D8">
              <w:t>1251</w:t>
            </w:r>
          </w:p>
        </w:tc>
      </w:tr>
      <w:tr w:rsidR="000C0A41" w:rsidRPr="003812BB" w:rsidTr="00A73FAF">
        <w:trPr>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000000" w:firstRow="0" w:lastRow="0" w:firstColumn="0" w:lastColumn="0" w:oddVBand="0" w:evenVBand="0" w:oddHBand="0" w:evenHBand="0" w:firstRowFirstColumn="0" w:firstRowLastColumn="0" w:lastRowFirstColumn="0" w:lastRowLastColumn="0"/>
              <w:rPr>
                <w:lang w:eastAsia="en-GB"/>
              </w:rPr>
            </w:pPr>
            <w:r w:rsidRPr="00310779">
              <w:t>Coughing up phlegm</w:t>
            </w:r>
          </w:p>
        </w:tc>
        <w:tc>
          <w:tcPr>
            <w:tcW w:w="1418" w:type="dxa"/>
          </w:tcPr>
          <w:p w:rsidR="000C0A41" w:rsidRPr="003812BB" w:rsidRDefault="000C0A41" w:rsidP="00BD30B6">
            <w:pPr>
              <w:jc w:val="center"/>
              <w:cnfStyle w:val="000000000000" w:firstRow="0" w:lastRow="0" w:firstColumn="0" w:lastColumn="0" w:oddVBand="0" w:evenVBand="0" w:oddHBand="0" w:evenHBand="0" w:firstRowFirstColumn="0" w:firstRowLastColumn="0" w:lastRowFirstColumn="0" w:lastRowLastColumn="0"/>
              <w:rPr>
                <w:lang w:eastAsia="en-GB"/>
              </w:rPr>
            </w:pPr>
            <w:r w:rsidRPr="006069D8">
              <w:t>3645</w:t>
            </w:r>
          </w:p>
        </w:tc>
      </w:tr>
      <w:tr w:rsidR="000C0A41" w:rsidRPr="003812BB" w:rsidTr="00A73F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100000" w:firstRow="0" w:lastRow="0" w:firstColumn="0" w:lastColumn="0" w:oddVBand="0" w:evenVBand="0" w:oddHBand="1" w:evenHBand="0" w:firstRowFirstColumn="0" w:firstRowLastColumn="0" w:lastRowFirstColumn="0" w:lastRowLastColumn="0"/>
              <w:rPr>
                <w:lang w:eastAsia="en-GB"/>
              </w:rPr>
            </w:pPr>
            <w:r w:rsidRPr="00310779">
              <w:t>sputum sent for c/s</w:t>
            </w:r>
          </w:p>
        </w:tc>
        <w:tc>
          <w:tcPr>
            <w:tcW w:w="1418" w:type="dxa"/>
          </w:tcPr>
          <w:p w:rsidR="000C0A41" w:rsidRPr="003812BB" w:rsidRDefault="000C0A41" w:rsidP="00BD30B6">
            <w:pPr>
              <w:jc w:val="center"/>
              <w:cnfStyle w:val="000000100000" w:firstRow="0" w:lastRow="0" w:firstColumn="0" w:lastColumn="0" w:oddVBand="0" w:evenVBand="0" w:oddHBand="1" w:evenHBand="0" w:firstRowFirstColumn="0" w:firstRowLastColumn="0" w:lastRowFirstColumn="0" w:lastRowLastColumn="0"/>
              <w:rPr>
                <w:lang w:eastAsia="en-GB"/>
              </w:rPr>
            </w:pPr>
            <w:r w:rsidRPr="006069D8">
              <w:t>3727</w:t>
            </w:r>
          </w:p>
        </w:tc>
      </w:tr>
      <w:tr w:rsidR="000C0A41" w:rsidRPr="003812BB" w:rsidTr="00A73FAF">
        <w:trPr>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000000" w:firstRow="0" w:lastRow="0" w:firstColumn="0" w:lastColumn="0" w:oddVBand="0" w:evenVBand="0" w:oddHBand="0" w:evenHBand="0" w:firstRowFirstColumn="0" w:firstRowLastColumn="0" w:lastRowFirstColumn="0" w:lastRowLastColumn="0"/>
              <w:rPr>
                <w:lang w:eastAsia="en-GB"/>
              </w:rPr>
            </w:pPr>
            <w:r w:rsidRPr="00310779">
              <w:t>productive cough -clear sputum</w:t>
            </w:r>
          </w:p>
        </w:tc>
        <w:tc>
          <w:tcPr>
            <w:tcW w:w="1418" w:type="dxa"/>
          </w:tcPr>
          <w:p w:rsidR="000C0A41" w:rsidRPr="003812BB" w:rsidRDefault="000C0A41" w:rsidP="00BD30B6">
            <w:pPr>
              <w:jc w:val="center"/>
              <w:cnfStyle w:val="000000000000" w:firstRow="0" w:lastRow="0" w:firstColumn="0" w:lastColumn="0" w:oddVBand="0" w:evenVBand="0" w:oddHBand="0" w:evenHBand="0" w:firstRowFirstColumn="0" w:firstRowLastColumn="0" w:lastRowFirstColumn="0" w:lastRowLastColumn="0"/>
              <w:rPr>
                <w:lang w:eastAsia="en-GB"/>
              </w:rPr>
            </w:pPr>
            <w:r w:rsidRPr="006069D8">
              <w:t>7706</w:t>
            </w:r>
          </w:p>
        </w:tc>
      </w:tr>
      <w:tr w:rsidR="000C0A41" w:rsidRPr="003812BB" w:rsidTr="00A73F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100000" w:firstRow="0" w:lastRow="0" w:firstColumn="0" w:lastColumn="0" w:oddVBand="0" w:evenVBand="0" w:oddHBand="1" w:evenHBand="0" w:firstRowFirstColumn="0" w:firstRowLastColumn="0" w:lastRowFirstColumn="0" w:lastRowLastColumn="0"/>
              <w:rPr>
                <w:lang w:eastAsia="en-GB"/>
              </w:rPr>
            </w:pPr>
            <w:r w:rsidRPr="00310779">
              <w:t>productive cough-yellow sputum</w:t>
            </w:r>
          </w:p>
        </w:tc>
        <w:tc>
          <w:tcPr>
            <w:tcW w:w="1418" w:type="dxa"/>
          </w:tcPr>
          <w:p w:rsidR="000C0A41" w:rsidRPr="003812BB" w:rsidRDefault="000C0A41" w:rsidP="00BD30B6">
            <w:pPr>
              <w:jc w:val="center"/>
              <w:cnfStyle w:val="000000100000" w:firstRow="0" w:lastRow="0" w:firstColumn="0" w:lastColumn="0" w:oddVBand="0" w:evenVBand="0" w:oddHBand="1" w:evenHBand="0" w:firstRowFirstColumn="0" w:firstRowLastColumn="0" w:lastRowFirstColumn="0" w:lastRowLastColumn="0"/>
              <w:rPr>
                <w:lang w:eastAsia="en-GB"/>
              </w:rPr>
            </w:pPr>
            <w:r w:rsidRPr="006069D8">
              <w:t>7708</w:t>
            </w:r>
          </w:p>
        </w:tc>
      </w:tr>
      <w:tr w:rsidR="000C0A41" w:rsidRPr="003812BB" w:rsidTr="00A73FAF">
        <w:trPr>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000000" w:firstRow="0" w:lastRow="0" w:firstColumn="0" w:lastColumn="0" w:oddVBand="0" w:evenVBand="0" w:oddHBand="0" w:evenHBand="0" w:firstRowFirstColumn="0" w:firstRowLastColumn="0" w:lastRowFirstColumn="0" w:lastRowLastColumn="0"/>
              <w:rPr>
                <w:lang w:eastAsia="en-GB"/>
              </w:rPr>
            </w:pPr>
            <w:r w:rsidRPr="00310779">
              <w:t>productive cough -green sputum</w:t>
            </w:r>
          </w:p>
        </w:tc>
        <w:tc>
          <w:tcPr>
            <w:tcW w:w="1418" w:type="dxa"/>
          </w:tcPr>
          <w:p w:rsidR="000C0A41" w:rsidRPr="003812BB" w:rsidRDefault="000C0A41" w:rsidP="00BD30B6">
            <w:pPr>
              <w:jc w:val="center"/>
              <w:cnfStyle w:val="000000000000" w:firstRow="0" w:lastRow="0" w:firstColumn="0" w:lastColumn="0" w:oddVBand="0" w:evenVBand="0" w:oddHBand="0" w:evenHBand="0" w:firstRowFirstColumn="0" w:firstRowLastColumn="0" w:lastRowFirstColumn="0" w:lastRowLastColumn="0"/>
              <w:rPr>
                <w:lang w:eastAsia="en-GB"/>
              </w:rPr>
            </w:pPr>
            <w:r w:rsidRPr="006069D8">
              <w:t>7773</w:t>
            </w:r>
          </w:p>
        </w:tc>
      </w:tr>
      <w:tr w:rsidR="000C0A41" w:rsidRPr="003812BB" w:rsidTr="00A73F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100000" w:firstRow="0" w:lastRow="0" w:firstColumn="0" w:lastColumn="0" w:oddVBand="0" w:evenVBand="0" w:oddHBand="1" w:evenHBand="0" w:firstRowFirstColumn="0" w:firstRowLastColumn="0" w:lastRowFirstColumn="0" w:lastRowLastColumn="0"/>
              <w:rPr>
                <w:lang w:eastAsia="en-GB"/>
              </w:rPr>
            </w:pPr>
            <w:r w:rsidRPr="00310779">
              <w:t>sputum sample obtained</w:t>
            </w:r>
          </w:p>
        </w:tc>
        <w:tc>
          <w:tcPr>
            <w:tcW w:w="1418" w:type="dxa"/>
          </w:tcPr>
          <w:p w:rsidR="000C0A41" w:rsidRPr="003812BB" w:rsidRDefault="000C0A41" w:rsidP="00BD30B6">
            <w:pPr>
              <w:jc w:val="center"/>
              <w:cnfStyle w:val="000000100000" w:firstRow="0" w:lastRow="0" w:firstColumn="0" w:lastColumn="0" w:oddVBand="0" w:evenVBand="0" w:oddHBand="1" w:evenHBand="0" w:firstRowFirstColumn="0" w:firstRowLastColumn="0" w:lastRowFirstColumn="0" w:lastRowLastColumn="0"/>
              <w:rPr>
                <w:lang w:eastAsia="en-GB"/>
              </w:rPr>
            </w:pPr>
            <w:r w:rsidRPr="006069D8">
              <w:t>8287</w:t>
            </w:r>
          </w:p>
        </w:tc>
      </w:tr>
      <w:tr w:rsidR="000C0A41" w:rsidRPr="003812BB" w:rsidTr="00A73FAF">
        <w:trPr>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000000" w:firstRow="0" w:lastRow="0" w:firstColumn="0" w:lastColumn="0" w:oddVBand="0" w:evenVBand="0" w:oddHBand="0" w:evenHBand="0" w:firstRowFirstColumn="0" w:firstRowLastColumn="0" w:lastRowFirstColumn="0" w:lastRowLastColumn="0"/>
              <w:rPr>
                <w:lang w:eastAsia="en-GB"/>
              </w:rPr>
            </w:pPr>
            <w:r w:rsidRPr="00310779">
              <w:t>[d]positive culture findings in sputum</w:t>
            </w:r>
          </w:p>
        </w:tc>
        <w:tc>
          <w:tcPr>
            <w:tcW w:w="1418" w:type="dxa"/>
          </w:tcPr>
          <w:p w:rsidR="000C0A41" w:rsidRPr="003812BB" w:rsidRDefault="000C0A41" w:rsidP="00BD30B6">
            <w:pPr>
              <w:jc w:val="center"/>
              <w:cnfStyle w:val="000000000000" w:firstRow="0" w:lastRow="0" w:firstColumn="0" w:lastColumn="0" w:oddVBand="0" w:evenVBand="0" w:oddHBand="0" w:evenHBand="0" w:firstRowFirstColumn="0" w:firstRowLastColumn="0" w:lastRowFirstColumn="0" w:lastRowLastColumn="0"/>
              <w:rPr>
                <w:lang w:eastAsia="en-GB"/>
              </w:rPr>
            </w:pPr>
            <w:r w:rsidRPr="006069D8">
              <w:t>8760</w:t>
            </w:r>
          </w:p>
        </w:tc>
      </w:tr>
      <w:tr w:rsidR="000C0A41" w:rsidRPr="003812BB" w:rsidTr="00A73F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100000" w:firstRow="0" w:lastRow="0" w:firstColumn="0" w:lastColumn="0" w:oddVBand="0" w:evenVBand="0" w:oddHBand="1" w:evenHBand="0" w:firstRowFirstColumn="0" w:firstRowLastColumn="0" w:lastRowFirstColumn="0" w:lastRowLastColumn="0"/>
              <w:rPr>
                <w:lang w:eastAsia="en-GB"/>
              </w:rPr>
            </w:pPr>
            <w:r w:rsidRPr="00310779">
              <w:t>sputum - symptom</w:t>
            </w:r>
          </w:p>
        </w:tc>
        <w:tc>
          <w:tcPr>
            <w:tcW w:w="1418" w:type="dxa"/>
          </w:tcPr>
          <w:p w:rsidR="000C0A41" w:rsidRPr="003812BB" w:rsidRDefault="000C0A41" w:rsidP="00BD30B6">
            <w:pPr>
              <w:jc w:val="center"/>
              <w:cnfStyle w:val="000000100000" w:firstRow="0" w:lastRow="0" w:firstColumn="0" w:lastColumn="0" w:oddVBand="0" w:evenVBand="0" w:oddHBand="1" w:evenHBand="0" w:firstRowFirstColumn="0" w:firstRowLastColumn="0" w:lastRowFirstColumn="0" w:lastRowLastColumn="0"/>
              <w:rPr>
                <w:lang w:eastAsia="en-GB"/>
              </w:rPr>
            </w:pPr>
            <w:r w:rsidRPr="006069D8">
              <w:t>9807</w:t>
            </w:r>
          </w:p>
        </w:tc>
      </w:tr>
      <w:tr w:rsidR="000C0A41" w:rsidRPr="003812BB" w:rsidTr="00A73FAF">
        <w:trPr>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000000" w:firstRow="0" w:lastRow="0" w:firstColumn="0" w:lastColumn="0" w:oddVBand="0" w:evenVBand="0" w:oddHBand="0" w:evenHBand="0" w:firstRowFirstColumn="0" w:firstRowLastColumn="0" w:lastRowFirstColumn="0" w:lastRowLastColumn="0"/>
              <w:rPr>
                <w:lang w:eastAsia="en-GB"/>
              </w:rPr>
            </w:pPr>
            <w:r w:rsidRPr="00310779">
              <w:t>acute purulent bronchitis</w:t>
            </w:r>
          </w:p>
        </w:tc>
        <w:tc>
          <w:tcPr>
            <w:tcW w:w="1418" w:type="dxa"/>
          </w:tcPr>
          <w:p w:rsidR="000C0A41" w:rsidRPr="003812BB" w:rsidRDefault="000C0A41" w:rsidP="00BD30B6">
            <w:pPr>
              <w:jc w:val="center"/>
              <w:cnfStyle w:val="000000000000" w:firstRow="0" w:lastRow="0" w:firstColumn="0" w:lastColumn="0" w:oddVBand="0" w:evenVBand="0" w:oddHBand="0" w:evenHBand="0" w:firstRowFirstColumn="0" w:firstRowLastColumn="0" w:lastRowFirstColumn="0" w:lastRowLastColumn="0"/>
              <w:rPr>
                <w:lang w:eastAsia="en-GB"/>
              </w:rPr>
            </w:pPr>
            <w:r w:rsidRPr="006069D8">
              <w:t>11072</w:t>
            </w:r>
          </w:p>
        </w:tc>
      </w:tr>
      <w:tr w:rsidR="000C0A41" w:rsidRPr="003812BB" w:rsidTr="00A73F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100000" w:firstRow="0" w:lastRow="0" w:firstColumn="0" w:lastColumn="0" w:oddVBand="0" w:evenVBand="0" w:oddHBand="1" w:evenHBand="0" w:firstRowFirstColumn="0" w:firstRowLastColumn="0" w:lastRowFirstColumn="0" w:lastRowLastColumn="0"/>
              <w:rPr>
                <w:lang w:eastAsia="en-GB"/>
              </w:rPr>
            </w:pPr>
            <w:r w:rsidRPr="00310779">
              <w:t>sputum culture</w:t>
            </w:r>
          </w:p>
        </w:tc>
        <w:tc>
          <w:tcPr>
            <w:tcW w:w="1418" w:type="dxa"/>
          </w:tcPr>
          <w:p w:rsidR="000C0A41" w:rsidRPr="003812BB" w:rsidRDefault="000C0A41" w:rsidP="00BD30B6">
            <w:pPr>
              <w:jc w:val="center"/>
              <w:cnfStyle w:val="000000100000" w:firstRow="0" w:lastRow="0" w:firstColumn="0" w:lastColumn="0" w:oddVBand="0" w:evenVBand="0" w:oddHBand="1" w:evenHBand="0" w:firstRowFirstColumn="0" w:firstRowLastColumn="0" w:lastRowFirstColumn="0" w:lastRowLastColumn="0"/>
              <w:rPr>
                <w:lang w:eastAsia="en-GB"/>
              </w:rPr>
            </w:pPr>
            <w:r w:rsidRPr="006069D8">
              <w:t>14271</w:t>
            </w:r>
          </w:p>
        </w:tc>
      </w:tr>
      <w:tr w:rsidR="000C0A41" w:rsidRPr="003812BB" w:rsidTr="00A73FAF">
        <w:trPr>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000000" w:firstRow="0" w:lastRow="0" w:firstColumn="0" w:lastColumn="0" w:oddVBand="0" w:evenVBand="0" w:oddHBand="0" w:evenHBand="0" w:firstRowFirstColumn="0" w:firstRowLastColumn="0" w:lastRowFirstColumn="0" w:lastRowLastColumn="0"/>
              <w:rPr>
                <w:lang w:eastAsia="en-GB"/>
              </w:rPr>
            </w:pPr>
            <w:r w:rsidRPr="00310779">
              <w:t>sputum microscopy</w:t>
            </w:r>
          </w:p>
        </w:tc>
        <w:tc>
          <w:tcPr>
            <w:tcW w:w="1418" w:type="dxa"/>
          </w:tcPr>
          <w:p w:rsidR="000C0A41" w:rsidRPr="003812BB" w:rsidRDefault="000C0A41" w:rsidP="00BD30B6">
            <w:pPr>
              <w:jc w:val="center"/>
              <w:cnfStyle w:val="000000000000" w:firstRow="0" w:lastRow="0" w:firstColumn="0" w:lastColumn="0" w:oddVBand="0" w:evenVBand="0" w:oddHBand="0" w:evenHBand="0" w:firstRowFirstColumn="0" w:firstRowLastColumn="0" w:lastRowFirstColumn="0" w:lastRowLastColumn="0"/>
              <w:rPr>
                <w:lang w:eastAsia="en-GB"/>
              </w:rPr>
            </w:pPr>
            <w:r w:rsidRPr="006069D8">
              <w:t>14272</w:t>
            </w:r>
          </w:p>
        </w:tc>
      </w:tr>
      <w:tr w:rsidR="000C0A41" w:rsidRPr="003812BB" w:rsidTr="00A73F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100000" w:firstRow="0" w:lastRow="0" w:firstColumn="0" w:lastColumn="0" w:oddVBand="0" w:evenVBand="0" w:oddHBand="1" w:evenHBand="0" w:firstRowFirstColumn="0" w:firstRowLastColumn="0" w:lastRowFirstColumn="0" w:lastRowLastColumn="0"/>
              <w:rPr>
                <w:lang w:eastAsia="en-GB"/>
              </w:rPr>
            </w:pPr>
            <w:r w:rsidRPr="00310779">
              <w:t>sputum appearance</w:t>
            </w:r>
          </w:p>
        </w:tc>
        <w:tc>
          <w:tcPr>
            <w:tcW w:w="1418" w:type="dxa"/>
          </w:tcPr>
          <w:p w:rsidR="000C0A41" w:rsidRPr="003812BB" w:rsidRDefault="000C0A41" w:rsidP="00BD30B6">
            <w:pPr>
              <w:jc w:val="center"/>
              <w:cnfStyle w:val="000000100000" w:firstRow="0" w:lastRow="0" w:firstColumn="0" w:lastColumn="0" w:oddVBand="0" w:evenVBand="0" w:oddHBand="1" w:evenHBand="0" w:firstRowFirstColumn="0" w:firstRowLastColumn="0" w:lastRowFirstColumn="0" w:lastRowLastColumn="0"/>
              <w:rPr>
                <w:lang w:eastAsia="en-GB"/>
              </w:rPr>
            </w:pPr>
            <w:r w:rsidRPr="006069D8">
              <w:t>14273</w:t>
            </w:r>
          </w:p>
        </w:tc>
      </w:tr>
      <w:tr w:rsidR="000C0A41" w:rsidRPr="003812BB" w:rsidTr="00A73FAF">
        <w:trPr>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000000" w:firstRow="0" w:lastRow="0" w:firstColumn="0" w:lastColumn="0" w:oddVBand="0" w:evenVBand="0" w:oddHBand="0" w:evenHBand="0" w:firstRowFirstColumn="0" w:firstRowLastColumn="0" w:lastRowFirstColumn="0" w:lastRowLastColumn="0"/>
              <w:rPr>
                <w:lang w:eastAsia="en-GB"/>
              </w:rPr>
            </w:pPr>
            <w:r w:rsidRPr="00310779">
              <w:t>sputum appears infected</w:t>
            </w:r>
          </w:p>
        </w:tc>
        <w:tc>
          <w:tcPr>
            <w:tcW w:w="1418" w:type="dxa"/>
          </w:tcPr>
          <w:p w:rsidR="000C0A41" w:rsidRPr="003812BB" w:rsidRDefault="000C0A41" w:rsidP="00BD30B6">
            <w:pPr>
              <w:jc w:val="center"/>
              <w:cnfStyle w:val="000000000000" w:firstRow="0" w:lastRow="0" w:firstColumn="0" w:lastColumn="0" w:oddVBand="0" w:evenVBand="0" w:oddHBand="0" w:evenHBand="0" w:firstRowFirstColumn="0" w:firstRowLastColumn="0" w:lastRowFirstColumn="0" w:lastRowLastColumn="0"/>
              <w:rPr>
                <w:lang w:eastAsia="en-GB"/>
              </w:rPr>
            </w:pPr>
            <w:r w:rsidRPr="006069D8">
              <w:t>14804</w:t>
            </w:r>
          </w:p>
        </w:tc>
      </w:tr>
      <w:tr w:rsidR="000C0A41" w:rsidRPr="003812BB" w:rsidTr="00A73F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100000" w:firstRow="0" w:lastRow="0" w:firstColumn="0" w:lastColumn="0" w:oddVBand="0" w:evenVBand="0" w:oddHBand="1" w:evenHBand="0" w:firstRowFirstColumn="0" w:firstRowLastColumn="0" w:lastRowFirstColumn="0" w:lastRowLastColumn="0"/>
              <w:rPr>
                <w:lang w:eastAsia="en-GB"/>
              </w:rPr>
            </w:pPr>
            <w:r w:rsidRPr="00310779">
              <w:t>[d]sputum abnormal - colour</w:t>
            </w:r>
          </w:p>
        </w:tc>
        <w:tc>
          <w:tcPr>
            <w:tcW w:w="1418" w:type="dxa"/>
          </w:tcPr>
          <w:p w:rsidR="000C0A41" w:rsidRPr="003812BB" w:rsidRDefault="000C0A41" w:rsidP="00BD30B6">
            <w:pPr>
              <w:jc w:val="center"/>
              <w:cnfStyle w:val="000000100000" w:firstRow="0" w:lastRow="0" w:firstColumn="0" w:lastColumn="0" w:oddVBand="0" w:evenVBand="0" w:oddHBand="1" w:evenHBand="0" w:firstRowFirstColumn="0" w:firstRowLastColumn="0" w:lastRowFirstColumn="0" w:lastRowLastColumn="0"/>
              <w:rPr>
                <w:lang w:eastAsia="en-GB"/>
              </w:rPr>
            </w:pPr>
            <w:r w:rsidRPr="006069D8">
              <w:t>15430</w:t>
            </w:r>
          </w:p>
        </w:tc>
      </w:tr>
      <w:tr w:rsidR="000C0A41" w:rsidRPr="003812BB" w:rsidTr="00A73FAF">
        <w:trPr>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000000" w:firstRow="0" w:lastRow="0" w:firstColumn="0" w:lastColumn="0" w:oddVBand="0" w:evenVBand="0" w:oddHBand="0" w:evenHBand="0" w:firstRowFirstColumn="0" w:firstRowLastColumn="0" w:lastRowFirstColumn="0" w:lastRowLastColumn="0"/>
              <w:rPr>
                <w:lang w:eastAsia="en-GB"/>
              </w:rPr>
            </w:pPr>
            <w:r w:rsidRPr="00310779">
              <w:t>sputum examination: abnormal</w:t>
            </w:r>
          </w:p>
        </w:tc>
        <w:tc>
          <w:tcPr>
            <w:tcW w:w="1418" w:type="dxa"/>
          </w:tcPr>
          <w:p w:rsidR="000C0A41" w:rsidRPr="003812BB" w:rsidRDefault="000C0A41" w:rsidP="00BD30B6">
            <w:pPr>
              <w:jc w:val="center"/>
              <w:cnfStyle w:val="000000000000" w:firstRow="0" w:lastRow="0" w:firstColumn="0" w:lastColumn="0" w:oddVBand="0" w:evenVBand="0" w:oddHBand="0" w:evenHBand="0" w:firstRowFirstColumn="0" w:firstRowLastColumn="0" w:lastRowFirstColumn="0" w:lastRowLastColumn="0"/>
              <w:rPr>
                <w:lang w:eastAsia="en-GB"/>
              </w:rPr>
            </w:pPr>
            <w:r w:rsidRPr="006069D8">
              <w:t>16026</w:t>
            </w:r>
          </w:p>
        </w:tc>
      </w:tr>
      <w:tr w:rsidR="000C0A41" w:rsidRPr="003812BB" w:rsidTr="00A73F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100000" w:firstRow="0" w:lastRow="0" w:firstColumn="0" w:lastColumn="0" w:oddVBand="0" w:evenVBand="0" w:oddHBand="1" w:evenHBand="0" w:firstRowFirstColumn="0" w:firstRowLastColumn="0" w:lastRowFirstColumn="0" w:lastRowLastColumn="0"/>
              <w:rPr>
                <w:lang w:eastAsia="en-GB"/>
              </w:rPr>
            </w:pPr>
            <w:r w:rsidRPr="00310779">
              <w:t>sputum clearance</w:t>
            </w:r>
          </w:p>
        </w:tc>
        <w:tc>
          <w:tcPr>
            <w:tcW w:w="1418" w:type="dxa"/>
          </w:tcPr>
          <w:p w:rsidR="000C0A41" w:rsidRPr="003812BB" w:rsidRDefault="000C0A41" w:rsidP="00BD30B6">
            <w:pPr>
              <w:jc w:val="center"/>
              <w:cnfStyle w:val="000000100000" w:firstRow="0" w:lastRow="0" w:firstColumn="0" w:lastColumn="0" w:oddVBand="0" w:evenVBand="0" w:oddHBand="1" w:evenHBand="0" w:firstRowFirstColumn="0" w:firstRowLastColumn="0" w:lastRowFirstColumn="0" w:lastRowLastColumn="0"/>
              <w:rPr>
                <w:lang w:eastAsia="en-GB"/>
              </w:rPr>
            </w:pPr>
            <w:r w:rsidRPr="006069D8">
              <w:t>18964</w:t>
            </w:r>
          </w:p>
        </w:tc>
      </w:tr>
      <w:tr w:rsidR="000C0A41" w:rsidRPr="003812BB" w:rsidTr="00A73FAF">
        <w:trPr>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000000" w:firstRow="0" w:lastRow="0" w:firstColumn="0" w:lastColumn="0" w:oddVBand="0" w:evenVBand="0" w:oddHBand="0" w:evenHBand="0" w:firstRowFirstColumn="0" w:firstRowLastColumn="0" w:lastRowFirstColumn="0" w:lastRowLastColumn="0"/>
              <w:rPr>
                <w:lang w:eastAsia="en-GB"/>
              </w:rPr>
            </w:pPr>
            <w:r w:rsidRPr="00310779">
              <w:t>[d]sputum abnormal - amount</w:t>
            </w:r>
          </w:p>
        </w:tc>
        <w:tc>
          <w:tcPr>
            <w:tcW w:w="1418" w:type="dxa"/>
          </w:tcPr>
          <w:p w:rsidR="000C0A41" w:rsidRPr="003812BB" w:rsidRDefault="000C0A41" w:rsidP="00BD30B6">
            <w:pPr>
              <w:jc w:val="center"/>
              <w:cnfStyle w:val="000000000000" w:firstRow="0" w:lastRow="0" w:firstColumn="0" w:lastColumn="0" w:oddVBand="0" w:evenVBand="0" w:oddHBand="0" w:evenHBand="0" w:firstRowFirstColumn="0" w:firstRowLastColumn="0" w:lastRowFirstColumn="0" w:lastRowLastColumn="0"/>
              <w:rPr>
                <w:lang w:eastAsia="en-GB"/>
              </w:rPr>
            </w:pPr>
            <w:r w:rsidRPr="006069D8">
              <w:t>20086</w:t>
            </w:r>
          </w:p>
        </w:tc>
      </w:tr>
      <w:tr w:rsidR="000C0A41" w:rsidRPr="003812BB" w:rsidTr="00A73F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100000" w:firstRow="0" w:lastRow="0" w:firstColumn="0" w:lastColumn="0" w:oddVBand="0" w:evenVBand="0" w:oddHBand="1" w:evenHBand="0" w:firstRowFirstColumn="0" w:firstRowLastColumn="0" w:lastRowFirstColumn="0" w:lastRowLastColumn="0"/>
              <w:rPr>
                <w:lang w:eastAsia="en-GB"/>
              </w:rPr>
            </w:pPr>
            <w:r w:rsidRPr="00310779">
              <w:t>difficulty in coughing up sputum</w:t>
            </w:r>
          </w:p>
        </w:tc>
        <w:tc>
          <w:tcPr>
            <w:tcW w:w="1418" w:type="dxa"/>
          </w:tcPr>
          <w:p w:rsidR="000C0A41" w:rsidRPr="003812BB" w:rsidRDefault="000C0A41" w:rsidP="00BD30B6">
            <w:pPr>
              <w:jc w:val="center"/>
              <w:cnfStyle w:val="000000100000" w:firstRow="0" w:lastRow="0" w:firstColumn="0" w:lastColumn="0" w:oddVBand="0" w:evenVBand="0" w:oddHBand="1" w:evenHBand="0" w:firstRowFirstColumn="0" w:firstRowLastColumn="0" w:lastRowFirstColumn="0" w:lastRowLastColumn="0"/>
              <w:rPr>
                <w:lang w:eastAsia="en-GB"/>
              </w:rPr>
            </w:pPr>
            <w:r w:rsidRPr="006069D8">
              <w:t>22318</w:t>
            </w:r>
          </w:p>
        </w:tc>
      </w:tr>
      <w:tr w:rsidR="000C0A41" w:rsidRPr="003812BB" w:rsidTr="00A73FAF">
        <w:trPr>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000000" w:firstRow="0" w:lastRow="0" w:firstColumn="0" w:lastColumn="0" w:oddVBand="0" w:evenVBand="0" w:oddHBand="0" w:evenHBand="0" w:firstRowFirstColumn="0" w:firstRowLastColumn="0" w:lastRowFirstColumn="0" w:lastRowLastColumn="0"/>
              <w:rPr>
                <w:lang w:eastAsia="en-GB"/>
              </w:rPr>
            </w:pPr>
            <w:r w:rsidRPr="00310779">
              <w:t>sputum microscopy nos</w:t>
            </w:r>
          </w:p>
        </w:tc>
        <w:tc>
          <w:tcPr>
            <w:tcW w:w="1418" w:type="dxa"/>
          </w:tcPr>
          <w:p w:rsidR="000C0A41" w:rsidRPr="003812BB" w:rsidRDefault="000C0A41" w:rsidP="00BD30B6">
            <w:pPr>
              <w:jc w:val="center"/>
              <w:cnfStyle w:val="000000000000" w:firstRow="0" w:lastRow="0" w:firstColumn="0" w:lastColumn="0" w:oddVBand="0" w:evenVBand="0" w:oddHBand="0" w:evenHBand="0" w:firstRowFirstColumn="0" w:firstRowLastColumn="0" w:lastRowFirstColumn="0" w:lastRowLastColumn="0"/>
              <w:rPr>
                <w:lang w:eastAsia="en-GB"/>
              </w:rPr>
            </w:pPr>
            <w:r w:rsidRPr="006069D8">
              <w:t>23252</w:t>
            </w:r>
          </w:p>
        </w:tc>
      </w:tr>
      <w:tr w:rsidR="000C0A41" w:rsidRPr="003812BB" w:rsidTr="00A73F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100000" w:firstRow="0" w:lastRow="0" w:firstColumn="0" w:lastColumn="0" w:oddVBand="0" w:evenVBand="0" w:oddHBand="1" w:evenHBand="0" w:firstRowFirstColumn="0" w:firstRowLastColumn="0" w:lastRowFirstColumn="0" w:lastRowLastColumn="0"/>
              <w:rPr>
                <w:lang w:eastAsia="en-GB"/>
              </w:rPr>
            </w:pPr>
            <w:r w:rsidRPr="00310779">
              <w:t>[d]abnormal sputum nos</w:t>
            </w:r>
          </w:p>
        </w:tc>
        <w:tc>
          <w:tcPr>
            <w:tcW w:w="1418" w:type="dxa"/>
          </w:tcPr>
          <w:p w:rsidR="000C0A41" w:rsidRPr="003812BB" w:rsidRDefault="000C0A41" w:rsidP="00BD30B6">
            <w:pPr>
              <w:jc w:val="center"/>
              <w:cnfStyle w:val="000000100000" w:firstRow="0" w:lastRow="0" w:firstColumn="0" w:lastColumn="0" w:oddVBand="0" w:evenVBand="0" w:oddHBand="1" w:evenHBand="0" w:firstRowFirstColumn="0" w:firstRowLastColumn="0" w:lastRowFirstColumn="0" w:lastRowLastColumn="0"/>
              <w:rPr>
                <w:lang w:eastAsia="en-GB"/>
              </w:rPr>
            </w:pPr>
            <w:r w:rsidRPr="006069D8">
              <w:t>23582</w:t>
            </w:r>
          </w:p>
        </w:tc>
      </w:tr>
      <w:tr w:rsidR="000C0A41" w:rsidRPr="003812BB" w:rsidTr="00A73FAF">
        <w:trPr>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000000" w:firstRow="0" w:lastRow="0" w:firstColumn="0" w:lastColumn="0" w:oddVBand="0" w:evenVBand="0" w:oddHBand="0" w:evenHBand="0" w:firstRowFirstColumn="0" w:firstRowLastColumn="0" w:lastRowFirstColumn="0" w:lastRowLastColumn="0"/>
              <w:rPr>
                <w:lang w:eastAsia="en-GB"/>
              </w:rPr>
            </w:pPr>
            <w:r w:rsidRPr="00310779">
              <w:t>sputum: mucopurulent</w:t>
            </w:r>
          </w:p>
        </w:tc>
        <w:tc>
          <w:tcPr>
            <w:tcW w:w="1418" w:type="dxa"/>
          </w:tcPr>
          <w:p w:rsidR="000C0A41" w:rsidRPr="003812BB" w:rsidRDefault="000C0A41" w:rsidP="00BD30B6">
            <w:pPr>
              <w:jc w:val="center"/>
              <w:cnfStyle w:val="000000000000" w:firstRow="0" w:lastRow="0" w:firstColumn="0" w:lastColumn="0" w:oddVBand="0" w:evenVBand="0" w:oddHBand="0" w:evenHBand="0" w:firstRowFirstColumn="0" w:firstRowLastColumn="0" w:lastRowFirstColumn="0" w:lastRowLastColumn="0"/>
              <w:rPr>
                <w:lang w:eastAsia="en-GB"/>
              </w:rPr>
            </w:pPr>
            <w:r w:rsidRPr="006069D8">
              <w:t>24181</w:t>
            </w:r>
          </w:p>
        </w:tc>
      </w:tr>
      <w:tr w:rsidR="000C0A41" w:rsidRPr="003812BB" w:rsidTr="00A73F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100000" w:firstRow="0" w:lastRow="0" w:firstColumn="0" w:lastColumn="0" w:oddVBand="0" w:evenVBand="0" w:oddHBand="1" w:evenHBand="0" w:firstRowFirstColumn="0" w:firstRowLastColumn="0" w:lastRowFirstColumn="0" w:lastRowLastColumn="0"/>
              <w:rPr>
                <w:lang w:eastAsia="en-GB"/>
              </w:rPr>
            </w:pPr>
            <w:r w:rsidRPr="00310779">
              <w:t>yellow sputum</w:t>
            </w:r>
          </w:p>
        </w:tc>
        <w:tc>
          <w:tcPr>
            <w:tcW w:w="1418" w:type="dxa"/>
          </w:tcPr>
          <w:p w:rsidR="000C0A41" w:rsidRPr="003812BB" w:rsidRDefault="000C0A41" w:rsidP="00BD30B6">
            <w:pPr>
              <w:jc w:val="center"/>
              <w:cnfStyle w:val="000000100000" w:firstRow="0" w:lastRow="0" w:firstColumn="0" w:lastColumn="0" w:oddVBand="0" w:evenVBand="0" w:oddHBand="1" w:evenHBand="0" w:firstRowFirstColumn="0" w:firstRowLastColumn="0" w:lastRowFirstColumn="0" w:lastRowLastColumn="0"/>
              <w:rPr>
                <w:lang w:eastAsia="en-GB"/>
              </w:rPr>
            </w:pPr>
            <w:r w:rsidRPr="006069D8">
              <w:t>30754</w:t>
            </w:r>
          </w:p>
        </w:tc>
      </w:tr>
      <w:tr w:rsidR="000C0A41" w:rsidRPr="003812BB" w:rsidTr="00A73FAF">
        <w:trPr>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000000" w:firstRow="0" w:lastRow="0" w:firstColumn="0" w:lastColumn="0" w:oddVBand="0" w:evenVBand="0" w:oddHBand="0" w:evenHBand="0" w:firstRowFirstColumn="0" w:firstRowLastColumn="0" w:lastRowFirstColumn="0" w:lastRowLastColumn="0"/>
              <w:rPr>
                <w:lang w:eastAsia="en-GB"/>
              </w:rPr>
            </w:pPr>
            <w:r w:rsidRPr="00310779">
              <w:t>sputum sent for examination</w:t>
            </w:r>
          </w:p>
        </w:tc>
        <w:tc>
          <w:tcPr>
            <w:tcW w:w="1418" w:type="dxa"/>
          </w:tcPr>
          <w:p w:rsidR="000C0A41" w:rsidRPr="003812BB" w:rsidRDefault="000C0A41" w:rsidP="00BD30B6">
            <w:pPr>
              <w:jc w:val="center"/>
              <w:cnfStyle w:val="000000000000" w:firstRow="0" w:lastRow="0" w:firstColumn="0" w:lastColumn="0" w:oddVBand="0" w:evenVBand="0" w:oddHBand="0" w:evenHBand="0" w:firstRowFirstColumn="0" w:firstRowLastColumn="0" w:lastRowFirstColumn="0" w:lastRowLastColumn="0"/>
              <w:rPr>
                <w:lang w:eastAsia="en-GB"/>
              </w:rPr>
            </w:pPr>
            <w:r w:rsidRPr="006069D8">
              <w:t>30904</w:t>
            </w:r>
          </w:p>
        </w:tc>
      </w:tr>
      <w:tr w:rsidR="000C0A41" w:rsidRPr="003812BB" w:rsidTr="00A73F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100000" w:firstRow="0" w:lastRow="0" w:firstColumn="0" w:lastColumn="0" w:oddVBand="0" w:evenVBand="0" w:oddHBand="1" w:evenHBand="0" w:firstRowFirstColumn="0" w:firstRowLastColumn="0" w:lastRowFirstColumn="0" w:lastRowLastColumn="0"/>
              <w:rPr>
                <w:lang w:eastAsia="en-GB"/>
              </w:rPr>
            </w:pPr>
            <w:r w:rsidRPr="00310779">
              <w:t>[d]abnormal sputum - tenacious</w:t>
            </w:r>
          </w:p>
        </w:tc>
        <w:tc>
          <w:tcPr>
            <w:tcW w:w="1418" w:type="dxa"/>
          </w:tcPr>
          <w:p w:rsidR="000C0A41" w:rsidRPr="003812BB" w:rsidRDefault="000C0A41" w:rsidP="00BD30B6">
            <w:pPr>
              <w:jc w:val="center"/>
              <w:cnfStyle w:val="000000100000" w:firstRow="0" w:lastRow="0" w:firstColumn="0" w:lastColumn="0" w:oddVBand="0" w:evenVBand="0" w:oddHBand="1" w:evenHBand="0" w:firstRowFirstColumn="0" w:firstRowLastColumn="0" w:lastRowFirstColumn="0" w:lastRowLastColumn="0"/>
              <w:rPr>
                <w:lang w:eastAsia="en-GB"/>
              </w:rPr>
            </w:pPr>
            <w:r w:rsidRPr="006069D8">
              <w:t>36515</w:t>
            </w:r>
          </w:p>
        </w:tc>
      </w:tr>
      <w:tr w:rsidR="000C0A41" w:rsidRPr="003812BB" w:rsidTr="00A73FAF">
        <w:trPr>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000000" w:firstRow="0" w:lastRow="0" w:firstColumn="0" w:lastColumn="0" w:oddVBand="0" w:evenVBand="0" w:oddHBand="0" w:evenHBand="0" w:firstRowFirstColumn="0" w:firstRowLastColumn="0" w:lastRowFirstColumn="0" w:lastRowLastColumn="0"/>
              <w:rPr>
                <w:lang w:eastAsia="en-GB"/>
              </w:rPr>
            </w:pPr>
            <w:r w:rsidRPr="00310779">
              <w:t>green sputum</w:t>
            </w:r>
          </w:p>
        </w:tc>
        <w:tc>
          <w:tcPr>
            <w:tcW w:w="1418" w:type="dxa"/>
          </w:tcPr>
          <w:p w:rsidR="000C0A41" w:rsidRPr="003812BB" w:rsidRDefault="000C0A41" w:rsidP="00BD30B6">
            <w:pPr>
              <w:jc w:val="center"/>
              <w:cnfStyle w:val="000000000000" w:firstRow="0" w:lastRow="0" w:firstColumn="0" w:lastColumn="0" w:oddVBand="0" w:evenVBand="0" w:oddHBand="0" w:evenHBand="0" w:firstRowFirstColumn="0" w:firstRowLastColumn="0" w:lastRowFirstColumn="0" w:lastRowLastColumn="0"/>
              <w:rPr>
                <w:lang w:eastAsia="en-GB"/>
              </w:rPr>
            </w:pPr>
            <w:r w:rsidRPr="006069D8">
              <w:t>36880</w:t>
            </w:r>
          </w:p>
        </w:tc>
      </w:tr>
      <w:tr w:rsidR="000C0A41" w:rsidRPr="003812BB" w:rsidTr="00A73F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100000" w:firstRow="0" w:lastRow="0" w:firstColumn="0" w:lastColumn="0" w:oddVBand="0" w:evenVBand="0" w:oddHBand="1" w:evenHBand="0" w:firstRowFirstColumn="0" w:firstRowLastColumn="0" w:lastRowFirstColumn="0" w:lastRowLastColumn="0"/>
              <w:rPr>
                <w:lang w:eastAsia="en-GB"/>
              </w:rPr>
            </w:pPr>
            <w:r w:rsidRPr="00310779">
              <w:t>sputum evidence of infection</w:t>
            </w:r>
          </w:p>
        </w:tc>
        <w:tc>
          <w:tcPr>
            <w:tcW w:w="1418" w:type="dxa"/>
          </w:tcPr>
          <w:p w:rsidR="000C0A41" w:rsidRPr="003812BB" w:rsidRDefault="000C0A41" w:rsidP="00BD30B6">
            <w:pPr>
              <w:jc w:val="center"/>
              <w:cnfStyle w:val="000000100000" w:firstRow="0" w:lastRow="0" w:firstColumn="0" w:lastColumn="0" w:oddVBand="0" w:evenVBand="0" w:oddHBand="1" w:evenHBand="0" w:firstRowFirstColumn="0" w:firstRowLastColumn="0" w:lastRowFirstColumn="0" w:lastRowLastColumn="0"/>
              <w:rPr>
                <w:lang w:eastAsia="en-GB"/>
              </w:rPr>
            </w:pPr>
            <w:r w:rsidRPr="006069D8">
              <w:t>43270</w:t>
            </w:r>
          </w:p>
        </w:tc>
      </w:tr>
      <w:tr w:rsidR="000C0A41" w:rsidRPr="003812BB" w:rsidTr="00A73FAF">
        <w:trPr>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000000" w:firstRow="0" w:lastRow="0" w:firstColumn="0" w:lastColumn="0" w:oddVBand="0" w:evenVBand="0" w:oddHBand="0" w:evenHBand="0" w:firstRowFirstColumn="0" w:firstRowLastColumn="0" w:lastRowFirstColumn="0" w:lastRowLastColumn="0"/>
              <w:rPr>
                <w:lang w:eastAsia="en-GB"/>
              </w:rPr>
            </w:pPr>
            <w:r w:rsidRPr="00310779">
              <w:t>[d]sputum abnormal - odour</w:t>
            </w:r>
          </w:p>
        </w:tc>
        <w:tc>
          <w:tcPr>
            <w:tcW w:w="1418" w:type="dxa"/>
          </w:tcPr>
          <w:p w:rsidR="000C0A41" w:rsidRPr="003812BB" w:rsidRDefault="000C0A41" w:rsidP="00BD30B6">
            <w:pPr>
              <w:jc w:val="center"/>
              <w:cnfStyle w:val="000000000000" w:firstRow="0" w:lastRow="0" w:firstColumn="0" w:lastColumn="0" w:oddVBand="0" w:evenVBand="0" w:oddHBand="0" w:evenHBand="0" w:firstRowFirstColumn="0" w:firstRowLastColumn="0" w:lastRowFirstColumn="0" w:lastRowLastColumn="0"/>
              <w:rPr>
                <w:lang w:eastAsia="en-GB"/>
              </w:rPr>
            </w:pPr>
            <w:r w:rsidRPr="006069D8">
              <w:t>44214</w:t>
            </w:r>
          </w:p>
        </w:tc>
      </w:tr>
      <w:tr w:rsidR="000C0A41" w:rsidRPr="003812BB" w:rsidTr="00A73F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100000" w:firstRow="0" w:lastRow="0" w:firstColumn="0" w:lastColumn="0" w:oddVBand="0" w:evenVBand="0" w:oddHBand="1" w:evenHBand="0" w:firstRowFirstColumn="0" w:firstRowLastColumn="0" w:lastRowFirstColumn="0" w:lastRowLastColumn="0"/>
              <w:rPr>
                <w:lang w:eastAsia="en-GB"/>
              </w:rPr>
            </w:pPr>
            <w:r w:rsidRPr="00310779">
              <w:t>sputum: pus cells present</w:t>
            </w:r>
          </w:p>
        </w:tc>
        <w:tc>
          <w:tcPr>
            <w:tcW w:w="1418" w:type="dxa"/>
          </w:tcPr>
          <w:p w:rsidR="000C0A41" w:rsidRPr="003812BB" w:rsidRDefault="000C0A41" w:rsidP="00BD30B6">
            <w:pPr>
              <w:jc w:val="center"/>
              <w:cnfStyle w:val="000000100000" w:firstRow="0" w:lastRow="0" w:firstColumn="0" w:lastColumn="0" w:oddVBand="0" w:evenVBand="0" w:oddHBand="1" w:evenHBand="0" w:firstRowFirstColumn="0" w:firstRowLastColumn="0" w:lastRowFirstColumn="0" w:lastRowLastColumn="0"/>
              <w:rPr>
                <w:lang w:eastAsia="en-GB"/>
              </w:rPr>
            </w:pPr>
            <w:r w:rsidRPr="006069D8">
              <w:t>49144</w:t>
            </w:r>
          </w:p>
        </w:tc>
      </w:tr>
      <w:tr w:rsidR="000C0A41" w:rsidRPr="003812BB" w:rsidTr="00A73FAF">
        <w:trPr>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000000" w:firstRow="0" w:lastRow="0" w:firstColumn="0" w:lastColumn="0" w:oddVBand="0" w:evenVBand="0" w:oddHBand="0" w:evenHBand="0" w:firstRowFirstColumn="0" w:firstRowLastColumn="0" w:lastRowFirstColumn="0" w:lastRowLastColumn="0"/>
              <w:rPr>
                <w:lang w:eastAsia="en-GB"/>
              </w:rPr>
            </w:pPr>
            <w:r w:rsidRPr="00310779">
              <w:t>sputum: organism on gram stain</w:t>
            </w:r>
          </w:p>
        </w:tc>
        <w:tc>
          <w:tcPr>
            <w:tcW w:w="1418" w:type="dxa"/>
          </w:tcPr>
          <w:p w:rsidR="000C0A41" w:rsidRPr="003812BB" w:rsidRDefault="000C0A41" w:rsidP="00BD30B6">
            <w:pPr>
              <w:jc w:val="center"/>
              <w:cnfStyle w:val="000000000000" w:firstRow="0" w:lastRow="0" w:firstColumn="0" w:lastColumn="0" w:oddVBand="0" w:evenVBand="0" w:oddHBand="0" w:evenHBand="0" w:firstRowFirstColumn="0" w:firstRowLastColumn="0" w:lastRowFirstColumn="0" w:lastRowLastColumn="0"/>
              <w:rPr>
                <w:lang w:eastAsia="en-GB"/>
              </w:rPr>
            </w:pPr>
            <w:r w:rsidRPr="006069D8">
              <w:t>49694</w:t>
            </w:r>
          </w:p>
        </w:tc>
      </w:tr>
      <w:tr w:rsidR="000C0A41" w:rsidRPr="003812BB" w:rsidTr="00A73F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100000" w:firstRow="0" w:lastRow="0" w:firstColumn="0" w:lastColumn="0" w:oddVBand="0" w:evenVBand="0" w:oddHBand="1" w:evenHBand="0" w:firstRowFirstColumn="0" w:firstRowLastColumn="0" w:lastRowFirstColumn="0" w:lastRowLastColumn="0"/>
              <w:rPr>
                <w:lang w:eastAsia="en-GB"/>
              </w:rPr>
            </w:pPr>
            <w:r w:rsidRPr="00310779">
              <w:t>sputum: excessive - mucoid</w:t>
            </w:r>
          </w:p>
        </w:tc>
        <w:tc>
          <w:tcPr>
            <w:tcW w:w="1418" w:type="dxa"/>
          </w:tcPr>
          <w:p w:rsidR="000C0A41" w:rsidRPr="003812BB" w:rsidRDefault="000C0A41" w:rsidP="00BD30B6">
            <w:pPr>
              <w:jc w:val="center"/>
              <w:cnfStyle w:val="000000100000" w:firstRow="0" w:lastRow="0" w:firstColumn="0" w:lastColumn="0" w:oddVBand="0" w:evenVBand="0" w:oddHBand="1" w:evenHBand="0" w:firstRowFirstColumn="0" w:firstRowLastColumn="0" w:lastRowFirstColumn="0" w:lastRowLastColumn="0"/>
              <w:rPr>
                <w:lang w:eastAsia="en-GB"/>
              </w:rPr>
            </w:pPr>
            <w:r w:rsidRPr="006069D8">
              <w:t>54177</w:t>
            </w:r>
          </w:p>
        </w:tc>
      </w:tr>
      <w:tr w:rsidR="000C0A41" w:rsidRPr="003812BB" w:rsidTr="00A73FAF">
        <w:trPr>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000000" w:firstRow="0" w:lastRow="0" w:firstColumn="0" w:lastColumn="0" w:oddVBand="0" w:evenVBand="0" w:oddHBand="0" w:evenHBand="0" w:firstRowFirstColumn="0" w:firstRowLastColumn="0" w:lastRowFirstColumn="0" w:lastRowLastColumn="0"/>
              <w:rPr>
                <w:lang w:eastAsia="en-GB"/>
              </w:rPr>
            </w:pPr>
            <w:r w:rsidRPr="00310779">
              <w:t>volume of sputum</w:t>
            </w:r>
          </w:p>
        </w:tc>
        <w:tc>
          <w:tcPr>
            <w:tcW w:w="1418" w:type="dxa"/>
          </w:tcPr>
          <w:p w:rsidR="000C0A41" w:rsidRPr="003812BB" w:rsidRDefault="000C0A41" w:rsidP="00BD30B6">
            <w:pPr>
              <w:jc w:val="center"/>
              <w:cnfStyle w:val="000000000000" w:firstRow="0" w:lastRow="0" w:firstColumn="0" w:lastColumn="0" w:oddVBand="0" w:evenVBand="0" w:oddHBand="0" w:evenHBand="0" w:firstRowFirstColumn="0" w:firstRowLastColumn="0" w:lastRowFirstColumn="0" w:lastRowLastColumn="0"/>
              <w:rPr>
                <w:lang w:eastAsia="en-GB"/>
              </w:rPr>
            </w:pPr>
            <w:r w:rsidRPr="006069D8">
              <w:t>100484</w:t>
            </w:r>
          </w:p>
        </w:tc>
      </w:tr>
      <w:tr w:rsidR="000C0A41" w:rsidRPr="003812BB" w:rsidTr="00A73F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100000" w:firstRow="0" w:lastRow="0" w:firstColumn="0" w:lastColumn="0" w:oddVBand="0" w:evenVBand="0" w:oddHBand="1" w:evenHBand="0" w:firstRowFirstColumn="0" w:firstRowLastColumn="0" w:lastRowFirstColumn="0" w:lastRowLastColumn="0"/>
              <w:rPr>
                <w:lang w:eastAsia="en-GB"/>
              </w:rPr>
            </w:pPr>
            <w:r w:rsidRPr="00310779">
              <w:t>moderate sputum</w:t>
            </w:r>
          </w:p>
        </w:tc>
        <w:tc>
          <w:tcPr>
            <w:tcW w:w="1418" w:type="dxa"/>
          </w:tcPr>
          <w:p w:rsidR="000C0A41" w:rsidRPr="003812BB" w:rsidRDefault="000C0A41" w:rsidP="00BD30B6">
            <w:pPr>
              <w:jc w:val="center"/>
              <w:cnfStyle w:val="000000100000" w:firstRow="0" w:lastRow="0" w:firstColumn="0" w:lastColumn="0" w:oddVBand="0" w:evenVBand="0" w:oddHBand="1" w:evenHBand="0" w:firstRowFirstColumn="0" w:firstRowLastColumn="0" w:lastRowFirstColumn="0" w:lastRowLastColumn="0"/>
              <w:rPr>
                <w:lang w:eastAsia="en-GB"/>
              </w:rPr>
            </w:pPr>
            <w:r w:rsidRPr="006069D8">
              <w:t>100524</w:t>
            </w:r>
          </w:p>
        </w:tc>
      </w:tr>
      <w:tr w:rsidR="000C0A41" w:rsidRPr="003812BB" w:rsidTr="00A73FAF">
        <w:trPr>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000000" w:firstRow="0" w:lastRow="0" w:firstColumn="0" w:lastColumn="0" w:oddVBand="0" w:evenVBand="0" w:oddHBand="0" w:evenHBand="0" w:firstRowFirstColumn="0" w:firstRowLastColumn="0" w:lastRowFirstColumn="0" w:lastRowLastColumn="0"/>
              <w:rPr>
                <w:lang w:eastAsia="en-GB"/>
              </w:rPr>
            </w:pPr>
            <w:r w:rsidRPr="00310779">
              <w:t>white sputum</w:t>
            </w:r>
          </w:p>
        </w:tc>
        <w:tc>
          <w:tcPr>
            <w:tcW w:w="1418" w:type="dxa"/>
          </w:tcPr>
          <w:p w:rsidR="000C0A41" w:rsidRPr="003812BB" w:rsidRDefault="000C0A41" w:rsidP="00BD30B6">
            <w:pPr>
              <w:jc w:val="center"/>
              <w:cnfStyle w:val="000000000000" w:firstRow="0" w:lastRow="0" w:firstColumn="0" w:lastColumn="0" w:oddVBand="0" w:evenVBand="0" w:oddHBand="0" w:evenHBand="0" w:firstRowFirstColumn="0" w:firstRowLastColumn="0" w:lastRowFirstColumn="0" w:lastRowLastColumn="0"/>
              <w:rPr>
                <w:lang w:eastAsia="en-GB"/>
              </w:rPr>
            </w:pPr>
            <w:r w:rsidRPr="006069D8">
              <w:t>100629</w:t>
            </w:r>
          </w:p>
        </w:tc>
      </w:tr>
      <w:tr w:rsidR="000C0A41" w:rsidRPr="003812BB" w:rsidTr="00A73F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100000" w:firstRow="0" w:lastRow="0" w:firstColumn="0" w:lastColumn="0" w:oddVBand="0" w:evenVBand="0" w:oddHBand="1" w:evenHBand="0" w:firstRowFirstColumn="0" w:firstRowLastColumn="0" w:lastRowFirstColumn="0" w:lastRowLastColumn="0"/>
              <w:rPr>
                <w:lang w:eastAsia="en-GB"/>
              </w:rPr>
            </w:pPr>
            <w:r w:rsidRPr="00310779">
              <w:t>copious sputum</w:t>
            </w:r>
          </w:p>
        </w:tc>
        <w:tc>
          <w:tcPr>
            <w:tcW w:w="1418" w:type="dxa"/>
          </w:tcPr>
          <w:p w:rsidR="000C0A41" w:rsidRPr="003812BB" w:rsidRDefault="000C0A41" w:rsidP="00BD30B6">
            <w:pPr>
              <w:jc w:val="center"/>
              <w:cnfStyle w:val="000000100000" w:firstRow="0" w:lastRow="0" w:firstColumn="0" w:lastColumn="0" w:oddVBand="0" w:evenVBand="0" w:oddHBand="1" w:evenHBand="0" w:firstRowFirstColumn="0" w:firstRowLastColumn="0" w:lastRowFirstColumn="0" w:lastRowLastColumn="0"/>
              <w:rPr>
                <w:lang w:eastAsia="en-GB"/>
              </w:rPr>
            </w:pPr>
            <w:r w:rsidRPr="006069D8">
              <w:t>100647</w:t>
            </w:r>
          </w:p>
        </w:tc>
      </w:tr>
      <w:tr w:rsidR="000C0A41" w:rsidRPr="003812BB" w:rsidTr="00A73FAF">
        <w:trPr>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000000" w:firstRow="0" w:lastRow="0" w:firstColumn="0" w:lastColumn="0" w:oddVBand="0" w:evenVBand="0" w:oddHBand="0" w:evenHBand="0" w:firstRowFirstColumn="0" w:firstRowLastColumn="0" w:lastRowFirstColumn="0" w:lastRowLastColumn="0"/>
              <w:rPr>
                <w:lang w:eastAsia="en-GB"/>
              </w:rPr>
            </w:pPr>
            <w:r w:rsidRPr="00310779">
              <w:t>brown sputum</w:t>
            </w:r>
          </w:p>
        </w:tc>
        <w:tc>
          <w:tcPr>
            <w:tcW w:w="1418" w:type="dxa"/>
          </w:tcPr>
          <w:p w:rsidR="000C0A41" w:rsidRPr="003812BB" w:rsidRDefault="000C0A41" w:rsidP="00BD30B6">
            <w:pPr>
              <w:jc w:val="center"/>
              <w:cnfStyle w:val="000000000000" w:firstRow="0" w:lastRow="0" w:firstColumn="0" w:lastColumn="0" w:oddVBand="0" w:evenVBand="0" w:oddHBand="0" w:evenHBand="0" w:firstRowFirstColumn="0" w:firstRowLastColumn="0" w:lastRowFirstColumn="0" w:lastRowLastColumn="0"/>
              <w:rPr>
                <w:lang w:eastAsia="en-GB"/>
              </w:rPr>
            </w:pPr>
            <w:r w:rsidRPr="006069D8">
              <w:t>100931</w:t>
            </w:r>
          </w:p>
        </w:tc>
      </w:tr>
      <w:tr w:rsidR="000C0A41" w:rsidRPr="003812BB" w:rsidTr="00A73F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100000" w:firstRow="0" w:lastRow="0" w:firstColumn="0" w:lastColumn="0" w:oddVBand="0" w:evenVBand="0" w:oddHBand="1" w:evenHBand="0" w:firstRowFirstColumn="0" w:firstRowLastColumn="0" w:lastRowFirstColumn="0" w:lastRowLastColumn="0"/>
              <w:rPr>
                <w:lang w:eastAsia="en-GB"/>
              </w:rPr>
            </w:pPr>
            <w:r w:rsidRPr="00310779">
              <w:t>profuse sputum</w:t>
            </w:r>
          </w:p>
        </w:tc>
        <w:tc>
          <w:tcPr>
            <w:tcW w:w="1418" w:type="dxa"/>
          </w:tcPr>
          <w:p w:rsidR="000C0A41" w:rsidRPr="003812BB" w:rsidRDefault="000C0A41" w:rsidP="00BD30B6">
            <w:pPr>
              <w:jc w:val="center"/>
              <w:cnfStyle w:val="000000100000" w:firstRow="0" w:lastRow="0" w:firstColumn="0" w:lastColumn="0" w:oddVBand="0" w:evenVBand="0" w:oddHBand="1" w:evenHBand="0" w:firstRowFirstColumn="0" w:firstRowLastColumn="0" w:lastRowFirstColumn="0" w:lastRowLastColumn="0"/>
              <w:rPr>
                <w:lang w:eastAsia="en-GB"/>
              </w:rPr>
            </w:pPr>
            <w:r w:rsidRPr="006069D8">
              <w:t>101782</w:t>
            </w:r>
          </w:p>
        </w:tc>
      </w:tr>
      <w:tr w:rsidR="000C0A41" w:rsidRPr="003812BB" w:rsidTr="00A73FAF">
        <w:trPr>
          <w:jc w:val="center"/>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0C0A41" w:rsidRPr="003812BB" w:rsidRDefault="000C0A41" w:rsidP="00BD30B6">
            <w:pPr>
              <w:rPr>
                <w:lang w:eastAsia="en-GB"/>
              </w:rPr>
            </w:pPr>
          </w:p>
        </w:tc>
        <w:tc>
          <w:tcPr>
            <w:tcW w:w="5721" w:type="dxa"/>
            <w:noWrap/>
          </w:tcPr>
          <w:p w:rsidR="000C0A41" w:rsidRPr="003812BB" w:rsidRDefault="000C0A41" w:rsidP="00BD30B6">
            <w:pPr>
              <w:cnfStyle w:val="000000000000" w:firstRow="0" w:lastRow="0" w:firstColumn="0" w:lastColumn="0" w:oddVBand="0" w:evenVBand="0" w:oddHBand="0" w:evenHBand="0" w:firstRowFirstColumn="0" w:firstRowLastColumn="0" w:lastRowFirstColumn="0" w:lastRowLastColumn="0"/>
              <w:rPr>
                <w:lang w:eastAsia="en-GB"/>
              </w:rPr>
            </w:pPr>
            <w:r w:rsidRPr="00310779">
              <w:t>grey sputum</w:t>
            </w:r>
          </w:p>
        </w:tc>
        <w:tc>
          <w:tcPr>
            <w:tcW w:w="1418" w:type="dxa"/>
          </w:tcPr>
          <w:p w:rsidR="000C0A41" w:rsidRPr="003812BB" w:rsidRDefault="000C0A41" w:rsidP="00BD30B6">
            <w:pPr>
              <w:jc w:val="center"/>
              <w:cnfStyle w:val="000000000000" w:firstRow="0" w:lastRow="0" w:firstColumn="0" w:lastColumn="0" w:oddVBand="0" w:evenVBand="0" w:oddHBand="0" w:evenHBand="0" w:firstRowFirstColumn="0" w:firstRowLastColumn="0" w:lastRowFirstColumn="0" w:lastRowLastColumn="0"/>
              <w:rPr>
                <w:lang w:eastAsia="en-GB"/>
              </w:rPr>
            </w:pPr>
            <w:r w:rsidRPr="006069D8">
              <w:t>103209</w:t>
            </w:r>
          </w:p>
        </w:tc>
      </w:tr>
    </w:tbl>
    <w:p w:rsidR="000C0A41" w:rsidRDefault="000C0A41" w:rsidP="005834D3"/>
    <w:p w:rsidR="000C0A41" w:rsidRDefault="000C0A41" w:rsidP="005834D3">
      <w:r>
        <w:fldChar w:fldCharType="begin"/>
      </w:r>
      <w:r>
        <w:instrText xml:space="preserve"> REF _Ref457322983 \h </w:instrText>
      </w:r>
      <w:r>
        <w:fldChar w:fldCharType="separate"/>
      </w:r>
      <w:r>
        <w:t xml:space="preserve">Table </w:t>
      </w:r>
      <w:r>
        <w:rPr>
          <w:noProof/>
        </w:rPr>
        <w:t>24</w:t>
      </w:r>
      <w:r>
        <w:fldChar w:fldCharType="end"/>
      </w:r>
      <w:r>
        <w:t xml:space="preserve"> shows the CPRD “</w:t>
      </w:r>
      <w:r w:rsidRPr="00A73FAF">
        <w:t>product</w:t>
      </w:r>
      <w:r>
        <w:t xml:space="preserve">” or </w:t>
      </w:r>
      <w:r w:rsidRPr="00A73FAF">
        <w:t xml:space="preserve">drug codes relevant </w:t>
      </w:r>
      <w:r>
        <w:t xml:space="preserve">to </w:t>
      </w:r>
      <w:r w:rsidRPr="00A73FAF">
        <w:t>the diagnosis of COPD</w:t>
      </w:r>
      <w:r>
        <w:t xml:space="preserve">. </w:t>
      </w:r>
    </w:p>
    <w:p w:rsidR="000C0A41" w:rsidRDefault="000C0A41" w:rsidP="005834D3">
      <w:pPr>
        <w:pStyle w:val="Caption"/>
      </w:pPr>
      <w:bookmarkStart w:id="197" w:name="_Ref457322983"/>
      <w:bookmarkStart w:id="198" w:name="_Ref457481243"/>
      <w:r>
        <w:t xml:space="preserve">Table </w:t>
      </w:r>
      <w:fldSimple w:instr=" SEQ Table \* ARABIC ">
        <w:r>
          <w:rPr>
            <w:noProof/>
          </w:rPr>
          <w:t>24</w:t>
        </w:r>
      </w:fldSimple>
      <w:bookmarkEnd w:id="197"/>
      <w:r>
        <w:t>: product/drug codes relevant for the diagnosis of COPD</w:t>
      </w:r>
      <w:bookmarkEnd w:id="198"/>
    </w:p>
    <w:tbl>
      <w:tblPr>
        <w:tblStyle w:val="GridTable4-Accent1"/>
        <w:tblW w:w="0" w:type="auto"/>
        <w:tblLook w:val="04A0" w:firstRow="1" w:lastRow="0" w:firstColumn="1" w:lastColumn="0" w:noHBand="0" w:noVBand="1"/>
      </w:tblPr>
      <w:tblGrid>
        <w:gridCol w:w="7792"/>
        <w:gridCol w:w="1224"/>
      </w:tblGrid>
      <w:tr w:rsidR="000C0A41" w:rsidRPr="00A73FAF" w:rsidTr="00A73FA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A73FAF" w:rsidRDefault="000C0A41" w:rsidP="00A73FAF">
            <w:pPr>
              <w:jc w:val="center"/>
            </w:pPr>
            <w:r w:rsidRPr="00A73FAF">
              <w:rPr>
                <w:rFonts w:ascii="Calibri" w:hAnsi="Calibri"/>
              </w:rPr>
              <w:t>Product name</w:t>
            </w:r>
          </w:p>
        </w:tc>
        <w:tc>
          <w:tcPr>
            <w:tcW w:w="1224" w:type="dxa"/>
            <w:vAlign w:val="bottom"/>
          </w:tcPr>
          <w:p w:rsidR="000C0A41" w:rsidRPr="00A73FAF" w:rsidRDefault="000C0A41" w:rsidP="00A73FAF">
            <w:pPr>
              <w:jc w:val="center"/>
              <w:cnfStyle w:val="100000000000" w:firstRow="1" w:lastRow="0" w:firstColumn="0" w:lastColumn="0" w:oddVBand="0" w:evenVBand="0" w:oddHBand="0" w:evenHBand="0" w:firstRowFirstColumn="0" w:firstRowLastColumn="0" w:lastRowFirstColumn="0" w:lastRowLastColumn="0"/>
            </w:pPr>
            <w:r w:rsidRPr="00A73FAF">
              <w:rPr>
                <w:rFonts w:ascii="Calibri" w:hAnsi="Calibri"/>
              </w:rPr>
              <w:t>prodcode</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bricanyl 2.5 mg inj</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14482</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salbutamol 200microgram inhalation powder blisters with device</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50315</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bricanyl 500micrograms/dose turbohaler (necessity supplies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52410</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fenoterol 200micrograms/dose inhaler</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5185</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pulmadil auto inhalation powder (3m health care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10858</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airomir 100micrograms/dose inhaler (teva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2655</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salbutamol respirator soln</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22467</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terbutaline 1.5mg/5ml oral solution sugar free</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7953</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bricanyl sa 7.5mg tablets (astrazeneca uk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4541</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ventolin i/v 5 mg inj</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8429</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salbutamol 2mg/5ml oral solution sugar free (a a h pharmaceuticals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28881</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terbutaline with guafenesin expectorant</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17875</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lang w:val="fr-FR"/>
              </w:rPr>
            </w:pPr>
            <w:r w:rsidRPr="005834D3">
              <w:rPr>
                <w:rFonts w:ascii="Calibri" w:hAnsi="Calibri"/>
                <w:b w:val="0"/>
                <w:color w:val="000000"/>
                <w:lang w:val="fr-FR"/>
              </w:rPr>
              <w:t>bronchodil 20mg tablet (viatris pharmaceuticals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15075</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salbutamol 100micrograms/dose breath actuated inhaler cfc free</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1741</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salbutamol 2mg tablets (actavis uk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34618</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salbutamol cfc/free b/a</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25218</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salbutamol 100microgram/inhalation inhalation powder (ivax pharmaceuticals uk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28508</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terbutaline 250micrograms/dose inhaler</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1620</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salbutamol 100micrograms/dose inhaler (a a h pharmaceuticals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31933</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ventolin easi-breathe 100microgram/actuation pressurised inhalation (allen &amp; hanburys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958</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salbutamol 2mg/5ml oral solution (lagap)</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21102</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salbuvent rondo</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10353</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lang w:val="fr-FR"/>
              </w:rPr>
            </w:pPr>
            <w:r w:rsidRPr="005834D3">
              <w:rPr>
                <w:rFonts w:ascii="Calibri" w:hAnsi="Calibri"/>
                <w:b w:val="0"/>
                <w:color w:val="000000"/>
                <w:lang w:val="fr-FR"/>
              </w:rPr>
              <w:t>bronchodil 10mg/5ml oral solution (viatris pharmaceuticals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25820</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pirbuterol acetate inhaler</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16236</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ventolin cr 8mg tablet (allen &amp; hanburys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12042</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cobutolin inh</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19732</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ventolin 5mg nebules (glaxosmithkline uk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1957</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exirel 7.5mg/5ml oral solution (3m health care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25821</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salamol 100micrograms/dose inhaler cfc free (teva uk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5170</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lastRenderedPageBreak/>
              <w:t>salbutamol 8mg modified-release tablets</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2869</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ventolin 100microgram/inhalation inhalation powder (glaxo wellcome uk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31</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rimiterol inhaler</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8572</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lang w:val="fr-FR"/>
              </w:rPr>
            </w:pPr>
            <w:r w:rsidRPr="005834D3">
              <w:rPr>
                <w:rFonts w:ascii="Calibri" w:hAnsi="Calibri"/>
                <w:b w:val="0"/>
                <w:color w:val="000000"/>
                <w:lang w:val="fr-FR"/>
              </w:rPr>
              <w:t>pirbuterol 7.5mg/5ml oral solution</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25829</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salbulin 2mg/5ml oral solution (3m health care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4055</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ventolin 200micrograms/dose accuhaler (mawdsley-brooks &amp; company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50503</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salbutamol 100microgram/inhalation inhalation powder (neo laboratories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46551</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pulmadil inhalation powder (3m health care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3758</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salbutamol 100microgram/inhalation spacehaler (celltech pharma europe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3443</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salbutamol 100micrograms/actuation breath actuated inhaler</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30230</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salbutamol cyclocaps 200microgram inhalation powder (dupont pharmaceuticals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38097</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cobutolin 2mg tablet (actavis uk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26873</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ventolin rotahaler</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19649</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volmax 4mg modified-release tablets (glaxosmithkline uk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1961</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lang w:val="fr-FR"/>
              </w:rPr>
            </w:pPr>
            <w:r w:rsidRPr="005834D3">
              <w:rPr>
                <w:rFonts w:ascii="Calibri" w:hAnsi="Calibri"/>
                <w:b w:val="0"/>
                <w:color w:val="000000"/>
                <w:lang w:val="fr-FR"/>
              </w:rPr>
              <w:t>ventmax sr 8mg capsules (chiesi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22313</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bambec 20mg tablets (astrazeneca uk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13575</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volmax 8mg modified-release tablets (glaxosmithkline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1960</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ventolin rotahaler (glaxosmithkline uk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4908</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exirel 10 mg tab</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26420</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airomir autohaler cfc free b/a</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26716</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salbutamol inhaler</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22512</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salbutamol 200microgram inhalation powder capsules</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882</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salbutamol 100micrograms/inhalation vortex inhaler</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14525</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asmasal 100microgram/inhalation spacehaler (celltech pharma europe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9651</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salbutamol</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25073</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beclomethasone /salbutamol</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22225</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lang w:val="fr-FR"/>
              </w:rPr>
            </w:pPr>
            <w:r w:rsidRPr="005834D3">
              <w:rPr>
                <w:rFonts w:ascii="Calibri" w:hAnsi="Calibri"/>
                <w:b w:val="0"/>
                <w:color w:val="000000"/>
                <w:lang w:val="fr-FR"/>
              </w:rPr>
              <w:t>ventmax sr 4mg capsules (chiesi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17696</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salamol 100micrograms/dose easi-breathe inhaler (de pharmaceuticals)</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60923</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salbuvent 5mg/ml respirator solution (pharmacia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31082</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salbulin novolizer 100micrograms/dose inhalation powder (meda pharmaceuticals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38136</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salbutamol 200micrograms/dose dry powder inhaler</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2978</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ventolin 200microgram rotacaps (glaxosmithkline uk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2851</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bricanyl refill canister (astrazeneca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2758</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salbutamol u.dose nebulising 2.5mg/2.5ml</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20781</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salbutamol 100micrograms/dose dry powder inhaler</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7017</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salbutamol 100microgram/inhalation inhalation powder (celltech pharma europe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44713</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salamol 100microgram/actuation inhalation powder (ivax pharmaceuticals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1093</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asmaven 100microgram inhalation powder (berk pharmaceuticals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21859</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reproterol 500micrograms/dose inhaler</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15165</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salbutamol 200micrograms inahalation capsules</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30204</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ventodisks 400microgram/blister disc (allen &amp; hanburys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1950</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salbutamol 2mg/5ml oral solution sugar free</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282</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numotac 10mg tablet (3m health care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32812</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salbulin cfc free</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31290</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salbulin 4mg tablet (3m health care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3254</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salbutamol 4mg modified-release tablets</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3994</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pulvinal salbutamol 200micrograms/dose dry powder inhaler (chiesi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13038</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salbuvent 100microgram/actuation inhalation powder (pharmacia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40655</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lastRenderedPageBreak/>
              <w:t>salbutamol 100microgram/inhalation inhalation powder (c p pharmaceuticals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34702</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easyhaler salbutamol sulfate 200micrograms/dose dry powder inhaler (orion pharma (uk)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16577</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terbutaline 500micrograms/dose dry powder inhaler</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1619</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bricanyl 5mg/2ml respules (astrazeneca uk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43085</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ventodisks 200microgram with diskhaler (glaxosmithkline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49368</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easyhaler salbutamol sulfate 100micrograms/dose dry powder inhaler (orion pharma (uk)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13181</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fenoterol hydrobromide .5 % sol</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15441</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bricanyl respules (5mg/2ml) 2.5 mg/ml inh</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3764</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salbutamol 100micrograms/dose inhaler (generics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33588</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salbutamol 400mcg/beclometh.100mcg r/cap inh</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3838</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salbutamol 4mg tablets (a a h pharmaceuticals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32102</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salamol 100microgram/inhalation inhalation powder (sandoz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13996</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terbutaline 1.5mg/5ml oral solution sugar free (a a h pharmaceuticals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38419</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bricanyl 10mg/ml respirator solution (astrazeneca uk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4222</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terbutaline 7.5mg modified-release tablets</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8522</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salbutamol cyclohaler type 5 insufflator inhalation powder (bristol-myers squibb pharmaceuticals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27793</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steri-neb salamol 2.5 mg inh</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2149</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asmavent 100micrograms/dose inhaler cfc free (kent pharmaceuticals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57249</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salbutamol .25 mg inj</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10958</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salbulin inhalation powder (3m health care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862</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salbutamol 400microgram inhalation powder blisters</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52543</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lang w:val="fr-FR"/>
              </w:rPr>
            </w:pPr>
            <w:r w:rsidRPr="005834D3">
              <w:rPr>
                <w:rFonts w:ascii="Calibri" w:hAnsi="Calibri"/>
                <w:b w:val="0"/>
                <w:color w:val="000000"/>
                <w:lang w:val="fr-FR"/>
              </w:rPr>
              <w:t>ventolin 200micrograms/dose accuhaler (de pharmaceuticals)</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50956</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ventolin nebules</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19642</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salbutamol 400micrograms inahalation capsules</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34029</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pirbuterol 15 mg tab</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12463</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ventolin 200micrograms/dose accuhaler (glaxosmithkline uk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42858</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ventodisks 200microgram (glaxosmithkline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49370</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terbutaline 1.5mg/5ml oral solution (sandoz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42867</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exirel 10mg capsule (3m health care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23787</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salbutamol 100micrograms/dose inhaler cfc free (waymade healthcare plc)</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59409</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salbutamol 4mg tablets (actavis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34938</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ventolin 2.5mg nebules (glaxosmithkline uk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674</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salbutamol cyclohaler</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30212</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ventolin 400microgram rotacaps (glaxosmithkline uk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1952</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bricanyl 250micrograms/dose spacer inhaler (astrazeneca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7954</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bricanyl 250micrograms/dose inhaler (astrazeneca uk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235</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salbutamol 400microgram inhalation powder capsules</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2850</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reproterol 10mg/5ml oral solution</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36677</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bambuterol 10mg tablets</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7192</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salbutamol 200micrograms disc</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3163</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salbutamol 100micrograms/dose inhaler cfc free (teva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30118</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berotec 100microgram/actuation inhalation powder (boehringer ingelheim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1794</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salbutamol 4mg tablets</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860</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exirel 15mg capsule (3m health care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8012</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airomir 100micrograms/dose autohaler (teva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5740</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lang w:val="fr-FR"/>
              </w:rPr>
            </w:pPr>
            <w:r w:rsidRPr="005834D3">
              <w:rPr>
                <w:rFonts w:ascii="Calibri" w:hAnsi="Calibri"/>
                <w:b w:val="0"/>
                <w:color w:val="000000"/>
                <w:lang w:val="fr-FR"/>
              </w:rPr>
              <w:t>monovent 1.5mg/5ml oral solution (lagap)</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17874</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lastRenderedPageBreak/>
              <w:t>exirel inhalation powder (3m health care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12563</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ventolin evohaler 100 100microgram/inhalation pressurised inhalation (glaxo wellcome uk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898</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salbutamol 100micrograms/dose inhaler cfc free (actavis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33817</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salbulin 100micrograms/dose inhaler (3m health care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4665</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salbutamol 2mg tablet (c p pharmaceuticals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41549</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fenoterol 100microgram/actuation inhaler</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4842</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salamol easi-breathe 100microgram/actuation pressurised inhalation (ivax pharmaceuticals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957</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ventolin 2mg tablet (allen &amp; hanburys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4171</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berotec 200micrograms/dose inhaler (boehringer ingelheim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2020</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salbutamol rotahaler complete unit</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20675</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ventolin accuhaler 200 200microgram/actuation inhalation powder (glaxo wellcome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4497</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salbutamol 100micrograms/dose inhaler cfc free (sandoz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49591</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lang w:val="fr-FR"/>
              </w:rPr>
            </w:pPr>
            <w:r w:rsidRPr="005834D3">
              <w:rPr>
                <w:rFonts w:ascii="Calibri" w:hAnsi="Calibri"/>
                <w:b w:val="0"/>
                <w:color w:val="000000"/>
                <w:lang w:val="fr-FR"/>
              </w:rPr>
              <w:t>salbuvent 2mg/5ml oral solution (pharmacia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1635</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ventolin s/r 8 mg spa</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8636</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lang w:val="fr-FR"/>
              </w:rPr>
            </w:pPr>
            <w:r w:rsidRPr="005834D3">
              <w:rPr>
                <w:rFonts w:ascii="Calibri" w:hAnsi="Calibri"/>
                <w:b w:val="0"/>
                <w:color w:val="000000"/>
                <w:lang w:val="fr-FR"/>
              </w:rPr>
              <w:t>ventolin 200micrograms/dose accuhaler (sigma pharmaceuticals plc)</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53297</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bambec 10mg tablets (astrazeneca uk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14527</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maxivent 100microgram/inhalation inhalation powder (ashbourne pharmaceuticals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7935</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salbutamol 100microgram/inhalation inhalation powder (berk pharmaceuticals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34311</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terbutaline 250micrograms/dose inhaler with spacer</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7711</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salbutamol 2mg tablets (approved prescription services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41548</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salamol 100microgram/inhalation inhalation powder (kent pharmaceuticals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5889</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salbutamol 100micrograms/dose inhaler (kent pharmaceuticals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33089</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ventodisks 400microgram with diskhaler (glaxosmithkline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48809</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ventolin</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27573</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bricanyl 1.5mg/5ml syrup (astrazeneca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3584</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exirel 15 mg tab</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8504</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salbutamol cyclocaps 400microgram inhalation powder (dupont pharmaceuticals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38416</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ventolin respirator</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19653</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ventolin 100micrograms/dose evohaler (glaxosmithkline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42830</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lang w:val="fr-FR"/>
              </w:rPr>
            </w:pPr>
            <w:r w:rsidRPr="005834D3">
              <w:rPr>
                <w:rFonts w:ascii="Calibri" w:hAnsi="Calibri"/>
                <w:b w:val="0"/>
                <w:color w:val="000000"/>
                <w:lang w:val="fr-FR"/>
              </w:rPr>
              <w:t>ventolin 200micrograms/dose accuhaler (lexon (uk)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50557</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salbutamol 8mg modified-release capsules</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696</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salbulin 2mg tablet (3m health care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18622</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bricanyl turbohaler 500 500microgram turbohaler (astrazeneca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907</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ventolin</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26525</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salbulin novolizer 100micrograms/dose inhalation powder refill (meda pharmaceuticals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38226</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spacehaler salbutamol 100microgram/inhalation spacehaler (celltech pharma europe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22430</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monovent 1.5mg/5ml syrup (sandoz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41832</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salbutamol 4mg modified-release capsules</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9384</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bronchodil 500microgram/dose inhalation powder (viatris pharmaceuticals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12486</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ventolin 2.5mg nebules (mawdsley-brooks &amp; company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53019</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ventolin 5mg/ml respirator solution (glaxosmithkline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510</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salbutamol 95micrograms/dose dry powder inhaler</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6462</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ventodisks 200microgram/blister disc (allen &amp; hanburys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1882</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lastRenderedPageBreak/>
              <w:t>bricanyl nebule 2.5 ml</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17901</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ventolin cr 4mg tablet (allen &amp; hanburys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10458</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salbutamol 100micrograms/dose inhaler cfc free (a a h pharmaceuticals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34310</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reproterol 10mg/ml respirator solution</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22790</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ventodisks 400microgram (glaxosmithkline uk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48742</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bricanyl tablet (astrazeneca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26987</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airsalb 100micrograms/dose inhaler cfc free (sandoz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58269</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terbutaline respules inh</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3763</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salbuvent inh inh</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3189</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ventolin 2mg/5ml syrup (glaxosmithkline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856</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terbutaline 5mg tablets</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10825</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lang w:val="fr-FR"/>
              </w:rPr>
            </w:pPr>
            <w:r w:rsidRPr="005834D3">
              <w:rPr>
                <w:rFonts w:ascii="Calibri" w:hAnsi="Calibri"/>
                <w:b w:val="0"/>
                <w:color w:val="000000"/>
                <w:lang w:val="fr-FR"/>
              </w:rPr>
              <w:t>salbuvent 2mg tablet (pharmacia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20838</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ventolin 100micrograms/dose evohaler (waymade healthcare plc)</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48519</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salbutamol 8mg tablet</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42497</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lang w:val="fr-FR"/>
              </w:rPr>
            </w:pPr>
            <w:r w:rsidRPr="005834D3">
              <w:rPr>
                <w:rFonts w:ascii="Calibri" w:hAnsi="Calibri"/>
                <w:b w:val="0"/>
                <w:color w:val="000000"/>
                <w:lang w:val="fr-FR"/>
              </w:rPr>
              <w:t>ventolin 100micrograms/dose evohaler (de pharmaceuticals)</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48490</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fenoterol hydrobromide complete unit inh</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8339</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salbutamol 100micrograms/dose dry powder inhalation cartridge</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38214</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pirbuterol 15mg capsule</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8252</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salbutamol 100micrograms/dose inhaler</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8</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ventolin s/r</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19726</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ventolin 4mg tablet (allen &amp; hanburys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987</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salbutamol 5mg/5ml solution for infusion ampoules</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18968</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lang w:val="fr-FR"/>
              </w:rPr>
            </w:pPr>
            <w:r w:rsidRPr="005834D3">
              <w:rPr>
                <w:rFonts w:ascii="Calibri" w:hAnsi="Calibri"/>
                <w:b w:val="0"/>
                <w:color w:val="000000"/>
                <w:lang w:val="fr-FR"/>
              </w:rPr>
              <w:t>salbuvent 4mg tablet (pharmacia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29267</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ventolin 5mg/5ml solution for infusion ampoules (glaxosmithkline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24645</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salbutamol 100micrograms/dose inhaler cfc free</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17</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bricanyl 5mg tablets (astrazeneca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3534</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salbutamol 2mg tablets</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881</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bricanyl 500micrograms/dose turbohaler (astrazeneca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42886</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salbutamol 2 mg/5ml syr</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2395</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asmasal 95micrograms/dose clickhaler (focus pharmaceuticals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1087</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salbutamol 100micrograms/dose inhaler cfc free (phoenix healthcare distribution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61591</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ventolin .25 mg inj</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7452</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terbutaline 250micrograms/actuation refill canister</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1628</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ventolin 100micrograms/dose evohaler (mawdsley-brooks &amp; company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48741</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pirbuterol 10mg capsule</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22661</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salbutamol 400 cyclocaps (teva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32050</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bricanyl oral solution (astrazeneca uk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15483</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salbutamol 5mg/50ml solution for infusion vials</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9805</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salbutamol 200microgram inhalation powder blisters</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49369</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salamol 100micrograms/dose inhaler cfc free (arrow generics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48547</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salbutamol 2mg/5ml oral solution sugar free (sandoz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41691</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salbutamol 400micrograms disc</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5753</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salbutamol 400microgram inhalation powder blisters with device</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52799</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salbutamol 100microgram/inhalation inhalation powder (kent pharmaceuticals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34619</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ventolin rotacaps</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23688</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bambuterol 20mg tablets</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12144</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salapin 2mg/5ml syrup (pinewood healthcare)</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31845</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ventolin 200micrograms/dose accuhaler (dowelhurst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57524</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duovent</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22550</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lastRenderedPageBreak/>
              <w:t>salamol 100micrograms/dose easi-breathe inhaler (teva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5516</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salbutamol 100micrograms/dose dry powder inhalation cartridge with device</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38079</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salbutamol 200 cyclocaps (teva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33373</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salbutamol 100micrograms/dose breath actuated inhaler</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1698</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sodium cromoglicate 1mg/dose / salbutamol 100micrograms/dose inhaler with spacer</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24380</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aerocrom inhaler (castlemead healthcare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10360</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sodium cromoglicate 1mg/dose / salbutamol 100micrograms/dose inhaler</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8267</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aerocrom syncroner with spacer (castlemead healthcare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18314</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ipratropium bromide with fenoterol hydrobromide 40micrograms + 100micrograms/actuation</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27505</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duovent inhaler (boehringer ingelheim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2722</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duovent autohaler (boehringer ingelheim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2862</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combivent inhaler (boehringer ingelheim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556</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fenoterol 100micrograms/dose / ipratropium 40micrograms/dose inhaler</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3786</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ipratropium bromide with fenoterol hydrobromide 500micrograms + 1.25mg/4ml</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9270</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ipratropium bromide with salbutamol 20mcg + 100mcg</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2152</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ipratropium bromide with salbutamol 500micrograms + 2.5mg/2.5ml</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11046</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salbutamol 2.5mg with ipratropium bromide 500micrograms/2.5ml unit dose nebuilser solution</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12822</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ipratropium bromide with fenoterol hydrobromide 0micrograms + 100micrograms/actuation</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26616</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salbutamol 100micrograms/dose / ipratropium 20micrograms/dose inhaler</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12909</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fenoterol 100micrograms/dose / ipratropium bromide 40micrograms/dose breath actuated inhaler</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12808</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respontin 250micrograms/1ml nebules (glaxosmithkline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23567</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atrovent</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19805</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respontin 500micrograms/2ml nebules (glaxosmithkline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18140</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oxitropium bromide 100micrograms/dose inhaler</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2437</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ipratropium bromide 40micrograms/dose inhaler</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4268</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atrovent aerohaler 40microgram inhalation powder (boehringer ingelheim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9681</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atrovent 20micrograms/dose inhaler (boehringer ingelheim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534</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atrovent 20micrograms/dose inhaler cfc free (de pharmaceuticals)</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50810</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ipratropium bromide 250microgram/ml inhalation vapour (galen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23961</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ipratropium bromide 20micrograms/dose breath actuated inhaler</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6081</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ipratropium bromide 40microgram inhalation powder capsules with device</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11779</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ipratropium bromide 20micrograms/dose inhaler</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1409</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ipratropium bromide 250microgram/ml</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37791</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atrovent 20micrograms/dose inhaler cfc free (boehringer ingelheim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6512</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oxitropium bromide 100micrograms/dose breath actuated inhaler</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9658</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ipratropium bromide 20micrograms/dose inhaler cfc free</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6522</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atrovent aerocaps 40microgram inhalation powder (boehringer ingelheim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2994</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atrovent 20micrograms/dose inhaler cfc free (lexon (uk)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57557</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ipratropium bromide 40microgram inhalation powder capsules</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8333</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atrovent 20micrograms/dose autohaler (boehringer ingelheim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1697</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ipratropium bromide (forte)</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25020</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atrovent 40microgram aerocaps with aerohaler (boehringer ingelheim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43105</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oxivent 100micrograms/dose inhaler (boehringer ingelheim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3039</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atrovent forte 40micrograms/dose inhaler (boehringer ingelheim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3306</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lastRenderedPageBreak/>
              <w:t>atrovent 40microgram aerocaps (boehringer ingelheim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43090</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ipratropium bromide 0.25mg/ml</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1410</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oxivent 100micrograms/dose autohaler (boehringer ingelheim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3850</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atrovent forte</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20720</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ipratropium bromide 250micrograms/ml</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1411</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atrovent 20micrograms/dose inhaler cfc free (sigma pharmaceuticals plc)</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60920</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salbutamol 100micrograms/dose / beclometasone 50micrograms/dose inhaler</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11307</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ventide paediatric rotacaps (glaxosmithkline uk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18484</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beclometasone 200micrograms with salbutamol 400micrograms inhalation capsules</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19376</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beclometasone 50micrograms with salbutamol 100micrograms/inhalation inhaler</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3556</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ventide inhaler (glaxosmithkline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1801</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ventide rotacaps (glaxosmithkline uk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16625</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salbutamol 200microgram / beclometasone 100microgram inhalation powder capsules</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18456</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beclometasone 100micrograms with salbutamol 200micrograms inhalation capsules</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19121</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salbutamol 400microgram / beclometasone 200microgram inhalation powder capsules</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14561</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indacaterol 300microgram inhalation powder capsules with device</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45610</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salmeterol 25micrograms/dose inhaler cfc free</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7270</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foradil 12microgram inhalation powder capsules with device (novartis pharmaceuticals uk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10968</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serevent 25micrograms/dose inhaler (glaxosmithkline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549</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formoterol 12micrograms/dose dry powder inhaler</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7133</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salmeterol 25micrograms/dose inhaler cfc free (a a h pharmaceuticals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54742</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salmeterol 50micrograms/dose dry powder inhaler</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719</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vertine 25micrograms/dose inhaler cfc free (teva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57694</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brelomax 2mg tablet (abbott laboratories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26829</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tulobuterol 2mg</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19799</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oxis 12 turbohaler (waymade healthcare plc)</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56482</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atimos modulite 12micrograms/dose inhaler (chiesi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25784</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neovent 25micrograms/dose inhaler cfc free (kent pharmaceuticals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47638</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lang w:val="fr-FR"/>
              </w:rPr>
            </w:pPr>
            <w:r w:rsidRPr="005834D3">
              <w:rPr>
                <w:rFonts w:ascii="Calibri" w:hAnsi="Calibri"/>
                <w:b w:val="0"/>
                <w:color w:val="000000"/>
                <w:lang w:val="fr-FR"/>
              </w:rPr>
              <w:t>opilon 40mg tablet (concord pharmaceuticals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10672</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serevent 25micrograms/dose evohaler (waymade healthcare plc)</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50051</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formoterol easyhaler 12micrograms/dose dry powder inhaler (orion pharma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35725</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serevent 50micrograms/dose accuhaler (glaxosmithkline uk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2224</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onbrez breezhaler 150microgram inhalation powder capsules with device (novartis pharmaceuticals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43893</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formoterol 12microgram inhalation powder capsules with device</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6526</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indacaterol 150microgram inhalation powder capsules with device</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43738</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serevent 50microgram disks (glaxosmithkline uk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35825</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opilon 40mg tablets (archimedes pharma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43764</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lang w:val="fr-FR"/>
              </w:rPr>
            </w:pPr>
            <w:r w:rsidRPr="005834D3">
              <w:rPr>
                <w:rFonts w:ascii="Calibri" w:hAnsi="Calibri"/>
                <w:b w:val="0"/>
                <w:color w:val="000000"/>
                <w:lang w:val="fr-FR"/>
              </w:rPr>
              <w:t>serevent 50micrograms/dose accuhaler (de pharmaceuticals)</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56478</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tulobuterol 1mg/5ml sugar free syrup</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42103</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serevent 50micrograms/dose accuhaler (waymade healthcare plc)</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57544</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salmeterol 50micrograms disc</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3297</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oxis 6 turbohaler (lexon (uk)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57558</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formoterol 6micrograms/dose dry powder inhaler</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9711</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salmeterol 50microgram inhalation powder blisters with device</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35542</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salmeterol 25micrograms/dose inhaler</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465</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lastRenderedPageBreak/>
              <w:t>onbrez breezhaler 300microgram inhalation powder capsules with device (novartis pharmaceuticals uk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44064</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serevent 50microgram disks with diskhaler (glaxosmithkline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35165</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formoterol 12micrograms/dose inhaler cfc free</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14306</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oxis 12 turbohaler (astrazeneca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1974</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serevent 25micrograms/dose evohaler (glaxosmithkline uk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7268</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moxisylyte 40mg tablets</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8365</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salmeterol 50microgram inhalation powder blisters</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35503</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oxis 6 turbohaler (astrazeneca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1975</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lang w:val="fr-FR"/>
              </w:rPr>
            </w:pPr>
            <w:r w:rsidRPr="005834D3">
              <w:rPr>
                <w:rFonts w:ascii="Calibri" w:hAnsi="Calibri"/>
                <w:b w:val="0"/>
                <w:color w:val="000000"/>
                <w:lang w:val="fr-FR"/>
              </w:rPr>
              <w:t>respacal 2mg tablet (ucb pharma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22663</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serevent diskhaler 50microgram inhalation powder (glaxo wellcome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910</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fluticasone furoate 92micrograms/dose / vilanterol 22micrograms/dose dry powder inhaler</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59439</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becotide susp for nebulisation</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19736</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seretide 500 accuhaler (mawdsley-brooks &amp; company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51861</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becotide rotahaler insufflator inhalation powder (allen and hanburys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9356</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fluticasone 125micrograms/dose / formoterol 5micrograms/dose inhaler cfc free</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51209</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lang w:val="fr-FR"/>
              </w:rPr>
            </w:pPr>
            <w:r w:rsidRPr="005834D3">
              <w:rPr>
                <w:rFonts w:ascii="Calibri" w:hAnsi="Calibri"/>
                <w:b w:val="0"/>
                <w:color w:val="000000"/>
                <w:lang w:val="fr-FR"/>
              </w:rPr>
              <w:t>fostair 100micrograms/dose / 6micrograms/dose inhaler (chiesi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37432</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seretide 500 accuhaler (de pharmaceuticals)</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51593</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relvar ellipta 92micrograms/dose / 22micrograms/dose dry powder inhaler (glaxosmithkline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59327</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fostair nexthaler 100micrograms/dose / 6micrograms/dose dry powder inhaler (chiesi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61644</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flutiform 50micrograms/dose / 5micrograms/dose inhaler (napp pharmaceuticals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50689</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becotide 50</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27525</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becotide 400microgram rotacaps (glaxosmithkline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3075</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fluticasone 50micrograms/dose / formoterol 5micrograms/dose inhaler cfc free</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51270</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seretide 250 evohaler (waymade healthcare plc)</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49000</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budesonide 400micrograms/dose / formoterol 12micrograms/dose dry powder inhaler</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6746</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becotide rotahaler (glaxosmithkline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50701</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fluticasone 250micrograms/dose / formoterol 10micrograms/dose inhaler cfc free</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49868</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beclometasone 100micrograms/dose / formoterol 6micrograms/dose inhaler cfc free</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37470</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seretide 250 evohaler (stephar (u.k.)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50886</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becotide 200 inhaler (glaxosmithkline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1258</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becotide rotacaps</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24219</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seretide 100 accuhaler (waymade healthcare plc)</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53283</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fluticasone 50micrograms/dose / salmeterol 25micrograms/dose inhaler cfc free</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12994</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symbicort 400/12 turbohaler (de pharmaceuticals)</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53237</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seretide 125 evohaler (lexon (uk)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51151</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lang w:val="fr-FR"/>
              </w:rPr>
            </w:pPr>
            <w:r w:rsidRPr="005834D3">
              <w:rPr>
                <w:rFonts w:ascii="Calibri" w:hAnsi="Calibri"/>
                <w:b w:val="0"/>
                <w:color w:val="000000"/>
                <w:lang w:val="fr-FR"/>
              </w:rPr>
              <w:t>symbicort 200/6 turbohaler (sigma pharmaceuticals plc)</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53491</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seretide 500 accuhaler (lexon (uk)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55677</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fluticasone 250micrograms/dose / salmeterol 25micrograms/dose inhaler cfc free</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11618</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seretide 250 accuhaler (de pharmaceuticals)</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53230</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salmeterol 50micrograms with fluticasone 100micrograms dry powder inhaler</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6938</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becotide 100 inhaler (glaxosmithkline uk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99</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salmeterol 25micrograms with fluticasone 125micrograms cfc free inhaler</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6569</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flutiform 250micrograms/dose / 10micrograms/dose inhaler (napp pharmaceuticals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48666</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lastRenderedPageBreak/>
              <w:t>seretide 250 accuhaler (waymade healthcare plc)</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61280</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duoresp spiromax 160micrograms/dose / 4.5micrograms/dose dry powder inhaler (teva uk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61782</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salmeterol 25micrograms with fluticasone 250micrograms cfc free inhaler</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5864</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salmeterol 50micrograms with fluticasone 500micrograms cfc free inhaler</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5558</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seretide 250 evohaler (glaxosmithkline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5172</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seretide 125 evohaler (glaxosmithkline uk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5161</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fluticasone propionate 100micrograms/dose / salmeterol 50micrograms/dose dry powder inhaler</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13273</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relvar ellipta 184micrograms/dose / 22micrograms/dose dry powder inhaler (glaxosmithkline uk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59573</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becotide rotahaler type 4 insufflator inhalation powder (allen and hanburys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3437</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becotide 200microgram rotacaps (glaxosmithkline uk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1537</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becotide 100</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20707</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salmeterol 50micrograms with fluticasone 250micrograms cfc free inhaler</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5942</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duoresp spiromax 320micrograms/dose / 9micrograms/dose dry powder inhaler (teva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61666</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seretide 250 evohaler (necessity supplies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51909</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seretide 500 accuhaler (waymade healthcare plc)</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51394</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becotide 100microgram rotacaps (glaxosmithkline uk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3947</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becotide easi-breathe 100microgram/actuation pressurised inhalation (allen &amp; hanburys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896</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symbicort 200/6 turbohaler (mawdsley-brooks &amp; company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51759</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symbicort 100/6 turbohaler (mawdsley-brooks &amp; company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50945</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seretide 100 accuhaler (de pharmaceuticals)</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62126</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seretide 250 evohaler (de pharmaceuticals)</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48739</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budesonide 100micrograms/dose / formoterol 6micrograms/dose dry powder inhaler</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10218</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symbicort 200/6 turbohaler (astrazeneca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6325</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seretide 100 accuhaler (glaxosmithkline uk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665</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seretide 50 evohaler (glaxosmithkline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5143</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fluticasone 125micrograms/dose / salmeterol 25micrograms/dose inhaler cfc free</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11588</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becotide 50 inhaler (glaxosmithkline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1406</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symbicort 400/12 turbohaler (astrazeneca uk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6780</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seretide 500 accuhaler (glaxosmithkline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3666</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seretide 250 accuhaler (sigma pharmaceuticals plc)</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50560</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symbicort 200/6 turbohaler (de pharmaceuticals)</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51570</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becotide easi-breathe 50microgram/actuation pressurised inhalation (allen &amp; hanburys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1727</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fluticasone furoate 184micrograms/dose / vilanterol 22micrograms/dose dry powder inhaler</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59899</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lang w:val="fr-FR"/>
              </w:rPr>
            </w:pPr>
            <w:r w:rsidRPr="005834D3">
              <w:rPr>
                <w:rFonts w:ascii="Calibri" w:hAnsi="Calibri"/>
                <w:b w:val="0"/>
                <w:color w:val="000000"/>
                <w:lang w:val="fr-FR"/>
              </w:rPr>
              <w:t>symbicort 100/6 turbohaler (sigma pharmaceuticals plc)</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49114</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beclometasone 100micrograms/dose / formoterol 6micrograms/dose dry powder inhaler</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62030</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flutiform 125micrograms/dose / 5micrograms/dose inhaler (napp pharmaceuticals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50036</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budesonide 200micrograms/dose / formoterol 6micrograms/dose dry powder inhaler</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6796</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seretide 125 evohaler (de pharmaceuticals)</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51027</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symbicort 400/12 turbohaler (mawdsley-brooks &amp; company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50739</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symbicort 100/6 turbohaler (astrazeneca uk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7013</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lastRenderedPageBreak/>
              <w:t>seretide 250 accuhaler (glaxosmithkline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638</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salmeterol 25micrograms with fluticasone 50micrograms cfc free inhaler</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6616</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fluticasone propionate 250micrograms/dose / salmeterol 50micrograms/dose dry powder inhaler</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13040</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fluticasone propionate 500micrograms/dose / salmeterol 50micrograms/dose dry powder inhaler</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11410</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anoro ellipta 55micrograms/dose / 22micrograms/dose dry powder inhaler (glaxosmithkline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61176</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umeclidinium bromide 65micrograms/dose / vilanterol 22micrograms/dose dry powder inhaler</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61490</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lang w:val="fr-FR"/>
              </w:rPr>
            </w:pPr>
            <w:r w:rsidRPr="005834D3">
              <w:rPr>
                <w:rFonts w:ascii="Calibri" w:hAnsi="Calibri"/>
                <w:b w:val="0"/>
                <w:color w:val="000000"/>
                <w:lang w:val="fr-FR"/>
              </w:rPr>
              <w:t>qvar 100 autohaler (sigma pharmaceuticals plc)</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54399</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budesonide 50micrograms/dose inhaler</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959</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fluticasone 250microgram/actuation pressurised inhalation</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2951</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qvar 100micrograms/dose easi-breathe inhaler (de pharmaceuticals)</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50129</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becodisks 100microgram disc (allen &amp; hanburys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2229</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flixotide 100microgram disc (allen &amp; hanburys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3989</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flixotide 0.5mg/2ml nebules (glaxosmithkline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5551</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beclometasone 200micrograms/dose inhaler (a a h pharmaceuticals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34794</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beclometasone 400 cyclocaps (teva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41269</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beclometasone 250micrograms/dose inhaler (generics (uk)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29325</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aerobec 250microgram/actuation pressurised inhalation (meda pharmaceuticals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4499</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becloforte 250micrograms/dose inhaler (dowelhurst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57589</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beclometasone 50microgram/actuation inhalation powder (actavis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32874</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aerobec 50 autohaler (meda pharmaceuticals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2159</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asmabec 250microgram/actuation spacehaler (celltech pharma europe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14590</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beclazone 50 easi-breathe inhaler (teva uk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1725</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pulmicort 400 turbohaler (astrazeneca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908</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beclometasone 400microgram inhalation powder blisters</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35288</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clenil modulite 50micrograms/dose inhaler (mawdsley-brooks &amp; company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49367</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beclometasone 400microgram inhalation powder blisters with device</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35107</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flixotide 125microgram/actuation inhalation powder (allen &amp; hanburys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1676</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fluticasone 250micrograms/dose evohaler (sigma pharmaceuticals plc)</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49772</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budenofalk 9mg gastro-resistant granules sachets (dr. falk pharma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48088</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beclometasone 250micrograms/dose inhaler (a a h pharmaceuticals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33258</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pulvinal beclometasone dipropionate 200micrograms/dose dry powder inhaler (chiesi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13037</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bdp 100microgram/actuation spacehaler (celltech pharma europe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19031</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clenil modulite 50micrograms/dose inhaler (chiesi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16158</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pulmicort refil 200 mcg inh</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2124</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beclometasone 100microgram inhalation powder capsules</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4759</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flixotide diskhaler-community pack 250 mcg</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3753</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pulmicort 200micrograms/dose inhaler (astrazeneca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49711</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beclometasone 100micrograms/dose inhaler cfc free</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15326</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qvar 100 inhaler (teva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2335</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flixotide accuhaler 50 50microgram/inhalation inhalation powder (allen &amp; hanburys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5580</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qvar 100 inhaler (sigma pharmaceuticals plc)</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51681</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budesonide 100micrograms/actuation inhaler</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8433</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asmabec 50 clickhaler (focus pharmaceuticals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9577</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lastRenderedPageBreak/>
              <w:t>fluticasone 25micrograms/dose inhaler</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2723</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pulmicort l.s. refil</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23675</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fluticasone propionate 100microgram inhalation powder blisters with device</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35638</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beclometasone 250micrograms/actuation vortex inhaler</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9571</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qvar 100 inhaler (waymade healthcare plc)</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51234</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entocort cr 3mg capsules (waymade healthcare plc)</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60946</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fluticasone 50micrograms/dose inhaler cfc free</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5223</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flixotide 50micrograms/dose evohaler (lexon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53057</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clenil modulite 100micrograms/dose inhaler (chiesi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13290</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flixotide 100micrograms/dose accuhaler (glaxosmithkline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42928</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pulvinal beclometasone dipropionate 400micrograms/dose dry powder inhaler (chiesi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14736</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lang w:val="fr-FR"/>
              </w:rPr>
            </w:pPr>
            <w:r w:rsidRPr="005834D3">
              <w:rPr>
                <w:rFonts w:ascii="Calibri" w:hAnsi="Calibri"/>
                <w:b w:val="0"/>
                <w:color w:val="000000"/>
                <w:lang w:val="fr-FR"/>
              </w:rPr>
              <w:t>qvar 100 autohaler (lexon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52806</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flixotide 250micrograms/dose accuhaler (stephar (u.k.)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57525</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beclometasone 100microgram/actuation inhalation powder (neo laboratories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33849</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pulmicort 0.5mg respules (necessity supplies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52732</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flixotide 250microgram disks (glaxosmithkline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35611</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becloforte vm 250microgram/actuation vm pack (allen &amp; hanburys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8111</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budesonide 200micrograms/dose inhaler cfc free</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39879</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beclometasone 250micrograms/dose inhaler</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1242</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pulmicort complete</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26665</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fluticasone propionate 50microgram inhalation powder blisters</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37447</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flixotide 125micrograms/dose evohaler (glaxosmithkline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5718</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beclometasone 400microgram inhalation powder capsules</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7653</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beclometasone 100microgram/actuation inhalation powder (actavis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28640</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beclometasone 100micrograms disc</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4365</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beclometasone 50micrograms/dose inhaler (teva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34739</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flixotide 50microgram disc (allen &amp; hanburys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8635</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lang w:val="fr-FR"/>
              </w:rPr>
            </w:pPr>
            <w:r w:rsidRPr="005834D3">
              <w:rPr>
                <w:rFonts w:ascii="Calibri" w:hAnsi="Calibri"/>
                <w:b w:val="0"/>
                <w:color w:val="000000"/>
                <w:lang w:val="fr-FR"/>
              </w:rPr>
              <w:t>flixotide 50micrograms/dose accuhaler (de pharmaceuticals)</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57579</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qvar 100 autohaler (teva uk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4413</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beclometasone 5mg gastro-resistant modified-release tablets</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37203</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fluticasone 125microgram/actuation pressurised inhalation</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4132</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beclometasone 50micrograms/dose inhaler</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3018</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beclometasone 200microgram inhalation powder capsules</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9233</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beclometasone 50micrograms/dose breath actuated inhaler</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2160</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beclometasone 400microgram disc</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2148</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beclometasone 50micrograms/dose inhaler (a a h pharmaceuticals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34919</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budesonide 200micrograms/dose dry powder inhaler</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2092</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beclometasone 250micrograms/dose inhaler cfc free</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21005</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beclometasone 50micrograms/actuation extrafine particle cfc free inhaler</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10090</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beclazone 250 inhaler (teva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1551</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clipper 5mg gastro-resistant modified-release tablets (chiesi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39067</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qvar 50 inhaler (mawdsley-brooks &amp; company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51415</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becodisks 100microgram with diskhaler (glaxosmithkline uk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35106</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becodisks 400microgram (glaxosmithkline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35299</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qvar 50 inhaler (de pharmaceuticals)</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54207</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filair 100 inhaler (meda pharmaceuticals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3927</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easyhaler budesonide 100micrograms/dose dry powder inhaler (orion pharma (uk)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17670</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lastRenderedPageBreak/>
              <w:t>becodisks 200microgram disc (allen &amp; hanburys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883</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flixotide diskhaler-community pack 50 mcg</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8450</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flixotide 25micrograms/dose inhaler (glaxosmithkline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3289</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qvar 100 autohaler (stephar (u.k.)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53480</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budesonide 100micrograms/dose inhaler cfc free</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39102</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becloforte</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20763</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flixotide 500microgram disks (glaxosmithkline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35374</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lang w:val="fr-FR"/>
              </w:rPr>
            </w:pPr>
            <w:r w:rsidRPr="005834D3">
              <w:rPr>
                <w:rFonts w:ascii="Calibri" w:hAnsi="Calibri"/>
                <w:b w:val="0"/>
                <w:color w:val="000000"/>
                <w:lang w:val="fr-FR"/>
              </w:rPr>
              <w:t>aerobec forte 250 autohaler (meda pharmaceuticals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39200</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beclazone 50microgram/actuation inhalation powder (actavis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9599</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beclometasone 250micrograms/dose dry powder inhaler</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5804</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beclazone easi-breathe (roi) 100microgram/actuation pressurised inhalation (ivax pharmaceuticals ireland)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47943</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flixotide 250micrograms/dose evohaler (glaxosmithkline uk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5683</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clenil modulite 100micrograms/dose inhaler (mawdsley-brooks &amp; company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48340</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beclazone 200 inhaler (teva uk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1885</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flixotide accuhaler 250 250microgram/inhalation inhalation powder (allen &amp; hanburys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911</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budesonide 3mg gastro-resistant capsules</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6095</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beclometasone 250microgram/actuation pressurised inhalation (approved prescription services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28073</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fluticasone 100microgram disc</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4131</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flixotide 500micrograms/dose accuhaler (glaxosmithkline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43074</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fluticasone propionate 250microgram inhalation powder blisters</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35905</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pulmicort</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27583</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easyhaler beclometasone 200micrograms/dose dry powder inhaler (orion pharma (uk)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17654</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pulmicort ls 50microgram refill canister (astrazeneca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4545</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flixotide 250microgram/actuation inhalation powder (allen &amp; hanburys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1412</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becloforte 400microgram disks with diskhaler (glaxosmithkline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3363</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fluticasone propionate 500microgram inhalation powder blisters</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36462</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becodisks 200microgram (mawdsley-brooks &amp; company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56471</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qvar 50micrograms/dose easi-breathe inhaler (teva uk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14294</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budesonide 200micrograms/actuation refill canister</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3570</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fluticasone propionate 50micrograms/dose dry powder inhaler</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9164</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easyhaler budesonide 200micrograms/dose dry powder inhaler (orion pharma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27188</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pulmicort 100micrograms/dose inhaler cfc free (astrazeneca uk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39099</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flixotide accuhaler 100 100microgram/inhalation inhalation powder (allen &amp; hanburys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4926</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budesonide 400micrograms/dose dry powder inhaler</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1642</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beclometasone 250microgram/actuation inhalation powder (neo laboratories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34859</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budesonide 200micrograms/actuation breath actuated powder inhaler</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16054</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pulmicort 100 turbohaler (astrazeneca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960</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qvar 100 autohaler (de pharmaceuticals)</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51480</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fluticasone 500microgram disc</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7891</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becodisks 400microgram (waymade healthcare plc)</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56462</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fluticasone 250microgram disc</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7638</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beclometasone 100 micrograms/actuation vortex inhaler</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15706</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fluticasone prop disk refill</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27915</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lastRenderedPageBreak/>
              <w:t>beclometasone 200micrograms disc</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2893</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fluticasone propionate 100micrograms/dose dry powder inhaler</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5885</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budesonide 3mg gastro-resistant modified-release capsules</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3898</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qvar 50 inhaler (teva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3546</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beclometasone 250micrograms/dose inhaler (teva uk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30210</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becloforte easi-breathe 250microgram/actuation pressurised inhalation (allen &amp; hanburys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1552</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fluticasone 250micrograms/dose inhaler cfc free</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5822</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becodisks 200microgram with diskhaler (glaxosmithkline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35430</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flixotide 250micrograms/dose accuhaler (glaxosmithkline uk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42994</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flixotide 50microgram disks with diskhaler (glaxosmithkline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36290</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spacehaler bdp 100microgram/actuation spacehaler (celltech pharma europe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24898</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fluticasone propionate 500microgram inhalation powder blisters with device</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35700</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pulmicort complete 50 mcg inh</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3188</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budesonide 100micrograms/dose dry powder inhaler</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7788</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beclometasone 200microgram inhalation powder blisters with device</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35293</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pulmicort refil 50 mg inh</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8251</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beclometasone 200micrograms/dose inhaler</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1259</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budenofalk 3mg gastro-resistant capsules (dr. falk pharma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16525</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pulmicort ls 50micrograms/dose inhaler (astrazeneca uk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1680</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mometasone 400micrograms/dose dry powder inhaler</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10254</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pulmicort refill</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20812</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bdp 250microgram/actuation spacehaler (celltech pharma europe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14524</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beclazone 50 inhaler (teva uk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2992</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fluticasone 50microgram disc</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7602</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flixotide 2mg/2ml nebules (glaxosmithkline uk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16305</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pulvinal beclometasone dipropionate 100micrograms/dose dry powder inhaler (chiesi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14757</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budesonide 200micrograms/dose inhaler</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909</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pulmicort 0.5mg respules (astrazeneca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1959</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aerobec 100 autohaler (meda pharmaceuticals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1861</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mometasone 200micrograms/dose dry powder inhaler</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16018</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budelin novolizer 200micrograms/dose inhalation powder (meda pharmaceuticals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35631</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pulmicort 200 turbohaler (dowelhurst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60937</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pulmicort 0.5mg respules (waymade healthcare plc)</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50037</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asmabec 50microgram/actuation spacehaler (celltech pharma europe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19389</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fluticasone propionate 500micrograms/dose dry powder inhaler</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2282</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qvar 100micrograms/dose easi-breathe inhaler (teva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18848</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flixotide accuhaler 500 500microgram/inhalation inhalation powder (allen &amp; hanburys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2440</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novolizer budesonide 200microgram/actuation pressurised inhalation (meda pharmaceuticals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23741</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flixotide diskhaler-community pack 100 mcg</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3988</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budelin novolizer 200micrograms/dose inhalation powder refill (meda pharmaceuticals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35724</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entocort cr 3mg capsules (astrazeneca uk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1380</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budenofalk 9mg gastro-resistant granules sachets (dr. falk pharma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56144</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lang w:val="fr-FR"/>
              </w:rPr>
            </w:pPr>
            <w:r w:rsidRPr="005834D3">
              <w:rPr>
                <w:rFonts w:ascii="Calibri" w:hAnsi="Calibri"/>
                <w:b w:val="0"/>
                <w:color w:val="000000"/>
                <w:lang w:val="fr-FR"/>
              </w:rPr>
              <w:t>flixotide 50micrograms/dose accuhaler (sigma pharmaceuticals plc)</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56475</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lastRenderedPageBreak/>
              <w:t>pulmicort 200micrograms/dose inhaler cfc free (astrazeneca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40057</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becloforte 250micrograms/dose inhaler (glaxosmithkline uk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1236</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beclometasone 400micrograms/dose dry powder inhaler</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11497</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becodisks 100microgram (glaxosmithkline uk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35408</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beclometasone 250microgram/actuation inhalation powder (actavis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34315</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pulmicort 200 turbohaler (astrazeneca uk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956</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bdp 50microgram/actuation spacehaler (celltech pharma europe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18394</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beclometasone 200micrograms/dose inhaler cfc free</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14321</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beclometasone 50micrograms/dose breath actuated inhaler cfc free</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11732</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lang w:val="fr-FR"/>
              </w:rPr>
            </w:pPr>
            <w:r w:rsidRPr="005834D3">
              <w:rPr>
                <w:rFonts w:ascii="Calibri" w:hAnsi="Calibri"/>
                <w:b w:val="0"/>
                <w:color w:val="000000"/>
                <w:lang w:val="fr-FR"/>
              </w:rPr>
              <w:t>filair forte 250micrograms/dose inhaler (meda pharmaceuticals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3993</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flixotide 100microgram disks with diskhaler (glaxosmithkline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35225</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beclometasone 200micrograms/dose dry powder inhaler</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5521</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asmabec 100 clickhaler (focus pharmaceuticals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4601</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clenil modulite 250micrograms/dose inhaler (chiesi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16148</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becloforte 400microgram disks (glaxosmithkline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2892</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becodisks 200microgram (glaxosmithkline uk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35071</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budesonide 200micrograms/dose dry powder inhalation cartridge with device</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35510</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asmabec 250 clickhaler (focus pharmaceuticals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14567</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pulmicort 200 turbohaler (waymade healthcare plc)</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56498</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betamethasone valerate</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24660</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budesonide 9mg gastro-resistant granules sachets</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51997</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beclometasone 100micrograms/dose breath actuated inhaler</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1734</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flixotide 100microgram disks (glaxosmithkline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36090</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fluticasone 125micrograms/dose inhaler cfc free</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5975</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beclometasone 250micrograms/actuation inhaler and compact spacer</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19401</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beclazone 100 easi-breathe inhaler (teva uk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895</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flixotide 250micrograms/dose evohaler (waymade healthcare plc)</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51815</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fluticasone propionate 50microgram inhalation powder blisters with device</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36021</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beclometasons 50 micrograms/actuation vortex inhaler</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11198</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qvar 100 inhaler (de pharmaceuticals)</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50287</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beclometasone 50microgram/actuation inhalation powder (neo laboratories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34428</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beclometasone 100micrograms/dose inhaler (teva uk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26063</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budesonide 200micrograms/dose dry powder inhalation cartridge</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35602</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beclometasone 50microgram/actuation pressurised inhalation (approved prescription services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30238</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budesonide 400micrograms/actuation inhaler</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14700</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beclometasone 100micrograms/dose inhaler</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38</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beclazone 100microgram/actuation inhalation powder (actavis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13815</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budesonide 50micrograms/actuation refill canister</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947</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budesonide 400microgram inhalation powder capsules</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10321</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flixotide 500microgram disc (allen &amp; hanburys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1426</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beclometasone 100micrograms/actuation extrafine particle cfc free inhaler</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3150</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beclometasone 200microgram inhalation powder blisters</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35113</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flixotide 250microgram disc (allen &amp; hanburys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1424</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beclazone 250microgram/actuation inhalation powder (actavis uk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4803</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qvar 50micrograms/dose easi-breathe inhaler (sigma pharmaceuticals plc)</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56493</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clenil modulite 250micrograms/dose inhaler (waymade healthcare plc)</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61664</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fluticasone propionate 100microgram inhalation powder blisters</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35772</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lastRenderedPageBreak/>
              <w:t>becloforte integra 250microgram/actuation inhaler with compact spacer (glaxo laboratories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3119</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beclometasone 100micrograms/dose dry powder inhaler</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5522</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beclometasone 100micrograms/dose inhaler (a a h pharmaceuticals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25204</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betamethasone valerate 100micrograms/actuation inhaler</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7724</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filair 50 inhaler (meda pharmaceuticals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3743</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pulmicort 1mg respules (astrazeneca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1956</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flixotide 500micrograms/dose accuhaler (waymade healthcare plc)</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56499</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pulmicort 200microgram refill canister (astrazeneca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2125</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fluticasone propionate 250microgram inhalation powder blisters with device</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36401</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fluticasone 50microgram/actuation pressurised inhalation</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4688</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bextasol inhalation powder (allen &amp; hanburys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3065</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becodisks 400microgram with diskhaler (glaxosmithkline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35118</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flixotide 50microgram/actuation inhalation powder (allen &amp; hanburys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1518</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flixotide 50micrograms/dose evohaler (glaxosmithkline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5309</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budesonide 9mg gastro-resistant granules sachets</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47225</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easyhaler budesonide 400micrograms/dose dry powder inhaler (orion pharma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30649</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beclometasone 100microgram inhalation powder blisters with device</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35580</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beclometasone 400micrograms/actuation inhaler</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41412</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spacehaler bdp 250microgram/actuation spacehaler (celltech pharma europe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20825</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flixotide 250microgram disks with diskhaler (glaxosmithkline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35461</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flixotide 50micrograms/dose accuhaler (glaxosmithkline uk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42985</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beclometasone 100micrograms/dose breath actuated inhaler cfc free</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9921</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lang w:val="fr-FR"/>
              </w:rPr>
            </w:pPr>
            <w:r w:rsidRPr="005834D3">
              <w:rPr>
                <w:rFonts w:ascii="Calibri" w:hAnsi="Calibri"/>
                <w:b w:val="0"/>
                <w:color w:val="000000"/>
                <w:lang w:val="fr-FR"/>
              </w:rPr>
              <w:t>flixotide 125micrograms/dose evohaler (de pharmaceuticals)</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56474</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flixotide 50microgram disks (glaxosmithkline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35986</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betnelan 500microgram tablets (focus pharmaceuticals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11149</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beclazone 250 easi-breathe inhaler (teva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1243</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beclometasone 50micrograms/dose inhaler (generics (uk)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31774</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flixotide 100micrograms/dose accuhaler (waymade healthcare plc)</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56477</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beclometasone 250micrograms/dose breath actuated inhaler</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2600</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clenil modulite 200micrograms/dose inhaler (chiesi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16151</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beclazone 100 inhaler (teva uk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1100</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becodisks 400microgram disc (allen &amp; hanburys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1951</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fluticasone propionate 250micrograms/dose dry powder inhaler</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7948</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beclometasone 100micrograms/dose inhaler (generics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21482</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asmabec 100microgram/actuation spacehaler (celltech pharma europe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9477</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beclometasone 100microgram/actuation pressurised inhalation (approved prescription services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27679</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beclometasone 100microgram inhalation powder blisters</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35652</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beclometasone 200 cyclocaps (teva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46157</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flixotide 250micrograms/dose accuhaler (waymade healthcare plc)</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56484</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pulmicort complete 200 mcg inh</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3442</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spacehaler bdp 50microgram/actuation spacehaler (celltech pharma europe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28761</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beclometasone 50micrograms/dose dry powder inhaler</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5992</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pulmicort 200microgram inhaler (astrazeneca uk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454</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qvar 50 autohaler (teva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3220</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budesonide 200microgram inhalation powder capsules</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18537</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flixotide 125micrograms/dose evohaler (dowelhurst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57555</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lastRenderedPageBreak/>
              <w:t>qvar 100micrograms/dose easi-breathe inhaler (sigma pharmaceuticals plc)</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48709</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beclometasone 50micrograms/dose inhaler cfc free</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16584</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flixotide 500microgram disks with diskhaler (glaxosmithkline uk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35392</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tiotropium bromide 18microgram inhalation powder capsules with device</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35014</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robinul 1mg tablet (idis world medicines)</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6474</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spiriva 18microgram inhalation powder capsules with handihaler (de pharmaceuticals)</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50577</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tiotropium bromide 18microgram inhalation powder capsules</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35011</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aclidinium bromide 375micrograms/dose dry powder inhaler</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49227</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spiriva 18microgram inhalation powder capsules with handihaler (waymade healthcare plc)</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50103</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robinul 2mg tablet (wyeth pharmaceuticals)</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7908</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spiriva 18microgram inhalation powder capsules with handihaler (sigma pharmaceuticals plc)</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59638</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spiriva 18microgram inhalation powder capsules (mawdsley-brooks &amp; company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51967</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seebri breezhaler 44microgram inhalation powder capsules with device (novartis pharmaceuticals uk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53982</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spiriva 18 microgram capsule (boehringer ingelheim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6050</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glycopyrronium bromide 2mg tablets</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7597</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eklira 322micrograms/dose genuair (almirall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49228</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glycopyrronium bromide 200micrograms/5ml oral suspension</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59173</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tiotropium bromide 2.5micrograms/dose solution for inhalation cartridge with device cfc free</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36864</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glycopyrronium bromide 500micrograms/5ml oral solution</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55911</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spiriva 18microgram inhalation powder capsules with handihaler (boehringer ingelheim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34995</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spiriva 18microgram inhalation powder capsules (boehringer ingelheim ltd)</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35000</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glycopyrronium bromide 1mg/5ml oral solution</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29138</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glycopyrronium bromide 1mg/5ml oral suspension</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47269</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glycopyrronium bromide 600micrograms/5ml oral suspension</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54151</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glycopyrronium bromide 500micrograms/5ml oral suspension</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55795</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glycopyrronium bromide 2mg/5ml oral solution</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38377</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glycopyrronium bromide 1mg tablets</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7218</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spiriva respimat 2.5micrograms/dose solution for inhalation cartridge with device (boehringer ingelheim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36869</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umeclidinium bromide 65micrograms/dose dry powder inhaler</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62109</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spiriva 18microgram inhalation powder capsules (sigma pharmaceuticals plc)</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50292</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glycopyrronium bromide 5mg/5ml oral suspension</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55794</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glycopyrronium bromide 5mg/5ml oral solution</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50047</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glycopyrronium bromide 200micrograms/5ml oral solution</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56262</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incruse ellipta 55micrograms/dose dry powder inhaler (glaxosmithkline uk ltd)</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61879</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glycopyrronium bromide 55microgram inhalation powder capsules with device</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53761</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tiotropium 18 microgram capsule</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746</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glycopyrronium bromide 2mg/5ml oral suspension</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38538</w:t>
            </w:r>
          </w:p>
        </w:tc>
      </w:tr>
      <w:tr w:rsidR="000C0A41" w:rsidTr="005834D3">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glycopyrronium bromide 5mg/5ml oral solution</w:t>
            </w:r>
          </w:p>
        </w:tc>
        <w:tc>
          <w:tcPr>
            <w:tcW w:w="1224" w:type="dxa"/>
            <w:vAlign w:val="bottom"/>
          </w:tcPr>
          <w:p w:rsidR="000C0A41" w:rsidRDefault="000C0A41" w:rsidP="00BD30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46214</w:t>
            </w:r>
          </w:p>
        </w:tc>
      </w:tr>
      <w:tr w:rsidR="000C0A41" w:rsidTr="0058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vAlign w:val="bottom"/>
          </w:tcPr>
          <w:p w:rsidR="000C0A41" w:rsidRPr="005834D3" w:rsidRDefault="000C0A41" w:rsidP="00BD30B6">
            <w:pPr>
              <w:rPr>
                <w:b w:val="0"/>
              </w:rPr>
            </w:pPr>
            <w:r w:rsidRPr="005834D3">
              <w:rPr>
                <w:rFonts w:ascii="Calibri" w:hAnsi="Calibri"/>
                <w:b w:val="0"/>
                <w:color w:val="000000"/>
              </w:rPr>
              <w:t>spiriva respimat 2.5micrograms/dose solution for inhalation cartridge with device (waymade healthcare plc)</w:t>
            </w:r>
          </w:p>
        </w:tc>
        <w:tc>
          <w:tcPr>
            <w:tcW w:w="1224" w:type="dxa"/>
            <w:vAlign w:val="bottom"/>
          </w:tcPr>
          <w:p w:rsidR="000C0A41" w:rsidRDefault="000C0A41" w:rsidP="00BD30B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61582</w:t>
            </w:r>
          </w:p>
        </w:tc>
      </w:tr>
    </w:tbl>
    <w:p w:rsidR="000C0A41" w:rsidRPr="00FD22A9" w:rsidRDefault="000C0A41" w:rsidP="008E3260">
      <w:pPr>
        <w:pStyle w:val="Caption"/>
        <w:rPr>
          <w:rFonts w:eastAsia="Times New Roman" w:cs="Calibri"/>
          <w:color w:val="000000"/>
          <w:lang w:eastAsia="en-GB"/>
        </w:rPr>
      </w:pPr>
    </w:p>
    <w:p w:rsidR="00C32512" w:rsidRDefault="00653450"/>
    <w:sectPr w:rsidR="00C32512" w:rsidSect="0099103D">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0A41" w:rsidRDefault="000C0A41" w:rsidP="000C0A41">
      <w:r>
        <w:separator/>
      </w:r>
    </w:p>
  </w:endnote>
  <w:endnote w:type="continuationSeparator" w:id="0">
    <w:p w:rsidR="000C0A41" w:rsidRDefault="000C0A41" w:rsidP="000C0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A41" w:rsidRDefault="000C0A41">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1</w:t>
    </w:r>
    <w:r>
      <w:rPr>
        <w:caps/>
        <w:noProof/>
        <w:color w:val="5B9BD5" w:themeColor="accent1"/>
      </w:rPr>
      <w:fldChar w:fldCharType="end"/>
    </w:r>
  </w:p>
  <w:p w:rsidR="000C0A41" w:rsidRDefault="000C0A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2447191"/>
      <w:docPartObj>
        <w:docPartGallery w:val="Page Numbers (Bottom of Page)"/>
        <w:docPartUnique/>
      </w:docPartObj>
    </w:sdtPr>
    <w:sdtEndPr>
      <w:rPr>
        <w:noProof/>
      </w:rPr>
    </w:sdtEndPr>
    <w:sdtContent>
      <w:p w:rsidR="000C0A41" w:rsidRDefault="000C0A41">
        <w:pPr>
          <w:pStyle w:val="Footer"/>
          <w:jc w:val="center"/>
        </w:pPr>
        <w:r>
          <w:fldChar w:fldCharType="begin"/>
        </w:r>
        <w:r>
          <w:instrText xml:space="preserve"> PAGE   \* MERGEFORMAT </w:instrText>
        </w:r>
        <w:r>
          <w:fldChar w:fldCharType="separate"/>
        </w:r>
        <w:r w:rsidR="00653450">
          <w:rPr>
            <w:noProof/>
          </w:rPr>
          <w:t>53</w:t>
        </w:r>
        <w:r>
          <w:rPr>
            <w:noProof/>
          </w:rPr>
          <w:fldChar w:fldCharType="end"/>
        </w:r>
      </w:p>
    </w:sdtContent>
  </w:sdt>
  <w:p w:rsidR="000C0A41" w:rsidRDefault="000C0A4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0A41" w:rsidRDefault="000C0A41" w:rsidP="000C0A41">
      <w:r>
        <w:separator/>
      </w:r>
    </w:p>
  </w:footnote>
  <w:footnote w:type="continuationSeparator" w:id="0">
    <w:p w:rsidR="000C0A41" w:rsidRDefault="000C0A41" w:rsidP="000C0A41">
      <w:r>
        <w:continuationSeparator/>
      </w:r>
    </w:p>
  </w:footnote>
  <w:footnote w:id="1">
    <w:p w:rsidR="000C0A41" w:rsidRDefault="000C0A41" w:rsidP="002349ED">
      <w:pPr>
        <w:pStyle w:val="FootnoteText"/>
      </w:pPr>
      <w:r>
        <w:rPr>
          <w:rStyle w:val="FootnoteReference"/>
        </w:rPr>
        <w:footnoteRef/>
      </w:r>
      <w:r>
        <w:t xml:space="preserve"> </w:t>
      </w:r>
      <w:r w:rsidRPr="00BB27AE">
        <w:t>values in brackets indicate age-gender specific prevalence rates (%) of COPD</w:t>
      </w:r>
    </w:p>
  </w:footnote>
  <w:footnote w:id="2">
    <w:p w:rsidR="000C0A41" w:rsidRDefault="000C0A41" w:rsidP="005834D3">
      <w:pPr>
        <w:pStyle w:val="FootnoteText"/>
      </w:pPr>
      <w:r>
        <w:rPr>
          <w:rStyle w:val="FootnoteReference"/>
        </w:rPr>
        <w:footnoteRef/>
      </w:r>
      <w:r>
        <w:t xml:space="preserve"> </w:t>
      </w:r>
      <w:r w:rsidRPr="008D428D">
        <w:t>Codes are classified as (1) doctor diagnoses,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A41" w:rsidRPr="00667DE7" w:rsidRDefault="000C0A41" w:rsidP="004C7C18">
    <w:pPr>
      <w:pStyle w:val="Header"/>
      <w:jc w:val="center"/>
      <w:rPr>
        <w:b/>
        <w:i/>
        <w:sz w:val="24"/>
        <w:szCs w:val="24"/>
        <w:lang w:val="fr-FR"/>
      </w:rPr>
    </w:pPr>
    <w:r w:rsidRPr="00F470AC">
      <w:rPr>
        <w:b/>
        <w:i/>
        <w:noProof/>
        <w:lang w:eastAsia="en-GB"/>
      </w:rPr>
      <mc:AlternateContent>
        <mc:Choice Requires="wps">
          <w:drawing>
            <wp:anchor distT="45720" distB="45720" distL="114300" distR="114300" simplePos="0" relativeHeight="251659264" behindDoc="1" locked="0" layoutInCell="1" allowOverlap="1" wp14:anchorId="2951B198" wp14:editId="3E16E178">
              <wp:simplePos x="0" y="0"/>
              <wp:positionH relativeFrom="margin">
                <wp:posOffset>1228725</wp:posOffset>
              </wp:positionH>
              <wp:positionV relativeFrom="paragraph">
                <wp:posOffset>3807460</wp:posOffset>
              </wp:positionV>
              <wp:extent cx="400050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404620"/>
                      </a:xfrm>
                      <a:prstGeom prst="rect">
                        <a:avLst/>
                      </a:prstGeom>
                      <a:solidFill>
                        <a:srgbClr val="FFFFFF"/>
                      </a:solidFill>
                      <a:ln w="9525">
                        <a:noFill/>
                        <a:miter lim="800000"/>
                        <a:headEnd/>
                        <a:tailEnd/>
                      </a:ln>
                    </wps:spPr>
                    <wps:txbx>
                      <w:txbxContent>
                        <w:p w:rsidR="000C0A41" w:rsidRPr="00AB05B7" w:rsidRDefault="000C0A41" w:rsidP="00667DE7">
                          <w:pPr>
                            <w:rPr>
                              <w:b/>
                              <w:color w:val="262626" w:themeColor="text1" w:themeTint="D9"/>
                              <w:sz w:val="56"/>
                              <w:szCs w:val="56"/>
                            </w:rPr>
                          </w:pPr>
                          <w:r w:rsidRPr="00AB05B7">
                            <w:rPr>
                              <w:b/>
                              <w:color w:val="262626" w:themeColor="text1" w:themeTint="D9"/>
                              <w:sz w:val="56"/>
                              <w:szCs w:val="56"/>
                            </w:rPr>
                            <w:t xml:space="preserve">DRAFT </w:t>
                          </w:r>
                          <w:r>
                            <w:rPr>
                              <w:b/>
                              <w:color w:val="262626" w:themeColor="text1" w:themeTint="D9"/>
                              <w:sz w:val="56"/>
                              <w:szCs w:val="56"/>
                            </w:rPr>
                            <w:fldChar w:fldCharType="begin"/>
                          </w:r>
                          <w:r>
                            <w:rPr>
                              <w:b/>
                              <w:color w:val="262626" w:themeColor="text1" w:themeTint="D9"/>
                              <w:sz w:val="56"/>
                              <w:szCs w:val="56"/>
                            </w:rPr>
                            <w:instrText xml:space="preserve"> DATE \@ "dd/MM/yyyy" </w:instrText>
                          </w:r>
                          <w:r>
                            <w:rPr>
                              <w:b/>
                              <w:color w:val="262626" w:themeColor="text1" w:themeTint="D9"/>
                              <w:sz w:val="56"/>
                              <w:szCs w:val="56"/>
                            </w:rPr>
                            <w:fldChar w:fldCharType="separate"/>
                          </w:r>
                          <w:r>
                            <w:rPr>
                              <w:b/>
                              <w:noProof/>
                              <w:color w:val="262626" w:themeColor="text1" w:themeTint="D9"/>
                              <w:sz w:val="56"/>
                              <w:szCs w:val="56"/>
                            </w:rPr>
                            <w:t>05/08/2016</w:t>
                          </w:r>
                          <w:r>
                            <w:rPr>
                              <w:b/>
                              <w:color w:val="262626" w:themeColor="text1" w:themeTint="D9"/>
                              <w:sz w:val="56"/>
                              <w:szCs w:val="56"/>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51B198" id="_x0000_t202" coordsize="21600,21600" o:spt="202" path="m,l,21600r21600,l21600,xe">
              <v:stroke joinstyle="miter"/>
              <v:path gradientshapeok="t" o:connecttype="rect"/>
            </v:shapetype>
            <v:shape id="Text Box 2" o:spid="_x0000_s1055" type="#_x0000_t202" style="position:absolute;left:0;text-align:left;margin-left:96.75pt;margin-top:299.8pt;width:315pt;height:110.6pt;z-index:-2516572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" stroked="f">
              <v:textbox style="mso-fit-shape-to-text:t">
                <w:txbxContent>
                  <w:p w:rsidR="000C0A41" w:rsidRPr="00AB05B7" w:rsidRDefault="000C0A41" w:rsidP="00667DE7">
                    <w:pPr>
                      <w:rPr>
                        <w:b/>
                        <w:color w:val="262626" w:themeColor="text1" w:themeTint="D9"/>
                        <w:sz w:val="56"/>
                        <w:szCs w:val="56"/>
                      </w:rPr>
                    </w:pPr>
                    <w:r w:rsidRPr="00AB05B7">
                      <w:rPr>
                        <w:b/>
                        <w:color w:val="262626" w:themeColor="text1" w:themeTint="D9"/>
                        <w:sz w:val="56"/>
                        <w:szCs w:val="56"/>
                      </w:rPr>
                      <w:t xml:space="preserve">DRAFT </w:t>
                    </w:r>
                    <w:r>
                      <w:rPr>
                        <w:b/>
                        <w:color w:val="262626" w:themeColor="text1" w:themeTint="D9"/>
                        <w:sz w:val="56"/>
                        <w:szCs w:val="56"/>
                      </w:rPr>
                      <w:fldChar w:fldCharType="begin"/>
                    </w:r>
                    <w:r>
                      <w:rPr>
                        <w:b/>
                        <w:color w:val="262626" w:themeColor="text1" w:themeTint="D9"/>
                        <w:sz w:val="56"/>
                        <w:szCs w:val="56"/>
                      </w:rPr>
                      <w:instrText xml:space="preserve"> DATE \@ "dd/MM/yyyy" </w:instrText>
                    </w:r>
                    <w:r>
                      <w:rPr>
                        <w:b/>
                        <w:color w:val="262626" w:themeColor="text1" w:themeTint="D9"/>
                        <w:sz w:val="56"/>
                        <w:szCs w:val="56"/>
                      </w:rPr>
                      <w:fldChar w:fldCharType="separate"/>
                    </w:r>
                    <w:r>
                      <w:rPr>
                        <w:b/>
                        <w:noProof/>
                        <w:color w:val="262626" w:themeColor="text1" w:themeTint="D9"/>
                        <w:sz w:val="56"/>
                        <w:szCs w:val="56"/>
                      </w:rPr>
                      <w:t>05/08/2016</w:t>
                    </w:r>
                    <w:r>
                      <w:rPr>
                        <w:b/>
                        <w:color w:val="262626" w:themeColor="text1" w:themeTint="D9"/>
                        <w:sz w:val="56"/>
                        <w:szCs w:val="56"/>
                      </w:rPr>
                      <w:fldChar w:fldCharType="end"/>
                    </w:r>
                  </w:p>
                </w:txbxContent>
              </v:textbox>
              <w10:wrap anchorx="margin"/>
            </v:shape>
          </w:pict>
        </mc:Fallback>
      </mc:AlternateContent>
    </w:r>
    <w:r w:rsidRPr="00667DE7">
      <w:rPr>
        <w:b/>
        <w:i/>
        <w:sz w:val="24"/>
        <w:szCs w:val="24"/>
        <w:lang w:val="fr-FR"/>
      </w:rPr>
      <w:t>COPD prevalence model 2016 Technical Document v</w:t>
    </w:r>
    <w:r>
      <w:rPr>
        <w:b/>
        <w:i/>
        <w:sz w:val="24"/>
        <w:szCs w:val="24"/>
        <w:lang w:val="fr-FR"/>
      </w:rPr>
      <w:t>1.1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A41" w:rsidRPr="009816FE" w:rsidRDefault="000C0A41" w:rsidP="000D0B59">
    <w:pPr>
      <w:pStyle w:val="Header"/>
      <w:jc w:val="center"/>
      <w:rPr>
        <w:b/>
        <w:i/>
        <w:lang w:val="fr-FR"/>
      </w:rPr>
    </w:pPr>
    <w:r>
      <w:rPr>
        <w:b/>
        <w:i/>
        <w:lang w:val="fr-FR"/>
      </w:rPr>
      <w:t xml:space="preserve">COPD </w:t>
    </w:r>
    <w:r w:rsidRPr="009816FE">
      <w:rPr>
        <w:b/>
        <w:i/>
        <w:lang w:val="fr-FR"/>
      </w:rPr>
      <w:t>prevalence modelling Technical Document v</w:t>
    </w:r>
    <w:r>
      <w:rPr>
        <w:b/>
        <w:i/>
        <w:lang w:val="fr-FR"/>
      </w:rPr>
      <w:t>1.2</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A41" w:rsidRPr="002C3747" w:rsidRDefault="000C0A41" w:rsidP="007C7AF0">
    <w:pPr>
      <w:pStyle w:val="Header"/>
      <w:jc w:val="center"/>
      <w:rPr>
        <w:b/>
        <w:i/>
        <w:lang w:val="fr-FR"/>
      </w:rPr>
    </w:pPr>
    <w:r w:rsidRPr="00F470AC">
      <w:rPr>
        <w:b/>
        <w:i/>
        <w:noProof/>
        <w:lang w:eastAsia="en-GB"/>
      </w:rPr>
      <mc:AlternateContent>
        <mc:Choice Requires="wps">
          <w:drawing>
            <wp:anchor distT="45720" distB="45720" distL="114300" distR="114300" simplePos="0" relativeHeight="251660288" behindDoc="1" locked="0" layoutInCell="1" allowOverlap="1" wp14:anchorId="0ED49CDA" wp14:editId="0D920C06">
              <wp:simplePos x="0" y="0"/>
              <wp:positionH relativeFrom="margin">
                <wp:posOffset>952500</wp:posOffset>
              </wp:positionH>
              <wp:positionV relativeFrom="paragraph">
                <wp:posOffset>4188460</wp:posOffset>
              </wp:positionV>
              <wp:extent cx="4000500" cy="1404620"/>
              <wp:effectExtent l="0" t="0" r="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404620"/>
                      </a:xfrm>
                      <a:prstGeom prst="rect">
                        <a:avLst/>
                      </a:prstGeom>
                      <a:solidFill>
                        <a:srgbClr val="FFFFFF"/>
                      </a:solidFill>
                      <a:ln w="9525">
                        <a:noFill/>
                        <a:miter lim="800000"/>
                        <a:headEnd/>
                        <a:tailEnd/>
                      </a:ln>
                    </wps:spPr>
                    <wps:txbx>
                      <w:txbxContent>
                        <w:p w:rsidR="000C0A41" w:rsidRPr="00AB05B7" w:rsidRDefault="000C0A41" w:rsidP="007C7AF0">
                          <w:pPr>
                            <w:rPr>
                              <w:b/>
                              <w:color w:val="262626" w:themeColor="text1" w:themeTint="D9"/>
                              <w:sz w:val="56"/>
                              <w:szCs w:val="56"/>
                            </w:rPr>
                          </w:pPr>
                          <w:r w:rsidRPr="00AB05B7">
                            <w:rPr>
                              <w:b/>
                              <w:color w:val="262626" w:themeColor="text1" w:themeTint="D9"/>
                              <w:sz w:val="56"/>
                              <w:szCs w:val="56"/>
                            </w:rPr>
                            <w:t xml:space="preserve">DRAFT </w:t>
                          </w:r>
                          <w:r>
                            <w:rPr>
                              <w:b/>
                              <w:color w:val="262626" w:themeColor="text1" w:themeTint="D9"/>
                              <w:sz w:val="56"/>
                              <w:szCs w:val="56"/>
                            </w:rPr>
                            <w:fldChar w:fldCharType="begin"/>
                          </w:r>
                          <w:r>
                            <w:rPr>
                              <w:b/>
                              <w:color w:val="262626" w:themeColor="text1" w:themeTint="D9"/>
                              <w:sz w:val="56"/>
                              <w:szCs w:val="56"/>
                            </w:rPr>
                            <w:instrText xml:space="preserve"> DATE \@ "dd/MM/yyyy" </w:instrText>
                          </w:r>
                          <w:r>
                            <w:rPr>
                              <w:b/>
                              <w:color w:val="262626" w:themeColor="text1" w:themeTint="D9"/>
                              <w:sz w:val="56"/>
                              <w:szCs w:val="56"/>
                            </w:rPr>
                            <w:fldChar w:fldCharType="separate"/>
                          </w:r>
                          <w:r>
                            <w:rPr>
                              <w:b/>
                              <w:noProof/>
                              <w:color w:val="262626" w:themeColor="text1" w:themeTint="D9"/>
                              <w:sz w:val="56"/>
                              <w:szCs w:val="56"/>
                            </w:rPr>
                            <w:t>05/08/2016</w:t>
                          </w:r>
                          <w:r>
                            <w:rPr>
                              <w:b/>
                              <w:color w:val="262626" w:themeColor="text1" w:themeTint="D9"/>
                              <w:sz w:val="56"/>
                              <w:szCs w:val="56"/>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D49CDA" id="_x0000_t202" coordsize="21600,21600" o:spt="202" path="m,l,21600r21600,l21600,xe">
              <v:stroke joinstyle="miter"/>
              <v:path gradientshapeok="t" o:connecttype="rect"/>
            </v:shapetype>
            <v:shape id="_x0000_s1056" type="#_x0000_t202" style="position:absolute;left:0;text-align:left;margin-left:75pt;margin-top:329.8pt;width:315pt;height:110.6pt;z-index:-2516561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" stroked="f">
              <v:textbox style="mso-fit-shape-to-text:t">
                <w:txbxContent>
                  <w:p w:rsidR="000C0A41" w:rsidRPr="00AB05B7" w:rsidRDefault="000C0A41" w:rsidP="007C7AF0">
                    <w:pPr>
                      <w:rPr>
                        <w:b/>
                        <w:color w:val="262626" w:themeColor="text1" w:themeTint="D9"/>
                        <w:sz w:val="56"/>
                        <w:szCs w:val="56"/>
                      </w:rPr>
                    </w:pPr>
                    <w:r w:rsidRPr="00AB05B7">
                      <w:rPr>
                        <w:b/>
                        <w:color w:val="262626" w:themeColor="text1" w:themeTint="D9"/>
                        <w:sz w:val="56"/>
                        <w:szCs w:val="56"/>
                      </w:rPr>
                      <w:t xml:space="preserve">DRAFT </w:t>
                    </w:r>
                    <w:r>
                      <w:rPr>
                        <w:b/>
                        <w:color w:val="262626" w:themeColor="text1" w:themeTint="D9"/>
                        <w:sz w:val="56"/>
                        <w:szCs w:val="56"/>
                      </w:rPr>
                      <w:fldChar w:fldCharType="begin"/>
                    </w:r>
                    <w:r>
                      <w:rPr>
                        <w:b/>
                        <w:color w:val="262626" w:themeColor="text1" w:themeTint="D9"/>
                        <w:sz w:val="56"/>
                        <w:szCs w:val="56"/>
                      </w:rPr>
                      <w:instrText xml:space="preserve"> DATE \@ "dd/MM/yyyy" </w:instrText>
                    </w:r>
                    <w:r>
                      <w:rPr>
                        <w:b/>
                        <w:color w:val="262626" w:themeColor="text1" w:themeTint="D9"/>
                        <w:sz w:val="56"/>
                        <w:szCs w:val="56"/>
                      </w:rPr>
                      <w:fldChar w:fldCharType="separate"/>
                    </w:r>
                    <w:r>
                      <w:rPr>
                        <w:b/>
                        <w:noProof/>
                        <w:color w:val="262626" w:themeColor="text1" w:themeTint="D9"/>
                        <w:sz w:val="56"/>
                        <w:szCs w:val="56"/>
                      </w:rPr>
                      <w:t>05/08/2016</w:t>
                    </w:r>
                    <w:r>
                      <w:rPr>
                        <w:b/>
                        <w:color w:val="262626" w:themeColor="text1" w:themeTint="D9"/>
                        <w:sz w:val="56"/>
                        <w:szCs w:val="56"/>
                      </w:rPr>
                      <w:fldChar w:fldCharType="end"/>
                    </w:r>
                  </w:p>
                </w:txbxContent>
              </v:textbox>
              <w10:wrap anchorx="margin"/>
            </v:shape>
          </w:pict>
        </mc:Fallback>
      </mc:AlternateContent>
    </w:r>
    <w:r>
      <w:rPr>
        <w:b/>
        <w:i/>
      </w:rPr>
      <w:t>Peripheral arterial disease prevalence m</w:t>
    </w:r>
    <w:r w:rsidRPr="002C3747">
      <w:rPr>
        <w:b/>
        <w:i/>
        <w:lang w:val="fr-FR"/>
      </w:rPr>
      <w:t>odel 2016 Technical Document v</w:t>
    </w:r>
    <w:r>
      <w:rPr>
        <w:b/>
        <w:i/>
        <w:lang w:val="fr-FR"/>
      </w:rPr>
      <w:t>1.2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A7A0471C"/>
    <w:lvl w:ilvl="0">
      <w:start w:val="1"/>
      <w:numFmt w:val="decimal"/>
      <w:pStyle w:val="ListNumber"/>
      <w:lvlText w:val="%1."/>
      <w:lvlJc w:val="left"/>
      <w:pPr>
        <w:tabs>
          <w:tab w:val="num" w:pos="360"/>
        </w:tabs>
        <w:ind w:left="360" w:hanging="360"/>
      </w:pPr>
    </w:lvl>
  </w:abstractNum>
  <w:abstractNum w:abstractNumId="1" w15:restartNumberingAfterBreak="0">
    <w:nsid w:val="00D93101"/>
    <w:multiLevelType w:val="hybridMultilevel"/>
    <w:tmpl w:val="3FA4CC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8D7D15"/>
    <w:multiLevelType w:val="hybridMultilevel"/>
    <w:tmpl w:val="AD9A99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6D72508"/>
    <w:multiLevelType w:val="hybridMultilevel"/>
    <w:tmpl w:val="1CD2FE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51485B"/>
    <w:multiLevelType w:val="hybridMultilevel"/>
    <w:tmpl w:val="FDFE93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D645D99"/>
    <w:multiLevelType w:val="multilevel"/>
    <w:tmpl w:val="E3CA6010"/>
    <w:lvl w:ilvl="0">
      <w:start w:val="8"/>
      <w:numFmt w:val="decimal"/>
      <w:lvlText w:val="%1."/>
      <w:lvlJc w:val="left"/>
      <w:pPr>
        <w:ind w:left="720" w:hanging="360"/>
      </w:pPr>
      <w:rPr>
        <w:rFonts w:hint="default"/>
      </w:rPr>
    </w:lvl>
    <w:lvl w:ilvl="1">
      <w:start w:val="3"/>
      <w:numFmt w:val="decimal"/>
      <w:isLgl/>
      <w:lvlText w:val="%1.%2"/>
      <w:lvlJc w:val="left"/>
      <w:pPr>
        <w:ind w:left="1035" w:hanging="67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EED565F"/>
    <w:multiLevelType w:val="hybridMultilevel"/>
    <w:tmpl w:val="A962B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EB4728"/>
    <w:multiLevelType w:val="hybridMultilevel"/>
    <w:tmpl w:val="0D6E8CFC"/>
    <w:lvl w:ilvl="0" w:tplc="E1587DD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814841"/>
    <w:multiLevelType w:val="multilevel"/>
    <w:tmpl w:val="9EBE7F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463572B"/>
    <w:multiLevelType w:val="hybridMultilevel"/>
    <w:tmpl w:val="93AA8F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9D9625A"/>
    <w:multiLevelType w:val="hybridMultilevel"/>
    <w:tmpl w:val="782A875C"/>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048241D"/>
    <w:multiLevelType w:val="hybridMultilevel"/>
    <w:tmpl w:val="E176E9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0E77784"/>
    <w:multiLevelType w:val="multilevel"/>
    <w:tmpl w:val="8CFAE96C"/>
    <w:lvl w:ilvl="0">
      <w:start w:val="8"/>
      <w:numFmt w:val="decimal"/>
      <w:lvlText w:val="%1"/>
      <w:lvlJc w:val="left"/>
      <w:pPr>
        <w:ind w:left="360" w:hanging="360"/>
      </w:pPr>
      <w:rPr>
        <w:rFonts w:hint="default"/>
        <w:color w:val="auto"/>
      </w:rPr>
    </w:lvl>
    <w:lvl w:ilvl="1">
      <w:start w:val="5"/>
      <w:numFmt w:val="decimal"/>
      <w:lvlText w:val="%1.%2"/>
      <w:lvlJc w:val="left"/>
      <w:pPr>
        <w:ind w:left="1080" w:hanging="720"/>
      </w:pPr>
      <w:rPr>
        <w:rFonts w:hint="default"/>
        <w:color w:val="auto"/>
      </w:rPr>
    </w:lvl>
    <w:lvl w:ilvl="2">
      <w:start w:val="1"/>
      <w:numFmt w:val="decimal"/>
      <w:lvlText w:val="%1.%2.%3"/>
      <w:lvlJc w:val="left"/>
      <w:pPr>
        <w:ind w:left="1440" w:hanging="720"/>
      </w:pPr>
      <w:rPr>
        <w:rFonts w:hint="default"/>
        <w:color w:val="auto"/>
      </w:rPr>
    </w:lvl>
    <w:lvl w:ilvl="3">
      <w:start w:val="1"/>
      <w:numFmt w:val="decimal"/>
      <w:lvlText w:val="%1.%2.%3.%4"/>
      <w:lvlJc w:val="left"/>
      <w:pPr>
        <w:ind w:left="2160" w:hanging="108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3240" w:hanging="1440"/>
      </w:pPr>
      <w:rPr>
        <w:rFonts w:hint="default"/>
        <w:color w:val="auto"/>
      </w:rPr>
    </w:lvl>
    <w:lvl w:ilvl="6">
      <w:start w:val="1"/>
      <w:numFmt w:val="decimal"/>
      <w:lvlText w:val="%1.%2.%3.%4.%5.%6.%7"/>
      <w:lvlJc w:val="left"/>
      <w:pPr>
        <w:ind w:left="3960" w:hanging="1800"/>
      </w:pPr>
      <w:rPr>
        <w:rFonts w:hint="default"/>
        <w:color w:val="auto"/>
      </w:rPr>
    </w:lvl>
    <w:lvl w:ilvl="7">
      <w:start w:val="1"/>
      <w:numFmt w:val="decimal"/>
      <w:lvlText w:val="%1.%2.%3.%4.%5.%6.%7.%8"/>
      <w:lvlJc w:val="left"/>
      <w:pPr>
        <w:ind w:left="4320" w:hanging="1800"/>
      </w:pPr>
      <w:rPr>
        <w:rFonts w:hint="default"/>
        <w:color w:val="auto"/>
      </w:rPr>
    </w:lvl>
    <w:lvl w:ilvl="8">
      <w:start w:val="1"/>
      <w:numFmt w:val="decimal"/>
      <w:lvlText w:val="%1.%2.%3.%4.%5.%6.%7.%8.%9"/>
      <w:lvlJc w:val="left"/>
      <w:pPr>
        <w:ind w:left="5040" w:hanging="2160"/>
      </w:pPr>
      <w:rPr>
        <w:rFonts w:hint="default"/>
        <w:color w:val="auto"/>
      </w:rPr>
    </w:lvl>
  </w:abstractNum>
  <w:abstractNum w:abstractNumId="13" w15:restartNumberingAfterBreak="0">
    <w:nsid w:val="2262475A"/>
    <w:multiLevelType w:val="hybridMultilevel"/>
    <w:tmpl w:val="3354895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2AD0990"/>
    <w:multiLevelType w:val="hybridMultilevel"/>
    <w:tmpl w:val="E3A485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49A7207"/>
    <w:multiLevelType w:val="multilevel"/>
    <w:tmpl w:val="08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25FD031F"/>
    <w:multiLevelType w:val="hybridMultilevel"/>
    <w:tmpl w:val="F60EF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6541172"/>
    <w:multiLevelType w:val="hybridMultilevel"/>
    <w:tmpl w:val="070808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2DA72251"/>
    <w:multiLevelType w:val="multilevel"/>
    <w:tmpl w:val="E354C0D4"/>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tabs>
          <w:tab w:val="num" w:pos="1800"/>
        </w:tabs>
        <w:ind w:left="1800" w:hanging="720"/>
      </w:pPr>
      <w:rPr>
        <w:rFonts w:hint="default"/>
      </w:rPr>
    </w:lvl>
    <w:lvl w:ilvl="2">
      <w:start w:val="1"/>
      <w:numFmt w:val="bullet"/>
      <w:lvlText w:val="-"/>
      <w:lvlJc w:val="left"/>
      <w:pPr>
        <w:tabs>
          <w:tab w:val="num" w:pos="2160"/>
        </w:tabs>
        <w:ind w:left="2160" w:hanging="360"/>
      </w:pPr>
      <w:rPr>
        <w:rFonts w:ascii="Arial" w:eastAsia="Times New Roman" w:hAnsi="Arial" w:cs="Arial"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0306937"/>
    <w:multiLevelType w:val="hybridMultilevel"/>
    <w:tmpl w:val="5FF6C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2EE1F0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C944485"/>
    <w:multiLevelType w:val="multilevel"/>
    <w:tmpl w:val="32C040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3EE23381"/>
    <w:multiLevelType w:val="hybridMultilevel"/>
    <w:tmpl w:val="23F60C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4D4217F7"/>
    <w:multiLevelType w:val="hybridMultilevel"/>
    <w:tmpl w:val="2CFC2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1974888"/>
    <w:multiLevelType w:val="hybridMultilevel"/>
    <w:tmpl w:val="8CC24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977687E"/>
    <w:multiLevelType w:val="hybridMultilevel"/>
    <w:tmpl w:val="0DD4E5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5ED30DDA"/>
    <w:multiLevelType w:val="hybridMultilevel"/>
    <w:tmpl w:val="7DCED65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602D703B"/>
    <w:multiLevelType w:val="multilevel"/>
    <w:tmpl w:val="97AE9400"/>
    <w:lvl w:ilvl="0">
      <w:start w:val="9"/>
      <w:numFmt w:val="decimal"/>
      <w:lvlText w:val="%1"/>
      <w:lvlJc w:val="left"/>
      <w:pPr>
        <w:ind w:left="360" w:hanging="360"/>
      </w:pPr>
      <w:rPr>
        <w:rFonts w:hint="default"/>
        <w:color w:val="auto"/>
      </w:rPr>
    </w:lvl>
    <w:lvl w:ilvl="1">
      <w:start w:val="7"/>
      <w:numFmt w:val="decimal"/>
      <w:lvlText w:val="%1.%2"/>
      <w:lvlJc w:val="left"/>
      <w:pPr>
        <w:ind w:left="1080" w:hanging="720"/>
      </w:pPr>
      <w:rPr>
        <w:rFonts w:hint="default"/>
        <w:color w:val="auto"/>
      </w:rPr>
    </w:lvl>
    <w:lvl w:ilvl="2">
      <w:start w:val="1"/>
      <w:numFmt w:val="decimal"/>
      <w:lvlText w:val="%1.%2.%3"/>
      <w:lvlJc w:val="left"/>
      <w:pPr>
        <w:ind w:left="1440" w:hanging="720"/>
      </w:pPr>
      <w:rPr>
        <w:rFonts w:hint="default"/>
        <w:color w:val="auto"/>
      </w:rPr>
    </w:lvl>
    <w:lvl w:ilvl="3">
      <w:start w:val="1"/>
      <w:numFmt w:val="decimal"/>
      <w:lvlText w:val="%1.%2.%3.%4"/>
      <w:lvlJc w:val="left"/>
      <w:pPr>
        <w:ind w:left="2160" w:hanging="108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3240" w:hanging="1440"/>
      </w:pPr>
      <w:rPr>
        <w:rFonts w:hint="default"/>
        <w:color w:val="auto"/>
      </w:rPr>
    </w:lvl>
    <w:lvl w:ilvl="6">
      <w:start w:val="1"/>
      <w:numFmt w:val="decimal"/>
      <w:lvlText w:val="%1.%2.%3.%4.%5.%6.%7"/>
      <w:lvlJc w:val="left"/>
      <w:pPr>
        <w:ind w:left="3960" w:hanging="1800"/>
      </w:pPr>
      <w:rPr>
        <w:rFonts w:hint="default"/>
        <w:color w:val="auto"/>
      </w:rPr>
    </w:lvl>
    <w:lvl w:ilvl="7">
      <w:start w:val="1"/>
      <w:numFmt w:val="decimal"/>
      <w:lvlText w:val="%1.%2.%3.%4.%5.%6.%7.%8"/>
      <w:lvlJc w:val="left"/>
      <w:pPr>
        <w:ind w:left="4320" w:hanging="1800"/>
      </w:pPr>
      <w:rPr>
        <w:rFonts w:hint="default"/>
        <w:color w:val="auto"/>
      </w:rPr>
    </w:lvl>
    <w:lvl w:ilvl="8">
      <w:start w:val="1"/>
      <w:numFmt w:val="decimal"/>
      <w:lvlText w:val="%1.%2.%3.%4.%5.%6.%7.%8.%9"/>
      <w:lvlJc w:val="left"/>
      <w:pPr>
        <w:ind w:left="5040" w:hanging="2160"/>
      </w:pPr>
      <w:rPr>
        <w:rFonts w:hint="default"/>
        <w:color w:val="auto"/>
      </w:rPr>
    </w:lvl>
  </w:abstractNum>
  <w:abstractNum w:abstractNumId="28" w15:restartNumberingAfterBreak="0">
    <w:nsid w:val="644D35A6"/>
    <w:multiLevelType w:val="hybridMultilevel"/>
    <w:tmpl w:val="DE422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A4F1B88"/>
    <w:multiLevelType w:val="multilevel"/>
    <w:tmpl w:val="2C423640"/>
    <w:lvl w:ilvl="0">
      <w:start w:val="1"/>
      <w:numFmt w:val="decimal"/>
      <w:pStyle w:val="TOCHeadi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6C2E5DA5"/>
    <w:multiLevelType w:val="hybridMultilevel"/>
    <w:tmpl w:val="8A5C56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6DBD2E6C"/>
    <w:multiLevelType w:val="multilevel"/>
    <w:tmpl w:val="2BCEFAAC"/>
    <w:lvl w:ilvl="0">
      <w:start w:val="9"/>
      <w:numFmt w:val="decimal"/>
      <w:lvlText w:val="%1"/>
      <w:lvlJc w:val="left"/>
      <w:pPr>
        <w:ind w:left="570" w:hanging="570"/>
      </w:pPr>
      <w:rPr>
        <w:rFonts w:hint="default"/>
      </w:rPr>
    </w:lvl>
    <w:lvl w:ilvl="1">
      <w:start w:val="3"/>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1B33D8C"/>
    <w:multiLevelType w:val="hybridMultilevel"/>
    <w:tmpl w:val="AD505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45B0F82"/>
    <w:multiLevelType w:val="hybridMultilevel"/>
    <w:tmpl w:val="61347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A2C46FB"/>
    <w:multiLevelType w:val="multilevel"/>
    <w:tmpl w:val="B2EC9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7C557F"/>
    <w:multiLevelType w:val="hybridMultilevel"/>
    <w:tmpl w:val="3C40B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8"/>
  </w:num>
  <w:num w:numId="4">
    <w:abstractNumId w:val="24"/>
  </w:num>
  <w:num w:numId="5">
    <w:abstractNumId w:val="33"/>
  </w:num>
  <w:num w:numId="6">
    <w:abstractNumId w:val="32"/>
  </w:num>
  <w:num w:numId="7">
    <w:abstractNumId w:val="6"/>
  </w:num>
  <w:num w:numId="8">
    <w:abstractNumId w:val="19"/>
  </w:num>
  <w:num w:numId="9">
    <w:abstractNumId w:val="35"/>
  </w:num>
  <w:num w:numId="10">
    <w:abstractNumId w:val="26"/>
  </w:num>
  <w:num w:numId="11">
    <w:abstractNumId w:val="3"/>
  </w:num>
  <w:num w:numId="12">
    <w:abstractNumId w:val="5"/>
  </w:num>
  <w:num w:numId="13">
    <w:abstractNumId w:val="12"/>
  </w:num>
  <w:num w:numId="14">
    <w:abstractNumId w:val="15"/>
  </w:num>
  <w:num w:numId="15">
    <w:abstractNumId w:val="31"/>
  </w:num>
  <w:num w:numId="16">
    <w:abstractNumId w:val="27"/>
  </w:num>
  <w:num w:numId="17">
    <w:abstractNumId w:val="29"/>
  </w:num>
  <w:num w:numId="18">
    <w:abstractNumId w:val="2"/>
  </w:num>
  <w:num w:numId="19">
    <w:abstractNumId w:val="20"/>
  </w:num>
  <w:num w:numId="20">
    <w:abstractNumId w:val="9"/>
  </w:num>
  <w:num w:numId="21">
    <w:abstractNumId w:val="16"/>
  </w:num>
  <w:num w:numId="22">
    <w:abstractNumId w:val="23"/>
  </w:num>
  <w:num w:numId="23">
    <w:abstractNumId w:val="22"/>
  </w:num>
  <w:num w:numId="24">
    <w:abstractNumId w:val="0"/>
  </w:num>
  <w:num w:numId="25">
    <w:abstractNumId w:val="18"/>
  </w:num>
  <w:num w:numId="26">
    <w:abstractNumId w:val="21"/>
  </w:num>
  <w:num w:numId="27">
    <w:abstractNumId w:val="30"/>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num>
  <w:num w:numId="30">
    <w:abstractNumId w:val="17"/>
  </w:num>
  <w:num w:numId="31">
    <w:abstractNumId w:val="4"/>
  </w:num>
  <w:num w:numId="32">
    <w:abstractNumId w:val="34"/>
  </w:num>
  <w:num w:numId="33">
    <w:abstractNumId w:val="14"/>
  </w:num>
  <w:num w:numId="34">
    <w:abstractNumId w:val="13"/>
  </w:num>
  <w:num w:numId="35">
    <w:abstractNumId w:val="11"/>
  </w:num>
  <w:num w:numId="36">
    <w:abstractNumId w:val="10"/>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0C0A41"/>
    <w:rsid w:val="000C0A41"/>
    <w:rsid w:val="00653450"/>
    <w:rsid w:val="00CB3C70"/>
    <w:rsid w:val="00E914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81790"/>
  <w15:chartTrackingRefBased/>
  <w15:docId w15:val="{92411547-20C2-4908-9A6F-AAFA3E557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0A41"/>
    <w:pPr>
      <w:spacing w:after="0" w:line="240" w:lineRule="auto"/>
      <w:contextualSpacing/>
      <w:jc w:val="both"/>
    </w:pPr>
    <w:rPr>
      <w:rFonts w:eastAsiaTheme="minorEastAsia"/>
    </w:rPr>
  </w:style>
  <w:style w:type="paragraph" w:styleId="Heading1">
    <w:name w:val="heading 1"/>
    <w:basedOn w:val="Normal"/>
    <w:next w:val="Normal"/>
    <w:link w:val="Heading1Char"/>
    <w:uiPriority w:val="9"/>
    <w:qFormat/>
    <w:rsid w:val="000C0A41"/>
    <w:pPr>
      <w:keepNext/>
      <w:keepLines/>
      <w:spacing w:before="240" w:after="240"/>
      <w:ind w:left="432" w:hanging="432"/>
      <w:outlineLvl w:val="0"/>
    </w:pPr>
    <w:rPr>
      <w:rFonts w:ascii="Calibri" w:eastAsiaTheme="majorEastAsia" w:hAnsi="Calibri" w:cstheme="majorBidi"/>
      <w:b/>
      <w:bCs/>
      <w:color w:val="000000" w:themeColor="text1"/>
      <w:sz w:val="40"/>
      <w:szCs w:val="28"/>
    </w:rPr>
  </w:style>
  <w:style w:type="paragraph" w:styleId="Heading2">
    <w:name w:val="heading 2"/>
    <w:basedOn w:val="Normal"/>
    <w:next w:val="Normal"/>
    <w:link w:val="Heading2Char"/>
    <w:uiPriority w:val="9"/>
    <w:unhideWhenUsed/>
    <w:qFormat/>
    <w:rsid w:val="000C0A41"/>
    <w:pPr>
      <w:keepNext/>
      <w:keepLines/>
      <w:numPr>
        <w:ilvl w:val="1"/>
        <w:numId w:val="19"/>
      </w:numPr>
      <w:spacing w:before="240" w:after="240"/>
      <w:outlineLvl w:val="1"/>
    </w:pPr>
    <w:rPr>
      <w:rFonts w:ascii="Calibri" w:eastAsiaTheme="majorEastAsia" w:hAnsi="Calibri" w:cstheme="majorBidi"/>
      <w:b/>
      <w:bCs/>
      <w:color w:val="000000" w:themeColor="text1"/>
      <w:sz w:val="28"/>
      <w:szCs w:val="26"/>
    </w:rPr>
  </w:style>
  <w:style w:type="paragraph" w:styleId="Heading3">
    <w:name w:val="heading 3"/>
    <w:basedOn w:val="Normal"/>
    <w:next w:val="Normal"/>
    <w:link w:val="Heading3Char"/>
    <w:uiPriority w:val="9"/>
    <w:unhideWhenUsed/>
    <w:qFormat/>
    <w:rsid w:val="000C0A41"/>
    <w:pPr>
      <w:keepNext/>
      <w:keepLines/>
      <w:numPr>
        <w:ilvl w:val="2"/>
        <w:numId w:val="19"/>
      </w:numPr>
      <w:spacing w:before="120"/>
      <w:outlineLvl w:val="2"/>
    </w:pPr>
    <w:rPr>
      <w:rFonts w:ascii="Calibri" w:eastAsiaTheme="majorEastAsia" w:hAnsi="Calibri" w:cstheme="majorBidi"/>
      <w:b/>
      <w:color w:val="000000" w:themeColor="text1"/>
      <w:szCs w:val="24"/>
    </w:rPr>
  </w:style>
  <w:style w:type="paragraph" w:styleId="Heading4">
    <w:name w:val="heading 4"/>
    <w:basedOn w:val="Normal"/>
    <w:next w:val="Normal"/>
    <w:link w:val="Heading4Char"/>
    <w:uiPriority w:val="9"/>
    <w:unhideWhenUsed/>
    <w:qFormat/>
    <w:rsid w:val="000C0A41"/>
    <w:pPr>
      <w:keepNext/>
      <w:keepLines/>
      <w:numPr>
        <w:ilvl w:val="3"/>
        <w:numId w:val="19"/>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C0A41"/>
    <w:pPr>
      <w:keepNext/>
      <w:keepLines/>
      <w:numPr>
        <w:ilvl w:val="4"/>
        <w:numId w:val="19"/>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C0A41"/>
    <w:pPr>
      <w:keepNext/>
      <w:keepLines/>
      <w:numPr>
        <w:ilvl w:val="5"/>
        <w:numId w:val="19"/>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C0A41"/>
    <w:pPr>
      <w:keepNext/>
      <w:keepLines/>
      <w:numPr>
        <w:ilvl w:val="6"/>
        <w:numId w:val="19"/>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C0A41"/>
    <w:pPr>
      <w:keepNext/>
      <w:keepLines/>
      <w:numPr>
        <w:ilvl w:val="7"/>
        <w:numId w:val="1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0A41"/>
    <w:pPr>
      <w:keepNext/>
      <w:keepLines/>
      <w:numPr>
        <w:ilvl w:val="8"/>
        <w:numId w:val="1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rsid w:val="000C0A4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C0A41"/>
  </w:style>
  <w:style w:type="character" w:customStyle="1" w:styleId="Heading1Char">
    <w:name w:val="Heading 1 Char"/>
    <w:basedOn w:val="DefaultParagraphFont"/>
    <w:link w:val="Heading1"/>
    <w:uiPriority w:val="9"/>
    <w:rsid w:val="000C0A41"/>
    <w:rPr>
      <w:rFonts w:ascii="Calibri" w:eastAsiaTheme="majorEastAsia" w:hAnsi="Calibri" w:cstheme="majorBidi"/>
      <w:b/>
      <w:bCs/>
      <w:color w:val="000000" w:themeColor="text1"/>
      <w:sz w:val="40"/>
      <w:szCs w:val="28"/>
    </w:rPr>
  </w:style>
  <w:style w:type="character" w:customStyle="1" w:styleId="Heading2Char">
    <w:name w:val="Heading 2 Char"/>
    <w:basedOn w:val="DefaultParagraphFont"/>
    <w:link w:val="Heading2"/>
    <w:uiPriority w:val="9"/>
    <w:rsid w:val="000C0A41"/>
    <w:rPr>
      <w:rFonts w:ascii="Calibri" w:eastAsiaTheme="majorEastAsia" w:hAnsi="Calibri" w:cstheme="majorBidi"/>
      <w:b/>
      <w:bCs/>
      <w:color w:val="000000" w:themeColor="text1"/>
      <w:sz w:val="28"/>
      <w:szCs w:val="26"/>
    </w:rPr>
  </w:style>
  <w:style w:type="character" w:customStyle="1" w:styleId="Heading3Char">
    <w:name w:val="Heading 3 Char"/>
    <w:basedOn w:val="DefaultParagraphFont"/>
    <w:link w:val="Heading3"/>
    <w:uiPriority w:val="9"/>
    <w:rsid w:val="000C0A41"/>
    <w:rPr>
      <w:rFonts w:ascii="Calibri" w:eastAsiaTheme="majorEastAsia" w:hAnsi="Calibri" w:cstheme="majorBidi"/>
      <w:b/>
      <w:color w:val="000000" w:themeColor="text1"/>
      <w:szCs w:val="24"/>
    </w:rPr>
  </w:style>
  <w:style w:type="character" w:customStyle="1" w:styleId="Heading4Char">
    <w:name w:val="Heading 4 Char"/>
    <w:basedOn w:val="DefaultParagraphFont"/>
    <w:link w:val="Heading4"/>
    <w:uiPriority w:val="9"/>
    <w:rsid w:val="000C0A4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C0A4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C0A4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C0A4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C0A4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C0A41"/>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0C0A4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5">
    <w:name w:val="Medium Shading 1 Accent 5"/>
    <w:basedOn w:val="TableNormal"/>
    <w:uiPriority w:val="63"/>
    <w:rsid w:val="000C0A41"/>
    <w:pPr>
      <w:spacing w:after="0" w:line="240" w:lineRule="auto"/>
    </w:pPr>
    <w:rPr>
      <w:rFonts w:eastAsiaTheme="minorEastAsia"/>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0C0A41"/>
    <w:pPr>
      <w:ind w:left="720"/>
    </w:pPr>
  </w:style>
  <w:style w:type="character" w:styleId="Hyperlink">
    <w:name w:val="Hyperlink"/>
    <w:basedOn w:val="DefaultParagraphFont"/>
    <w:uiPriority w:val="99"/>
    <w:unhideWhenUsed/>
    <w:rsid w:val="000C0A41"/>
    <w:rPr>
      <w:color w:val="0563C1" w:themeColor="hyperlink"/>
      <w:u w:val="single"/>
    </w:rPr>
  </w:style>
  <w:style w:type="paragraph" w:styleId="Header">
    <w:name w:val="header"/>
    <w:basedOn w:val="Normal"/>
    <w:link w:val="HeaderChar"/>
    <w:uiPriority w:val="99"/>
    <w:unhideWhenUsed/>
    <w:rsid w:val="000C0A41"/>
    <w:pPr>
      <w:tabs>
        <w:tab w:val="center" w:pos="4513"/>
        <w:tab w:val="right" w:pos="9026"/>
      </w:tabs>
    </w:pPr>
  </w:style>
  <w:style w:type="character" w:customStyle="1" w:styleId="HeaderChar">
    <w:name w:val="Header Char"/>
    <w:basedOn w:val="DefaultParagraphFont"/>
    <w:link w:val="Header"/>
    <w:uiPriority w:val="99"/>
    <w:rsid w:val="000C0A41"/>
    <w:rPr>
      <w:rFonts w:eastAsiaTheme="minorEastAsia"/>
    </w:rPr>
  </w:style>
  <w:style w:type="paragraph" w:styleId="Footer">
    <w:name w:val="footer"/>
    <w:basedOn w:val="Normal"/>
    <w:link w:val="FooterChar"/>
    <w:uiPriority w:val="99"/>
    <w:unhideWhenUsed/>
    <w:rsid w:val="000C0A41"/>
    <w:pPr>
      <w:tabs>
        <w:tab w:val="center" w:pos="4513"/>
        <w:tab w:val="right" w:pos="9026"/>
      </w:tabs>
    </w:pPr>
  </w:style>
  <w:style w:type="character" w:customStyle="1" w:styleId="FooterChar">
    <w:name w:val="Footer Char"/>
    <w:basedOn w:val="DefaultParagraphFont"/>
    <w:link w:val="Footer"/>
    <w:uiPriority w:val="99"/>
    <w:rsid w:val="000C0A41"/>
    <w:rPr>
      <w:rFonts w:eastAsiaTheme="minorEastAsia"/>
    </w:rPr>
  </w:style>
  <w:style w:type="character" w:customStyle="1" w:styleId="EndnoteTextChar">
    <w:name w:val="Endnote Text Char"/>
    <w:basedOn w:val="DefaultParagraphFont"/>
    <w:link w:val="EndnoteText"/>
    <w:uiPriority w:val="99"/>
    <w:semiHidden/>
    <w:rsid w:val="000C0A41"/>
    <w:rPr>
      <w:sz w:val="20"/>
      <w:szCs w:val="20"/>
    </w:rPr>
  </w:style>
  <w:style w:type="paragraph" w:styleId="EndnoteText">
    <w:name w:val="endnote text"/>
    <w:basedOn w:val="Normal"/>
    <w:link w:val="EndnoteTextChar"/>
    <w:uiPriority w:val="99"/>
    <w:semiHidden/>
    <w:unhideWhenUsed/>
    <w:rsid w:val="000C0A41"/>
    <w:rPr>
      <w:rFonts w:eastAsiaTheme="minorHAnsi"/>
      <w:sz w:val="20"/>
      <w:szCs w:val="20"/>
    </w:rPr>
  </w:style>
  <w:style w:type="character" w:customStyle="1" w:styleId="EndnoteTextChar1">
    <w:name w:val="Endnote Text Char1"/>
    <w:basedOn w:val="DefaultParagraphFont"/>
    <w:uiPriority w:val="99"/>
    <w:semiHidden/>
    <w:rsid w:val="000C0A41"/>
    <w:rPr>
      <w:rFonts w:eastAsiaTheme="minorEastAsia"/>
      <w:sz w:val="20"/>
      <w:szCs w:val="20"/>
    </w:rPr>
  </w:style>
  <w:style w:type="character" w:styleId="CommentReference">
    <w:name w:val="annotation reference"/>
    <w:basedOn w:val="DefaultParagraphFont"/>
    <w:uiPriority w:val="99"/>
    <w:semiHidden/>
    <w:unhideWhenUsed/>
    <w:rsid w:val="000C0A41"/>
    <w:rPr>
      <w:sz w:val="16"/>
      <w:szCs w:val="16"/>
    </w:rPr>
  </w:style>
  <w:style w:type="paragraph" w:styleId="CommentText">
    <w:name w:val="annotation text"/>
    <w:basedOn w:val="Normal"/>
    <w:link w:val="CommentTextChar"/>
    <w:uiPriority w:val="99"/>
    <w:semiHidden/>
    <w:unhideWhenUsed/>
    <w:rsid w:val="000C0A41"/>
    <w:rPr>
      <w:sz w:val="20"/>
      <w:szCs w:val="20"/>
    </w:rPr>
  </w:style>
  <w:style w:type="character" w:customStyle="1" w:styleId="CommentTextChar">
    <w:name w:val="Comment Text Char"/>
    <w:basedOn w:val="DefaultParagraphFont"/>
    <w:link w:val="CommentText"/>
    <w:uiPriority w:val="99"/>
    <w:semiHidden/>
    <w:rsid w:val="000C0A41"/>
    <w:rPr>
      <w:rFonts w:eastAsiaTheme="minorEastAsia"/>
      <w:sz w:val="20"/>
      <w:szCs w:val="20"/>
    </w:rPr>
  </w:style>
  <w:style w:type="character" w:customStyle="1" w:styleId="CommentSubjectChar">
    <w:name w:val="Comment Subject Char"/>
    <w:basedOn w:val="CommentTextChar"/>
    <w:link w:val="CommentSubject"/>
    <w:uiPriority w:val="99"/>
    <w:semiHidden/>
    <w:rsid w:val="000C0A41"/>
    <w:rPr>
      <w:rFonts w:eastAsiaTheme="minorEastAsia"/>
      <w:b/>
      <w:bCs/>
      <w:sz w:val="20"/>
      <w:szCs w:val="20"/>
    </w:rPr>
  </w:style>
  <w:style w:type="paragraph" w:styleId="CommentSubject">
    <w:name w:val="annotation subject"/>
    <w:basedOn w:val="CommentText"/>
    <w:next w:val="CommentText"/>
    <w:link w:val="CommentSubjectChar"/>
    <w:uiPriority w:val="99"/>
    <w:semiHidden/>
    <w:unhideWhenUsed/>
    <w:rsid w:val="000C0A41"/>
    <w:rPr>
      <w:b/>
      <w:bCs/>
    </w:rPr>
  </w:style>
  <w:style w:type="character" w:customStyle="1" w:styleId="CommentSubjectChar1">
    <w:name w:val="Comment Subject Char1"/>
    <w:basedOn w:val="CommentTextChar"/>
    <w:uiPriority w:val="99"/>
    <w:semiHidden/>
    <w:rsid w:val="000C0A41"/>
    <w:rPr>
      <w:rFonts w:eastAsiaTheme="minorEastAsia"/>
      <w:b/>
      <w:bCs/>
      <w:sz w:val="20"/>
      <w:szCs w:val="20"/>
    </w:rPr>
  </w:style>
  <w:style w:type="paragraph" w:styleId="BalloonText">
    <w:name w:val="Balloon Text"/>
    <w:basedOn w:val="Normal"/>
    <w:link w:val="BalloonTextChar"/>
    <w:uiPriority w:val="99"/>
    <w:semiHidden/>
    <w:unhideWhenUsed/>
    <w:rsid w:val="000C0A41"/>
    <w:rPr>
      <w:rFonts w:ascii="Tahoma" w:hAnsi="Tahoma" w:cs="Tahoma"/>
      <w:sz w:val="16"/>
      <w:szCs w:val="16"/>
    </w:rPr>
  </w:style>
  <w:style w:type="character" w:customStyle="1" w:styleId="BalloonTextChar">
    <w:name w:val="Balloon Text Char"/>
    <w:basedOn w:val="DefaultParagraphFont"/>
    <w:link w:val="BalloonText"/>
    <w:uiPriority w:val="99"/>
    <w:semiHidden/>
    <w:rsid w:val="000C0A41"/>
    <w:rPr>
      <w:rFonts w:ascii="Tahoma" w:eastAsiaTheme="minorEastAsia" w:hAnsi="Tahoma" w:cs="Tahoma"/>
      <w:sz w:val="16"/>
      <w:szCs w:val="16"/>
    </w:rPr>
  </w:style>
  <w:style w:type="paragraph" w:styleId="Caption">
    <w:name w:val="caption"/>
    <w:basedOn w:val="Normal"/>
    <w:next w:val="Normal"/>
    <w:uiPriority w:val="35"/>
    <w:unhideWhenUsed/>
    <w:qFormat/>
    <w:rsid w:val="000C0A41"/>
    <w:pPr>
      <w:spacing w:before="240" w:after="240"/>
      <w:jc w:val="center"/>
    </w:pPr>
    <w:rPr>
      <w:b/>
      <w:bCs/>
      <w:color w:val="000000" w:themeColor="text1"/>
      <w:szCs w:val="18"/>
    </w:rPr>
  </w:style>
  <w:style w:type="character" w:customStyle="1" w:styleId="FootnoteTextChar">
    <w:name w:val="Footnote Text Char"/>
    <w:basedOn w:val="DefaultParagraphFont"/>
    <w:link w:val="FootnoteText"/>
    <w:uiPriority w:val="99"/>
    <w:semiHidden/>
    <w:rsid w:val="000C0A41"/>
    <w:rPr>
      <w:sz w:val="20"/>
      <w:szCs w:val="20"/>
    </w:rPr>
  </w:style>
  <w:style w:type="paragraph" w:styleId="FootnoteText">
    <w:name w:val="footnote text"/>
    <w:basedOn w:val="Normal"/>
    <w:link w:val="FootnoteTextChar"/>
    <w:uiPriority w:val="99"/>
    <w:semiHidden/>
    <w:unhideWhenUsed/>
    <w:rsid w:val="000C0A41"/>
    <w:rPr>
      <w:rFonts w:eastAsiaTheme="minorHAnsi"/>
      <w:sz w:val="20"/>
      <w:szCs w:val="20"/>
    </w:rPr>
  </w:style>
  <w:style w:type="character" w:customStyle="1" w:styleId="FootnoteTextChar1">
    <w:name w:val="Footnote Text Char1"/>
    <w:basedOn w:val="DefaultParagraphFont"/>
    <w:uiPriority w:val="99"/>
    <w:semiHidden/>
    <w:rsid w:val="000C0A41"/>
    <w:rPr>
      <w:rFonts w:eastAsiaTheme="minorEastAsia"/>
      <w:sz w:val="20"/>
      <w:szCs w:val="20"/>
    </w:rPr>
  </w:style>
  <w:style w:type="paragraph" w:styleId="Title">
    <w:name w:val="Title"/>
    <w:basedOn w:val="Normal"/>
    <w:next w:val="Normal"/>
    <w:link w:val="TitleChar"/>
    <w:uiPriority w:val="10"/>
    <w:qFormat/>
    <w:rsid w:val="000C0A41"/>
    <w:pPr>
      <w:pBdr>
        <w:bottom w:val="single" w:sz="8" w:space="4" w:color="5B9BD5" w:themeColor="accent1"/>
      </w:pBdr>
    </w:pPr>
    <w:rPr>
      <w:rFonts w:ascii="Calibri" w:eastAsiaTheme="majorEastAsia" w:hAnsi="Calibri" w:cstheme="majorBidi"/>
      <w:b/>
      <w:color w:val="000000" w:themeColor="text1"/>
      <w:spacing w:val="5"/>
      <w:kern w:val="28"/>
      <w:sz w:val="52"/>
      <w:szCs w:val="52"/>
    </w:rPr>
  </w:style>
  <w:style w:type="character" w:customStyle="1" w:styleId="TitleChar">
    <w:name w:val="Title Char"/>
    <w:basedOn w:val="DefaultParagraphFont"/>
    <w:link w:val="Title"/>
    <w:uiPriority w:val="10"/>
    <w:rsid w:val="000C0A41"/>
    <w:rPr>
      <w:rFonts w:ascii="Calibri" w:eastAsiaTheme="majorEastAsia" w:hAnsi="Calibri" w:cstheme="majorBidi"/>
      <w:b/>
      <w:color w:val="000000" w:themeColor="text1"/>
      <w:spacing w:val="5"/>
      <w:kern w:val="28"/>
      <w:sz w:val="52"/>
      <w:szCs w:val="52"/>
    </w:rPr>
  </w:style>
  <w:style w:type="paragraph" w:customStyle="1" w:styleId="EndNoteBibliographyTitle">
    <w:name w:val="EndNote Bibliography Title"/>
    <w:basedOn w:val="Normal"/>
    <w:link w:val="EndNoteBibliographyTitleChar"/>
    <w:rsid w:val="000C0A41"/>
    <w:pPr>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0C0A41"/>
    <w:rPr>
      <w:rFonts w:ascii="Calibri" w:eastAsiaTheme="minorEastAsia" w:hAnsi="Calibri" w:cs="Calibri"/>
      <w:noProof/>
      <w:lang w:val="en-US"/>
    </w:rPr>
  </w:style>
  <w:style w:type="paragraph" w:customStyle="1" w:styleId="EndNoteBibliography">
    <w:name w:val="EndNote Bibliography"/>
    <w:basedOn w:val="Normal"/>
    <w:link w:val="EndNoteBibliographyChar"/>
    <w:rsid w:val="000C0A41"/>
    <w:rPr>
      <w:rFonts w:ascii="Calibri" w:hAnsi="Calibri" w:cs="Calibri"/>
      <w:noProof/>
      <w:lang w:val="en-US"/>
    </w:rPr>
  </w:style>
  <w:style w:type="character" w:customStyle="1" w:styleId="EndNoteBibliographyChar">
    <w:name w:val="EndNote Bibliography Char"/>
    <w:basedOn w:val="DefaultParagraphFont"/>
    <w:link w:val="EndNoteBibliography"/>
    <w:rsid w:val="000C0A41"/>
    <w:rPr>
      <w:rFonts w:ascii="Calibri" w:eastAsiaTheme="minorEastAsia" w:hAnsi="Calibri" w:cs="Calibri"/>
      <w:noProof/>
      <w:lang w:val="en-US"/>
    </w:rPr>
  </w:style>
  <w:style w:type="paragraph" w:styleId="NoSpacing">
    <w:name w:val="No Spacing"/>
    <w:uiPriority w:val="1"/>
    <w:qFormat/>
    <w:rsid w:val="000C0A41"/>
    <w:pPr>
      <w:spacing w:after="0" w:line="240" w:lineRule="auto"/>
    </w:pPr>
    <w:rPr>
      <w:rFonts w:eastAsiaTheme="minorEastAsia"/>
    </w:rPr>
  </w:style>
  <w:style w:type="character" w:styleId="FootnoteReference">
    <w:name w:val="footnote reference"/>
    <w:basedOn w:val="DefaultParagraphFont"/>
    <w:uiPriority w:val="99"/>
    <w:semiHidden/>
    <w:unhideWhenUsed/>
    <w:rsid w:val="000C0A41"/>
    <w:rPr>
      <w:vertAlign w:val="superscript"/>
    </w:rPr>
  </w:style>
  <w:style w:type="character" w:styleId="EndnoteReference">
    <w:name w:val="endnote reference"/>
    <w:basedOn w:val="DefaultParagraphFont"/>
    <w:uiPriority w:val="99"/>
    <w:semiHidden/>
    <w:unhideWhenUsed/>
    <w:rsid w:val="000C0A41"/>
    <w:rPr>
      <w:vertAlign w:val="superscript"/>
    </w:rPr>
  </w:style>
  <w:style w:type="paragraph" w:styleId="Subtitle">
    <w:name w:val="Subtitle"/>
    <w:basedOn w:val="Normal"/>
    <w:next w:val="Normal"/>
    <w:link w:val="SubtitleChar"/>
    <w:uiPriority w:val="11"/>
    <w:qFormat/>
    <w:rsid w:val="000C0A4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0C0A41"/>
    <w:rPr>
      <w:rFonts w:asciiTheme="majorHAnsi" w:eastAsiaTheme="majorEastAsia" w:hAnsiTheme="majorHAnsi" w:cstheme="majorBidi"/>
      <w:i/>
      <w:iCs/>
      <w:color w:val="5B9BD5" w:themeColor="accent1"/>
      <w:spacing w:val="15"/>
      <w:sz w:val="24"/>
      <w:szCs w:val="24"/>
    </w:rPr>
  </w:style>
  <w:style w:type="character" w:styleId="FollowedHyperlink">
    <w:name w:val="FollowedHyperlink"/>
    <w:basedOn w:val="DefaultParagraphFont"/>
    <w:uiPriority w:val="99"/>
    <w:semiHidden/>
    <w:unhideWhenUsed/>
    <w:rsid w:val="000C0A41"/>
    <w:rPr>
      <w:color w:val="954F72" w:themeColor="followedHyperlink"/>
      <w:u w:val="single"/>
    </w:rPr>
  </w:style>
  <w:style w:type="paragraph" w:styleId="TOCHeading">
    <w:name w:val="TOC Heading"/>
    <w:basedOn w:val="Heading1"/>
    <w:next w:val="Normal"/>
    <w:uiPriority w:val="39"/>
    <w:unhideWhenUsed/>
    <w:qFormat/>
    <w:rsid w:val="000C0A41"/>
    <w:pPr>
      <w:numPr>
        <w:numId w:val="17"/>
      </w:numPr>
      <w:spacing w:line="259" w:lineRule="auto"/>
      <w:ind w:left="284" w:hanging="284"/>
      <w:outlineLvl w:val="9"/>
    </w:pPr>
    <w:rPr>
      <w:b w:val="0"/>
      <w:bCs w:val="0"/>
      <w:sz w:val="32"/>
      <w:szCs w:val="32"/>
      <w:lang w:val="en-US"/>
    </w:rPr>
  </w:style>
  <w:style w:type="paragraph" w:styleId="TOC1">
    <w:name w:val="toc 1"/>
    <w:basedOn w:val="Normal"/>
    <w:next w:val="Normal"/>
    <w:autoRedefine/>
    <w:uiPriority w:val="39"/>
    <w:unhideWhenUsed/>
    <w:rsid w:val="000C0A41"/>
    <w:pPr>
      <w:tabs>
        <w:tab w:val="left" w:pos="440"/>
        <w:tab w:val="right" w:leader="dot" w:pos="9016"/>
      </w:tabs>
      <w:spacing w:after="100"/>
    </w:pPr>
    <w:rPr>
      <w:rFonts w:eastAsiaTheme="majorEastAsia" w:cstheme="majorBidi"/>
      <w:b/>
      <w:bCs/>
      <w:noProof/>
      <w:sz w:val="24"/>
    </w:rPr>
  </w:style>
  <w:style w:type="paragraph" w:styleId="TOC2">
    <w:name w:val="toc 2"/>
    <w:basedOn w:val="Normal"/>
    <w:next w:val="Normal"/>
    <w:autoRedefine/>
    <w:uiPriority w:val="39"/>
    <w:unhideWhenUsed/>
    <w:rsid w:val="000C0A41"/>
    <w:pPr>
      <w:spacing w:after="100"/>
      <w:ind w:left="220"/>
    </w:pPr>
  </w:style>
  <w:style w:type="paragraph" w:styleId="TOC3">
    <w:name w:val="toc 3"/>
    <w:basedOn w:val="Normal"/>
    <w:next w:val="Normal"/>
    <w:autoRedefine/>
    <w:uiPriority w:val="39"/>
    <w:unhideWhenUsed/>
    <w:rsid w:val="000C0A41"/>
    <w:pPr>
      <w:spacing w:after="100" w:line="259" w:lineRule="auto"/>
      <w:ind w:left="440"/>
    </w:pPr>
    <w:rPr>
      <w:lang w:eastAsia="zh-CN"/>
    </w:rPr>
  </w:style>
  <w:style w:type="paragraph" w:styleId="TOC4">
    <w:name w:val="toc 4"/>
    <w:basedOn w:val="Normal"/>
    <w:next w:val="Normal"/>
    <w:autoRedefine/>
    <w:uiPriority w:val="39"/>
    <w:unhideWhenUsed/>
    <w:rsid w:val="000C0A41"/>
    <w:pPr>
      <w:spacing w:after="100" w:line="259" w:lineRule="auto"/>
      <w:ind w:left="660"/>
    </w:pPr>
    <w:rPr>
      <w:lang w:eastAsia="zh-CN"/>
    </w:rPr>
  </w:style>
  <w:style w:type="paragraph" w:styleId="TOC5">
    <w:name w:val="toc 5"/>
    <w:basedOn w:val="Normal"/>
    <w:next w:val="Normal"/>
    <w:autoRedefine/>
    <w:uiPriority w:val="39"/>
    <w:unhideWhenUsed/>
    <w:rsid w:val="000C0A41"/>
    <w:pPr>
      <w:spacing w:after="100" w:line="259" w:lineRule="auto"/>
      <w:ind w:left="880"/>
    </w:pPr>
    <w:rPr>
      <w:lang w:eastAsia="zh-CN"/>
    </w:rPr>
  </w:style>
  <w:style w:type="paragraph" w:styleId="TOC6">
    <w:name w:val="toc 6"/>
    <w:basedOn w:val="Normal"/>
    <w:next w:val="Normal"/>
    <w:autoRedefine/>
    <w:uiPriority w:val="39"/>
    <w:unhideWhenUsed/>
    <w:rsid w:val="000C0A41"/>
    <w:pPr>
      <w:spacing w:after="100" w:line="259" w:lineRule="auto"/>
      <w:ind w:left="1100"/>
    </w:pPr>
    <w:rPr>
      <w:lang w:eastAsia="zh-CN"/>
    </w:rPr>
  </w:style>
  <w:style w:type="paragraph" w:styleId="TOC7">
    <w:name w:val="toc 7"/>
    <w:basedOn w:val="Normal"/>
    <w:next w:val="Normal"/>
    <w:autoRedefine/>
    <w:uiPriority w:val="39"/>
    <w:unhideWhenUsed/>
    <w:rsid w:val="000C0A41"/>
    <w:pPr>
      <w:spacing w:after="100" w:line="259" w:lineRule="auto"/>
      <w:ind w:left="1320"/>
    </w:pPr>
    <w:rPr>
      <w:lang w:eastAsia="zh-CN"/>
    </w:rPr>
  </w:style>
  <w:style w:type="paragraph" w:styleId="TOC8">
    <w:name w:val="toc 8"/>
    <w:basedOn w:val="Normal"/>
    <w:next w:val="Normal"/>
    <w:autoRedefine/>
    <w:uiPriority w:val="39"/>
    <w:unhideWhenUsed/>
    <w:rsid w:val="000C0A41"/>
    <w:pPr>
      <w:spacing w:after="100" w:line="259" w:lineRule="auto"/>
      <w:ind w:left="1540"/>
    </w:pPr>
    <w:rPr>
      <w:lang w:eastAsia="zh-CN"/>
    </w:rPr>
  </w:style>
  <w:style w:type="paragraph" w:styleId="TOC9">
    <w:name w:val="toc 9"/>
    <w:basedOn w:val="Normal"/>
    <w:next w:val="Normal"/>
    <w:autoRedefine/>
    <w:uiPriority w:val="39"/>
    <w:unhideWhenUsed/>
    <w:rsid w:val="000C0A41"/>
    <w:pPr>
      <w:spacing w:after="100" w:line="259" w:lineRule="auto"/>
      <w:ind w:left="1760"/>
    </w:pPr>
    <w:rPr>
      <w:lang w:eastAsia="zh-CN"/>
    </w:rPr>
  </w:style>
  <w:style w:type="table" w:customStyle="1" w:styleId="TableGrid1">
    <w:name w:val="Table Grid1"/>
    <w:basedOn w:val="TableNormal"/>
    <w:next w:val="TableGrid"/>
    <w:uiPriority w:val="59"/>
    <w:rsid w:val="000C0A41"/>
    <w:pPr>
      <w:spacing w:after="0" w:line="240" w:lineRule="auto"/>
    </w:pPr>
    <w:rPr>
      <w:rFonts w:ascii="Calibri" w:eastAsia="Calibri" w:hAnsi="Calibri"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0C0A41"/>
  </w:style>
  <w:style w:type="paragraph" w:styleId="NormalWeb">
    <w:name w:val="Normal (Web)"/>
    <w:basedOn w:val="Normal"/>
    <w:uiPriority w:val="99"/>
    <w:unhideWhenUsed/>
    <w:rsid w:val="000C0A41"/>
    <w:pPr>
      <w:spacing w:before="100" w:beforeAutospacing="1" w:after="100" w:afterAutospacing="1"/>
    </w:pPr>
    <w:rPr>
      <w:rFonts w:ascii="Times New Roman" w:eastAsia="Times New Roman" w:hAnsi="Times New Roman" w:cs="Times New Roman"/>
      <w:sz w:val="28"/>
      <w:szCs w:val="24"/>
      <w:lang w:eastAsia="en-GB"/>
    </w:rPr>
  </w:style>
  <w:style w:type="paragraph" w:styleId="Date">
    <w:name w:val="Date"/>
    <w:basedOn w:val="Normal"/>
    <w:next w:val="Normal"/>
    <w:link w:val="DateChar"/>
    <w:uiPriority w:val="99"/>
    <w:semiHidden/>
    <w:unhideWhenUsed/>
    <w:rsid w:val="000C0A41"/>
    <w:rPr>
      <w:rFonts w:ascii="Times New Roman" w:eastAsia="Calibri" w:hAnsi="Times New Roman" w:cs="Times New Roman"/>
      <w:i/>
      <w:sz w:val="28"/>
    </w:rPr>
  </w:style>
  <w:style w:type="character" w:customStyle="1" w:styleId="DateChar">
    <w:name w:val="Date Char"/>
    <w:basedOn w:val="DefaultParagraphFont"/>
    <w:link w:val="Date"/>
    <w:uiPriority w:val="99"/>
    <w:semiHidden/>
    <w:rsid w:val="000C0A41"/>
    <w:rPr>
      <w:rFonts w:ascii="Times New Roman" w:eastAsia="Calibri" w:hAnsi="Times New Roman" w:cs="Times New Roman"/>
      <w:i/>
      <w:sz w:val="28"/>
    </w:rPr>
  </w:style>
  <w:style w:type="paragraph" w:customStyle="1" w:styleId="IntenseQuote1">
    <w:name w:val="Intense Quote1"/>
    <w:basedOn w:val="Normal"/>
    <w:next w:val="Normal"/>
    <w:uiPriority w:val="30"/>
    <w:qFormat/>
    <w:rsid w:val="000C0A41"/>
    <w:pPr>
      <w:pBdr>
        <w:bottom w:val="single" w:sz="4" w:space="4" w:color="4F81BD"/>
      </w:pBdr>
      <w:spacing w:before="200" w:after="280"/>
      <w:ind w:left="936" w:right="936"/>
    </w:pPr>
    <w:rPr>
      <w:rFonts w:ascii="Times New Roman" w:eastAsia="Calibri" w:hAnsi="Times New Roman" w:cs="Times New Roman"/>
      <w:bCs/>
      <w:i/>
      <w:iCs/>
      <w:color w:val="4F81BD"/>
      <w:sz w:val="28"/>
    </w:rPr>
  </w:style>
  <w:style w:type="character" w:customStyle="1" w:styleId="IntenseQuoteChar">
    <w:name w:val="Intense Quote Char"/>
    <w:basedOn w:val="DefaultParagraphFont"/>
    <w:link w:val="IntenseQuote"/>
    <w:uiPriority w:val="30"/>
    <w:rsid w:val="000C0A41"/>
    <w:rPr>
      <w:rFonts w:ascii="Times New Roman" w:eastAsia="Calibri" w:hAnsi="Times New Roman" w:cs="Times New Roman"/>
      <w:bCs/>
      <w:i/>
      <w:iCs/>
      <w:color w:val="4F81BD"/>
      <w:sz w:val="28"/>
    </w:rPr>
  </w:style>
  <w:style w:type="paragraph" w:customStyle="1" w:styleId="Maintitle">
    <w:name w:val="Main title"/>
    <w:basedOn w:val="Normal"/>
    <w:next w:val="Normal"/>
    <w:uiPriority w:val="99"/>
    <w:semiHidden/>
    <w:qFormat/>
    <w:rsid w:val="000C0A41"/>
    <w:pPr>
      <w:jc w:val="center"/>
    </w:pPr>
    <w:rPr>
      <w:rFonts w:ascii="Times New Roman" w:eastAsia="Calibri" w:hAnsi="Times New Roman" w:cs="Times New Roman"/>
      <w:b/>
      <w:sz w:val="36"/>
    </w:rPr>
  </w:style>
  <w:style w:type="paragraph" w:customStyle="1" w:styleId="Legend">
    <w:name w:val="Legend"/>
    <w:basedOn w:val="Normal"/>
    <w:uiPriority w:val="99"/>
    <w:semiHidden/>
    <w:rsid w:val="000C0A41"/>
    <w:pPr>
      <w:jc w:val="center"/>
    </w:pPr>
    <w:rPr>
      <w:rFonts w:ascii="Times New Roman" w:eastAsia="Calibri" w:hAnsi="Times New Roman" w:cs="Times New Roman"/>
      <w:b/>
      <w:sz w:val="28"/>
    </w:rPr>
  </w:style>
  <w:style w:type="paragraph" w:customStyle="1" w:styleId="Maindate">
    <w:name w:val="Main date"/>
    <w:basedOn w:val="Normal"/>
    <w:next w:val="Normal"/>
    <w:uiPriority w:val="99"/>
    <w:semiHidden/>
    <w:rsid w:val="000C0A41"/>
    <w:pPr>
      <w:jc w:val="center"/>
    </w:pPr>
    <w:rPr>
      <w:rFonts w:ascii="Times New Roman" w:eastAsia="Calibri" w:hAnsi="Times New Roman" w:cs="Times New Roman"/>
      <w:i/>
      <w:sz w:val="28"/>
    </w:rPr>
  </w:style>
  <w:style w:type="paragraph" w:customStyle="1" w:styleId="Authors">
    <w:name w:val="Authors"/>
    <w:basedOn w:val="Normal"/>
    <w:uiPriority w:val="99"/>
    <w:semiHidden/>
    <w:rsid w:val="000C0A41"/>
    <w:pPr>
      <w:jc w:val="center"/>
    </w:pPr>
    <w:rPr>
      <w:rFonts w:ascii="Times New Roman" w:eastAsia="Calibri" w:hAnsi="Times New Roman" w:cs="Times New Roman"/>
      <w:sz w:val="32"/>
    </w:rPr>
  </w:style>
  <w:style w:type="table" w:customStyle="1" w:styleId="TableGrid2">
    <w:name w:val="Table Grid2"/>
    <w:basedOn w:val="TableNormal"/>
    <w:next w:val="TableGrid"/>
    <w:uiPriority w:val="59"/>
    <w:rsid w:val="000C0A41"/>
    <w:pPr>
      <w:spacing w:after="0" w:line="240" w:lineRule="auto"/>
    </w:pPr>
    <w:rPr>
      <w:rFonts w:ascii="Calibri" w:eastAsia="Calibri" w:hAnsi="Calibri"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0C0A41"/>
    <w:pPr>
      <w:pBdr>
        <w:top w:val="single" w:sz="4" w:space="10" w:color="5B9BD5" w:themeColor="accent1"/>
        <w:bottom w:val="single" w:sz="4" w:space="10" w:color="5B9BD5" w:themeColor="accent1"/>
      </w:pBdr>
      <w:spacing w:before="360" w:after="360"/>
      <w:ind w:left="864" w:right="864"/>
      <w:jc w:val="center"/>
    </w:pPr>
    <w:rPr>
      <w:rFonts w:ascii="Times New Roman" w:eastAsia="Calibri" w:hAnsi="Times New Roman" w:cs="Times New Roman"/>
      <w:bCs/>
      <w:i/>
      <w:iCs/>
      <w:color w:val="4F81BD"/>
      <w:sz w:val="28"/>
    </w:rPr>
  </w:style>
  <w:style w:type="character" w:customStyle="1" w:styleId="IntenseQuoteChar1">
    <w:name w:val="Intense Quote Char1"/>
    <w:basedOn w:val="DefaultParagraphFont"/>
    <w:uiPriority w:val="30"/>
    <w:rsid w:val="000C0A41"/>
    <w:rPr>
      <w:i/>
      <w:iCs/>
      <w:color w:val="5B9BD5" w:themeColor="accent1"/>
    </w:rPr>
  </w:style>
  <w:style w:type="table" w:customStyle="1" w:styleId="TableGrid3">
    <w:name w:val="Table Grid3"/>
    <w:basedOn w:val="TableNormal"/>
    <w:next w:val="TableGrid"/>
    <w:uiPriority w:val="59"/>
    <w:rsid w:val="000C0A41"/>
    <w:pPr>
      <w:spacing w:after="0" w:line="240" w:lineRule="auto"/>
    </w:pPr>
    <w:rPr>
      <w:rFonts w:ascii="Calibri" w:eastAsia="Calibri" w:hAnsi="Calibri"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0C0A41"/>
    <w:pPr>
      <w:spacing w:after="0" w:line="240" w:lineRule="auto"/>
    </w:pPr>
    <w:rPr>
      <w:rFonts w:ascii="Calibri" w:eastAsia="SimSu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0C0A41"/>
    <w:pPr>
      <w:spacing w:after="0" w:line="240" w:lineRule="auto"/>
    </w:pPr>
    <w:rPr>
      <w:rFonts w:ascii="Calibri" w:eastAsia="SimSu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0C0A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0C0A41"/>
    <w:pPr>
      <w:spacing w:after="0" w:line="240" w:lineRule="auto"/>
    </w:pPr>
    <w:rPr>
      <w:rFonts w:eastAsiaTheme="minorEastAsia"/>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1">
    <w:name w:val="List Table 4 Accent 1"/>
    <w:basedOn w:val="TableNormal"/>
    <w:uiPriority w:val="49"/>
    <w:rsid w:val="000C0A41"/>
    <w:pPr>
      <w:spacing w:after="0" w:line="240" w:lineRule="auto"/>
    </w:pPr>
    <w:rPr>
      <w:rFonts w:eastAsiaTheme="minorEastAsia"/>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Number">
    <w:name w:val="List Number"/>
    <w:basedOn w:val="Normal"/>
    <w:uiPriority w:val="99"/>
    <w:semiHidden/>
    <w:unhideWhenUsed/>
    <w:rsid w:val="000C0A41"/>
    <w:pPr>
      <w:numPr>
        <w:numId w:val="24"/>
      </w:numPr>
    </w:pPr>
    <w:rPr>
      <w:rFonts w:ascii="Calibri" w:eastAsia="Times New Roman" w:hAnsi="Calibri" w:cs="Times New Roman"/>
      <w:szCs w:val="24"/>
      <w:lang w:eastAsia="en-GB"/>
    </w:rPr>
  </w:style>
  <w:style w:type="character" w:styleId="BookTitle">
    <w:name w:val="Book Title"/>
    <w:basedOn w:val="DefaultParagraphFont"/>
    <w:uiPriority w:val="33"/>
    <w:qFormat/>
    <w:rsid w:val="000C0A41"/>
    <w:rPr>
      <w:b/>
      <w:bCs/>
      <w:smallCaps/>
      <w:spacing w:val="5"/>
    </w:rPr>
  </w:style>
  <w:style w:type="table" w:customStyle="1" w:styleId="GridTable4-Accent11">
    <w:name w:val="Grid Table 4 - Accent 11"/>
    <w:basedOn w:val="TableNormal"/>
    <w:uiPriority w:val="49"/>
    <w:rsid w:val="000C0A41"/>
    <w:pPr>
      <w:spacing w:after="0" w:line="240" w:lineRule="auto"/>
    </w:pPr>
    <w:rPr>
      <w:rFonts w:eastAsiaTheme="minorEastAsia"/>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www.sciencedirect.com/science/article/pii/S0954611112000418" TargetMode="External"/><Relationship Id="rId17" Type="http://schemas.openxmlformats.org/officeDocument/2006/relationships/image" Target="media/image5.emf"/><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ciencedirect.com/science/article/pii/S0954611112000418"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69</Pages>
  <Words>25049</Words>
  <Characters>142783</Characters>
  <Application>Microsoft Office Word</Application>
  <DocSecurity>0</DocSecurity>
  <Lines>1189</Lines>
  <Paragraphs>334</Paragraphs>
  <ScaleCrop>false</ScaleCrop>
  <HeadingPairs>
    <vt:vector size="2" baseType="variant">
      <vt:variant>
        <vt:lpstr>Title</vt:lpstr>
      </vt:variant>
      <vt:variant>
        <vt:i4>1</vt:i4>
      </vt:variant>
    </vt:vector>
  </HeadingPairs>
  <TitlesOfParts>
    <vt:vector size="1" baseType="lpstr">
      <vt:lpstr/>
    </vt:vector>
  </TitlesOfParts>
  <Company>Imperial College London</Company>
  <LinksUpToDate>false</LinksUpToDate>
  <CharactersWithSpaces>167498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Soljak, Michael A</dc:creator>
  <cp:keywords/>
  <dc:description/>
  <cp:lastModifiedBy>Soljak, Michael A</cp:lastModifiedBy>
  <cp:revision>2</cp:revision>
  <dcterms:created xsi:type="dcterms:W3CDTF">2016-08-05T17:29:00Z</dcterms:created>
  <dcterms:modified xsi:type="dcterms:W3CDTF">2016-08-05T17:36:00Z</dcterms:modified>
</cp:coreProperties>
</file>