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p>
    <w:p>
      <w:pPr>
        <w:pStyle w:val="Subtitle"/>
      </w:pPr>
      <w:r>
        <w:t xml:space="preserve">Analysis</w:t>
      </w:r>
      <w:r>
        <w:t xml:space="preserve"> </w:t>
      </w:r>
      <w:r>
        <w:t xml:space="preserve">of</w:t>
      </w:r>
      <w:r>
        <w:t xml:space="preserve"> </w:t>
      </w:r>
      <w:r>
        <w:t xml:space="preserve">John</w:t>
      </w:r>
      <w:r>
        <w:t xml:space="preserve"> </w:t>
      </w:r>
      <w:r>
        <w:t xml:space="preserve">Snow’s</w:t>
      </w:r>
      <w:r>
        <w:t xml:space="preserve"> </w:t>
      </w:r>
      <w:r>
        <w:t xml:space="preserve">154</w:t>
      </w:r>
      <w:r>
        <w:t xml:space="preserve"> </w:t>
      </w:r>
      <w:r>
        <w:t xml:space="preserve">cholera</w:t>
      </w:r>
      <w:r>
        <w:t xml:space="preserve"> </w:t>
      </w:r>
      <w:r>
        <w:t xml:space="preserve">data</w:t>
      </w:r>
    </w:p>
    <w:p>
      <w:pPr>
        <w:pStyle w:val="Author"/>
      </w:pPr>
      <w:r>
        <w:t xml:space="preserve">Julian</w:t>
      </w:r>
      <w:r>
        <w:t xml:space="preserve"> </w:t>
      </w:r>
      <w:r>
        <w:t xml:space="preserve">Flowers</w:t>
      </w:r>
    </w:p>
    <w:p>
      <w:pPr>
        <w:pStyle w:val="Date"/>
      </w:pPr>
      <w:r>
        <w:t xml:space="preserve">2024-04-20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get-started"/>
    <w:p>
      <w:pPr>
        <w:pStyle w:val="Heading2"/>
      </w:pPr>
      <w:r>
        <w:t xml:space="preserve">Get started</w:t>
      </w:r>
    </w:p>
    <w:p>
      <w:pPr>
        <w:pStyle w:val="FirstParagraph"/>
      </w:pPr>
      <w:r>
        <w:t xml:space="preserve">First we need to load the R packages for analysis and GIS</w:t>
      </w:r>
    </w:p>
    <w:p>
      <w:pPr>
        <w:pStyle w:val="SourceCode"/>
      </w:pPr>
      <w:r>
        <w:rPr>
          <w:rStyle w:val="FunctionTok"/>
        </w:rPr>
        <w:t xml:space="preserve">needs</w:t>
      </w:r>
      <w:r>
        <w:rPr>
          <w:rStyle w:val="NormalTok"/>
        </w:rPr>
        <w:t xml:space="preserve">(sf, stars, tidyverse, mapview)</w:t>
      </w:r>
    </w:p>
    <w:p>
      <w:pPr>
        <w:pStyle w:val="FirstParagraph"/>
      </w:pPr>
      <w:r>
        <w:t xml:space="preserve">Now we load the data. The spatial points (vectors) for cholera deaths and pump locations are stored in a specialised spatial data format known as a shapefile (.shp), and the background maps as rasters (.tif). In R we can read the points with the</w:t>
      </w:r>
      <w:r>
        <w:t xml:space="preserve"> </w:t>
      </w:r>
      <w:r>
        <w:rPr>
          <w:rStyle w:val="VerbatimChar"/>
        </w:rPr>
        <w:t xml:space="preserve">read_sf</w:t>
      </w:r>
      <w:r>
        <w:t xml:space="preserve"> </w:t>
      </w:r>
      <w:r>
        <w:t xml:space="preserve">function in the</w:t>
      </w:r>
      <w:r>
        <w:t xml:space="preserve"> </w:t>
      </w:r>
      <w:r>
        <w:rPr>
          <w:rStyle w:val="VerbatimChar"/>
        </w:rPr>
        <w:t xml:space="preserve">sf</w:t>
      </w:r>
      <w:r>
        <w:t xml:space="preserve"> </w:t>
      </w:r>
      <w:r>
        <w:t xml:space="preserve">package, and the rasters with</w:t>
      </w:r>
      <w:r>
        <w:t xml:space="preserve"> </w:t>
      </w:r>
      <w:r>
        <w:rPr>
          <w:rStyle w:val="VerbatimChar"/>
        </w:rPr>
        <w:t xml:space="preserve">read_stars</w:t>
      </w:r>
      <w:r>
        <w:t xml:space="preserve"> </w:t>
      </w:r>
      <w:r>
        <w:t xml:space="preserve">from the</w:t>
      </w:r>
      <w:r>
        <w:t xml:space="preserve"> </w:t>
      </w:r>
      <w:r>
        <w:rPr>
          <w:rStyle w:val="VerbatimChar"/>
        </w:rPr>
        <w:t xml:space="preserve">stars</w:t>
      </w:r>
      <w:r>
        <w:t xml:space="preserve"> </w:t>
      </w:r>
      <w:r>
        <w:t xml:space="preserve">package.</w:t>
      </w:r>
    </w:p>
    <w:p>
      <w:pPr>
        <w:pStyle w:val="BodyText"/>
      </w:pPr>
      <w:r>
        <w:t xml:space="preserve">These data are the:</w:t>
      </w:r>
    </w:p>
    <w:p>
      <w:pPr>
        <w:numPr>
          <w:ilvl w:val="0"/>
          <w:numId w:val="1001"/>
        </w:numPr>
      </w:pPr>
      <w:r>
        <w:t xml:space="preserve">OSMap Raster Modern OS map of the area of the outbreak (from OS Open Data - contains Ordnance Survey data © Crown copyright and database right 2013). Ordnance Survey is the main spatial data provider in the UK.</w:t>
      </w:r>
    </w:p>
    <w:p>
      <w:pPr>
        <w:numPr>
          <w:ilvl w:val="0"/>
          <w:numId w:val="1001"/>
        </w:numPr>
      </w:pPr>
      <w:r>
        <w:t xml:space="preserve">OSMap_Greyscale Raster Same as above, but in greyscale for easier visualisation (altered by conversion to greyscale, from OS Open Data - contains Ordnance Survey data © Crown copyright and database right 2013)</w:t>
      </w:r>
    </w:p>
    <w:p>
      <w:pPr>
        <w:numPr>
          <w:ilvl w:val="0"/>
          <w:numId w:val="1001"/>
        </w:numPr>
      </w:pPr>
      <w:r>
        <w:t xml:space="preserve">SnowMap Raster Snow’s original map, georeferenced and warped so that it accurately overlays the OS map</w:t>
      </w:r>
    </w:p>
    <w:p>
      <w:pPr>
        <w:numPr>
          <w:ilvl w:val="0"/>
          <w:numId w:val="1001"/>
        </w:numPr>
      </w:pPr>
      <w:r>
        <w:t xml:space="preserve">CholeraDeaths Vector Points for each location of one or more deaths. Attribute value gives number of deaths at that location</w:t>
      </w:r>
    </w:p>
    <w:p>
      <w:pPr>
        <w:numPr>
          <w:ilvl w:val="0"/>
          <w:numId w:val="1001"/>
        </w:numPr>
      </w:pPr>
      <w:r>
        <w:t xml:space="preserve">Pumps Vector Points for each location of a pump</w:t>
      </w:r>
    </w:p>
    <w:bookmarkEnd w:id="20"/>
    <w:bookmarkStart w:id="21" w:name="get-the-data"/>
    <w:p>
      <w:pPr>
        <w:pStyle w:val="Heading2"/>
      </w:pPr>
      <w:r>
        <w:t xml:space="preserve">Get the data</w:t>
      </w:r>
    </w:p>
    <w:p>
      <w:pPr>
        <w:pStyle w:val="FirstParagraph"/>
      </w:pPr>
      <w:r>
        <w:t xml:space="preserve">The code segment below shows how data is loaded.</w:t>
      </w:r>
    </w:p>
    <w:p>
      <w:pPr>
        <w:pStyle w:val="SourceCode"/>
      </w:pPr>
      <w:r>
        <w:rPr>
          <w:rStyle w:val="NormalTok"/>
        </w:rPr>
        <w:t xml:space="preserve">deaths </w:t>
      </w:r>
      <w:r>
        <w:rPr>
          <w:rStyle w:val="OtherTok"/>
        </w:rPr>
        <w:t xml:space="preserve">&lt;-</w:t>
      </w:r>
      <w:r>
        <w:rPr>
          <w:rStyle w:val="NormalTok"/>
        </w:rPr>
        <w:t xml:space="preserve"> </w:t>
      </w:r>
      <w:r>
        <w:rPr>
          <w:rStyle w:val="FunctionTok"/>
        </w:rPr>
        <w:t xml:space="preserve">read_sf</w:t>
      </w:r>
      <w:r>
        <w:rPr>
          <w:rStyle w:val="NormalTok"/>
        </w:rPr>
        <w:t xml:space="preserve">(</w:t>
      </w:r>
      <w:r>
        <w:rPr>
          <w:rStyle w:val="FunctionTok"/>
        </w:rPr>
        <w:t xml:space="preserve">paste0</w:t>
      </w:r>
      <w:r>
        <w:rPr>
          <w:rStyle w:val="NormalTok"/>
        </w:rPr>
        <w:t xml:space="preserve">(path, </w:t>
      </w:r>
      <w:r>
        <w:rPr>
          <w:rStyle w:val="StringTok"/>
        </w:rPr>
        <w:t xml:space="preserve">"/Cholera_Deaths.shp"</w:t>
      </w:r>
      <w:r>
        <w:rPr>
          <w:rStyle w:val="NormalTok"/>
        </w:rPr>
        <w:t xml:space="preserve">))</w:t>
      </w:r>
      <w:r>
        <w:br/>
      </w:r>
      <w:r>
        <w:br/>
      </w:r>
      <w:r>
        <w:rPr>
          <w:rStyle w:val="NormalTok"/>
        </w:rPr>
        <w:t xml:space="preserve">deaths_coords </w:t>
      </w:r>
      <w:r>
        <w:rPr>
          <w:rStyle w:val="OtherTok"/>
        </w:rPr>
        <w:t xml:space="preserve">&lt;-</w:t>
      </w:r>
      <w:r>
        <w:rPr>
          <w:rStyle w:val="NormalTok"/>
        </w:rPr>
        <w:t xml:space="preserve"> sf</w:t>
      </w:r>
      <w:r>
        <w:rPr>
          <w:rStyle w:val="SpecialCharTok"/>
        </w:rPr>
        <w:t xml:space="preserve">::</w:t>
      </w:r>
      <w:r>
        <w:rPr>
          <w:rStyle w:val="FunctionTok"/>
        </w:rPr>
        <w:t xml:space="preserve">st_coordinates</w:t>
      </w:r>
      <w:r>
        <w:rPr>
          <w:rStyle w:val="NormalTok"/>
        </w:rPr>
        <w:t xml:space="preserve">(deaths) </w:t>
      </w:r>
      <w:r>
        <w:rPr>
          <w:rStyle w:val="SpecialCharTok"/>
        </w:rPr>
        <w:t xml:space="preserve">|&gt;</w:t>
      </w:r>
      <w:r>
        <w:rPr>
          <w:rStyle w:val="NormalTok"/>
        </w:rPr>
        <w:t xml:space="preserve"> </w:t>
      </w:r>
      <w:r>
        <w:rPr>
          <w:rStyle w:val="FunctionTok"/>
        </w:rPr>
        <w:t xml:space="preserve">data.frame</w:t>
      </w:r>
      <w:r>
        <w:rPr>
          <w:rStyle w:val="NormalTok"/>
        </w:rPr>
        <w:t xml:space="preserve">()</w:t>
      </w:r>
      <w:r>
        <w:br/>
      </w:r>
      <w:r>
        <w:br/>
      </w:r>
      <w:r>
        <w:rPr>
          <w:rStyle w:val="NormalTok"/>
        </w:rPr>
        <w:t xml:space="preserve">pumps </w:t>
      </w:r>
      <w:r>
        <w:rPr>
          <w:rStyle w:val="OtherTok"/>
        </w:rPr>
        <w:t xml:space="preserve">&lt;-</w:t>
      </w:r>
      <w:r>
        <w:rPr>
          <w:rStyle w:val="NormalTok"/>
        </w:rPr>
        <w:t xml:space="preserve"> </w:t>
      </w:r>
      <w:r>
        <w:rPr>
          <w:rStyle w:val="FunctionTok"/>
        </w:rPr>
        <w:t xml:space="preserve">read_sf</w:t>
      </w:r>
      <w:r>
        <w:rPr>
          <w:rStyle w:val="NormalTok"/>
        </w:rPr>
        <w:t xml:space="preserve">(</w:t>
      </w:r>
      <w:r>
        <w:rPr>
          <w:rStyle w:val="FunctionTok"/>
        </w:rPr>
        <w:t xml:space="preserve">paste0</w:t>
      </w:r>
      <w:r>
        <w:rPr>
          <w:rStyle w:val="NormalTok"/>
        </w:rPr>
        <w:t xml:space="preserve">(path, </w:t>
      </w:r>
      <w:r>
        <w:rPr>
          <w:rStyle w:val="StringTok"/>
        </w:rPr>
        <w:t xml:space="preserve">"/Pumps.shp"</w:t>
      </w:r>
      <w:r>
        <w:rPr>
          <w:rStyle w:val="NormalTok"/>
        </w:rPr>
        <w:t xml:space="preserve">))</w:t>
      </w:r>
      <w:r>
        <w:br/>
      </w:r>
      <w:r>
        <w:br/>
      </w:r>
      <w:r>
        <w:rPr>
          <w:rStyle w:val="NormalTok"/>
        </w:rPr>
        <w:t xml:space="preserve">osm1 </w:t>
      </w:r>
      <w:r>
        <w:rPr>
          <w:rStyle w:val="OtherTok"/>
        </w:rPr>
        <w:t xml:space="preserve">&lt;-</w:t>
      </w:r>
      <w:r>
        <w:rPr>
          <w:rStyle w:val="NormalTok"/>
        </w:rPr>
        <w:t xml:space="preserve"> stars</w:t>
      </w:r>
      <w:r>
        <w:rPr>
          <w:rStyle w:val="SpecialCharTok"/>
        </w:rPr>
        <w:t xml:space="preserve">::</w:t>
      </w:r>
      <w:r>
        <w:rPr>
          <w:rStyle w:val="FunctionTok"/>
        </w:rPr>
        <w:t xml:space="preserve">read_stars</w:t>
      </w:r>
      <w:r>
        <w:rPr>
          <w:rStyle w:val="NormalTok"/>
        </w:rPr>
        <w:t xml:space="preserve">(</w:t>
      </w:r>
      <w:r>
        <w:rPr>
          <w:rStyle w:val="FunctionTok"/>
        </w:rPr>
        <w:t xml:space="preserve">paste0</w:t>
      </w:r>
      <w:r>
        <w:rPr>
          <w:rStyle w:val="NormalTok"/>
        </w:rPr>
        <w:t xml:space="preserve">(path, </w:t>
      </w:r>
      <w:r>
        <w:rPr>
          <w:rStyle w:val="StringTok"/>
        </w:rPr>
        <w:t xml:space="preserve">"/SnowMap.tif"</w:t>
      </w:r>
      <w:r>
        <w:rPr>
          <w:rStyle w:val="NormalTok"/>
        </w:rPr>
        <w:t xml:space="preserve">))</w:t>
      </w:r>
      <w:r>
        <w:br/>
      </w:r>
      <w:r>
        <w:rPr>
          <w:rStyle w:val="NormalTok"/>
        </w:rPr>
        <w:t xml:space="preserve">osm2 </w:t>
      </w:r>
      <w:r>
        <w:rPr>
          <w:rStyle w:val="OtherTok"/>
        </w:rPr>
        <w:t xml:space="preserve">&lt;-</w:t>
      </w:r>
      <w:r>
        <w:rPr>
          <w:rStyle w:val="NormalTok"/>
        </w:rPr>
        <w:t xml:space="preserve"> stars</w:t>
      </w:r>
      <w:r>
        <w:rPr>
          <w:rStyle w:val="SpecialCharTok"/>
        </w:rPr>
        <w:t xml:space="preserve">::</w:t>
      </w:r>
      <w:r>
        <w:rPr>
          <w:rStyle w:val="FunctionTok"/>
        </w:rPr>
        <w:t xml:space="preserve">read_stars</w:t>
      </w:r>
      <w:r>
        <w:rPr>
          <w:rStyle w:val="NormalTok"/>
        </w:rPr>
        <w:t xml:space="preserve">(</w:t>
      </w:r>
      <w:r>
        <w:rPr>
          <w:rStyle w:val="FunctionTok"/>
        </w:rPr>
        <w:t xml:space="preserve">paste0</w:t>
      </w:r>
      <w:r>
        <w:rPr>
          <w:rStyle w:val="NormalTok"/>
        </w:rPr>
        <w:t xml:space="preserve">(path, </w:t>
      </w:r>
      <w:r>
        <w:rPr>
          <w:rStyle w:val="StringTok"/>
        </w:rPr>
        <w:t xml:space="preserve">"/OSMAp_Grayscale.tif"</w:t>
      </w:r>
      <w:r>
        <w:rPr>
          <w:rStyle w:val="NormalTok"/>
        </w:rPr>
        <w:t xml:space="preserve">))</w:t>
      </w:r>
    </w:p>
    <w:p>
      <w:pPr>
        <w:pStyle w:val="SourceCode"/>
      </w:pPr>
      <w:r>
        <w:rPr>
          <w:rStyle w:val="VerbatimChar"/>
        </w:rPr>
        <w:t xml:space="preserve">## Simple feature collection with 250 features and 2 fields</w:t>
      </w:r>
      <w:r>
        <w:br/>
      </w:r>
      <w:r>
        <w:rPr>
          <w:rStyle w:val="VerbatimChar"/>
        </w:rPr>
        <w:t xml:space="preserve">## Geometry type: POINT</w:t>
      </w:r>
      <w:r>
        <w:br/>
      </w:r>
      <w:r>
        <w:rPr>
          <w:rStyle w:val="VerbatimChar"/>
        </w:rPr>
        <w:t xml:space="preserve">## Dimension:     XY</w:t>
      </w:r>
      <w:r>
        <w:br/>
      </w:r>
      <w:r>
        <w:rPr>
          <w:rStyle w:val="VerbatimChar"/>
        </w:rPr>
        <w:t xml:space="preserve">## Bounding box:  xmin: 529160.3 ymin: 180857.9 xmax: 529655.9 ymax: 181306.2</w:t>
      </w:r>
      <w:r>
        <w:br/>
      </w:r>
      <w:r>
        <w:rPr>
          <w:rStyle w:val="VerbatimChar"/>
        </w:rPr>
        <w:t xml:space="preserve">## Projected CRS: OSGB36 / British National Grid</w:t>
      </w:r>
      <w:r>
        <w:br/>
      </w:r>
      <w:r>
        <w:rPr>
          <w:rStyle w:val="VerbatimChar"/>
        </w:rPr>
        <w:t xml:space="preserve">## # A tibble: 250 × 3</w:t>
      </w:r>
      <w:r>
        <w:br/>
      </w:r>
      <w:r>
        <w:rPr>
          <w:rStyle w:val="VerbatimChar"/>
        </w:rPr>
        <w:t xml:space="preserve">##       Id Count            geometry</w:t>
      </w:r>
      <w:r>
        <w:br/>
      </w:r>
      <w:r>
        <w:rPr>
          <w:rStyle w:val="VerbatimChar"/>
        </w:rPr>
        <w:t xml:space="preserve">##    &lt;int&gt; &lt;int&gt;         &lt;POINT [m]&gt;</w:t>
      </w:r>
      <w:r>
        <w:br/>
      </w:r>
      <w:r>
        <w:rPr>
          <w:rStyle w:val="VerbatimChar"/>
        </w:rPr>
        <w:t xml:space="preserve">##  1     0     3 (529308.7 181031.4)</w:t>
      </w:r>
      <w:r>
        <w:br/>
      </w:r>
      <w:r>
        <w:rPr>
          <w:rStyle w:val="VerbatimChar"/>
        </w:rPr>
        <w:t xml:space="preserve">##  2     0     2 (529312.2 181025.2)</w:t>
      </w:r>
      <w:r>
        <w:br/>
      </w:r>
      <w:r>
        <w:rPr>
          <w:rStyle w:val="VerbatimChar"/>
        </w:rPr>
        <w:t xml:space="preserve">##  3     0     1 (529314.4 181020.3)</w:t>
      </w:r>
      <w:r>
        <w:br/>
      </w:r>
      <w:r>
        <w:rPr>
          <w:rStyle w:val="VerbatimChar"/>
        </w:rPr>
        <w:t xml:space="preserve">##  4     0     1 (529317.4 181014.3)</w:t>
      </w:r>
      <w:r>
        <w:br/>
      </w:r>
      <w:r>
        <w:rPr>
          <w:rStyle w:val="VerbatimChar"/>
        </w:rPr>
        <w:t xml:space="preserve">##  5     0     4 (529320.7 181007.9)</w:t>
      </w:r>
      <w:r>
        <w:br/>
      </w:r>
      <w:r>
        <w:rPr>
          <w:rStyle w:val="VerbatimChar"/>
        </w:rPr>
        <w:t xml:space="preserve">##  6     0     2   (529336.7 181006)</w:t>
      </w:r>
      <w:r>
        <w:br/>
      </w:r>
      <w:r>
        <w:rPr>
          <w:rStyle w:val="VerbatimChar"/>
        </w:rPr>
        <w:t xml:space="preserve">##  7     0     2 (529290.1 181024.4)</w:t>
      </w:r>
      <w:r>
        <w:br/>
      </w:r>
      <w:r>
        <w:rPr>
          <w:rStyle w:val="VerbatimChar"/>
        </w:rPr>
        <w:t xml:space="preserve">##  8     0     2   (529301 181021.2)</w:t>
      </w:r>
      <w:r>
        <w:br/>
      </w:r>
      <w:r>
        <w:rPr>
          <w:rStyle w:val="VerbatimChar"/>
        </w:rPr>
        <w:t xml:space="preserve">##  9     0     3   (529285 181020.2)</w:t>
      </w:r>
      <w:r>
        <w:br/>
      </w:r>
      <w:r>
        <w:rPr>
          <w:rStyle w:val="VerbatimChar"/>
        </w:rPr>
        <w:t xml:space="preserve">## 10     0     2 (529288.4 181031.8)</w:t>
      </w:r>
      <w:r>
        <w:br/>
      </w:r>
      <w:r>
        <w:rPr>
          <w:rStyle w:val="VerbatimChar"/>
        </w:rPr>
        <w:t xml:space="preserve">## # ℹ 240 more rows</w:t>
      </w:r>
    </w:p>
    <w:p>
      <w:pPr>
        <w:pStyle w:val="FirstParagraph"/>
      </w:pPr>
      <w:r>
        <w:t xml:space="preserve">If we review the</w:t>
      </w:r>
      <w:r>
        <w:t xml:space="preserve"> </w:t>
      </w:r>
      <w:r>
        <w:rPr>
          <w:rStyle w:val="VerbatimChar"/>
        </w:rPr>
        <w:t xml:space="preserve">deaths</w:t>
      </w:r>
      <w:r>
        <w:t xml:space="preserve"> </w:t>
      </w:r>
      <w:r>
        <w:t xml:space="preserve">data we can see it consists a set of metadata which tells us the type of geometry (point), the dimensions (X and Y) the limits of the area and the coordinate reference system (CRS). In this case the the locations are measured in meters but they can be converted to degrees.</w:t>
      </w:r>
    </w:p>
    <w:p>
      <w:pPr>
        <w:pStyle w:val="BodyText"/>
      </w:pPr>
      <w:r>
        <w:t xml:space="preserve">The first 10 records are shown - we can see there is an Id, a Count - the number of deaths at each location - and a geometry field which contains the point location. In all there are 250 locations where deaths occurred.</w:t>
      </w:r>
    </w:p>
    <w:bookmarkEnd w:id="21"/>
    <w:bookmarkStart w:id="25" w:name="distribution"/>
    <w:p>
      <w:pPr>
        <w:pStyle w:val="Heading2"/>
      </w:pPr>
      <w:r>
        <w:t xml:space="preserve">Distribution</w:t>
      </w:r>
    </w:p>
    <w:p>
      <w:pPr>
        <w:pStyle w:val="FirstParagraph"/>
      </w:pPr>
      <w:r>
        <w:t xml:space="preserve">We can look at the distribution of death counts by plotting a histogram.</w:t>
      </w:r>
    </w:p>
    <w:p>
      <w:pPr>
        <w:pStyle w:val="BodyText"/>
      </w:pPr>
      <w:r>
        <w:drawing>
          <wp:inline>
            <wp:extent cx="5334000" cy="4267200"/>
            <wp:effectExtent b="0" l="0" r="0" t="0"/>
            <wp:docPr descr="" title="" id="23" name="Picture"/>
            <a:graphic>
              <a:graphicData uri="http://schemas.openxmlformats.org/drawingml/2006/picture">
                <pic:pic>
                  <pic:nvPicPr>
                    <pic:cNvPr descr="jonn-snow_files/figure-docx/histogram-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shows that at the majority of locations there was only 1 death, but there were many sites with multiple deaths. If we plot the locations on a map</w:t>
      </w:r>
    </w:p>
    <w:bookmarkEnd w:id="25"/>
    <w:bookmarkStart w:id="32" w:name="map-the-data"/>
    <w:p>
      <w:pPr>
        <w:pStyle w:val="Heading2"/>
      </w:pPr>
      <w:r>
        <w:t xml:space="preserve">Map the data</w:t>
      </w:r>
    </w:p>
    <w:p>
      <w:pPr>
        <w:pStyle w:val="FirstParagraph"/>
      </w:pPr>
      <w:r>
        <w:drawing>
          <wp:inline>
            <wp:extent cx="5334000" cy="4267200"/>
            <wp:effectExtent b="0" l="0" r="0" t="0"/>
            <wp:docPr descr="" title="" id="27" name="Picture"/>
            <a:graphic>
              <a:graphicData uri="http://schemas.openxmlformats.org/drawingml/2006/picture">
                <pic:pic>
                  <pic:nvPicPr>
                    <pic:cNvPr descr="jonn-snow_files/figure-docx/unnamed-chunk-4-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create an interactive map of the data using</w:t>
      </w:r>
      <w:r>
        <w:t xml:space="preserve"> </w:t>
      </w:r>
      <w:r>
        <w:rPr>
          <w:rStyle w:val="VerbatimChar"/>
        </w:rPr>
        <w:t xml:space="preserve">mapview</w:t>
      </w:r>
      <w:r>
        <w:t xml:space="preserve">…</w:t>
      </w:r>
    </w:p>
    <w:p>
      <w:pPr>
        <w:pStyle w:val="BodyText"/>
      </w:pPr>
      <w:r>
        <w:drawing>
          <wp:inline>
            <wp:extent cx="5334000" cy="4267200"/>
            <wp:effectExtent b="0" l="0" r="0" t="0"/>
            <wp:docPr descr="" title="" id="30" name="Picture"/>
            <a:graphic>
              <a:graphicData uri="http://schemas.openxmlformats.org/drawingml/2006/picture">
                <pic:pic>
                  <pic:nvPicPr>
                    <pic:cNvPr descr="jonn-snow_files/figure-docx/unnamed-chunk-5-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bookmarkEnd w:id="32"/>
    <w:bookmarkStart w:id="36" w:name="add-analysis"/>
    <w:p>
      <w:pPr>
        <w:pStyle w:val="Heading2"/>
      </w:pPr>
      <w:r>
        <w:t xml:space="preserve">Add analysis</w:t>
      </w:r>
    </w:p>
    <w:p>
      <w:pPr>
        <w:pStyle w:val="FirstParagraph"/>
      </w:pPr>
      <w:r>
        <w:t xml:space="preserve">Finally overlaying the point data with kernel density estimate (kde) can provide a succinct visualisation of the spatial density of point data.</w:t>
      </w:r>
    </w:p>
    <w:p>
      <w:pPr>
        <w:pStyle w:val="SourceCode"/>
      </w:pPr>
      <w:r>
        <w:rPr>
          <w:rStyle w:val="NormalTok"/>
        </w:rPr>
        <w:t xml:space="preserve">deaths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geom_stars</w:t>
      </w:r>
      <w:r>
        <w:rPr>
          <w:rStyle w:val="NormalTok"/>
        </w:rPr>
        <w:t xml:space="preserve">(</w:t>
      </w:r>
      <w:r>
        <w:rPr>
          <w:rStyle w:val="AttributeTok"/>
        </w:rPr>
        <w:t xml:space="preserve">data =</w:t>
      </w:r>
      <w:r>
        <w:rPr>
          <w:rStyle w:val="NormalTok"/>
        </w:rPr>
        <w:t xml:space="preserve"> osm2,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size =</w:t>
      </w:r>
      <w:r>
        <w:rPr>
          <w:rStyle w:val="NormalTok"/>
        </w:rPr>
        <w:t xml:space="preserve"> Count))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pumps,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FunctionTok"/>
        </w:rPr>
        <w:t xml:space="preserve">aes</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geom_density2d</w:t>
      </w:r>
      <w:r>
        <w:rPr>
          <w:rStyle w:val="NormalTok"/>
        </w:rPr>
        <w:t xml:space="preserve">(</w:t>
      </w:r>
      <w:r>
        <w:rPr>
          <w:rStyle w:val="FunctionTok"/>
        </w:rPr>
        <w:t xml:space="preserve">aes</w:t>
      </w:r>
      <w:r>
        <w:rPr>
          <w:rStyle w:val="NormalTok"/>
        </w:rPr>
        <w:t xml:space="preserve">(deaths_coords</w:t>
      </w:r>
      <w:r>
        <w:rPr>
          <w:rStyle w:val="SpecialCharTok"/>
        </w:rPr>
        <w:t xml:space="preserve">$</w:t>
      </w:r>
      <w:r>
        <w:rPr>
          <w:rStyle w:val="NormalTok"/>
        </w:rPr>
        <w:t xml:space="preserve">X, deaths_coords</w:t>
      </w:r>
      <w:r>
        <w:rPr>
          <w:rStyle w:val="SpecialCharTok"/>
        </w:rPr>
        <w:t xml:space="preserve">$</w:t>
      </w:r>
      <w:r>
        <w:rPr>
          <w:rStyle w:val="NormalTok"/>
        </w:rPr>
        <w:t xml:space="preserve">Y),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plot.title.position =</w:t>
      </w:r>
      <w:r>
        <w:rPr>
          <w:rStyle w:val="NormalTok"/>
        </w:rPr>
        <w:t xml:space="preserve"> </w:t>
      </w:r>
      <w:r>
        <w:rPr>
          <w:rStyle w:val="StringTok"/>
        </w:rPr>
        <w:t xml:space="preserve">"plot"</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"viridis"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"Location of cholera deaths in 1854 outbreak in relation to street water pumps"</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"Overlaid with a 2D kernel density estimate which shows the Broad(wick) pump at the epicentre of the outbreak"</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jonn-snow_files/figure-docx/kde-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shows how one pump (at what is now called Broadwick Street) is at the epicentre of the outbreak.</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dc:title>
  <dc:creator>Julian Flowers</dc:creator>
  <cp:keywords/>
  <dcterms:created xsi:type="dcterms:W3CDTF">2024-04-20T19:51:26Z</dcterms:created>
  <dcterms:modified xsi:type="dcterms:W3CDTF">2024-04-20T19:51:26Z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2024-04-20</vt:lpwstr>
  </property>
  <property fmtid="{D5CDD505-2E9C-101B-9397-08002B2CF9AE}" pid="3" name="output">
    <vt:lpwstr/>
  </property>
  <property fmtid="{D5CDD505-2E9C-101B-9397-08002B2CF9AE}" pid="4" name="subtitle">
    <vt:lpwstr>Analysis of John Snow’s 154 cholera data</vt:lpwstr>
  </property>
</Properties>
</file>