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156C41" w:rsidRPr="00156C41" w:rsidTr="00156C41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56C41" w:rsidRPr="00156C41" w:rsidRDefault="00156C41" w:rsidP="00F10AF0">
            <w:pPr>
              <w:spacing w:before="0" w:line="240" w:lineRule="auto"/>
              <w:rPr>
                <w:rFonts w:ascii="Arial" w:hAnsi="Arial"/>
                <w:sz w:val="20"/>
              </w:rPr>
            </w:pPr>
          </w:p>
        </w:tc>
        <w:tc>
          <w:tcPr>
            <w:tcW w:w="8392" w:type="dxa"/>
            <w:gridSpan w:val="4"/>
            <w:shd w:val="clear" w:color="auto" w:fill="auto"/>
          </w:tcPr>
          <w:p w:rsidR="00156C41" w:rsidRPr="00156C41" w:rsidRDefault="00156C41" w:rsidP="00F10AF0">
            <w:pPr>
              <w:spacing w:before="0" w:line="240" w:lineRule="auto"/>
              <w:rPr>
                <w:rFonts w:ascii="Arial" w:hAnsi="Arial"/>
                <w:b/>
                <w:sz w:val="20"/>
              </w:rPr>
            </w:pPr>
            <w:r w:rsidRPr="00156C41">
              <w:rPr>
                <w:rFonts w:ascii="Arial" w:hAnsi="Arial"/>
                <w:b/>
                <w:sz w:val="20"/>
              </w:rPr>
              <w:t>Verkäufer</w:t>
            </w:r>
          </w:p>
        </w:tc>
      </w:tr>
      <w:tr w:rsidR="001828DF" w:rsidRPr="00D00F2E" w:rsidTr="00156C41">
        <w:tc>
          <w:tcPr>
            <w:tcW w:w="1384" w:type="dxa"/>
            <w:tcBorders>
              <w:top w:val="nil"/>
              <w:left w:val="nil"/>
            </w:tcBorders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auto"/>
          </w:tcPr>
          <w:p w:rsidR="001828DF" w:rsidRPr="001828DF" w:rsidRDefault="001828DF" w:rsidP="001828DF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 w:rsidRPr="001828DF">
              <w:rPr>
                <w:rFonts w:ascii="Arial" w:hAnsi="Arial"/>
                <w:b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 w:rsidRPr="00D00F2E">
              <w:rPr>
                <w:rFonts w:ascii="Arial" w:hAnsi="Arial"/>
                <w:b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>
              <w:rPr>
                <w:rFonts w:ascii="Arial" w:hAnsi="Arial"/>
                <w:b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auto"/>
          </w:tcPr>
          <w:p w:rsidR="001828DF" w:rsidRPr="00D00F2E" w:rsidRDefault="001828DF" w:rsidP="00D00F2E">
            <w:pPr>
              <w:spacing w:before="0" w:line="240" w:lineRule="auto"/>
              <w:rPr>
                <w:rFonts w:ascii="Arial" w:hAnsi="Arial"/>
                <w:b/>
                <w:sz w:val="48"/>
                <w:szCs w:val="22"/>
              </w:rPr>
            </w:pPr>
            <w:r>
              <w:rPr>
                <w:rFonts w:ascii="Arial" w:hAnsi="Arial"/>
                <w:b/>
                <w:sz w:val="48"/>
                <w:szCs w:val="22"/>
              </w:rPr>
              <w:t>G</w:t>
            </w:r>
          </w:p>
        </w:tc>
      </w:tr>
      <w:tr w:rsidR="00665B26" w:rsidRPr="003C16BA" w:rsidTr="000E7CDE">
        <w:tc>
          <w:tcPr>
            <w:tcW w:w="1384" w:type="dxa"/>
          </w:tcPr>
          <w:p w:rsidR="00665B26" w:rsidRDefault="00665B26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  <w:p w:rsidR="00665B26" w:rsidRPr="00D3736D" w:rsidRDefault="00665B26" w:rsidP="00D3736D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  <w:r w:rsidRPr="00D3736D">
              <w:rPr>
                <w:rFonts w:ascii="Arial" w:hAnsi="Arial"/>
                <w:sz w:val="16"/>
                <w:szCs w:val="22"/>
              </w:rPr>
              <w:t>Zusätzlich zum AIV-Standard</w:t>
            </w: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Eigene Ziele außen vor lassen und auf Kunde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bedürfnisse konzentri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ren, detailliert vorbereitet, auf jeden Fall ausführliche Agenda vorab schicken.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Keinen Druck machen, viel Geduld und Zeit mitbringen, sich einstellen auf Erklären müssen und Fragen beantworten, unterstützen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A663B" w:rsidRDefault="007A663B" w:rsidP="007A66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665B26" w:rsidRDefault="007A663B" w:rsidP="007A66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Bestätigung, Sicherheit, kann sich mit Kauf auf mich verlassen, kein Zeitdruck und Streß</w:t>
            </w: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Eigene Ziele außen vor lassen und auf Kunde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bedürfnisse konzentri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ren, detailliert vorbereitet, auf jeden Fall ausführliche Agenda vorab schicken.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Gas raus, keinen Druck machen, viel Geduld und Zeit mitbringen, sich einstellen auf Erklären und Fragen beantworten, nicht so laut und plakativ, etwas verbindlicher sein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Bestätigung, Sicherheit, kann sich mit Kauf auf mich verlassen, kein Zeitdruck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Eigene Ziele fixieren, detailliert vorbereitet, auf Kundenbedürfnisse ko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zentrieren, auf jeden Fall ausführliche Agenda vorab schicken.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Sei du selbst, Feedback geben, wenn etwas in die falsche Richtung läuft, Ziel im Auge behalten, nicht zu viel `kuscheln`, eher die Führung etwas übe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nehmen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A663B" w:rsidRDefault="007A663B" w:rsidP="007A66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7A663B" w:rsidRDefault="007A663B" w:rsidP="007A66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Bestätigung, Sicherheit, kann sich mit Kauf auf mich verlassen, kein Zeitdruck, nicht so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dringlich</w:t>
            </w:r>
          </w:p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Sich auf die Person des Kunden einstellen, detai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liert vorbereitet, auf Ku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denbedürfnisse konzen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rieren, auf jeden Fall ausführliche Agenda vorab schicken.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Interesse an der Person zeigen, erst Emotion, dann Sache, geduldig sein, die weiche Seite mehr zeigen, Nähe zula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sen, eher die Führung etwas übernehmen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A663B" w:rsidRDefault="007A663B" w:rsidP="007A66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665B26" w:rsidRPr="003C16BA" w:rsidRDefault="007A663B" w:rsidP="007A663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Bestätigung, Sicherheit, kann sich mit Kauf auf mich verlassen, mehr persönliche Nähe</w:t>
            </w:r>
          </w:p>
        </w:tc>
      </w:tr>
      <w:tr w:rsidR="00665B26" w:rsidRPr="003C16BA" w:rsidTr="000E7CDE">
        <w:tc>
          <w:tcPr>
            <w:tcW w:w="1384" w:type="dxa"/>
          </w:tcPr>
          <w:p w:rsidR="00665B26" w:rsidRPr="009841BB" w:rsidRDefault="00665B26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Ruhig und ausgeglichen auftreten, eher defensiv, evt. etwas Smalltalk, das Kunde zeigt, daß ich an ihm persönlich interessiert bin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Sich etwas zurückne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men, leiser auftreten, nicht gleich den letzten Blondinenwitz bringen, eher defensiv auftreten, evt. etwas Smalltalk, das Kunde zeigt, daß ich an ihm persönlich interessiert bin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Sei du selbst, Zeit für persönlichen Austausch, evt. etwas Smalltalk</w:t>
            </w:r>
          </w:p>
        </w:tc>
        <w:tc>
          <w:tcPr>
            <w:tcW w:w="2098" w:type="dxa"/>
          </w:tcPr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für persönlichen Austausch, evt. etwas Smalltalk, Nähe erzeugen</w:t>
            </w:r>
          </w:p>
        </w:tc>
      </w:tr>
      <w:tr w:rsidR="00665B26" w:rsidRPr="003C16BA" w:rsidTr="000E7CDE">
        <w:tc>
          <w:tcPr>
            <w:tcW w:w="1384" w:type="dxa"/>
          </w:tcPr>
          <w:p w:rsidR="00665B26" w:rsidRPr="009841BB" w:rsidRDefault="00665B26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W-Fragen stellen statt argumentieren, aktiv zuhören, öfter zusamme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fassen, lieber nochmal nachfragen, erste Hilfen signalisieren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Durchdachte Fragen stellen statt argumenti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ren, viel aktiv zuhören, öfter zusammenfassen, häufig nachfragen, erste Hilfen signalisieren</w:t>
            </w:r>
          </w:p>
        </w:tc>
        <w:tc>
          <w:tcPr>
            <w:tcW w:w="2098" w:type="dxa"/>
          </w:tcPr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Durchdachte Fragen stellen statt argumenti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ren, viel aktiv zuhören, öfter zusammenfassen, häufig nachfragen, erste Hilfen signalisieren</w:t>
            </w:r>
          </w:p>
        </w:tc>
        <w:tc>
          <w:tcPr>
            <w:tcW w:w="2098" w:type="dxa"/>
          </w:tcPr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Eher Fragen stellen statt argumentieren, viel aktiv zuhören, öfter zusamme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fassen, häufig nachfr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gen, erste Hilfen signal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sieren</w:t>
            </w:r>
          </w:p>
        </w:tc>
      </w:tr>
      <w:tr w:rsidR="00665B26" w:rsidRPr="003C16BA" w:rsidTr="000E7CDE">
        <w:tc>
          <w:tcPr>
            <w:tcW w:w="1384" w:type="dxa"/>
          </w:tcPr>
          <w:p w:rsidR="00665B26" w:rsidRPr="009841BB" w:rsidRDefault="00665B26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Erst Vertrauen aufbauen, dann Geschäft, viel Infos, erklären, ohne Druck, langsam vom Bekannten zum Neuen in kleinen Schritten führen, nicht mit der Türe ins Haus fallen, kaufen helfen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 von Nachte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len, Nachhaltigkeit, nicht alles verändern müssen, Zuverlässigkeit, Service, bewährt, Referenzen, Kunde weiß, was auf ihn zukommt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Erst Vertrauen aufbauen, dann Geschäft, viel Infos, erklären, ohne Druck, langsam vom Bekannten zum Neuen in kleinen Schritten führen, nicht mit der Türe ins Haus fallen, keine Begeisterung erwa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ten, kaufen helfen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 von Nachte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len, Nachhaltigkeit, nicht alles verändern müssen, Zuverlässigkeit, Service, bewährt, Referenzen, Kunde weiß, was auf ihn zukommt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Erst Vertrauen aufbauen, dann Geschäft, viel Infos, erklären, langsam vom Bekannten zum Neuen in kleinen Schritten führen, Führung übernehmen, kaufen helfen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 von Nachte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len, Nachhaltigkeit, nicht alles verändern müssen, Zuverlässigkeit, Service, bewährt, Referenzen, Kunde weiß, was auf ihn zukommt</w:t>
            </w:r>
          </w:p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Erst Vertrauen aufbauen, dann Geschäft, emotion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>le Beziehung aufbauen, viel Infos, erklären, lan</w:t>
            </w:r>
            <w:r>
              <w:rPr>
                <w:rFonts w:ascii="Arial" w:hAnsi="Arial"/>
                <w:sz w:val="16"/>
                <w:szCs w:val="22"/>
              </w:rPr>
              <w:t>g</w:t>
            </w:r>
            <w:r>
              <w:rPr>
                <w:rFonts w:ascii="Arial" w:hAnsi="Arial"/>
                <w:sz w:val="16"/>
                <w:szCs w:val="22"/>
              </w:rPr>
              <w:t>sam vom Bekannten zum Neuen in kleinen Schritten führen, Führung übe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nehmen, kaufen helfen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 von Nachte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len, Nachhaltigkeit, nicht alles verändern müssen, Zuverlässigkeit, Service, bewährt, Referenzen, Kunde weiß, was auf ihn zukommt</w:t>
            </w: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65B26" w:rsidRPr="003C16BA" w:rsidTr="000E7CDE">
        <w:tc>
          <w:tcPr>
            <w:tcW w:w="1384" w:type="dxa"/>
          </w:tcPr>
          <w:p w:rsidR="00665B26" w:rsidRPr="009841BB" w:rsidRDefault="00665B26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5 Einwände</w:t>
            </w: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geben zum Nachde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ken, aktiv Feedback einholen, genau drauf eingehen, ihm ´aus der Patsche´ helfen</w:t>
            </w: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geben zum Nachde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ken, aktiv Feedback einholen, genau drauf eingehen, ihm ´aus der Patsche´ helfen, nicht ungeduldig werden</w:t>
            </w: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geben zum Nachde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ken, aktiv Feedback einholen, genau drauf eingehen, ihm ´aus der Patsche´ helfen, Führung übernehmen</w:t>
            </w:r>
          </w:p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Wissen alleine überzeugt nicht, Zeit geben zum Nachdenken, aktiv Fee</w:t>
            </w:r>
            <w:r>
              <w:rPr>
                <w:rFonts w:ascii="Arial" w:hAnsi="Arial"/>
                <w:sz w:val="16"/>
                <w:szCs w:val="22"/>
              </w:rPr>
              <w:t>d</w:t>
            </w:r>
            <w:r>
              <w:rPr>
                <w:rFonts w:ascii="Arial" w:hAnsi="Arial"/>
                <w:sz w:val="16"/>
                <w:szCs w:val="22"/>
              </w:rPr>
              <w:t>back einholen, genau drauf eingehen, ihm ´aus der Patsche´ helfen, Führung übernehmen</w:t>
            </w:r>
          </w:p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65B26" w:rsidRPr="003C16BA" w:rsidTr="000E7CDE">
        <w:tc>
          <w:tcPr>
            <w:tcW w:w="1384" w:type="dxa"/>
          </w:tcPr>
          <w:p w:rsidR="00665B26" w:rsidRPr="009841BB" w:rsidRDefault="00665B26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6 Abschluß</w:t>
            </w: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zusammenfassen, Res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punkte sauber abarbeiten, weiteren Weg abstecken, vorsichtige Empfehlung aussprechen, Sicherhe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ten geben, Zeit zum Entscheiden geben, nicht drängen, persönliche Zusagen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gemeinsam zusamme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fassen, Restpunkte sa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ber abarbeiten, Empfe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lung aussprechen, Ve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trauen stärken, zu einer Entscheidung ermutigen, persönliche Zusagen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gemeinsam zusamme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fassen, Restpunkte sa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ber abarbeiten, verbindl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che Empfehlung ausspr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chen, zu einer Entsche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dung führen, Sicherheiten geben, Vertrauen stärken, persönliche Zusagen</w:t>
            </w:r>
          </w:p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gemeinsam zusamme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fassen, Restpunkte sa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ber abarbeiten, vorsicht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>ge Empfehlung ausspr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chen, nicht mit noch mehr Details verwirren, persö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liche Bindung stärken, persönliche Zusagen</w:t>
            </w:r>
          </w:p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65B26" w:rsidRPr="003C16BA" w:rsidTr="000E7CDE">
        <w:tc>
          <w:tcPr>
            <w:tcW w:w="1384" w:type="dxa"/>
          </w:tcPr>
          <w:p w:rsidR="00665B26" w:rsidRPr="009841BB" w:rsidRDefault="00665B26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Persönliches Feedback, nicht gleich mit dem Nächsten kommen, pe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sönliche Verfügbarkeit und weitere Unterstützung anbieten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Persönliches Feedback, nicht gleich mit dem Nächsten kommen, pe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 xml:space="preserve">sönliche Verfügbarkeit und weitere Unterstützung anbieten, Versprechen und Zusagen halten </w:t>
            </w:r>
          </w:p>
          <w:p w:rsidR="00665B26" w:rsidRDefault="00665B2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Persönliches Feedback, persönliche Verfügbarkeit und weitere Unterstützung anbieten, nach Feedback fragen</w:t>
            </w:r>
          </w:p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65B26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Persönliches Feedback, persönliche Verfügbarkeit und weitere Unterstützung anbieten, nach Feedback fragen</w:t>
            </w:r>
          </w:p>
          <w:p w:rsidR="00665B26" w:rsidRPr="003C16BA" w:rsidRDefault="00665B26" w:rsidP="00D42E76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</w:tbl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P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260368" w:rsidRDefault="0026036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sectPr w:rsidR="00393853" w:rsidSect="006060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69B" w:rsidRDefault="003A769B">
      <w:r>
        <w:separator/>
      </w:r>
    </w:p>
  </w:endnote>
  <w:endnote w:type="continuationSeparator" w:id="0">
    <w:p w:rsidR="003A769B" w:rsidRDefault="003A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D864FE">
      <w:rPr>
        <w:rFonts w:ascii="Arial" w:hAnsi="Arial"/>
        <w:noProof/>
        <w:sz w:val="12"/>
      </w:rPr>
      <w:t>Vergleich S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014F6A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014F6A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D864FE">
      <w:rPr>
        <w:rFonts w:ascii="Arial" w:hAnsi="Arial"/>
        <w:noProof/>
        <w:sz w:val="12"/>
      </w:rPr>
      <w:t>Vergleich S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D864FE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D864FE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69B" w:rsidRDefault="003A769B">
      <w:r>
        <w:separator/>
      </w:r>
    </w:p>
  </w:footnote>
  <w:footnote w:type="continuationSeparator" w:id="0">
    <w:p w:rsidR="003A769B" w:rsidRDefault="003A7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Pr="00014F6A" w:rsidRDefault="000D64DF">
    <w:pPr>
      <w:pStyle w:val="berschrift1"/>
      <w:tabs>
        <w:tab w:val="clear" w:pos="7056"/>
      </w:tabs>
      <w:spacing w:line="240" w:lineRule="atLeast"/>
      <w:jc w:val="left"/>
      <w:rPr>
        <w:rFonts w:cs="Arial"/>
        <w:bCs/>
        <w:sz w:val="24"/>
      </w:rPr>
    </w:pPr>
    <w:r w:rsidRPr="00014F6A"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7C3B62EA" wp14:editId="0D4E9A5B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4F6A" w:rsidRPr="00014F6A">
      <w:rPr>
        <w:noProof/>
        <w:sz w:val="24"/>
      </w:rPr>
      <w:t xml:space="preserve">4 </w:t>
    </w:r>
    <w:r w:rsidR="00D00F2E" w:rsidRPr="00014F6A">
      <w:rPr>
        <w:noProof/>
        <w:sz w:val="24"/>
      </w:rPr>
      <w:t xml:space="preserve">Vergleich für </w:t>
    </w:r>
    <w:r w:rsidR="003714B5" w:rsidRPr="00014F6A">
      <w:rPr>
        <w:noProof/>
        <w:sz w:val="24"/>
      </w:rPr>
      <w:t>S</w:t>
    </w:r>
    <w:r w:rsidR="00D00F2E" w:rsidRPr="00014F6A">
      <w:rPr>
        <w:noProof/>
        <w:sz w:val="24"/>
      </w:rPr>
      <w:t>-Kunden</w:t>
    </w:r>
  </w:p>
  <w:p w:rsidR="00393853" w:rsidRPr="003D017B" w:rsidRDefault="00393853">
    <w:pPr>
      <w:spacing w:before="0" w:line="240" w:lineRule="atLeast"/>
      <w:rPr>
        <w:rFonts w:ascii="Arial" w:hAnsi="Arial" w:cs="Arial"/>
        <w:bCs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0D64DF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C2AFB1" wp14:editId="65DAEB32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7DCB76" wp14:editId="66F32FBA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 w:rsidR="00393853">
      <w:rPr>
        <w:rFonts w:ascii="Arial Black" w:hAnsi="Arial Black"/>
        <w:color w:val="000000"/>
        <w:sz w:val="24"/>
      </w:rPr>
      <w:t>proTRAIN AG.</w:t>
    </w:r>
  </w:p>
  <w:p w:rsidR="00393853" w:rsidRDefault="000D64DF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7AE5D0" wp14:editId="77CF1DF9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</w:p>
  <w:p w:rsidR="00393853" w:rsidRDefault="00393853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F"/>
    <w:rsid w:val="00014F6A"/>
    <w:rsid w:val="00020BCC"/>
    <w:rsid w:val="0004117B"/>
    <w:rsid w:val="000628A6"/>
    <w:rsid w:val="0008714A"/>
    <w:rsid w:val="000A61B3"/>
    <w:rsid w:val="000C75D1"/>
    <w:rsid w:val="000D64DF"/>
    <w:rsid w:val="000E28E5"/>
    <w:rsid w:val="000E720A"/>
    <w:rsid w:val="001116F5"/>
    <w:rsid w:val="00116C1E"/>
    <w:rsid w:val="00142661"/>
    <w:rsid w:val="00156C41"/>
    <w:rsid w:val="00162B70"/>
    <w:rsid w:val="001828DF"/>
    <w:rsid w:val="001E3D8F"/>
    <w:rsid w:val="001E3E52"/>
    <w:rsid w:val="001E5890"/>
    <w:rsid w:val="001F3069"/>
    <w:rsid w:val="002161CB"/>
    <w:rsid w:val="00222B13"/>
    <w:rsid w:val="00222DEE"/>
    <w:rsid w:val="0023020C"/>
    <w:rsid w:val="002331A1"/>
    <w:rsid w:val="00240F8B"/>
    <w:rsid w:val="00260368"/>
    <w:rsid w:val="002628D4"/>
    <w:rsid w:val="002875D7"/>
    <w:rsid w:val="002F0F75"/>
    <w:rsid w:val="002F2F55"/>
    <w:rsid w:val="0031358F"/>
    <w:rsid w:val="00325159"/>
    <w:rsid w:val="00345CC8"/>
    <w:rsid w:val="00360944"/>
    <w:rsid w:val="003714B5"/>
    <w:rsid w:val="00387CB0"/>
    <w:rsid w:val="003937F2"/>
    <w:rsid w:val="00393853"/>
    <w:rsid w:val="003A6151"/>
    <w:rsid w:val="003A769B"/>
    <w:rsid w:val="003B77E4"/>
    <w:rsid w:val="003B7E7E"/>
    <w:rsid w:val="003C16BA"/>
    <w:rsid w:val="003C22EA"/>
    <w:rsid w:val="003D017B"/>
    <w:rsid w:val="003E6138"/>
    <w:rsid w:val="003F0C72"/>
    <w:rsid w:val="00403DF3"/>
    <w:rsid w:val="0042104F"/>
    <w:rsid w:val="0044455F"/>
    <w:rsid w:val="00446B93"/>
    <w:rsid w:val="00460C4C"/>
    <w:rsid w:val="0049374C"/>
    <w:rsid w:val="00496483"/>
    <w:rsid w:val="004B0DFA"/>
    <w:rsid w:val="004B3C6C"/>
    <w:rsid w:val="004C7504"/>
    <w:rsid w:val="004E59B7"/>
    <w:rsid w:val="004F6B0B"/>
    <w:rsid w:val="0050209D"/>
    <w:rsid w:val="00534480"/>
    <w:rsid w:val="00565783"/>
    <w:rsid w:val="005721F1"/>
    <w:rsid w:val="005727CC"/>
    <w:rsid w:val="00575880"/>
    <w:rsid w:val="005758C6"/>
    <w:rsid w:val="005A7603"/>
    <w:rsid w:val="005C10B2"/>
    <w:rsid w:val="005C6EA0"/>
    <w:rsid w:val="005F4882"/>
    <w:rsid w:val="005F54A7"/>
    <w:rsid w:val="00603908"/>
    <w:rsid w:val="006060F4"/>
    <w:rsid w:val="006229DC"/>
    <w:rsid w:val="006312A0"/>
    <w:rsid w:val="006339EC"/>
    <w:rsid w:val="00637EC7"/>
    <w:rsid w:val="00640598"/>
    <w:rsid w:val="00665B26"/>
    <w:rsid w:val="00666B81"/>
    <w:rsid w:val="00667A54"/>
    <w:rsid w:val="00681F00"/>
    <w:rsid w:val="00681FC8"/>
    <w:rsid w:val="00683C16"/>
    <w:rsid w:val="00683DC4"/>
    <w:rsid w:val="00687940"/>
    <w:rsid w:val="006A0259"/>
    <w:rsid w:val="006B53FB"/>
    <w:rsid w:val="006D2191"/>
    <w:rsid w:val="006D66D7"/>
    <w:rsid w:val="00732A2D"/>
    <w:rsid w:val="0073307D"/>
    <w:rsid w:val="00761A47"/>
    <w:rsid w:val="00761B1C"/>
    <w:rsid w:val="00774D12"/>
    <w:rsid w:val="007A663B"/>
    <w:rsid w:val="007C139C"/>
    <w:rsid w:val="007C4B14"/>
    <w:rsid w:val="007E3E2C"/>
    <w:rsid w:val="007E5A7C"/>
    <w:rsid w:val="007F3A22"/>
    <w:rsid w:val="00805872"/>
    <w:rsid w:val="00844511"/>
    <w:rsid w:val="00844FCA"/>
    <w:rsid w:val="00851551"/>
    <w:rsid w:val="008667C7"/>
    <w:rsid w:val="0086791F"/>
    <w:rsid w:val="00874306"/>
    <w:rsid w:val="0088370A"/>
    <w:rsid w:val="00886F55"/>
    <w:rsid w:val="00891A1E"/>
    <w:rsid w:val="008B493B"/>
    <w:rsid w:val="008F72DB"/>
    <w:rsid w:val="00903EBA"/>
    <w:rsid w:val="009046E2"/>
    <w:rsid w:val="00940EA6"/>
    <w:rsid w:val="00953F56"/>
    <w:rsid w:val="00963423"/>
    <w:rsid w:val="00964CE0"/>
    <w:rsid w:val="0097637C"/>
    <w:rsid w:val="009841BB"/>
    <w:rsid w:val="00987542"/>
    <w:rsid w:val="009B177D"/>
    <w:rsid w:val="009E7A79"/>
    <w:rsid w:val="009F0479"/>
    <w:rsid w:val="00A427D6"/>
    <w:rsid w:val="00A5360D"/>
    <w:rsid w:val="00A55CF6"/>
    <w:rsid w:val="00A56498"/>
    <w:rsid w:val="00A67DD3"/>
    <w:rsid w:val="00A81F8B"/>
    <w:rsid w:val="00A97E9E"/>
    <w:rsid w:val="00AB2C74"/>
    <w:rsid w:val="00AC0934"/>
    <w:rsid w:val="00AD684D"/>
    <w:rsid w:val="00B30EE1"/>
    <w:rsid w:val="00B45948"/>
    <w:rsid w:val="00B52A70"/>
    <w:rsid w:val="00B54D12"/>
    <w:rsid w:val="00B7605B"/>
    <w:rsid w:val="00B80EDC"/>
    <w:rsid w:val="00B87800"/>
    <w:rsid w:val="00BA5AE7"/>
    <w:rsid w:val="00BB1E84"/>
    <w:rsid w:val="00BE7691"/>
    <w:rsid w:val="00BF180D"/>
    <w:rsid w:val="00BF4ED7"/>
    <w:rsid w:val="00C03F76"/>
    <w:rsid w:val="00C07985"/>
    <w:rsid w:val="00C159CB"/>
    <w:rsid w:val="00C165AE"/>
    <w:rsid w:val="00C20E61"/>
    <w:rsid w:val="00C3474F"/>
    <w:rsid w:val="00C567C7"/>
    <w:rsid w:val="00C838D8"/>
    <w:rsid w:val="00CC73EE"/>
    <w:rsid w:val="00CF1430"/>
    <w:rsid w:val="00D00F2E"/>
    <w:rsid w:val="00D02FC3"/>
    <w:rsid w:val="00D05126"/>
    <w:rsid w:val="00D3736D"/>
    <w:rsid w:val="00D65697"/>
    <w:rsid w:val="00D65E20"/>
    <w:rsid w:val="00D66FF7"/>
    <w:rsid w:val="00D70537"/>
    <w:rsid w:val="00D75F7C"/>
    <w:rsid w:val="00D864FE"/>
    <w:rsid w:val="00D93A43"/>
    <w:rsid w:val="00D97FC4"/>
    <w:rsid w:val="00DB1425"/>
    <w:rsid w:val="00DC54E2"/>
    <w:rsid w:val="00DD087C"/>
    <w:rsid w:val="00DE27A1"/>
    <w:rsid w:val="00DF4F4C"/>
    <w:rsid w:val="00DF65CA"/>
    <w:rsid w:val="00DF785F"/>
    <w:rsid w:val="00E04F8B"/>
    <w:rsid w:val="00E145E6"/>
    <w:rsid w:val="00E171B8"/>
    <w:rsid w:val="00E21496"/>
    <w:rsid w:val="00E7578D"/>
    <w:rsid w:val="00EC23E3"/>
    <w:rsid w:val="00EC4414"/>
    <w:rsid w:val="00EE5408"/>
    <w:rsid w:val="00EF7BC5"/>
    <w:rsid w:val="00F105DF"/>
    <w:rsid w:val="00F106C5"/>
    <w:rsid w:val="00F30963"/>
    <w:rsid w:val="00F73A02"/>
    <w:rsid w:val="00F92AFF"/>
    <w:rsid w:val="00FB19AA"/>
    <w:rsid w:val="00FE4D2A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2</cp:revision>
  <cp:lastPrinted>2012-04-25T15:57:00Z</cp:lastPrinted>
  <dcterms:created xsi:type="dcterms:W3CDTF">2012-06-06T10:33:00Z</dcterms:created>
  <dcterms:modified xsi:type="dcterms:W3CDTF">2012-06-06T10:33:00Z</dcterms:modified>
</cp:coreProperties>
</file>