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o2cdwy8ym20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Esta clase está diseñada para proporcionar una visión estratégica y técnica sobre el ecosistema de los "Tres Grandes" (AWS, Azure y Google Cloud).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En 2026, la decisión ya no es "si ir a la nube", sino "cómo orquestar múltiples nubes" para maximizar la eficiencia y la innovación.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El panorama estratégico en 2026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mercado de la nube ha madurado hacia un modelo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soberanía digital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especialización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Aunque AWS mantiene el liderazgo en cuota de mercado, la brecha se ha cerrado debido a la verticalización de servicios.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7.7893173232487"/>
        <w:gridCol w:w="2480.4743442802705"/>
        <w:gridCol w:w="1925.5689938389864"/>
        <w:gridCol w:w="2181.679155581118"/>
        <w:tblGridChange w:id="0">
          <w:tblGrid>
            <w:gridCol w:w="2437.7893173232487"/>
            <w:gridCol w:w="2480.4743442802705"/>
            <w:gridCol w:w="1925.5689938389864"/>
            <w:gridCol w:w="2181.679155581118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Característica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Amazon Web Services (AWS)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Microsoft Azure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Google Cloud (GCP)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Cuota de Mercado (aprox.)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~31%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~25%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~13%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Perfil Ideal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Empresas que buscan un catálogo más amplio y escalabilidad extrema.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Corporaciones con ecosistema Microsoft y enfoque híbrido.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Startups nativas digitales, IA generativa y análisis de datos masivos.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Fortaleza Técnica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Madurez de servicios e infraestructura global (Regiones/Zonas).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Integración nativa con Active Directory, M365 y SQL Server.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Liderazgo en Kubernetes (GKE), IA (Vertex AI) y redes de baja latencia.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Comparativa técnica por dominios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Te dejamos material para profundizar: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https://www.youtube.com/watch?v=oK1bdIHMCQo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Cómputo (Compute)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Es el motor de cualquier arquitectura. La tendencia actual es el uso de procesadores propios (ARM) para optimizar el costo/rendimiento.</w:t>
      </w:r>
    </w:p>
    <w:p w:rsidR="00000000" w:rsidDel="00000000" w:rsidP="00000000" w:rsidRDefault="00000000" w:rsidRPr="00000000" w14:paraId="0000001F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AWS (EC2):</w:t>
      </w:r>
      <w:r w:rsidDel="00000000" w:rsidR="00000000" w:rsidRPr="00000000">
        <w:rPr>
          <w:rtl w:val="0"/>
        </w:rPr>
        <w:t xml:space="preserve"> Ofrece la mayor variedad de instancias. Sus chips </w:t>
      </w:r>
      <w:r w:rsidDel="00000000" w:rsidR="00000000" w:rsidRPr="00000000">
        <w:rPr>
          <w:b w:val="1"/>
          <w:bCs w:val="1"/>
          <w:rtl w:val="0"/>
        </w:rPr>
        <w:t xml:space="preserve">Graviton4</w:t>
      </w:r>
      <w:r w:rsidDel="00000000" w:rsidR="00000000" w:rsidRPr="00000000">
        <w:rPr>
          <w:rtl w:val="0"/>
        </w:rPr>
        <w:t xml:space="preserve"> (lanzados recientemente) permiten un ahorro de hasta el 40% frente a los x86 tradicionales.</w:t>
      </w:r>
    </w:p>
    <w:p w:rsidR="00000000" w:rsidDel="00000000" w:rsidP="00000000" w:rsidRDefault="00000000" w:rsidRPr="00000000" w14:paraId="00000020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Azure (Virtual Machines):</w:t>
      </w:r>
      <w:r w:rsidDel="00000000" w:rsidR="00000000" w:rsidRPr="00000000">
        <w:rPr>
          <w:rtl w:val="0"/>
        </w:rPr>
        <w:t xml:space="preserve"> tiene una fuerte integración con entornos Windows. Su ventaja estratégica es </w:t>
      </w:r>
      <w:r w:rsidDel="00000000" w:rsidR="00000000" w:rsidRPr="00000000">
        <w:rPr>
          <w:b w:val="1"/>
          <w:bCs w:val="1"/>
          <w:rtl w:val="0"/>
        </w:rPr>
        <w:t xml:space="preserve">Azure Arc</w:t>
      </w:r>
      <w:r w:rsidDel="00000000" w:rsidR="00000000" w:rsidRPr="00000000">
        <w:rPr>
          <w:rtl w:val="0"/>
        </w:rPr>
        <w:t xml:space="preserve">, que permite gestionar VMs en otras nubes o localmente como si fueran de Azure.</w:t>
      </w:r>
    </w:p>
    <w:p w:rsidR="00000000" w:rsidDel="00000000" w:rsidP="00000000" w:rsidRDefault="00000000" w:rsidRPr="00000000" w14:paraId="00000021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GCP (Compute Engine):</w:t>
      </w:r>
      <w:r w:rsidDel="00000000" w:rsidR="00000000" w:rsidRPr="00000000">
        <w:rPr>
          <w:rtl w:val="0"/>
        </w:rPr>
        <w:t xml:space="preserve"> permite crear instancias personalizadas, definiendo una cantidad específica de CPU y RAM, evitando pagar por recursos no utilizados.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Almacenamiento y bases de datos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70.6636433977021"/>
        <w:gridCol w:w="2622.7577674703434"/>
        <w:gridCol w:w="3092.293063997584"/>
        <w:gridCol w:w="1939.7973361579939"/>
        <w:tblGridChange w:id="0">
          <w:tblGrid>
            <w:gridCol w:w="1370.6636433977021"/>
            <w:gridCol w:w="2622.7577674703434"/>
            <w:gridCol w:w="3092.293063997584"/>
            <w:gridCol w:w="1939.7973361579939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Objetos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S3 (El estándar de la industria)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Blob 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Relacional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RDS / Aurora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Azure SQL / Cosmos DB (PostgreSQL)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Cloud SQL / Spanner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DynamoDB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Cosmos 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Firestore / BigTable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460" w:firstLine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Nota:</w:t>
      </w:r>
      <w:r w:rsidDel="00000000" w:rsidR="00000000" w:rsidRPr="00000000">
        <w:rPr>
          <w:i w:val="1"/>
          <w:iCs w:val="1"/>
          <w:rtl w:val="0"/>
        </w:rPr>
        <w:t xml:space="preserve"> Google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Cloud Spanner</w:t>
      </w:r>
      <w:r w:rsidDel="00000000" w:rsidR="00000000" w:rsidRPr="00000000">
        <w:rPr>
          <w:i w:val="1"/>
          <w:iCs w:val="1"/>
          <w:rtl w:val="0"/>
        </w:rPr>
        <w:t xml:space="preserve"> sigue siendo el referente para bases de datos relacionales con escalabilidad horizontal global y consistencia fuerte, ideal para transacciones financieras globales.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Inteligencia artificial y datos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En 2026, la IA es el principal motor de migración a la nube.</w:t>
      </w:r>
    </w:p>
    <w:p w:rsidR="00000000" w:rsidDel="00000000" w:rsidP="00000000" w:rsidRDefault="00000000" w:rsidRPr="00000000" w14:paraId="00000037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Google Cloud:</w:t>
      </w:r>
      <w:r w:rsidDel="00000000" w:rsidR="00000000" w:rsidRPr="00000000">
        <w:rPr>
          <w:rtl w:val="0"/>
        </w:rPr>
        <w:t xml:space="preserve"> Es el líder indiscutido en innovación de modelos.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integrado en </w:t>
      </w:r>
      <w:r w:rsidDel="00000000" w:rsidR="00000000" w:rsidRPr="00000000">
        <w:rPr>
          <w:b w:val="1"/>
          <w:bCs w:val="1"/>
          <w:rtl w:val="0"/>
        </w:rPr>
        <w:t xml:space="preserve">Vertex AI</w:t>
      </w:r>
      <w:r w:rsidDel="00000000" w:rsidR="00000000" w:rsidRPr="00000000">
        <w:rPr>
          <w:rtl w:val="0"/>
        </w:rPr>
        <w:t xml:space="preserve"> ofrece herramientas de entrenamiento y despliegue que suelen ser más ágiles para equipos de Data Science.</w:t>
      </w:r>
    </w:p>
    <w:p w:rsidR="00000000" w:rsidDel="00000000" w:rsidP="00000000" w:rsidRDefault="00000000" w:rsidRPr="00000000" w14:paraId="00000038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Microsoft Azure:</w:t>
      </w:r>
      <w:r w:rsidDel="00000000" w:rsidR="00000000" w:rsidRPr="00000000">
        <w:rPr>
          <w:rtl w:val="0"/>
        </w:rPr>
        <w:t xml:space="preserve"> Su alianza con OpenAI le da exclusividad sobre los modelos GPT más avanzados mediante </w:t>
      </w:r>
      <w:r w:rsidDel="00000000" w:rsidR="00000000" w:rsidRPr="00000000">
        <w:rPr>
          <w:b w:val="1"/>
          <w:bCs w:val="1"/>
          <w:rtl w:val="0"/>
        </w:rPr>
        <w:t xml:space="preserve">Azure OpenAI Service</w:t>
      </w:r>
      <w:r w:rsidDel="00000000" w:rsidR="00000000" w:rsidRPr="00000000">
        <w:rPr>
          <w:rtl w:val="0"/>
        </w:rPr>
        <w:t xml:space="preserve">, lo que lo hace imbatible para aplicaciones empresariales de lenguaje natural integradas en Teams/Office.</w:t>
      </w:r>
    </w:p>
    <w:p w:rsidR="00000000" w:rsidDel="00000000" w:rsidP="00000000" w:rsidRDefault="00000000" w:rsidRPr="00000000" w14:paraId="00000039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AWS:</w:t>
      </w:r>
      <w:r w:rsidDel="00000000" w:rsidR="00000000" w:rsidRPr="00000000">
        <w:rPr>
          <w:rtl w:val="0"/>
        </w:rPr>
        <w:t xml:space="preserve"> Apuesta por la "democratización" con </w:t>
      </w:r>
      <w:r w:rsidDel="00000000" w:rsidR="00000000" w:rsidRPr="00000000">
        <w:rPr>
          <w:b w:val="1"/>
          <w:bCs w:val="1"/>
          <w:rtl w:val="0"/>
        </w:rPr>
        <w:t xml:space="preserve">Amazon Bedrock</w:t>
      </w:r>
      <w:r w:rsidDel="00000000" w:rsidR="00000000" w:rsidRPr="00000000">
        <w:rPr>
          <w:rtl w:val="0"/>
        </w:rPr>
        <w:t xml:space="preserve">, una plataforma que permite elegir entre múltiples modelos (Claude, Llama, Mistral) sin gestionar infraestructura.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para la toma de decisiones estratégicas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Para decidir qué proveedor (o combinación de ellos) utilizar, se deben evaluar los siguientes vectores: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Lock-in (Dependencia):</w:t>
      </w:r>
      <w:r w:rsidDel="00000000" w:rsidR="00000000" w:rsidRPr="00000000">
        <w:rPr>
          <w:rtl w:val="0"/>
        </w:rPr>
        <w:t xml:space="preserve"> ¿Qué tan fácil es salir? El uso de contenedores (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) facilita la portabilidad.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Costos (FinOps):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AWS: </w:t>
      </w:r>
      <w:r w:rsidDel="00000000" w:rsidR="00000000" w:rsidRPr="00000000">
        <w:rPr>
          <w:rtl w:val="0"/>
        </w:rPr>
        <w:t xml:space="preserve">ofrece descuentos mediante reservas y compromisos de uso. Puede generar ahorros importantes, aunque su estructura es compleja.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Azure:</w:t>
      </w:r>
      <w:r w:rsidDel="00000000" w:rsidR="00000000" w:rsidRPr="00000000">
        <w:rPr>
          <w:rtl w:val="0"/>
        </w:rPr>
        <w:t xml:space="preserve"> Ventaja Híbrida (si ya tienes licencias Windows/SQL Server locales, el ahorro es enorme).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GCP: </w:t>
      </w:r>
      <w:r w:rsidDel="00000000" w:rsidR="00000000" w:rsidRPr="00000000">
        <w:rPr>
          <w:rtl w:val="0"/>
        </w:rPr>
        <w:t xml:space="preserve">descuentos automáticos por uso sostenido y facturación por segundo.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y Regulación:</w:t>
      </w:r>
      <w:r w:rsidDel="00000000" w:rsidR="00000000" w:rsidRPr="00000000">
        <w:rPr>
          <w:rtl w:val="0"/>
        </w:rPr>
        <w:t xml:space="preserve"> En la UE y Latinoamérica, la residencia de datos es clave. Azure suele tener una ligera ventaja en certificaciones gubernamentales específicas.</w:t>
      </w:r>
    </w:p>
    <w:p w:rsidR="00000000" w:rsidDel="00000000" w:rsidP="00000000" w:rsidRDefault="00000000" w:rsidRPr="00000000" w14:paraId="00000042">
      <w:pPr>
        <w:spacing w:after="240" w:lineRule="auto"/>
        <w:ind w:left="46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</w:t>
      </w:r>
      <w:r w:rsidDel="00000000" w:rsidR="00000000" w:rsidRPr="00000000">
        <w:rPr>
          <w:i w:val="1"/>
          <w:iCs w:val="1"/>
          <w:rtl w:val="0"/>
        </w:rPr>
        <w:t xml:space="preserve"> Una empresa de retail utiliza AWS para su e-commerce global por su estabilidad, pero procesa toda su analítica de marketing en BigQuery (GCP) debido a su velocidad superior en consultas masivas de datos.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Para mantener esta clase actualizada, se recomiendan las siguientes fuentes oficiales en español:</w:t>
      </w:r>
    </w:p>
    <w:p w:rsidR="00000000" w:rsidDel="00000000" w:rsidP="00000000" w:rsidRDefault="00000000" w:rsidRPr="00000000" w14:paraId="00000046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</w:t>
      </w:r>
      <w:hyperlink r:id="rId8">
        <w:r w:rsidDel="00000000" w:rsidR="00000000" w:rsidRPr="00000000">
          <w:rPr>
            <w:b w:val="1"/>
            <w:bCs w:val="1"/>
            <w:color w:val="000f9f"/>
            <w:u w:val="single"/>
            <w:rtl w:val="0"/>
          </w:rPr>
          <w:t xml:space="preserve">AWS Whitepapers en Español:</w:t>
        </w:r>
      </w:hyperlink>
      <w:r w:rsidDel="00000000" w:rsidR="00000000" w:rsidRPr="00000000">
        <w:rPr>
          <w:rtl w:val="0"/>
        </w:rPr>
        <w:t xml:space="preserve"> Documentación sobre el "Marco de Buena Arquitectura" (Well-Architected Framework).</w:t>
      </w:r>
    </w:p>
    <w:p w:rsidR="00000000" w:rsidDel="00000000" w:rsidP="00000000" w:rsidRDefault="00000000" w:rsidRPr="00000000" w14:paraId="00000047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</w:t>
      </w:r>
      <w:hyperlink r:id="rId9">
        <w:r w:rsidDel="00000000" w:rsidR="00000000" w:rsidRPr="00000000">
          <w:rPr>
            <w:b w:val="1"/>
            <w:bCs w:val="1"/>
            <w:color w:val="000f9f"/>
            <w:u w:val="single"/>
            <w:rtl w:val="0"/>
          </w:rPr>
          <w:t xml:space="preserve">Azure Architecture Center:</w:t>
        </w:r>
      </w:hyperlink>
      <w:r w:rsidDel="00000000" w:rsidR="00000000" w:rsidRPr="00000000">
        <w:rPr>
          <w:rtl w:val="0"/>
        </w:rPr>
        <w:t xml:space="preserve"> Guías de diseño para soluciones híbridas.</w:t>
      </w:r>
    </w:p>
    <w:p w:rsidR="00000000" w:rsidDel="00000000" w:rsidP="00000000" w:rsidRDefault="00000000" w:rsidRPr="00000000" w14:paraId="00000048">
      <w:pPr>
        <w:spacing w:after="240" w:lineRule="auto"/>
        <w:ind w:left="460" w:firstLine="0"/>
        <w:rPr/>
      </w:pPr>
      <w:r w:rsidDel="00000000" w:rsidR="00000000" w:rsidRPr="00000000">
        <w:rPr>
          <w:rtl w:val="0"/>
        </w:rPr>
        <w:t xml:space="preserve">●  </w:t>
      </w:r>
      <w:hyperlink r:id="rId10">
        <w:r w:rsidDel="00000000" w:rsidR="00000000" w:rsidRPr="00000000">
          <w:rPr>
            <w:color w:val="000f9f"/>
            <w:u w:val="single"/>
            <w:rtl w:val="0"/>
          </w:rPr>
          <w:t xml:space="preserve">Google Cloud Blog (Latam/España):</w:t>
        </w:r>
      </w:hyperlink>
      <w:r w:rsidDel="00000000" w:rsidR="00000000" w:rsidRPr="00000000">
        <w:rPr>
          <w:rtl w:val="0"/>
        </w:rPr>
        <w:t xml:space="preserve"> Casos de uso específicos en analítica e IA.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g.google/intl/es-419/actualizaciones-de-producto/en-la-nube/google-cloud-90-casos-de-ia-en-latinoamerica-que-inspiran-innovacion/" TargetMode="External"/><Relationship Id="rId9" Type="http://schemas.openxmlformats.org/officeDocument/2006/relationships/hyperlink" Target="https://learn.microsoft.com/es-es/azure/architecture/hybrid/hybrid-start-her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youtube.com/watch?v=oK1bdIHMCQo" TargetMode="External"/><Relationship Id="rId8" Type="http://schemas.openxmlformats.org/officeDocument/2006/relationships/hyperlink" Target="https://docs-aws-amazon-com.translate.goog/wellarchitected/latest/framework/welcome.html?_x_tr_sl=en&amp;_x_tr_tl=es&amp;_x_tr_hl=es&amp;_x_tr_pto=t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