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Revisión crítica multidisciplinar del informe GOLD 2026</w:t>
      </w:r>
    </w:p>
    <w:p>
      <w:r>
        <w:rPr>
          <w:b/>
        </w:rPr>
        <w:t>Documento revisado:</w:t>
      </w:r>
      <w:r>
        <w:t xml:space="preserve"> </w:t>
      </w:r>
      <w:r>
        <w:rPr>
          <w:i/>
        </w:rPr>
        <w:t>Global Strategy for the Diagnosis, Management, and Prevention of Chronic Obstructive Pulmonary Disease — 2026 Report</w:t>
      </w:r>
      <w:r>
        <w:t>, versión 1.3 (8 de diciembre de 2025). El PDF tiene 248 páginas: 174 de contenido y 74 con 1.756 referencias.</w:t>
      </w:r>
    </w:p>
    <w:p>
      <w:r>
        <w:rPr>
          <w:b/>
        </w:rPr>
        <w:t>Método:</w:t>
      </w:r>
      <w:r>
        <w:t xml:space="preserve"> revisión en paralelo por 12 paneles de expertos (agentes de IA especializados), seguida de consolidación y de una segunda verificación independiente de los hallazgos prioritarios.</w:t>
      </w:r>
    </w:p>
    <w:p>
      <w:r>
        <w:rPr>
          <w:b/>
        </w:rPr>
        <w:t>Objetivo:</w:t>
      </w:r>
      <w:r>
        <w:t xml:space="preserve"> detectar incongruencias, errores y omisiones, y proponer recomendaciones de mejora.</w:t>
      </w:r>
    </w:p>
    <w:p>
      <w:r>
        <w:rPr>
          <w:b/>
        </w:rPr>
        <w:t>Convención de páginas:</w:t>
      </w:r>
      <w:r>
        <w:t xml:space="preserve"> «PDF X / impr. Y». La página impresa equivale a la del PDF menos 11.</w:t>
      </w:r>
    </w:p>
    <w:p>
      <w:pPr>
        <w:pStyle w:val="IntenseQuote"/>
      </w:pPr>
      <w:r>
        <w:t xml:space="preserve">Este informe es una revisión crítica generada con asistencia de IA. Debe leerse como un </w:t>
      </w:r>
      <w:r>
        <w:rPr>
          <w:b/>
        </w:rPr>
        <w:t>cribado experto estructurado</w:t>
      </w:r>
      <w:r>
        <w:t>: cada hallazgo indica su ubicación exacta para que un comité humano lo confirme antes de actuar. No sustituye a la guía ni constituye consejo clínico.</w:t>
      </w:r>
    </w:p>
    <w:p>
      <w:pPr>
        <w:jc w:val="center"/>
      </w:pPr>
      <w:r>
        <w:t>────────────────────────────────────────────────────────────</w:t>
      </w:r>
    </w:p>
    <w:p>
      <w:pPr>
        <w:pStyle w:val="Heading2"/>
      </w:pPr>
      <w:r>
        <w:t>1. Errores más graves (hallazgos prioritarios, de mayor a menor gravedad)</w:t>
      </w:r>
    </w:p>
    <w:p>
      <w:r>
        <w:t xml:space="preserve">Los 15 problemas más relevantes de la guía, ordenados de mayor a menor gravedad: primero los 2 </w:t>
      </w:r>
      <w:r>
        <w:rPr>
          <w:b/>
        </w:rPr>
        <w:t>críticos</w:t>
      </w:r>
      <w:r>
        <w:t xml:space="preserve"> (</w:t>
      </w:r>
      <w:r>
        <w:rPr>
          <w:color w:val="C00000"/>
        </w:rPr>
        <w:t>🔴</w:t>
      </w:r>
      <w:r>
        <w:t xml:space="preserve">), con riesgo directo para el paciente, y después los de severidad </w:t>
      </w:r>
      <w:r>
        <w:rPr>
          <w:b/>
        </w:rPr>
        <w:t>alta</w:t>
      </w:r>
      <w:r>
        <w:t xml:space="preserve"> (</w:t>
      </w:r>
      <w:r>
        <w:rPr>
          <w:color w:val="ED7D31"/>
        </w:rPr>
        <w:t>🟠</w:t>
      </w:r>
      <w:r>
        <w:t>). El resumen ejecutivo, los resultados, las recomendaciones y la metodología vienen a continuación; el catálogo completo (Anexo A) y las fichas (Anexo B) también están ordenados de mayor a menor gravedad.</w:t>
      </w:r>
    </w:p>
    <w:p>
      <w:r>
        <w:t xml:space="preserve">Leyenda: </w:t>
      </w:r>
      <w:r>
        <w:rPr>
          <w:color w:val="C00000"/>
        </w:rPr>
        <w:t>🔴</w:t>
      </w:r>
      <w:r>
        <w:t xml:space="preserve"> CRÍTICA · </w:t>
      </w:r>
      <w:r>
        <w:rPr>
          <w:color w:val="ED7D31"/>
        </w:rPr>
        <w:t>🟠</w:t>
      </w:r>
      <w:r>
        <w:t xml:space="preserve"> ALTA · </w:t>
      </w:r>
      <w:r>
        <w:rPr>
          <w:color w:val="FFC000"/>
        </w:rPr>
        <w:t>🟡</w:t>
      </w:r>
      <w:r>
        <w:t xml:space="preserve"> MEDIA · </w:t>
      </w:r>
      <w:r>
        <w:rPr>
          <w:color w:val="A6A6A6"/>
        </w:rPr>
        <w:t>⚪</w:t>
      </w:r>
      <w:r>
        <w:t xml:space="preserve"> BAJA. La severidad mostrada es la </w:t>
      </w:r>
      <w:r>
        <w:rPr>
          <w:b/>
        </w:rPr>
        <w:t>consolidada tras la verificación</w:t>
      </w:r>
      <w:r>
        <w:t>. Los IDs remiten al Anexo B. Ubicación: «PDF» = página del fichero; «impr.» = número de página impreso.</w:t>
      </w:r>
    </w:p>
    <w:p>
      <w:pPr>
        <w:pStyle w:val="Heading3"/>
      </w:pPr>
      <w:r>
        <w:t xml:space="preserve">1. </w:t>
      </w:r>
      <w:r>
        <w:rPr>
          <w:color w:val="C00000"/>
        </w:rPr>
        <w:t>🔴</w:t>
      </w:r>
      <w:r>
        <w:t xml:space="preserve"> Exacerbación: falta el objetivo de oxigenoterapia controlada (SpO2 88-92 %)</w:t>
      </w:r>
    </w:p>
    <w:p>
      <w:pPr>
        <w:pStyle w:val="ListBullet"/>
      </w:pPr>
      <w:r>
        <w:rPr>
          <w:b/>
        </w:rPr>
        <w:t>IDs / paneles convergentes:</w:t>
      </w:r>
      <w:r>
        <w:t xml:space="preserve"> EXA-01 (CRÍTICA), COH-06, REH-07, EQ-13 · Exacerbaciones, Coherencia, Rehabilitación/O2, Equidad.</w:t>
      </w:r>
    </w:p>
    <w:p>
      <w:pPr>
        <w:pStyle w:val="ListBullet"/>
      </w:pPr>
      <w:r>
        <w:rPr>
          <w:b/>
        </w:rPr>
        <w:t>Ubicación:</w:t>
      </w:r>
      <w:r>
        <w:t xml:space="preserve"> PDF 112-117 / impr. 101-106; Fig 4.5 (PDF 113 / impr. 102) y Fig 4.6.</w:t>
      </w:r>
    </w:p>
    <w:p>
      <w:pPr>
        <w:pStyle w:val="ListBullet"/>
      </w:pPr>
      <w:r>
        <w:rPr>
          <w:b/>
        </w:rPr>
        <w:t>Qué dice la guía:</w:t>
      </w:r>
      <w:r>
        <w:t xml:space="preserve"> la Fig 4.5 solo recoge «Consider high flow oxygen (HFNT) or noninvasive ventilation (NIV)…». El texto dice «controlled oxygen therapy», sin objetivo ni método. El epígrafe «Oxygen therapy» del cap. 4 trata casi solo de la HFNT.</w:t>
      </w:r>
    </w:p>
    <w:p>
      <w:pPr>
        <w:pStyle w:val="ListBullet"/>
      </w:pPr>
      <w:r>
        <w:rPr>
          <w:b/>
        </w:rPr>
        <w:t>Problema:</w:t>
      </w:r>
      <w:r>
        <w:t xml:space="preserve"> en todo el documento no hay ningún objetivo de SpO2 en la exacerbación, ninguna advertencia sobre la hiperoxia ni ninguna pauta de titulación (Venturi, gasometría de control). El único objetivo explícito, SaO2 ≥ 90 % en la Fig 3.18, es de LTOT. Además, la propia guía reconoce que la pulsioximetría es menos precisa en pieles oscuras (EQ-13).</w:t>
      </w:r>
    </w:p>
    <w:p>
      <w:pPr>
        <w:pStyle w:val="ListBullet"/>
      </w:pPr>
      <w:r>
        <w:rPr>
          <w:b/>
        </w:rPr>
        <w:t>Evidencia:</w:t>
      </w:r>
      <w:r>
        <w:t xml:space="preserve"> Austin et al., BMJ 2010: el O2 titulado a 88-92 % en el ámbito prehospitalario redujo la mortalidad en ~58 % frente al O2 a alto flujo. BTS 2017 y TSANZ recomiendan ese objetivo.</w:t>
      </w:r>
    </w:p>
    <w:p>
      <w:pPr>
        <w:pStyle w:val="ListBullet"/>
      </w:pPr>
      <w:r>
        <w:rPr>
          <w:b/>
        </w:rPr>
        <w:t>Recomendación:</w:t>
      </w:r>
      <w:r>
        <w:t xml:space="preserve"> añadir una viñeta explícita en el texto y en las Figs 4.5/4.6: «O2 controlado, objetivo SpO2 88-92 %, Venturi 24-28 % o gafas 1-2 L/min, gasometría a los 30-60 min; evitar la hiperoxia, también durante el traslado». Añadir una nota sobre el sesgo de la oximetría.</w:t>
      </w:r>
    </w:p>
    <w:p>
      <w:pPr>
        <w:pStyle w:val="ListBullet"/>
      </w:pPr>
      <w:r>
        <w:rPr>
          <w:b/>
        </w:rPr>
        <w:t>Verificación:</w:t>
      </w:r>
      <w:r>
        <w:t xml:space="preserve"> </w:t>
      </w:r>
      <w:r>
        <w:rPr>
          <w:b/>
        </w:rPr>
        <w:t>CONFIRMADO</w:t>
      </w:r>
      <w:r>
        <w:t>. Búsqueda en el texto completo (no aparece «88-92» ni ningún objetivo de SpO2 en el cap. 4) y revisión de la imagen de la Fig 4.5.</w:t>
      </w:r>
    </w:p>
    <w:p>
      <w:pPr>
        <w:pStyle w:val="Heading3"/>
      </w:pPr>
      <w:r>
        <w:t xml:space="preserve">2. </w:t>
      </w:r>
      <w:r>
        <w:rPr>
          <w:color w:val="C00000"/>
        </w:rPr>
        <w:t>🔴</w:t>
      </w:r>
      <w:r>
        <w:t xml:space="preserve"> Fibrilación auricular: «no hay contraindicación» para ningún fármaco de control de frecuencia o ritmo</w:t>
      </w:r>
    </w:p>
    <w:p>
      <w:pPr>
        <w:pStyle w:val="ListBullet"/>
      </w:pPr>
      <w:r>
        <w:rPr>
          <w:b/>
        </w:rPr>
        <w:t>IDs:</w:t>
      </w:r>
      <w:r>
        <w:t xml:space="preserve"> MUL-02 (CRÍTICA) · Multimorbilidad.</w:t>
      </w:r>
    </w:p>
    <w:p>
      <w:pPr>
        <w:pStyle w:val="ListBullet"/>
      </w:pPr>
      <w:r>
        <w:rPr>
          <w:b/>
        </w:rPr>
        <w:t>Ubicación:</w:t>
      </w:r>
      <w:r>
        <w:t xml:space="preserve"> PDF 128 / impr. 117, «Arrhythmias».</w:t>
      </w:r>
    </w:p>
    <w:p>
      <w:pPr>
        <w:pStyle w:val="ListBullet"/>
      </w:pPr>
      <w:r>
        <w:rPr>
          <w:b/>
        </w:rPr>
        <w:t>Qué dice la guía:</w:t>
      </w:r>
      <w:r>
        <w:t xml:space="preserve"> «There is no contraindication to any specific rate or rhythm control medication or strategy in patients with COPD, including beta-blockers.»</w:t>
      </w:r>
    </w:p>
    <w:p>
      <w:pPr>
        <w:pStyle w:val="ListBullet"/>
      </w:pPr>
      <w:r>
        <w:rPr>
          <w:b/>
        </w:rPr>
        <w:t>Problema:</w:t>
      </w:r>
      <w:r>
        <w:t xml:space="preserve"> es una afirmación absoluta y clínicamente peligrosa. Hay que evitar los betabloqueantes no selectivos, el sotalol y la propafenona en caso de broncoespasmo, y la adenosina está contraindicada en el broncoespasmo. La amiodarona tiene toxicidad pulmonar.</w:t>
      </w:r>
    </w:p>
    <w:p>
      <w:pPr>
        <w:pStyle w:val="ListBullet"/>
      </w:pPr>
      <w:r>
        <w:rPr>
          <w:b/>
        </w:rPr>
        <w:t>Evidencia:</w:t>
      </w:r>
      <w:r>
        <w:t xml:space="preserve"> guía ACC/AHA/ACCP/HRS 2023 de FA (citada por GOLD), guía ESC 2024 y fichas técnicas de la FDA de la adenosina, la propafenona y el sotalol.</w:t>
      </w:r>
    </w:p>
    <w:p>
      <w:pPr>
        <w:pStyle w:val="ListBullet"/>
      </w:pPr>
      <w:r>
        <w:rPr>
          <w:b/>
        </w:rPr>
        <w:t>Recomendación:</w:t>
      </w:r>
      <w:r>
        <w:t xml:space="preserve"> «Preferir betabloqueantes β1-selectivos o antagonistas del calcio no dihidropiridínicos; evitar los betabloqueantes no selectivos, el sotalol, la propafenona y la adenosina en presencia de broncoespasmo; vigilar la toxicidad pulmonar de la amiodarona».</w:t>
      </w:r>
    </w:p>
    <w:p>
      <w:pPr>
        <w:pStyle w:val="ListBullet"/>
      </w:pPr>
      <w:r>
        <w:rPr>
          <w:b/>
        </w:rPr>
        <w:t>Verificación:</w:t>
      </w:r>
      <w:r>
        <w:t xml:space="preserve"> </w:t>
      </w:r>
      <w:r>
        <w:rPr>
          <w:b/>
        </w:rPr>
        <w:t>CONFIRMADO</w:t>
      </w:r>
      <w:r>
        <w:t xml:space="preserve"> (verificación externa E1). La referencia que cita la propia guía (ACC/AHA/ACCP/HRS 2023) recomienda betabloqueantes </w:t>
      </w:r>
      <w:r>
        <w:rPr>
          <w:b/>
        </w:rPr>
        <w:t>cardioselectivos</w:t>
      </w:r>
      <w:r>
        <w:t xml:space="preserve">. Las fichas técnicas de la FDA contraindican la propafenona, el sotalol y la adenosina en la enfermedad broncoespástica. El verificador propuso ALTA, aunque considera la CRÍTICA «defendible» en urgencias. </w:t>
      </w:r>
      <w:r>
        <w:rPr>
          <w:b/>
        </w:rPr>
        <w:t>El coordinador mantiene CRÍTICA</w:t>
      </w:r>
      <w:r>
        <w:t xml:space="preserve"> por el riesgo de uso inapropiado durante una exacerbación. Corrección al hallazgo: esa lista de fármacos no procede de la guía ESC 2020, que se refiere al asma o al broncoespasmo grave.</w:t>
      </w:r>
    </w:p>
    <w:p>
      <w:pPr>
        <w:pStyle w:val="Heading3"/>
      </w:pPr>
      <w:r>
        <w:t xml:space="preserve">3. </w:t>
      </w:r>
      <w:r>
        <w:rPr>
          <w:color w:val="ED7D31"/>
        </w:rPr>
        <w:t>🟠</w:t>
      </w:r>
      <w:r>
        <w:t xml:space="preserve"> TC de alta resolución anual «de cribado oncológico» para todos los pacientes con EPOC</w:t>
      </w:r>
    </w:p>
    <w:p>
      <w:pPr>
        <w:pStyle w:val="ListBullet"/>
      </w:pPr>
      <w:r>
        <w:rPr>
          <w:b/>
        </w:rPr>
        <w:t>IDs:</w:t>
      </w:r>
      <w:r>
        <w:t xml:space="preserve"> MUL-01 (CRÍTICA→ALTA), COH-04, MUL-10 (→MEDIA), DX-13, MUL-25 · Multimorbilidad, Coherencia, Diagnóstico.</w:t>
      </w:r>
    </w:p>
    <w:p>
      <w:pPr>
        <w:pStyle w:val="ListBullet"/>
      </w:pPr>
      <w:r>
        <w:rPr>
          <w:b/>
        </w:rPr>
        <w:t>Ubicación:</w:t>
      </w:r>
      <w:r>
        <w:t xml:space="preserve"> Fig 5.6 (PDF 141 / impr. 130) y Fig 5.5 (PDF 140 / impr. 129); punto clave en PDF 123; cap. 2 en PDF 57.</w:t>
      </w:r>
    </w:p>
    <w:p>
      <w:pPr>
        <w:pStyle w:val="ListBullet"/>
      </w:pPr>
      <w:r>
        <w:rPr>
          <w:b/>
        </w:rPr>
        <w:t>Qué dice la guía:</w:t>
      </w:r>
      <w:r>
        <w:t xml:space="preserve"> Fig 5.6 («…in all Patients with COPD – Regular Follow-up»): «Yearly… chest HRCT (cancer screening)».</w:t>
      </w:r>
    </w:p>
    <w:p>
      <w:pPr>
        <w:pStyle w:val="ListBullet"/>
      </w:pPr>
      <w:r>
        <w:rPr>
          <w:b/>
        </w:rPr>
        <w:t>Problema:</w:t>
      </w:r>
    </w:p>
    <w:p>
      <w:pPr>
        <w:pStyle w:val="ListBullet2"/>
      </w:pPr>
      <w:r>
        <w:t xml:space="preserve">Se propone una </w:t>
      </w:r>
      <w:r>
        <w:rPr>
          <w:b/>
        </w:rPr>
        <w:t>HRCT</w:t>
      </w:r>
      <w:r>
        <w:t xml:space="preserve"> (no LDCT) anual para </w:t>
      </w:r>
      <w:r>
        <w:rPr>
          <w:b/>
        </w:rPr>
        <w:t>todos</w:t>
      </w:r>
      <w:r>
        <w:t>, incluidos los no fumadores. Esto contradice el texto de la propia guía (PDF 123, 130-131) y los criterios de la USPSTF y la ACS.</w:t>
      </w:r>
    </w:p>
    <w:p>
      <w:pPr>
        <w:pStyle w:val="ListBullet2"/>
      </w:pPr>
      <w:r>
        <w:t>Los criterios de cribado se citan de forma distinta según el capítulo: ACS en el cap. 2, USPSTF en el cap. 5 y umbrales del NLST en la Fig 5.4.</w:t>
      </w:r>
    </w:p>
    <w:p>
      <w:pPr>
        <w:pStyle w:val="ListBullet2"/>
      </w:pPr>
      <w:r>
        <w:t>Riesgo de irradiación, falsos positivos y sobrediagnóstico.</w:t>
      </w:r>
    </w:p>
    <w:p>
      <w:pPr>
        <w:pStyle w:val="ListBullet"/>
      </w:pPr>
      <w:r>
        <w:rPr>
          <w:b/>
        </w:rPr>
        <w:t>Evidencia:</w:t>
      </w:r>
      <w:r>
        <w:t xml:space="preserve"> USPSTF 2021 (JAMA 2021;325:962), ACS 2023 (CA Cancer J Clin 2024;74:50). La figura procede de un consenso Delphi de miembros de GOLD (Celli, Eur J Intern Med 2025), no de evidencia sobre cribado.</w:t>
      </w:r>
    </w:p>
    <w:p>
      <w:pPr>
        <w:pStyle w:val="ListBullet"/>
      </w:pPr>
      <w:r>
        <w:rPr>
          <w:b/>
        </w:rPr>
        <w:t>Recomendación:</w:t>
      </w:r>
      <w:r>
        <w:t xml:space="preserve"> «LDCT anual solo si se cumplen los criterios de cribado y el paciente es candidato a tratamiento curativo, tras decisión compartida». Unificar los criterios entre capítulos.</w:t>
      </w:r>
    </w:p>
    <w:p>
      <w:pPr>
        <w:pStyle w:val="ListBullet"/>
      </w:pPr>
      <w:r>
        <w:rPr>
          <w:b/>
        </w:rPr>
        <w:t>Verificación:</w:t>
      </w:r>
      <w:r>
        <w:t xml:space="preserve"> </w:t>
      </w:r>
      <w:r>
        <w:rPr>
          <w:b/>
        </w:rPr>
        <w:t>CONFIRMADO</w:t>
      </w:r>
      <w:r>
        <w:t xml:space="preserve"> por dos verificadores independientes. Se rebaja a ALTA porque las figuras se presentan como «enfoque complementario potencial» y no como recomendación graduada. MUL-10 queda en </w:t>
      </w:r>
      <w:r>
        <w:rPr>
          <w:b/>
        </w:rPr>
        <w:t>CONFIRMADO PARCIAL</w:t>
      </w:r>
      <w:r>
        <w:t>: la Fig 5.4 es una lista de factores de riesgo.</w:t>
      </w:r>
    </w:p>
    <w:p>
      <w:pPr>
        <w:pStyle w:val="Heading3"/>
      </w:pPr>
      <w:r>
        <w:t xml:space="preserve">4. </w:t>
      </w:r>
      <w:r>
        <w:rPr>
          <w:color w:val="ED7D31"/>
        </w:rPr>
        <w:t>🟠</w:t>
      </w:r>
      <w:r>
        <w:t xml:space="preserve"> La rehabilitación iniciada «durante la hospitalización» se presenta como intervención que reduce la mortalidad</w:t>
      </w:r>
    </w:p>
    <w:p>
      <w:pPr>
        <w:pStyle w:val="ListBullet"/>
      </w:pPr>
      <w:r>
        <w:rPr>
          <w:b/>
        </w:rPr>
        <w:t>IDs:</w:t>
      </w:r>
      <w:r>
        <w:t xml:space="preserve"> REH-01 (CRÍTICA→ALTA), INT-04, REH-02, REH-03 · Rehabilitación, Intervencionismo.</w:t>
      </w:r>
    </w:p>
    <w:p>
      <w:pPr>
        <w:pStyle w:val="ListBullet"/>
      </w:pPr>
      <w:r>
        <w:rPr>
          <w:b/>
        </w:rPr>
        <w:t>Ubicación:</w:t>
      </w:r>
      <w:r>
        <w:t xml:space="preserve"> PDF 91 / impr. 80 (cap. 3 y Fig 3.19); Apéndice 4 (PDF 172 / impr. 161); cap. 4 (PDF 120).</w:t>
      </w:r>
    </w:p>
    <w:p>
      <w:pPr>
        <w:pStyle w:val="ListBullet"/>
      </w:pPr>
      <w:r>
        <w:rPr>
          <w:b/>
        </w:rPr>
        <w:t>Qué dice la guía:</w:t>
      </w:r>
      <w:r>
        <w:t xml:space="preserve"> «reduction in mortality for patients who had pulmonary rehabilitation initiated during hospitalization or 4 weeks after discharge». El Apéndice 4 advierte, en cambio, que iniciarla antes del alta «may compromise survival».</w:t>
      </w:r>
    </w:p>
    <w:p>
      <w:pPr>
        <w:pStyle w:val="ListBullet"/>
      </w:pPr>
      <w:r>
        <w:rPr>
          <w:b/>
        </w:rPr>
        <w:t>Problema:</w:t>
      </w:r>
    </w:p>
    <w:p>
      <w:pPr>
        <w:pStyle w:val="ListBullet2"/>
      </w:pPr>
      <w:r>
        <w:t>Contradicción interna en un punto de seguridad.</w:t>
      </w:r>
    </w:p>
    <w:p>
      <w:pPr>
        <w:pStyle w:val="ListBullet2"/>
      </w:pPr>
      <w:r>
        <w:t>El beneficio en mortalidad procede de programas iniciados tras el alta.</w:t>
      </w:r>
    </w:p>
    <w:p>
      <w:pPr>
        <w:pStyle w:val="ListBullet2"/>
      </w:pPr>
      <w:r>
        <w:t>En el ECA de Greening (BMJ 2014), la rehabilitación precoz intrahospitalaria se asoció a mayor mortalidad al año.</w:t>
      </w:r>
    </w:p>
    <w:p>
      <w:pPr>
        <w:pStyle w:val="ListBullet"/>
      </w:pPr>
      <w:r>
        <w:rPr>
          <w:b/>
        </w:rPr>
        <w:t>Evidencia:</w:t>
      </w:r>
      <w:r>
        <w:t xml:space="preserve"> Greening 2014; Puhan (Cochrane 2016); ERS/ATS 2017; Ryrsø 2018.</w:t>
      </w:r>
    </w:p>
    <w:p>
      <w:pPr>
        <w:pStyle w:val="ListBullet"/>
      </w:pPr>
      <w:r>
        <w:rPr>
          <w:b/>
        </w:rPr>
        <w:t>Recomendación:</w:t>
      </w:r>
    </w:p>
    <w:p>
      <w:pPr>
        <w:pStyle w:val="ListBullet2"/>
      </w:pPr>
      <w:r>
        <w:t>Separar la «movilización intrahospitalaria» de la «RR estructurada tras el alta (≤ 3-4 semanas)».</w:t>
      </w:r>
    </w:p>
    <w:p>
      <w:pPr>
        <w:pStyle w:val="ListBullet2"/>
      </w:pPr>
      <w:r>
        <w:t>Retirar «during» de la Fig 3.19.</w:t>
      </w:r>
    </w:p>
    <w:p>
      <w:pPr>
        <w:pStyle w:val="ListBullet2"/>
      </w:pPr>
      <w:r>
        <w:t>Citar Greening 2014 y Chen 2025 de forma equilibrada.</w:t>
      </w:r>
    </w:p>
    <w:p>
      <w:pPr>
        <w:pStyle w:val="ListBullet"/>
      </w:pPr>
      <w:r>
        <w:rPr>
          <w:b/>
        </w:rPr>
        <w:t>Verificación:</w:t>
      </w:r>
      <w:r>
        <w:t xml:space="preserve"> </w:t>
      </w:r>
      <w:r>
        <w:rPr>
          <w:b/>
        </w:rPr>
        <w:t>CONFIRMADO</w:t>
      </w:r>
      <w:r>
        <w:t xml:space="preserve"> (figuras: la señal de daño está en el texto del Apéndice 4, no en la Fig A4.1). Verificación externa E7 </w:t>
      </w:r>
      <w:r>
        <w:rPr>
          <w:b/>
        </w:rPr>
        <w:t>CONFIRMADO</w:t>
      </w:r>
      <w:r>
        <w:t>: Greening 2014 mostró mayor mortalidad a 12 meses con la RR iniciada durante el ingreso. Dos de las cuatro referencias citadas como prueba de reducción de mortalidad (778 y 781) no la muestran. Los dos verificadores proponen ALTA (CRÍTICA «defendible»).</w:t>
      </w:r>
    </w:p>
    <w:p>
      <w:pPr>
        <w:pStyle w:val="Heading3"/>
      </w:pPr>
      <w:r>
        <w:t xml:space="preserve">5. </w:t>
      </w:r>
      <w:r>
        <w:rPr>
          <w:color w:val="ED7D31"/>
        </w:rPr>
        <w:t>🟠</w:t>
      </w:r>
      <w:r>
        <w:t xml:space="preserve"> Trasplante pulmonar: la Fig 3.22 contradice el texto y usa criterios ISHLT 2006</w:t>
      </w:r>
    </w:p>
    <w:p>
      <w:pPr>
        <w:pStyle w:val="ListBullet"/>
      </w:pPr>
      <w:r>
        <w:rPr>
          <w:b/>
        </w:rPr>
        <w:t>IDs:</w:t>
      </w:r>
      <w:r>
        <w:t xml:space="preserve"> INT-01 (CRÍTICA→ALTA), INT-14 · Intervencionismo.</w:t>
      </w:r>
    </w:p>
    <w:p>
      <w:pPr>
        <w:pStyle w:val="ListBullet"/>
      </w:pPr>
      <w:r>
        <w:rPr>
          <w:b/>
        </w:rPr>
        <w:t>Ubicación:</w:t>
      </w:r>
      <w:r>
        <w:t xml:space="preserve"> Fig 3.22 (PDF 97 / impr. 86) y texto PDF 102 / impr. 91.</w:t>
      </w:r>
    </w:p>
    <w:p>
      <w:pPr>
        <w:pStyle w:val="ListBullet"/>
      </w:pPr>
      <w:r>
        <w:rPr>
          <w:b/>
        </w:rPr>
        <w:t>Qué dice la guía:</w:t>
      </w:r>
    </w:p>
    <w:p>
      <w:pPr>
        <w:pStyle w:val="ListBullet2"/>
      </w:pPr>
      <w:r>
        <w:t>Figura: «BODE score of 7 to 10… lung transplantation may be considered for referral».</w:t>
      </w:r>
    </w:p>
    <w:p>
      <w:pPr>
        <w:pStyle w:val="ListBullet2"/>
      </w:pPr>
      <w:r>
        <w:t>Texto: derivación con «BODE index of 5 to 6… and FEV1 &lt; 25%»; listado con BODE ≥ 7.</w:t>
      </w:r>
    </w:p>
    <w:p>
      <w:pPr>
        <w:pStyle w:val="ListBullet"/>
      </w:pPr>
      <w:r>
        <w:rPr>
          <w:b/>
        </w:rPr>
        <w:t>Problema:</w:t>
      </w:r>
    </w:p>
    <w:p>
      <w:pPr>
        <w:pStyle w:val="ListBullet2"/>
      </w:pPr>
      <w:r>
        <w:t xml:space="preserve">La figura presenta como criterios </w:t>
      </w:r>
      <w:r>
        <w:rPr>
          <w:b/>
        </w:rPr>
        <w:t>de derivación</w:t>
      </w:r>
      <w:r>
        <w:t xml:space="preserve"> los criterios </w:t>
      </w:r>
      <w:r>
        <w:rPr>
          <w:b/>
        </w:rPr>
        <w:t>de listado</w:t>
      </w:r>
      <w:r>
        <w:t xml:space="preserve"> de ISHLT 2006, lo que puede retrasar la derivación.</w:t>
      </w:r>
    </w:p>
    <w:p>
      <w:pPr>
        <w:pStyle w:val="ListBullet2"/>
      </w:pPr>
      <w:r>
        <w:t>No se cita ISHLT 2021 (Leard 2021).</w:t>
      </w:r>
    </w:p>
    <w:p>
      <w:pPr>
        <w:pStyle w:val="ListBullet2"/>
      </w:pPr>
      <w:r>
        <w:t>Se usa el registro de 2018 y una referencia al LAS ya sustituido.</w:t>
      </w:r>
    </w:p>
    <w:p>
      <w:pPr>
        <w:pStyle w:val="ListBullet"/>
      </w:pPr>
      <w:r>
        <w:rPr>
          <w:b/>
        </w:rPr>
        <w:t>Recomendación:</w:t>
      </w:r>
      <w:r>
        <w:t xml:space="preserve"> dos bloques, «Derivar» y «Listar», con los criterios de ISHLT 2021; derivación simultánea a reducción de volumen y a trasplante.</w:t>
      </w:r>
    </w:p>
    <w:p>
      <w:pPr>
        <w:pStyle w:val="ListBullet"/>
      </w:pPr>
      <w:r>
        <w:rPr>
          <w:b/>
        </w:rPr>
        <w:t>Verificación:</w:t>
      </w:r>
      <w:r>
        <w:t xml:space="preserve"> </w:t>
      </w:r>
      <w:r>
        <w:rPr>
          <w:b/>
        </w:rPr>
        <w:t>CONFIRMADO PARCIAL</w:t>
      </w:r>
      <w:r>
        <w:t>. Los criterios de derivación del texto coinciden en contenido con ISHLT 2021; lo desactualizado es la figura. Verificación externa E2: el texto sigue los criterios de ISHLT 2014, no los de 2021 como decía el hallazgo, aunque su contenido coincide en lo esencial con ISHLT 2021. El consenso ISHLT 2021 (Leard) no se cita en ningún lugar.</w:t>
      </w:r>
    </w:p>
    <w:p>
      <w:pPr>
        <w:pStyle w:val="Heading3"/>
      </w:pPr>
      <w:r>
        <w:t xml:space="preserve">6. </w:t>
      </w:r>
      <w:r>
        <w:rPr>
          <w:color w:val="ED7D31"/>
        </w:rPr>
        <w:t>🟠</w:t>
      </w:r>
      <w:r>
        <w:t xml:space="preserve"> Gravedad de la exacerbación: la Fig 4.2 altera los umbrales de la propuesta de Roma y conviven dos sistemas incompatibles</w:t>
      </w:r>
    </w:p>
    <w:p>
      <w:pPr>
        <w:pStyle w:val="ListBullet"/>
      </w:pPr>
      <w:r>
        <w:rPr>
          <w:b/>
        </w:rPr>
        <w:t>IDs:</w:t>
      </w:r>
      <w:r>
        <w:t xml:space="preserve"> EXA-03, EXA-04, EXA-05, COH-01, COH-05, EXA-16 · Exacerbaciones, Coherencia.</w:t>
      </w:r>
    </w:p>
    <w:p>
      <w:pPr>
        <w:pStyle w:val="ListBullet"/>
      </w:pPr>
      <w:r>
        <w:rPr>
          <w:b/>
        </w:rPr>
        <w:t>Ubicación:</w:t>
      </w:r>
      <w:r>
        <w:t xml:space="preserve"> Fig 4.2 (PDF 107 / impr. 96) y texto PDF 105 / impr. 94.</w:t>
      </w:r>
    </w:p>
    <w:p>
      <w:pPr>
        <w:pStyle w:val="ListBullet"/>
      </w:pPr>
      <w:r>
        <w:rPr>
          <w:b/>
        </w:rPr>
        <w:t>Qué dice la guía:</w:t>
      </w:r>
    </w:p>
    <w:p>
      <w:pPr>
        <w:pStyle w:val="ListBullet2"/>
      </w:pPr>
      <w:r>
        <w:t>Moderada: «ABG may show hypoxemia (PaO2 70-80 mmHg)».</w:t>
      </w:r>
    </w:p>
    <w:p>
      <w:pPr>
        <w:pStyle w:val="ListBullet2"/>
      </w:pPr>
      <w:r>
        <w:t>Grave: «hypoxemia (PaO2 ≤ 60 mmHg) and/or hypercapnia and acidosis».</w:t>
      </w:r>
    </w:p>
    <w:p>
      <w:pPr>
        <w:pStyle w:val="ListBullet2"/>
      </w:pPr>
      <w:r>
        <w:t>Pie: «Adapted from The Rome Proposal».</w:t>
      </w:r>
    </w:p>
    <w:p>
      <w:pPr>
        <w:pStyle w:val="ListBullet"/>
      </w:pPr>
      <w:r>
        <w:rPr>
          <w:b/>
        </w:rPr>
        <w:t>Problema:</w:t>
      </w:r>
    </w:p>
    <w:p>
      <w:pPr>
        <w:pStyle w:val="ListBullet2"/>
      </w:pPr>
      <w:r>
        <w:t xml:space="preserve">En Roma (Celli 2021), una PaO2 ≤ 60 y/o una PaCO2 &gt; 45 sin acidosis es </w:t>
      </w:r>
      <w:r>
        <w:rPr>
          <w:b/>
        </w:rPr>
        <w:t>moderada</w:t>
      </w:r>
      <w:r>
        <w:t>; GOLD traslada la hipoxemia aislada a grave.</w:t>
      </w:r>
    </w:p>
    <w:p>
      <w:pPr>
        <w:pStyle w:val="ListBullet2"/>
      </w:pPr>
      <w:r>
        <w:t>Una PaO2 de 61-69 mmHg queda sin clasificar.</w:t>
      </w:r>
    </w:p>
    <w:p>
      <w:pPr>
        <w:pStyle w:val="ListBullet2"/>
      </w:pPr>
      <w:r>
        <w:t>Coexisten tres umbrales de pH (&lt; 7,35, ≤ 7,35 y ≤ 7,25) y una segunda clasificación hospitalaria (ref. 932) con huecos y solapes.</w:t>
      </w:r>
    </w:p>
    <w:p>
      <w:pPr>
        <w:pStyle w:val="ListBullet2"/>
      </w:pPr>
      <w:r>
        <w:t>No hay regla para trasladar la gravedad Roma a la gravedad «por recursos» del ABE.</w:t>
      </w:r>
    </w:p>
    <w:p>
      <w:pPr>
        <w:pStyle w:val="ListBullet"/>
      </w:pPr>
      <w:r>
        <w:rPr>
          <w:b/>
        </w:rPr>
        <w:t>Recomendación:</w:t>
      </w:r>
      <w:r>
        <w:t xml:space="preserve"> reproducir fielmente Roma, eliminar «70-80», unificar el pH y añadir una tabla de correspondencia Roma ↔ ABE.</w:t>
      </w:r>
    </w:p>
    <w:p>
      <w:pPr>
        <w:pStyle w:val="ListBullet"/>
      </w:pPr>
      <w:r>
        <w:rPr>
          <w:b/>
        </w:rPr>
        <w:t>Verificación:</w:t>
      </w:r>
      <w:r>
        <w:t xml:space="preserve"> </w:t>
      </w:r>
      <w:r>
        <w:rPr>
          <w:b/>
        </w:rPr>
        <w:t>CONFIRMADO</w:t>
      </w:r>
      <w:r>
        <w:t xml:space="preserve"> (figuras; umbrales de Roma contrastados con la fuente).</w:t>
      </w:r>
    </w:p>
    <w:p>
      <w:pPr>
        <w:pStyle w:val="Heading3"/>
      </w:pPr>
      <w:r>
        <w:t xml:space="preserve">7. </w:t>
      </w:r>
      <w:r>
        <w:rPr>
          <w:color w:val="ED7D31"/>
        </w:rPr>
        <w:t>🟠</w:t>
      </w:r>
      <w:r>
        <w:t xml:space="preserve"> Soporte ventilatorio: a la HFNT se le atribuye la evidencia de la VNI, y la Fig 4.9 omite el fracaso de la VNI como indicación de VMI</w:t>
      </w:r>
    </w:p>
    <w:p>
      <w:pPr>
        <w:pStyle w:val="ListBullet"/>
      </w:pPr>
      <w:r>
        <w:rPr>
          <w:b/>
        </w:rPr>
        <w:t>IDs:</w:t>
      </w:r>
      <w:r>
        <w:t xml:space="preserve"> EXA-06, EXA-02, MET-16, COH-07, EXA-19 · Exacerbaciones, Metodología, Coherencia.</w:t>
      </w:r>
    </w:p>
    <w:p>
      <w:pPr>
        <w:pStyle w:val="ListBullet"/>
      </w:pPr>
      <w:r>
        <w:rPr>
          <w:b/>
        </w:rPr>
        <w:t>Ubicación:</w:t>
      </w:r>
    </w:p>
    <w:p>
      <w:pPr>
        <w:pStyle w:val="ListBullet2"/>
      </w:pPr>
      <w:r>
        <w:t>Punto clave PDF 103.</w:t>
      </w:r>
    </w:p>
    <w:p>
      <w:pPr>
        <w:pStyle w:val="ListBullet2"/>
      </w:pPr>
      <w:r>
        <w:t>Fig 4.6 (PDF 113 / impr. 102).</w:t>
      </w:r>
    </w:p>
    <w:p>
      <w:pPr>
        <w:pStyle w:val="ListBullet2"/>
      </w:pPr>
      <w:r>
        <w:t>Figs 4.7-4.9 (PDF 117-118).</w:t>
      </w:r>
    </w:p>
    <w:p>
      <w:pPr>
        <w:pStyle w:val="ListBullet"/>
      </w:pPr>
      <w:r>
        <w:rPr>
          <w:b/>
        </w:rPr>
        <w:t>Qué dice la guía:</w:t>
      </w:r>
    </w:p>
    <w:p>
      <w:pPr>
        <w:pStyle w:val="ListBullet2"/>
      </w:pPr>
      <w:r>
        <w:t>Punto clave: «High flow oxygen systems and mechanical NIV… improve survival».</w:t>
      </w:r>
    </w:p>
    <w:p>
      <w:pPr>
        <w:pStyle w:val="ListBullet2"/>
      </w:pPr>
      <w:r>
        <w:t>Fig 4.6: «HFNT is the first mode of ventilation… in acute hypoxemic respiratory failure… (Evidence A)».</w:t>
      </w:r>
    </w:p>
    <w:p>
      <w:pPr>
        <w:pStyle w:val="ListBullet2"/>
      </w:pPr>
      <w:r>
        <w:t>Texto: «NIV is the initial mode».</w:t>
      </w:r>
    </w:p>
    <w:p>
      <w:pPr>
        <w:pStyle w:val="ListBullet"/>
      </w:pPr>
      <w:r>
        <w:rPr>
          <w:b/>
        </w:rPr>
        <w:t>Problema:</w:t>
      </w:r>
    </w:p>
    <w:p>
      <w:pPr>
        <w:pStyle w:val="ListBullet2"/>
      </w:pPr>
      <w:r>
        <w:t>El beneficio en supervivencia (Evidence A) es de la VNI; la HFNT no lo ha demostrado en la exacerbación hipercápnica.</w:t>
      </w:r>
    </w:p>
    <w:p>
      <w:pPr>
        <w:pStyle w:val="ListBullet2"/>
      </w:pPr>
      <w:r>
        <w:t>La Fig 4.9 no recoge el fracaso de la VNI ni el empeoramiento del pH/PaCO2 como indicación de intubación, aunque el texto de esa misma página sí lo hace.</w:t>
      </w:r>
    </w:p>
    <w:p>
      <w:pPr>
        <w:pStyle w:val="ListBullet2"/>
      </w:pPr>
      <w:r>
        <w:t>Se citan protocolos como si fueran resultados (MET-16).</w:t>
      </w:r>
    </w:p>
    <w:p>
      <w:pPr>
        <w:pStyle w:val="ListBullet"/>
      </w:pPr>
      <w:r>
        <w:rPr>
          <w:b/>
        </w:rPr>
        <w:t>Recomendación:</w:t>
      </w:r>
      <w:r>
        <w:t xml:space="preserve"> VNI de primera línea en la acidosis hipercápnica (A); HFNT como alternativa si la VNI no se tolera, o en la hipoxemia sin acidosis (B/C). Añadir «fracaso de la VNI» a la Fig 4.9.</w:t>
      </w:r>
    </w:p>
    <w:p>
      <w:pPr>
        <w:pStyle w:val="ListBullet"/>
      </w:pPr>
      <w:r>
        <w:rPr>
          <w:b/>
        </w:rPr>
        <w:t>Verificación:</w:t>
      </w:r>
      <w:r>
        <w:t xml:space="preserve"> </w:t>
      </w:r>
      <w:r>
        <w:rPr>
          <w:b/>
        </w:rPr>
        <w:t>CONFIRMADO</w:t>
      </w:r>
      <w:r>
        <w:t xml:space="preserve"> (figuras). La Fig 4.6 limita la HFNT a la insuficiencia hipoxémica; la mezcla HFNT-supervivencia está en el punto clave.</w:t>
      </w:r>
    </w:p>
    <w:p>
      <w:pPr>
        <w:pStyle w:val="Heading3"/>
      </w:pPr>
      <w:r>
        <w:t xml:space="preserve">8. </w:t>
      </w:r>
      <w:r>
        <w:rPr>
          <w:color w:val="ED7D31"/>
        </w:rPr>
        <w:t>🟠</w:t>
      </w:r>
      <w:r>
        <w:t xml:space="preserve"> Tratamiento antimicrobiano y antiviral de la exacerbación</w:t>
      </w:r>
    </w:p>
    <w:p>
      <w:pPr>
        <w:pStyle w:val="ListBullet"/>
      </w:pPr>
      <w:r>
        <w:rPr>
          <w:b/>
        </w:rPr>
        <w:t>IDs:</w:t>
      </w:r>
      <w:r>
        <w:t xml:space="preserve"> EXA-07, EXA-08, EXA-09, EXA-10, EXA-11, MET-09 · Exacerbaciones, Metodología.</w:t>
      </w:r>
    </w:p>
    <w:p>
      <w:pPr>
        <w:pStyle w:val="ListBullet"/>
      </w:pPr>
      <w:r>
        <w:rPr>
          <w:b/>
        </w:rPr>
        <w:t>Ubicación:</w:t>
      </w:r>
      <w:r>
        <w:t xml:space="preserve"> PDF 103, 110, 113, 115-116 / impr. 104-105.</w:t>
      </w:r>
    </w:p>
    <w:p>
      <w:pPr>
        <w:pStyle w:val="ListBullet"/>
      </w:pPr>
      <w:r>
        <w:rPr>
          <w:b/>
        </w:rPr>
        <w:t>Qué dice la guía:</w:t>
      </w:r>
    </w:p>
    <w:p>
      <w:pPr>
        <w:pStyle w:val="ListBullet2"/>
      </w:pPr>
      <w:r>
        <w:t>«at least two of these symptoms: increase in dyspnea, fever, sputum volume, and sputum purulence».</w:t>
      </w:r>
    </w:p>
    <w:p>
      <w:pPr>
        <w:pStyle w:val="ListBullet2"/>
      </w:pPr>
      <w:r>
        <w:t>«aminopenicillin with clavulanic acid, a macrolide, a tetracycline or… a quinolone».</w:t>
      </w:r>
    </w:p>
    <w:p>
      <w:pPr>
        <w:pStyle w:val="ListBullet"/>
      </w:pPr>
      <w:r>
        <w:rPr>
          <w:b/>
        </w:rPr>
        <w:t>Problema:</w:t>
      </w:r>
    </w:p>
    <w:p>
      <w:pPr>
        <w:pStyle w:val="ListBullet2"/>
      </w:pPr>
      <w:r>
        <w:t>Criterios de Anthonisen mal reproducidos (se añade «fever» y se pierde la purulencia como criterio central), y distintos en puntos clave, texto y figuras.</w:t>
      </w:r>
    </w:p>
    <w:p>
      <w:pPr>
        <w:pStyle w:val="ListBullet2"/>
      </w:pPr>
      <w:r>
        <w:t xml:space="preserve">No hay estratificación por riesgo de </w:t>
      </w:r>
      <w:r>
        <w:rPr>
          <w:i/>
        </w:rPr>
        <w:t>Pseudomonas</w:t>
      </w:r>
      <w:r>
        <w:t xml:space="preserve"> ni advertencias sobre fluoroquinolonas.</w:t>
      </w:r>
    </w:p>
    <w:p>
      <w:pPr>
        <w:pStyle w:val="ListBullet2"/>
      </w:pPr>
      <w:r>
        <w:t>Evidencia sobre procalcitonina mal resumida.</w:t>
      </w:r>
    </w:p>
    <w:p>
      <w:pPr>
        <w:pStyle w:val="ListBullet2"/>
      </w:pPr>
      <w:r>
        <w:rPr>
          <w:b/>
        </w:rPr>
        <w:t>Ninguna mención a antivirales</w:t>
      </w:r>
      <w:r>
        <w:t xml:space="preserve"> en todo el documento (0 coincidencias para oseltamivir, nirmatrelvir, etc.), aunque la guía afirma que la etiología es mayoritariamente viral y recomienda pruebas virales.</w:t>
      </w:r>
    </w:p>
    <w:p>
      <w:pPr>
        <w:pStyle w:val="ListBullet"/>
      </w:pPr>
      <w:r>
        <w:rPr>
          <w:b/>
        </w:rPr>
        <w:t>Evidencia:</w:t>
      </w:r>
      <w:r>
        <w:t xml:space="preserve"> IDSA 2018/2019 (gripe), guía IDSA COVID-19, ERS/ATS 2017, Cochrane PCT.</w:t>
      </w:r>
    </w:p>
    <w:p>
      <w:pPr>
        <w:pStyle w:val="ListBullet"/>
      </w:pPr>
      <w:r>
        <w:rPr>
          <w:b/>
        </w:rPr>
        <w:t>Recomendación:</w:t>
      </w:r>
    </w:p>
    <w:p>
      <w:pPr>
        <w:pStyle w:val="ListBullet2"/>
      </w:pPr>
      <w:r>
        <w:t>Tabla empírica estratificada.</w:t>
      </w:r>
    </w:p>
    <w:p>
      <w:pPr>
        <w:pStyle w:val="ListBullet2"/>
      </w:pPr>
      <w:r>
        <w:t>Apartado breve de antivirales (oseltamivir ante gripe sospechada o confirmada; antivirales frente al SARS-CoV-2 según las guías).</w:t>
      </w:r>
    </w:p>
    <w:p>
      <w:pPr>
        <w:pStyle w:val="ListBullet2"/>
      </w:pPr>
      <w:r>
        <w:t>Reescribir el párrafo sobre la PCT.</w:t>
      </w:r>
    </w:p>
    <w:p>
      <w:pPr>
        <w:pStyle w:val="ListBullet"/>
      </w:pPr>
      <w:r>
        <w:rPr>
          <w:b/>
        </w:rPr>
        <w:t>Verificación:</w:t>
      </w:r>
      <w:r>
        <w:t xml:space="preserve"> </w:t>
      </w:r>
      <w:r>
        <w:rPr>
          <w:b/>
        </w:rPr>
        <w:t>CONFIRMADO</w:t>
      </w:r>
      <w:r>
        <w:t xml:space="preserve"> (EXA-09 por búsqueda en el texto completo y contraste con IDSA; MET-09 en figuras).</w:t>
      </w:r>
    </w:p>
    <w:p>
      <w:pPr>
        <w:pStyle w:val="Heading3"/>
      </w:pPr>
      <w:r>
        <w:t xml:space="preserve">9. </w:t>
      </w:r>
      <w:r>
        <w:rPr>
          <w:color w:val="ED7D31"/>
        </w:rPr>
        <w:t>🟠</w:t>
      </w:r>
      <w:r>
        <w:t xml:space="preserve"> Algoritmo farmacológico: la Fig 3.9, el texto y los Highlights no dicen lo mismo</w:t>
      </w:r>
    </w:p>
    <w:p>
      <w:pPr>
        <w:pStyle w:val="ListBullet"/>
      </w:pPr>
      <w:r>
        <w:rPr>
          <w:b/>
        </w:rPr>
        <w:t>IDs:</w:t>
      </w:r>
      <w:r>
        <w:t xml:space="preserve"> COH-02, COH-03, NOV-06, NOV-07, FARM-12, FARM-11, DX-15 · Coherencia, Novedades, Farmacología, Diagnóstico.</w:t>
      </w:r>
    </w:p>
    <w:p>
      <w:pPr>
        <w:pStyle w:val="ListBullet"/>
      </w:pPr>
      <w:r>
        <w:rPr>
          <w:b/>
        </w:rPr>
        <w:t>Ubicación:</w:t>
      </w:r>
      <w:r>
        <w:t xml:space="preserve"> Fig 3.9 (PDF 74 / impr. 63); texto PDF 77 / impr. 66; Highlights PDF 5; cap. 2.</w:t>
      </w:r>
    </w:p>
    <w:p>
      <w:pPr>
        <w:pStyle w:val="ListBullet"/>
      </w:pPr>
      <w:r>
        <w:rPr>
          <w:b/>
        </w:rPr>
        <w:t>Qué dice la guía:</w:t>
      </w:r>
    </w:p>
    <w:p>
      <w:pPr>
        <w:pStyle w:val="ListBullet2"/>
      </w:pPr>
      <w:r>
        <w:t>La figura permite pasar de monoterapia a triple terapia si los eos son ≥ 300; el texto solo permite escalar a LABA+LAMA.</w:t>
      </w:r>
    </w:p>
    <w:p>
      <w:pPr>
        <w:pStyle w:val="ListBullet2"/>
      </w:pPr>
      <w:r>
        <w:t>La viñeta de biológicos (eos ≥ 300) incluye «(or those with eosinophil counts &lt; 100 cells/µL)».</w:t>
      </w:r>
    </w:p>
    <w:p>
      <w:pPr>
        <w:pStyle w:val="ListBullet2"/>
      </w:pPr>
      <w:r>
        <w:t>Los Highlights fijan el umbral de «one moderate exacerbation».</w:t>
      </w:r>
    </w:p>
    <w:p>
      <w:pPr>
        <w:pStyle w:val="ListBullet"/>
      </w:pPr>
      <w:r>
        <w:rPr>
          <w:b/>
        </w:rPr>
        <w:t>Problema:</w:t>
      </w:r>
    </w:p>
    <w:p>
      <w:pPr>
        <w:pStyle w:val="ListBullet2"/>
      </w:pPr>
      <w:r>
        <w:t>Dos algoritmos distintos para la misma decisión.</w:t>
      </w:r>
    </w:p>
    <w:p>
      <w:pPr>
        <w:pStyle w:val="ListBullet2"/>
      </w:pPr>
      <w:r>
        <w:t>Contradicción lógica en los criterios de los biológicos.</w:t>
      </w:r>
    </w:p>
    <w:p>
      <w:pPr>
        <w:pStyle w:val="ListBullet2"/>
      </w:pPr>
      <w:r>
        <w:t>Cuatro definiciones diferentes del candidato a roflumilast.</w:t>
      </w:r>
    </w:p>
    <w:p>
      <w:pPr>
        <w:pStyle w:val="ListBullet2"/>
      </w:pPr>
      <w:r>
        <w:t>El umbral de 1 exacerbación se atribuye a ECA en un sitio y a estudios observacionales en otro.</w:t>
      </w:r>
    </w:p>
    <w:p>
      <w:pPr>
        <w:pStyle w:val="ListBullet2"/>
      </w:pPr>
      <w:r>
        <w:t>Cambio del grupo E (≥ 1 moderada) sin validación.</w:t>
      </w:r>
    </w:p>
    <w:p>
      <w:pPr>
        <w:pStyle w:val="ListBullet"/>
      </w:pPr>
      <w:r>
        <w:rPr>
          <w:b/>
        </w:rPr>
        <w:t>Recomendación:</w:t>
      </w:r>
      <w:r>
        <w:t xml:space="preserve"> una única fuente de verdad (la figura o el texto), con concordancia verificada; suprimir el paréntesis «&lt; 100»; explicitar el umbral para los biológicos.</w:t>
      </w:r>
    </w:p>
    <w:p>
      <w:pPr>
        <w:pStyle w:val="ListBullet"/>
      </w:pPr>
      <w:r>
        <w:rPr>
          <w:b/>
        </w:rPr>
        <w:t>Verificación:</w:t>
      </w:r>
      <w:r>
        <w:t xml:space="preserve"> </w:t>
      </w:r>
      <w:r>
        <w:rPr>
          <w:b/>
        </w:rPr>
        <w:t>CONFIRMADO</w:t>
      </w:r>
      <w:r>
        <w:t xml:space="preserve"> (figuras, V2).</w:t>
      </w:r>
    </w:p>
    <w:p>
      <w:pPr>
        <w:pStyle w:val="Heading3"/>
      </w:pPr>
      <w:r>
        <w:t xml:space="preserve">10. </w:t>
      </w:r>
      <w:r>
        <w:rPr>
          <w:color w:val="ED7D31"/>
        </w:rPr>
        <w:t>🟠</w:t>
      </w:r>
      <w:r>
        <w:t xml:space="preserve"> La reducción de mortalidad con la triple terapia se presenta como efecto demostrado</w:t>
      </w:r>
    </w:p>
    <w:p>
      <w:pPr>
        <w:pStyle w:val="ListBullet"/>
      </w:pPr>
      <w:r>
        <w:rPr>
          <w:b/>
        </w:rPr>
        <w:t>IDs:</w:t>
      </w:r>
      <w:r>
        <w:t xml:space="preserve"> NOV-04, INT-11, NOV-05 · Novedades, Intervencionismo.</w:t>
      </w:r>
    </w:p>
    <w:p>
      <w:pPr>
        <w:pStyle w:val="ListBullet"/>
      </w:pPr>
      <w:r>
        <w:rPr>
          <w:b/>
        </w:rPr>
        <w:t>Ubicación:</w:t>
      </w:r>
      <w:r>
        <w:t xml:space="preserve"> PDF 92 / impr. 81; Fig 3.19 (PDF 91); Apéndice 3 (PDF 162).</w:t>
      </w:r>
    </w:p>
    <w:p>
      <w:pPr>
        <w:pStyle w:val="ListBullet"/>
      </w:pPr>
      <w:r>
        <w:rPr>
          <w:b/>
        </w:rPr>
        <w:t>Qué dice la guía:</w:t>
      </w:r>
      <w:r>
        <w:t xml:space="preserve"> «IMPACT and ETHOS… fixed-dose inhaled triple combinations… reduce all-cause mortality compared to dual inhaled LABD therapy».</w:t>
      </w:r>
    </w:p>
    <w:p>
      <w:pPr>
        <w:pStyle w:val="ListBullet"/>
      </w:pPr>
      <w:r>
        <w:rPr>
          <w:b/>
        </w:rPr>
        <w:t>Problema:</w:t>
      </w:r>
    </w:p>
    <w:p>
      <w:pPr>
        <w:pStyle w:val="ListBullet2"/>
      </w:pPr>
      <w:r>
        <w:t>La mortalidad era un objetivo secundario o un análisis post hoc.</w:t>
      </w:r>
    </w:p>
    <w:p>
      <w:pPr>
        <w:pStyle w:val="ListBullet2"/>
      </w:pPr>
      <w:r>
        <w:t>En IMPACT, ~70 % de los pacientes retiró el ICS al aleatorizar, lo que abre la posibilidad de un efecto de retirada.</w:t>
      </w:r>
    </w:p>
    <w:p>
      <w:pPr>
        <w:pStyle w:val="ListBullet2"/>
      </w:pPr>
      <w:r>
        <w:t>Frente a LABA+ICS la diferencia no fue significativa.</w:t>
      </w:r>
    </w:p>
    <w:p>
      <w:pPr>
        <w:pStyle w:val="ListBullet2"/>
      </w:pPr>
      <w:r>
        <w:t>En ETHOS, el efecto solo aparece con la dosis alta de ICS.</w:t>
      </w:r>
    </w:p>
    <w:p>
      <w:pPr>
        <w:pStyle w:val="ListBullet2"/>
      </w:pPr>
      <w:r>
        <w:t>Las referencias de ETHOS están duplicadas o no existen.</w:t>
      </w:r>
    </w:p>
    <w:p>
      <w:pPr>
        <w:pStyle w:val="ListBullet"/>
      </w:pPr>
      <w:r>
        <w:rPr>
          <w:b/>
        </w:rPr>
        <w:t>Recomendación:</w:t>
      </w:r>
      <w:r>
        <w:t xml:space="preserve"> «Datos de análisis secundarios de dos ECA </w:t>
      </w:r>
      <w:r>
        <w:rPr>
          <w:b/>
        </w:rPr>
        <w:t>sugieren</w:t>
      </w:r>
      <w:r>
        <w:t>…», con las limitaciones explícitas.</w:t>
      </w:r>
    </w:p>
    <w:p>
      <w:pPr>
        <w:pStyle w:val="ListBullet"/>
      </w:pPr>
      <w:r>
        <w:rPr>
          <w:b/>
        </w:rPr>
        <w:t>Verificación:</w:t>
      </w:r>
      <w:r>
        <w:t xml:space="preserve"> </w:t>
      </w:r>
      <w:r>
        <w:rPr>
          <w:b/>
        </w:rPr>
        <w:t>CONFIRMADO con matices</w:t>
      </w:r>
      <w:r>
        <w:t xml:space="preserve"> (verificación externa E6). En ETHOS, solo la dosis de budesonida de 320 µg mostró beneficio, y solo frente a LAMA/LABA. Atribuir el efecto de IMPACT a la retirada del ICS es una hipótesis discutida, no un hecho. El análisis final de mortalidad de ETHOS (Martinez 2021) no figura en las referencias.</w:t>
      </w:r>
    </w:p>
    <w:p>
      <w:pPr>
        <w:pStyle w:val="Heading3"/>
      </w:pPr>
      <w:r>
        <w:t xml:space="preserve">11. </w:t>
      </w:r>
      <w:r>
        <w:rPr>
          <w:color w:val="ED7D31"/>
        </w:rPr>
        <w:t>🟠</w:t>
      </w:r>
      <w:r>
        <w:t xml:space="preserve"> Biológicos y ensifentrina: la evidencia se sobrerrepresenta</w:t>
      </w:r>
    </w:p>
    <w:p>
      <w:pPr>
        <w:pStyle w:val="ListBullet"/>
      </w:pPr>
      <w:r>
        <w:rPr>
          <w:b/>
        </w:rPr>
        <w:t>IDs:</w:t>
      </w:r>
      <w:r>
        <w:t xml:space="preserve"> NOV-01, MET-11, FARM-14, NOV-03, NOV-08, FARM-15 · Novedades, Metodología, Farmacología.</w:t>
      </w:r>
    </w:p>
    <w:p>
      <w:pPr>
        <w:pStyle w:val="ListBullet"/>
      </w:pPr>
      <w:r>
        <w:rPr>
          <w:b/>
        </w:rPr>
        <w:t>Ubicación:</w:t>
      </w:r>
      <w:r>
        <w:t xml:space="preserve"> Apéndice 3 (PDF 163 / impr. 152); Fig 3.11 (PDF 79); Fig 3.9.</w:t>
      </w:r>
    </w:p>
    <w:p>
      <w:pPr>
        <w:pStyle w:val="ListBullet"/>
      </w:pPr>
      <w:r>
        <w:rPr>
          <w:b/>
        </w:rPr>
        <w:t>Qué dice la guía:</w:t>
      </w:r>
    </w:p>
    <w:p>
      <w:pPr>
        <w:pStyle w:val="ListBullet2"/>
      </w:pPr>
      <w:r>
        <w:t>Mepolizumab: «Across three phase III… ≥ 300… 52 to 104 weeks… fewer moderate or severe exacerbations».</w:t>
      </w:r>
    </w:p>
    <w:p>
      <w:pPr>
        <w:pStyle w:val="ListBullet2"/>
      </w:pPr>
      <w:r>
        <w:t>Ensifentrina: «Considering adding ensifentrine» tras LABA+LAMA, aunque el Apéndice 3 reconoce que los estudios no se diseñaron para esa posición.</w:t>
      </w:r>
    </w:p>
    <w:p>
      <w:pPr>
        <w:pStyle w:val="ListBullet"/>
      </w:pPr>
      <w:r>
        <w:rPr>
          <w:b/>
        </w:rPr>
        <w:t>Problema:</w:t>
      </w:r>
    </w:p>
    <w:p>
      <w:pPr>
        <w:pStyle w:val="ListBullet2"/>
      </w:pPr>
      <w:r>
        <w:t>METREO fue negativo; METREX solo fue positivo en el estrato eosinofílico; MATINEE redujo las exacerbaciones moderadas/graves un 21 %.</w:t>
      </w:r>
    </w:p>
    <w:p>
      <w:pPr>
        <w:pStyle w:val="ListBullet2"/>
      </w:pPr>
      <w:r>
        <w:t>En la Fig 3.11 hay datos de METREX y BOREAS mal etiquetados.</w:t>
      </w:r>
    </w:p>
    <w:p>
      <w:pPr>
        <w:pStyle w:val="ListBullet2"/>
      </w:pPr>
      <w:r>
        <w:t>ENHANCE excluyó el tratamiento de base con LABA+LAMA, así que la posición propuesta para la ensifentrina es una extrapolación.</w:t>
      </w:r>
    </w:p>
    <w:p>
      <w:pPr>
        <w:pStyle w:val="ListBullet"/>
      </w:pPr>
      <w:r>
        <w:rPr>
          <w:b/>
        </w:rPr>
        <w:t>Recomendación:</w:t>
      </w:r>
      <w:r>
        <w:t xml:space="preserve"> describir los ensayos de forma precisa y etiquetar la ensifentrina tras LABA+LAMA como «extrapolación (Evidencia D)».</w:t>
      </w:r>
    </w:p>
    <w:p>
      <w:pPr>
        <w:pStyle w:val="ListBullet"/>
      </w:pPr>
      <w:r>
        <w:rPr>
          <w:b/>
        </w:rPr>
        <w:t>Verificación:</w:t>
      </w:r>
      <w:r>
        <w:t xml:space="preserve"> Fig 3.11 </w:t>
      </w:r>
      <w:r>
        <w:rPr>
          <w:b/>
        </w:rPr>
        <w:t>CONFIRMADO</w:t>
      </w:r>
      <w:r>
        <w:t xml:space="preserve"> (figuras, V15). Ensayos </w:t>
      </w:r>
      <w:r>
        <w:rPr>
          <w:b/>
        </w:rPr>
        <w:t>CONFIRMADOS</w:t>
      </w:r>
      <w:r>
        <w:t xml:space="preserve"> (verificación externa E4-E5): METREO negativo, METREX positivo solo en eosinofílicos, y ENHANCE excluyó a pacientes con LABA+LAMA de base. En MATINEE, la reducción de urgencias u hospitalizaciones no se puede inferir por la jerarquía de pruebas.</w:t>
      </w:r>
    </w:p>
    <w:p>
      <w:pPr>
        <w:pStyle w:val="Heading3"/>
      </w:pPr>
      <w:r>
        <w:t xml:space="preserve">12. </w:t>
      </w:r>
      <w:r>
        <w:rPr>
          <w:color w:val="ED7D31"/>
        </w:rPr>
        <w:t>🟠</w:t>
      </w:r>
      <w:r>
        <w:t xml:space="preserve"> Oxigenoterapia crónica domiciliaria (LTOT): criterios distintos según la página</w:t>
      </w:r>
    </w:p>
    <w:p>
      <w:pPr>
        <w:pStyle w:val="ListBullet"/>
      </w:pPr>
      <w:r>
        <w:rPr>
          <w:b/>
        </w:rPr>
        <w:t>IDs:</w:t>
      </w:r>
      <w:r>
        <w:t xml:space="preserve"> REH-04, REH-05, REH-06 (→MEDIA), COH-13, INT-13 · Rehabilitación/O2, Coherencia, Intervencionismo.</w:t>
      </w:r>
    </w:p>
    <w:p>
      <w:pPr>
        <w:pStyle w:val="ListBullet"/>
      </w:pPr>
      <w:r>
        <w:rPr>
          <w:b/>
        </w:rPr>
        <w:t>Ubicación:</w:t>
      </w:r>
      <w:r>
        <w:t xml:space="preserve"> PDF 61, 87-89 / impr. 50, 76-78; Figs 3.17-3.19.</w:t>
      </w:r>
    </w:p>
    <w:p>
      <w:pPr>
        <w:pStyle w:val="ListBullet"/>
      </w:pPr>
      <w:r>
        <w:rPr>
          <w:b/>
        </w:rPr>
        <w:t>Qué dice la guía:</w:t>
      </w:r>
    </w:p>
    <w:p>
      <w:pPr>
        <w:pStyle w:val="ListBullet2"/>
      </w:pPr>
      <w:r>
        <w:t>Texto: «PaO2 at or below 55 mmHg… or SaO2 at or below 88%».</w:t>
      </w:r>
    </w:p>
    <w:p>
      <w:pPr>
        <w:pStyle w:val="ListBullet2"/>
      </w:pPr>
      <w:r>
        <w:t>Fig 3.18: «SaO2 &lt; 88%».</w:t>
      </w:r>
    </w:p>
    <w:p>
      <w:pPr>
        <w:pStyle w:val="ListBullet2"/>
      </w:pPr>
      <w:r>
        <w:t>Coexisten «&gt; 15 h/día», «≥ 19 h» (Fig 3.19) y la lectura del ensayo REDOX.</w:t>
      </w:r>
    </w:p>
    <w:p>
      <w:pPr>
        <w:pStyle w:val="ListBullet"/>
      </w:pPr>
      <w:r>
        <w:rPr>
          <w:b/>
        </w:rPr>
        <w:t>Problema:</w:t>
      </w:r>
    </w:p>
    <w:p>
      <w:pPr>
        <w:pStyle w:val="ListBullet2"/>
      </w:pPr>
      <w:r>
        <w:t>Umbrales incoherentes (≤ frente a &lt;).</w:t>
      </w:r>
    </w:p>
    <w:p>
      <w:pPr>
        <w:pStyle w:val="ListBullet2"/>
      </w:pPr>
      <w:r>
        <w:t>Prescripción basada en SaO2 sin exigir gasometría ni advertir del sesgo de la oximetría.</w:t>
      </w:r>
    </w:p>
    <w:p>
      <w:pPr>
        <w:pStyle w:val="ListBullet2"/>
      </w:pPr>
      <w:r>
        <w:t>Ambigüedad sobre las horas mínimas.</w:t>
      </w:r>
    </w:p>
    <w:p>
      <w:pPr>
        <w:pStyle w:val="ListBullet"/>
      </w:pPr>
      <w:r>
        <w:rPr>
          <w:b/>
        </w:rPr>
        <w:t>Recomendación:</w:t>
      </w:r>
    </w:p>
    <w:p>
      <w:pPr>
        <w:pStyle w:val="ListBullet2"/>
      </w:pPr>
      <w:r>
        <w:t>Criterios únicos: PaO2 ≤ 55 o SaO2 ≤ 88 %; PaO2 56-59 con hipertensión pulmonar, edema o hematocrito &gt; 55 %.</w:t>
      </w:r>
    </w:p>
    <w:p>
      <w:pPr>
        <w:pStyle w:val="ListBullet2"/>
      </w:pPr>
      <w:r>
        <w:t>Confirmación gasométrica en fase estable.</w:t>
      </w:r>
    </w:p>
    <w:p>
      <w:pPr>
        <w:pStyle w:val="ListBullet2"/>
      </w:pPr>
      <w:r>
        <w:t>«≥ 15 h/día».</w:t>
      </w:r>
    </w:p>
    <w:p>
      <w:pPr>
        <w:pStyle w:val="ListBullet"/>
      </w:pPr>
      <w:r>
        <w:rPr>
          <w:b/>
        </w:rPr>
        <w:t>Verificación:</w:t>
      </w:r>
      <w:r>
        <w:t xml:space="preserve"> </w:t>
      </w:r>
      <w:r>
        <w:rPr>
          <w:b/>
        </w:rPr>
        <w:t>CONFIRMADO</w:t>
      </w:r>
      <w:r>
        <w:t xml:space="preserve"> (figuras, V9). REH-06 se rebaja a MEDIA: es una ambigüedad, no una contradicción frontal (verificación externa F6).</w:t>
      </w:r>
    </w:p>
    <w:p>
      <w:pPr>
        <w:pStyle w:val="Heading3"/>
      </w:pPr>
      <w:r>
        <w:t xml:space="preserve">13. </w:t>
      </w:r>
      <w:r>
        <w:rPr>
          <w:color w:val="ED7D31"/>
        </w:rPr>
        <w:t>🟠</w:t>
      </w:r>
      <w:r>
        <w:t xml:space="preserve"> Prevención: tabaquismo y vacunas con mensajes contradictorios o desactualizados</w:t>
      </w:r>
    </w:p>
    <w:p>
      <w:pPr>
        <w:pStyle w:val="ListBullet"/>
      </w:pPr>
      <w:r>
        <w:rPr>
          <w:b/>
        </w:rPr>
        <w:t>IDs:</w:t>
      </w:r>
      <w:r>
        <w:t xml:space="preserve"> FARM-07, FARM-08 (→MEDIA), FARM-09, MET-14, FARM-01 (→MEDIA), FARM-02 · Farmacología, Metodología.</w:t>
      </w:r>
    </w:p>
    <w:p>
      <w:pPr>
        <w:pStyle w:val="ListBullet"/>
      </w:pPr>
      <w:r>
        <w:rPr>
          <w:b/>
        </w:rPr>
        <w:t>Ubicación:</w:t>
      </w:r>
      <w:r>
        <w:t xml:space="preserve"> PDF 61 (puntos clave), Fig 3.5 (PDF 66), Fig 3.6 (PDF 69), Apéndice 3 (PDF 154).</w:t>
      </w:r>
    </w:p>
    <w:p>
      <w:pPr>
        <w:pStyle w:val="ListBullet"/>
      </w:pPr>
      <w:r>
        <w:rPr>
          <w:b/>
        </w:rPr>
        <w:t>Qué dice la guía:</w:t>
      </w:r>
    </w:p>
    <w:p>
      <w:pPr>
        <w:pStyle w:val="ListBullet2"/>
      </w:pPr>
      <w:r>
        <w:t>«There is no evidence to support the effectiveness and safety of e-cigarettes…», mientras que el Apéndice 3 dice que son superiores a la TSN.</w:t>
      </w:r>
    </w:p>
    <w:p>
      <w:pPr>
        <w:pStyle w:val="ListBullet2"/>
      </w:pPr>
      <w:r>
        <w:t>La Fig 3.5 (fuente: JAMA 2000) sitúa la nortriptilina en primera línea.</w:t>
      </w:r>
    </w:p>
    <w:p>
      <w:pPr>
        <w:pStyle w:val="ListBullet2"/>
      </w:pPr>
      <w:r>
        <w:t>Gripe: «killed or live inactivated».</w:t>
      </w:r>
    </w:p>
    <w:p>
      <w:pPr>
        <w:pStyle w:val="ListBullet2"/>
      </w:pPr>
      <w:r>
        <w:t>La Fig 3.6 usa «and/or» para el VRS.</w:t>
      </w:r>
    </w:p>
    <w:p>
      <w:pPr>
        <w:pStyle w:val="ListBullet"/>
      </w:pPr>
      <w:r>
        <w:rPr>
          <w:b/>
        </w:rPr>
        <w:t>Problema:</w:t>
      </w:r>
    </w:p>
    <w:p>
      <w:pPr>
        <w:pStyle w:val="ListBullet2"/>
      </w:pPr>
      <w:r>
        <w:t>Contradicción interna sobre el cigarrillo electrónico (Cochrane: certeza alta de eficacia frente a la TSN).</w:t>
      </w:r>
    </w:p>
    <w:p>
      <w:pPr>
        <w:pStyle w:val="ListBullet2"/>
      </w:pPr>
      <w:r>
        <w:t>Tabla de fármacos para dejar de fumar del año 2000, con contenido híbrido y sin citisina.</w:t>
      </w:r>
    </w:p>
    <w:p>
      <w:pPr>
        <w:pStyle w:val="ListBullet2"/>
      </w:pPr>
      <w:r>
        <w:t>Oxímoron en la vacuna de la gripe.</w:t>
      </w:r>
    </w:p>
    <w:p>
      <w:pPr>
        <w:pStyle w:val="ListBullet2"/>
      </w:pPr>
      <w:r>
        <w:t>La Fig 3.6 abre la vacuna del VRS a menores de 50 años y omite la dosis única y la advertencia sobre Guillain-Barré.</w:t>
      </w:r>
    </w:p>
    <w:p>
      <w:pPr>
        <w:pStyle w:val="ListBullet"/>
      </w:pPr>
      <w:r>
        <w:rPr>
          <w:b/>
        </w:rPr>
        <w:t>Recomendación:</w:t>
      </w:r>
      <w:r>
        <w:t xml:space="preserve"> reformular el mensaje sobre el cigarrillo electrónico (eficaz frente a la TSN, seguridad a largo plazo incierta, evitar el uso dual), sustituir la Fig 3.5 (vareniclina, TSN combinada, citisina) y alinear la Fig 3.6 con el ACIP.</w:t>
      </w:r>
    </w:p>
    <w:p>
      <w:pPr>
        <w:pStyle w:val="ListBullet"/>
      </w:pPr>
      <w:r>
        <w:rPr>
          <w:b/>
        </w:rPr>
        <w:t>Verificación:</w:t>
      </w:r>
      <w:r>
        <w:t xml:space="preserve"> </w:t>
      </w:r>
      <w:r>
        <w:rPr>
          <w:b/>
        </w:rPr>
        <w:t>CONFIRMADO</w:t>
      </w:r>
      <w:r>
        <w:t xml:space="preserve"> (figuras V7 y V11; verificación externa F7). FARM-01 y FARM-08 se rebajan a MEDIA.</w:t>
      </w:r>
    </w:p>
    <w:p>
      <w:pPr>
        <w:pStyle w:val="Heading3"/>
      </w:pPr>
      <w:r>
        <w:t xml:space="preserve">14. </w:t>
      </w:r>
      <w:r>
        <w:rPr>
          <w:color w:val="ED7D31"/>
        </w:rPr>
        <w:t>🟠</w:t>
      </w:r>
      <w:r>
        <w:t xml:space="preserve"> Metodología y gobernanza: sin GRADE, niveles de evidencia poco trazables y gestión de conflictos de interés insuficiente</w:t>
      </w:r>
    </w:p>
    <w:p>
      <w:pPr>
        <w:pStyle w:val="ListBullet"/>
      </w:pPr>
      <w:r>
        <w:rPr>
          <w:b/>
        </w:rPr>
        <w:t>IDs:</w:t>
      </w:r>
      <w:r>
        <w:t xml:space="preserve"> MET-01, MET-02 (→MEDIA), MET-04, MET-06, EPI-05, EQ-07 · Metodología, Epidemiología, Equidad.</w:t>
      </w:r>
    </w:p>
    <w:p>
      <w:pPr>
        <w:pStyle w:val="ListBullet"/>
      </w:pPr>
      <w:r>
        <w:rPr>
          <w:b/>
        </w:rPr>
        <w:t>Ubicación:</w:t>
      </w:r>
      <w:r>
        <w:t xml:space="preserve"> Tabla A (PDF 13 / impr. 2); figuras de puntos clave; PDF 3 / impr. ii.</w:t>
      </w:r>
    </w:p>
    <w:p>
      <w:pPr>
        <w:pStyle w:val="ListBullet"/>
      </w:pPr>
      <w:r>
        <w:rPr>
          <w:b/>
        </w:rPr>
        <w:t>Qué dice la guía:</w:t>
      </w:r>
    </w:p>
    <w:p>
      <w:pPr>
        <w:pStyle w:val="ListBullet2"/>
      </w:pPr>
      <w:r>
        <w:t>«Evidence levels are indicated in boldface type… after the relevant statement».</w:t>
      </w:r>
    </w:p>
    <w:p>
      <w:pPr>
        <w:pStyle w:val="ListBullet2"/>
      </w:pPr>
      <w:r>
        <w:t>Escala A-D sin fuerza de recomendación.</w:t>
      </w:r>
    </w:p>
    <w:p>
      <w:pPr>
        <w:pStyle w:val="ListBullet2"/>
      </w:pPr>
      <w:r>
        <w:t>«Disclosure forms… are posted on the GOLD Website».</w:t>
      </w:r>
    </w:p>
    <w:p>
      <w:pPr>
        <w:pStyle w:val="ListBullet"/>
      </w:pPr>
      <w:r>
        <w:rPr>
          <w:b/>
        </w:rPr>
        <w:t>Problema:</w:t>
      </w:r>
    </w:p>
    <w:p>
      <w:pPr>
        <w:pStyle w:val="ListBullet2"/>
      </w:pPr>
      <w:r>
        <w:t>Los niveles casi solo aparecen en figuras-imagen, sin referencias.</w:t>
      </w:r>
    </w:p>
    <w:p>
      <w:pPr>
        <w:pStyle w:val="ListBullet2"/>
      </w:pPr>
      <w:r>
        <w:t>Hay niveles A asignados a evidencia que la propia Tabla A clasifica como B.</w:t>
      </w:r>
    </w:p>
    <w:p>
      <w:pPr>
        <w:pStyle w:val="ListBullet2"/>
      </w:pPr>
      <w:r>
        <w:t>No hay evaluación formal del riesgo de sesgo, GRADE ni análisis de coste-efectividad.</w:t>
      </w:r>
    </w:p>
    <w:p>
      <w:pPr>
        <w:pStyle w:val="ListBullet2"/>
      </w:pPr>
      <w:r>
        <w:t>Las declaraciones de conflictos online datan de 2022.</w:t>
      </w:r>
    </w:p>
    <w:p>
      <w:pPr>
        <w:pStyle w:val="ListBullet2"/>
      </w:pPr>
      <w:r>
        <w:t>El documento no incluye declaración de financiación ni política de gestión de conflictos, y miembros del comité firman ensayos que evalúa.</w:t>
      </w:r>
    </w:p>
    <w:p>
      <w:pPr>
        <w:pStyle w:val="ListBullet"/>
      </w:pPr>
      <w:r>
        <w:rPr>
          <w:b/>
        </w:rPr>
        <w:t>Recomendación:</w:t>
      </w:r>
    </w:p>
    <w:p>
      <w:pPr>
        <w:pStyle w:val="ListBullet2"/>
      </w:pPr>
      <w:r>
        <w:t>Adoptar GRADE o un método equivalente, con fuerza de la recomendación.</w:t>
      </w:r>
    </w:p>
    <w:p>
      <w:pPr>
        <w:pStyle w:val="ListBullet2"/>
      </w:pPr>
      <w:r>
        <w:t>Tabla maestra de recomendaciones.</w:t>
      </w:r>
    </w:p>
    <w:p>
      <w:pPr>
        <w:pStyle w:val="ListBullet2"/>
      </w:pPr>
      <w:r>
        <w:t>Declaración de financiación y matriz de conflictos por recomendación.</w:t>
      </w:r>
    </w:p>
    <w:p>
      <w:pPr>
        <w:pStyle w:val="ListBullet2"/>
      </w:pPr>
      <w:r>
        <w:t>Recusación en las votaciones.</w:t>
      </w:r>
    </w:p>
    <w:p>
      <w:pPr>
        <w:pStyle w:val="ListBullet2"/>
      </w:pPr>
      <w:r>
        <w:t>Copresidencia metodológica sin conflictos.</w:t>
      </w:r>
    </w:p>
    <w:p>
      <w:pPr>
        <w:pStyle w:val="ListBullet"/>
      </w:pPr>
      <w:r>
        <w:rPr>
          <w:b/>
        </w:rPr>
        <w:t>Verificación:</w:t>
      </w:r>
      <w:r>
        <w:t xml:space="preserve"> </w:t>
      </w:r>
      <w:r>
        <w:rPr>
          <w:b/>
        </w:rPr>
        <w:t>CONFIRMADO PARCIAL</w:t>
      </w:r>
      <w:r>
        <w:t>. MET-04: las declaraciones existen online pero desactualizadas; MET-02/EPI-05: lo de los metaanálisis en el nivel B es una ambigüedad, no una inversión.</w:t>
      </w:r>
    </w:p>
    <w:p>
      <w:pPr>
        <w:pStyle w:val="Heading3"/>
      </w:pPr>
      <w:r>
        <w:t xml:space="preserve">15. </w:t>
      </w:r>
      <w:r>
        <w:rPr>
          <w:color w:val="ED7D31"/>
        </w:rPr>
        <w:t>🟠</w:t>
      </w:r>
      <w:r>
        <w:t xml:space="preserve"> Integridad de citas y cifras: referencias desplazadas, un artículo retractado y datos mal transcritos</w:t>
      </w:r>
    </w:p>
    <w:p>
      <w:pPr>
        <w:pStyle w:val="ListBullet"/>
      </w:pPr>
      <w:r>
        <w:rPr>
          <w:b/>
        </w:rPr>
        <w:t>IDs:</w:t>
      </w:r>
      <w:r>
        <w:t xml:space="preserve"> EPI-01, IA-01 (→MEDIA), MET-15, EXA-14, EXA-15, EPI-07, EPI-10, EPI-11, EQ-09/MUL-14, REH-12 · Epidemiología, IA/Telesalud, Metodología, Exacerbaciones, Equidad.</w:t>
      </w:r>
    </w:p>
    <w:p>
      <w:pPr>
        <w:pStyle w:val="ListBullet"/>
      </w:pPr>
      <w:r>
        <w:rPr>
          <w:b/>
        </w:rPr>
        <w:t>Ubicación:</w:t>
      </w:r>
      <w:r>
        <w:t xml:space="preserve"> cap. 1 (PDF 22-40), PDF 28 (ref. 241), PDF 119 (reingresos), PDF 133 (depresión) y Apéndice 4.</w:t>
      </w:r>
    </w:p>
    <w:p>
      <w:pPr>
        <w:pStyle w:val="ListBullet"/>
      </w:pPr>
      <w:r>
        <w:rPr>
          <w:b/>
        </w:rPr>
        <w:t>Problema y evidencia:</w:t>
      </w:r>
    </w:p>
    <w:p>
      <w:pPr>
        <w:pStyle w:val="ListBullet2"/>
      </w:pPr>
      <w:r>
        <w:rPr>
          <w:b/>
        </w:rPr>
        <w:t>EPI-01:</w:t>
      </w:r>
      <w:r>
        <w:t xml:space="preserve"> al menos 7 citas erróneas en el cap. 1; por ejemplo, la ref. 164 (sobre apps) se usa en frases sin relación.</w:t>
      </w:r>
    </w:p>
    <w:p>
      <w:pPr>
        <w:pStyle w:val="ListBullet2"/>
      </w:pPr>
      <w:r>
        <w:rPr>
          <w:b/>
        </w:rPr>
        <w:t>EXA-14:</w:t>
      </w:r>
      <w:r>
        <w:t xml:space="preserve"> «Readmissions occur in 30%-50%… within 30 days». La cifra real es ≈7-20 %; 30-50 % corresponde a tasas a 1 año.</w:t>
      </w:r>
    </w:p>
    <w:p>
      <w:pPr>
        <w:pStyle w:val="ListBullet2"/>
      </w:pPr>
      <w:r>
        <w:rPr>
          <w:b/>
        </w:rPr>
        <w:t>EXA-15:</w:t>
      </w:r>
      <w:r>
        <w:t xml:space="preserve"> mortalidad hospitalaria «17-49 %»; Gunen 2005 da 8,3 % (17 pacientes).</w:t>
      </w:r>
    </w:p>
    <w:p>
      <w:pPr>
        <w:pStyle w:val="ListBullet2"/>
      </w:pPr>
      <w:r>
        <w:rPr>
          <w:b/>
        </w:rPr>
        <w:t>EPI-07:</w:t>
      </w:r>
      <w:r>
        <w:t xml:space="preserve"> la prevalencia es 2.513/100.000, no «2,5».</w:t>
      </w:r>
    </w:p>
    <w:p>
      <w:pPr>
        <w:pStyle w:val="ListBullet2"/>
      </w:pPr>
      <w:r>
        <w:rPr>
          <w:b/>
        </w:rPr>
        <w:t>EPI-10:</w:t>
      </w:r>
      <w:r>
        <w:t xml:space="preserve"> «J42-46» incluye el asma.</w:t>
      </w:r>
    </w:p>
    <w:p>
      <w:pPr>
        <w:pStyle w:val="ListBullet2"/>
      </w:pPr>
      <w:r>
        <w:rPr>
          <w:b/>
        </w:rPr>
        <w:t>EPI-11:</w:t>
      </w:r>
      <w:r>
        <w:t xml:space="preserve"> los 15.600 millones de Boers son exacerbaciones, no dólares.</w:t>
      </w:r>
    </w:p>
    <w:p>
      <w:pPr>
        <w:pStyle w:val="ListBullet2"/>
      </w:pPr>
      <w:r>
        <w:rPr>
          <w:b/>
        </w:rPr>
        <w:t>EQ-09/MUL-14:</w:t>
      </w:r>
      <w:r>
        <w:t xml:space="preserve"> «depression… more common in men (61% vs 39%)» contradice ECLIPSE (ref. 327), donde predomina en mujeres.</w:t>
      </w:r>
    </w:p>
    <w:p>
      <w:pPr>
        <w:pStyle w:val="ListBullet2"/>
      </w:pPr>
      <w:r>
        <w:rPr>
          <w:b/>
        </w:rPr>
        <w:t>IA-01:</w:t>
      </w:r>
      <w:r>
        <w:t xml:space="preserve"> se cita la revisión Cochrane equivocada (CD013381 en lugar de CD013196).</w:t>
      </w:r>
    </w:p>
    <w:p>
      <w:pPr>
        <w:pStyle w:val="ListBullet2"/>
      </w:pPr>
      <w:r>
        <w:rPr>
          <w:b/>
        </w:rPr>
        <w:t>REH-12:</w:t>
      </w:r>
      <w:r>
        <w:t xml:space="preserve"> errores de cita que invierten la evidencia sobre la VNI domiciliaria.</w:t>
      </w:r>
    </w:p>
    <w:p>
      <w:pPr>
        <w:pStyle w:val="ListBullet2"/>
      </w:pPr>
      <w:r>
        <w:rPr>
          <w:b/>
        </w:rPr>
        <w:t>MET-15:</w:t>
      </w:r>
      <w:r>
        <w:t xml:space="preserve"> «Oxidants are both generated by cigarette smoke…(215,241)»: la ref. 241 (Malhotra 2009) fue </w:t>
      </w:r>
      <w:r>
        <w:rPr>
          <w:b/>
        </w:rPr>
        <w:t>retractada en 2016</w:t>
      </w:r>
      <w:r>
        <w:t>, y la 215 tampoco sustenta la frase, que queda sin apoyo (E8: «el problema es mayor de lo descrito»).</w:t>
      </w:r>
    </w:p>
    <w:p>
      <w:pPr>
        <w:pStyle w:val="ListBullet"/>
      </w:pPr>
      <w:r>
        <w:rPr>
          <w:b/>
        </w:rPr>
        <w:t>Recomendación:</w:t>
      </w:r>
      <w:r>
        <w:t xml:space="preserve"> auditoría editorial de referencias antes de cada edición, cribado sistemático de retractaciones (Retraction Watch/Crossref), y control numérico por pares de las cifras clave.</w:t>
      </w:r>
    </w:p>
    <w:p>
      <w:pPr>
        <w:pStyle w:val="ListBullet"/>
      </w:pPr>
      <w:r>
        <w:rPr>
          <w:b/>
        </w:rPr>
        <w:t>Verificación:</w:t>
      </w:r>
      <w:r>
        <w:t xml:space="preserve"> </w:t>
      </w:r>
      <w:r>
        <w:rPr>
          <w:b/>
        </w:rPr>
        <w:t>CONFIRMADO</w:t>
      </w:r>
      <w:r>
        <w:t xml:space="preserve"> contra fuentes primarias (verificación externa F2-F5 y F9). IA-01 queda </w:t>
      </w:r>
      <w:r>
        <w:rPr>
          <w:b/>
        </w:rPr>
        <w:t>parcial</w:t>
      </w:r>
      <w:r>
        <w:t>: la frase «no evidence of harm» reproduce la conclusión Cochrane.</w:t>
      </w:r>
    </w:p>
    <w:p>
      <w:pPr>
        <w:jc w:val="center"/>
      </w:pPr>
      <w:r>
        <w:t>────────────────────────────────────────────────────────────</w:t>
      </w:r>
    </w:p>
    <w:p>
      <w:pPr>
        <w:pStyle w:val="Heading4"/>
      </w:pPr>
      <w:r>
        <w:t>Otros hallazgos ALTA destacados (no incluidos en el Top 15)</w:t>
      </w:r>
    </w:p>
    <w:p>
      <w:pPr>
        <w:pStyle w:val="ListBullet"/>
      </w:pPr>
      <w:r>
        <w:rPr>
          <w:b/>
        </w:rPr>
        <w:t>Telesalud e IA (IA-02, IA-03, IA-04):</w:t>
      </w:r>
      <w:r>
        <w:t xml:space="preserve"> los puntos clave afirman mejoras de «access, outcomes, and affordability» y una utilidad de la IA no respaldadas por la evidencia citada; un estudio caso-control con sesgo de espectro sustenta la predicción de exacerbaciones.</w:t>
      </w:r>
    </w:p>
    <w:p>
      <w:pPr>
        <w:pStyle w:val="ListBullet"/>
      </w:pPr>
      <w:r>
        <w:rPr>
          <w:b/>
        </w:rPr>
        <w:t>Equidad (EQ-01, EQ-03, EQ-05, EQ-08, EQ-13):</w:t>
      </w:r>
    </w:p>
    <w:p>
      <w:pPr>
        <w:pStyle w:val="ListBullet2"/>
      </w:pPr>
      <w:r>
        <w:t>La espirometría se presenta como «barata y disponible», sin vía diagnóstica operativa donde no la hay.</w:t>
      </w:r>
    </w:p>
    <w:p>
      <w:pPr>
        <w:pStyle w:val="ListBullet2"/>
      </w:pPr>
      <w:r>
        <w:t>No hay escalón terapéutico de bajo coste alineado con la Lista de Medicamentos Esenciales de la OMS.</w:t>
      </w:r>
    </w:p>
    <w:p>
      <w:pPr>
        <w:pStyle w:val="ListBullet2"/>
      </w:pPr>
      <w:r>
        <w:t>Se omite el sesgo diagnóstico en mujeres y la exposición a biomasa.</w:t>
      </w:r>
    </w:p>
    <w:p>
      <w:pPr>
        <w:pStyle w:val="ListBullet"/>
      </w:pPr>
      <w:r>
        <w:rPr>
          <w:b/>
        </w:rPr>
        <w:t>USPSTF 2022 (DX-10):</w:t>
      </w:r>
      <w:r>
        <w:t xml:space="preserve"> el grado D se aplica a todos los adultos asintomáticos, no solo a los de «bajo riesgo». </w:t>
      </w:r>
      <w:r>
        <w:rPr>
          <w:i/>
        </w:rPr>
        <w:t>(CONFIRMADO, E9; severidad ALTA, aunque el verificador la considera algo excesiva)</w:t>
      </w:r>
    </w:p>
    <w:p>
      <w:pPr>
        <w:pStyle w:val="ListBullet"/>
      </w:pPr>
      <w:r>
        <w:rPr>
          <w:b/>
        </w:rPr>
        <w:t>Espirometría (DX-01, DX-02):</w:t>
      </w:r>
      <w:r>
        <w:t xml:space="preserve"> las Figs 2.4 y 2.6 tienen requisitos obsoletos y un algoritmo pre/post-BD contradictorio </w:t>
      </w:r>
      <w:r>
        <w:rPr>
          <w:i/>
        </w:rPr>
        <w:t>(CONFIRMADO, figuras V6)</w:t>
      </w:r>
      <w:r>
        <w:t>.</w:t>
      </w:r>
    </w:p>
    <w:p>
      <w:pPr>
        <w:pStyle w:val="ListBullet"/>
      </w:pPr>
      <w:r>
        <w:rPr>
          <w:b/>
        </w:rPr>
        <w:t>Hipertensión pulmonar (MUL-07):</w:t>
      </w:r>
      <w:r>
        <w:t xml:space="preserve"> no se informa de que el ensayo PERFECT (treprostinil inhalado en HP-EPOC) se detuvo por daño. La guía cita el ensayo solo para pedir más investigación. </w:t>
      </w:r>
      <w:r>
        <w:rPr>
          <w:i/>
        </w:rPr>
        <w:t>(CONFIRMADO, E10)</w:t>
      </w:r>
    </w:p>
    <w:p>
      <w:pPr>
        <w:pStyle w:val="ListBullet"/>
      </w:pPr>
      <w:r>
        <w:rPr>
          <w:b/>
        </w:rPr>
        <w:t>HTA (MUL-03), SAOS/CPAP (MUL-12) y opioides para la disnea (INT-02):</w:t>
      </w:r>
      <w:r>
        <w:t xml:space="preserve"> afirmaciones sobredimensionadas o mal atribuidas.</w:t>
      </w:r>
    </w:p>
    <w:p>
      <w:pPr>
        <w:pStyle w:val="ListBullet"/>
      </w:pPr>
      <w:r>
        <w:rPr>
          <w:b/>
        </w:rPr>
        <w:t>Válvulas endobronquiales y coils (INT-05, INT-06):</w:t>
      </w:r>
      <w:r>
        <w:t xml:space="preserve"> afirmación sobre la ventaja de las válvulas frente a la LVRS mal citada y sin el ECA CELEB; los coils siguen apareciendo como opción terapéutica. </w:t>
      </w:r>
      <w:r>
        <w:rPr>
          <w:i/>
        </w:rPr>
        <w:t>(CONFIRMADO, E3: los coils nunca obtuvieron la aprobación de la FDA, cuyo comité asesor votó 3-8, y se han retirado del mercado; INT-06 se rebaja a MEDIA. La afirmación de que las válvulas dan «menos complicaciones» que la cirugía cita LIBERATE, que no tiene brazo quirúrgico; CELEB se publicó en Eur Respir J 2023.)</w:t>
      </w:r>
    </w:p>
    <w:p>
      <w:pPr>
        <w:pStyle w:val="ListBullet"/>
      </w:pPr>
      <w:r>
        <w:rPr>
          <w:b/>
        </w:rPr>
        <w:t>Sostenibilidad de los inhaladores (EQ-20):</w:t>
      </w:r>
      <w:r>
        <w:t xml:space="preserve"> no se menciona la transición a propelentes de bajo potencial de calentamiento global, y la única fuente tiene conflicto de interés.</w:t>
      </w:r>
    </w:p>
    <w:p>
      <w:pPr>
        <w:jc w:val="center"/>
      </w:pPr>
      <w:r>
        <w:t>────────────────────────────────────────────────────────────</w:t>
      </w:r>
    </w:p>
    <w:p>
      <w:pPr>
        <w:pStyle w:val="Heading2"/>
      </w:pPr>
      <w:r>
        <w:t>2. Resumen ejecutivo</w:t>
      </w:r>
    </w:p>
    <w:p>
      <w:r>
        <w:t xml:space="preserve">Un enjambre de </w:t>
      </w:r>
      <w:r>
        <w:rPr>
          <w:b/>
        </w:rPr>
        <w:t>12 paneles de expertos</w:t>
      </w:r>
      <w:r>
        <w:t xml:space="preserve"> (clínicos, metodólogos, epidemiólogos, especialistas en equidad y en salud digital) revisó de forma independiente el informe GOLD 2026 (v1.3, 8-dic-2025, 174 páginas). Después, </w:t>
      </w:r>
      <w:r>
        <w:rPr>
          <w:b/>
        </w:rPr>
        <w:t>3 verificadores independientes</w:t>
      </w:r>
      <w:r>
        <w:t xml:space="preserve"> contrastaron los hallazgos prioritarios con las figuras originales y con las fuentes primarias.</w:t>
      </w:r>
    </w:p>
    <w:p>
      <w:r>
        <w:rPr>
          <w:b/>
        </w:rPr>
        <w:t>Resultado:</w:t>
      </w:r>
      <w:r>
        <w:t xml:space="preserve"> 279 hallazgos (</w:t>
      </w:r>
      <w:r>
        <w:rPr>
          <w:color w:val="C00000"/>
        </w:rPr>
        <w:t>🔴</w:t>
      </w:r>
      <w:r>
        <w:t xml:space="preserve"> 2 críticos · </w:t>
      </w:r>
      <w:r>
        <w:rPr>
          <w:color w:val="ED7D31"/>
        </w:rPr>
        <w:t>🟠</w:t>
      </w:r>
      <w:r>
        <w:t xml:space="preserve"> 78 altos · </w:t>
      </w:r>
      <w:r>
        <w:rPr>
          <w:color w:val="FFC000"/>
        </w:rPr>
        <w:t>🟡</w:t>
      </w:r>
      <w:r>
        <w:t xml:space="preserve"> 162 medios · </w:t>
      </w:r>
      <w:r>
        <w:rPr>
          <w:color w:val="A6A6A6"/>
        </w:rPr>
        <w:t>⚪</w:t>
      </w:r>
      <w:r>
        <w:t xml:space="preserve"> 37 bajos, tras la verificación), agrupados en 30 temas.</w:t>
      </w:r>
    </w:p>
    <w:p>
      <w:pPr>
        <w:pStyle w:val="ListBullet"/>
      </w:pPr>
      <w:r>
        <w:t xml:space="preserve">Se verificaron 74 hallazgos: </w:t>
      </w:r>
      <w:r>
        <w:rPr>
          <w:b/>
        </w:rPr>
        <w:t>63 se confirmaron</w:t>
      </w:r>
      <w:r>
        <w:t xml:space="preserve">, </w:t>
      </w:r>
      <w:r>
        <w:rPr>
          <w:b/>
        </w:rPr>
        <w:t>11 se confirmaron solo en parte</w:t>
      </w:r>
      <w:r>
        <w:t xml:space="preserve"> y </w:t>
      </w:r>
      <w:r>
        <w:rPr>
          <w:b/>
        </w:rPr>
        <w:t>ninguno fue refutado</w:t>
      </w:r>
      <w:r>
        <w:t>.</w:t>
      </w:r>
    </w:p>
    <w:p>
      <w:pPr>
        <w:pStyle w:val="ListBullet"/>
      </w:pPr>
      <w:r>
        <w:t>La verificación rebajó la severidad de 11 hallazgos: 3 de CRÍTICA a ALTA y 8 de ALTA a MEDIA.</w:t>
      </w:r>
    </w:p>
    <w:p>
      <w:pPr>
        <w:pStyle w:val="Heading4"/>
      </w:pPr>
      <w:r>
        <w:t>Mensajes clave</w:t>
      </w:r>
    </w:p>
    <w:p>
      <w:pPr>
        <w:pStyle w:val="ListNumber"/>
        <w:numPr>
          <w:ilvl w:val="0"/>
          <w:numId w:val="10"/>
        </w:numPr>
      </w:pPr>
      <w:r>
        <w:rPr>
          <w:b/>
        </w:rPr>
        <w:t>GOLD 2026 sigue siendo una referencia útil</w:t>
      </w:r>
      <w:r>
        <w:t xml:space="preserve">, con novedades relevantes: biológicos, el umbral de 1 exacerbación, PRISm y multimorbilidad. Pero </w:t>
      </w:r>
      <w:r>
        <w:rPr>
          <w:b/>
        </w:rPr>
        <w:t>tiene errores que afectan a la seguridad del paciente</w:t>
      </w:r>
      <w:r>
        <w:t xml:space="preserve"> y que deberían corregirse en una fe de erratas (v1.4).</w:t>
      </w:r>
    </w:p>
    <w:p>
      <w:pPr>
        <w:pStyle w:val="ListNumber"/>
        <w:numPr>
          <w:ilvl w:val="0"/>
          <w:numId w:val="10"/>
        </w:numPr>
      </w:pPr>
      <w:r>
        <w:rPr>
          <w:b/>
        </w:rPr>
        <w:t>El fallo más frecuente es estructural: las figuras y el texto no están sincronizados.</w:t>
      </w:r>
      <w:r>
        <w:t xml:space="preserve"> Las figuras, que son lo que más usan los clínicos, a menudo dicen algo distinto del texto: Fig 3.9, 3.18, 3.22, 4.2, 4.6, 4.9, 5.6 y 3.6.</w:t>
      </w:r>
    </w:p>
    <w:p>
      <w:pPr>
        <w:pStyle w:val="ListNumber"/>
        <w:numPr>
          <w:ilvl w:val="0"/>
          <w:numId w:val="10"/>
        </w:numPr>
      </w:pPr>
      <w:r>
        <w:rPr>
          <w:b/>
        </w:rPr>
        <w:t>La evidencia de las terapias nuevas se presenta de forma más favorable que los ensayos.</w:t>
      </w:r>
      <w:r>
        <w:t xml:space="preserve"> Ocurre con la mortalidad de la triple terapia, el mepolizumab y la ensifentrina tras LABA+LAMA. En cambio, se omiten ensayos negativos o con daño: Greening 2014 en el cuerpo del texto, PERFECT y CELEB.</w:t>
      </w:r>
    </w:p>
    <w:p>
      <w:pPr>
        <w:pStyle w:val="ListNumber"/>
        <w:numPr>
          <w:ilvl w:val="0"/>
          <w:numId w:val="10"/>
        </w:numPr>
      </w:pPr>
      <w:r>
        <w:rPr>
          <w:b/>
        </w:rPr>
        <w:t>El método no cumple los estándares actuales de las guías de práctica clínica:</w:t>
      </w:r>
    </w:p>
    <w:p>
      <w:pPr>
        <w:pStyle w:val="ListBullet2"/>
      </w:pPr>
      <w:r>
        <w:t>no usa GRADE ni fuerza de recomendación;</w:t>
      </w:r>
    </w:p>
    <w:p>
      <w:pPr>
        <w:pStyle w:val="ListBullet2"/>
      </w:pPr>
      <w:r>
        <w:t>los niveles de evidencia aparecen sobre todo en figuras-imagen sin referencias;</w:t>
      </w:r>
    </w:p>
    <w:p>
      <w:pPr>
        <w:pStyle w:val="ListBullet2"/>
      </w:pPr>
      <w:r>
        <w:t>el documento no recoge la financiación ni la gestión de conflictos de interés, y las declaraciones publicadas online son de 2022.</w:t>
      </w:r>
    </w:p>
    <w:p>
      <w:pPr>
        <w:pStyle w:val="ListNumber"/>
        <w:numPr>
          <w:ilvl w:val="0"/>
          <w:numId w:val="10"/>
        </w:numPr>
      </w:pPr>
      <w:r>
        <w:rPr>
          <w:b/>
        </w:rPr>
        <w:t>La integridad de las citas es deficiente:</w:t>
      </w:r>
    </w:p>
    <w:p>
      <w:pPr>
        <w:pStyle w:val="ListBullet2"/>
      </w:pPr>
      <w:r>
        <w:t>numeración desplazada en el cap. 1;</w:t>
      </w:r>
    </w:p>
    <w:p>
      <w:pPr>
        <w:pStyle w:val="ListBullet2"/>
      </w:pPr>
      <w:r>
        <w:t>un artículo retractado;</w:t>
      </w:r>
    </w:p>
    <w:p>
      <w:pPr>
        <w:pStyle w:val="ListBullet2"/>
      </w:pPr>
      <w:r>
        <w:t>la revisión Cochrane equivocada;</w:t>
      </w:r>
    </w:p>
    <w:p>
      <w:pPr>
        <w:pStyle w:val="ListBullet2"/>
      </w:pPr>
      <w:r>
        <w:t>cifras mal transcritas: reingresos «30-50 %», «2,5» por 2.513/100.000, «$» por número de exacerbaciones.</w:t>
      </w:r>
    </w:p>
    <w:p>
      <w:pPr>
        <w:pStyle w:val="ListNumber"/>
        <w:numPr>
          <w:ilvl w:val="0"/>
          <w:numId w:val="10"/>
        </w:numPr>
      </w:pPr>
      <w:r>
        <w:rPr>
          <w:b/>
        </w:rPr>
        <w:t>Es «global» en la carga de enfermedad, pero no en sus recomendaciones.</w:t>
      </w:r>
      <w:r>
        <w:t xml:space="preserve"> No ofrece una vía diagnóstica sin espirometría ni un escalón terapéutico de bajo coste, y la perspectiva de sexo y género y la de atención primaria son débiles.</w:t>
      </w:r>
    </w:p>
    <w:p>
      <w:pPr>
        <w:pStyle w:val="Heading4"/>
      </w:pPr>
      <w:r>
        <w:t>Diez correcciones más urgentes</w:t>
      </w:r>
    </w:p>
    <w:p>
      <w:pPr>
        <w:pStyle w:val="ListNumber"/>
        <w:numPr>
          <w:ilvl w:val="0"/>
          <w:numId w:val="11"/>
        </w:numPr>
      </w:pPr>
      <w:r>
        <w:rPr>
          <w:b/>
        </w:rPr>
        <w:t>Oxígeno en la exacerbación:</w:t>
      </w:r>
      <w:r>
        <w:t xml:space="preserve"> añadir el objetivo de SpO2 88-92 % y la titulación controlada (EXA-01, CRÍTICA).</w:t>
      </w:r>
    </w:p>
    <w:p>
      <w:pPr>
        <w:pStyle w:val="ListNumber"/>
        <w:numPr>
          <w:ilvl w:val="0"/>
          <w:numId w:val="11"/>
        </w:numPr>
      </w:pPr>
      <w:r>
        <w:rPr>
          <w:b/>
        </w:rPr>
        <w:t>FA:</w:t>
      </w:r>
      <w:r>
        <w:t xml:space="preserve"> retirar «no contraindication… including beta-blockers»; preferir β1-selectivos y advertir de los fármacos contraindicados (MUL-02, CRÍTICA).</w:t>
      </w:r>
    </w:p>
    <w:p>
      <w:pPr>
        <w:pStyle w:val="ListNumber"/>
        <w:numPr>
          <w:ilvl w:val="0"/>
          <w:numId w:val="11"/>
        </w:numPr>
      </w:pPr>
      <w:r>
        <w:rPr>
          <w:b/>
        </w:rPr>
        <w:t>Cribado de cáncer de pulmón (Fig 5.6):</w:t>
      </w:r>
      <w:r>
        <w:t xml:space="preserve"> sustituir la HRCT anual «para todos» por una LDCT según los criterios de la USPSTF y la ACS (MUL-01).</w:t>
      </w:r>
    </w:p>
    <w:p>
      <w:pPr>
        <w:pStyle w:val="ListNumber"/>
        <w:numPr>
          <w:ilvl w:val="0"/>
          <w:numId w:val="11"/>
        </w:numPr>
      </w:pPr>
      <w:r>
        <w:rPr>
          <w:b/>
        </w:rPr>
        <w:t>Rehabilitación pulmonar:</w:t>
      </w:r>
      <w:r>
        <w:t xml:space="preserve"> dejar de presentarla como reductora de mortalidad cuando se inicia «durante la hospitalización»; separar la movilización precoz de la RR tras el alta (REH-01, INT-04).</w:t>
      </w:r>
    </w:p>
    <w:p>
      <w:pPr>
        <w:pStyle w:val="ListNumber"/>
        <w:numPr>
          <w:ilvl w:val="0"/>
          <w:numId w:val="11"/>
        </w:numPr>
      </w:pPr>
      <w:r>
        <w:rPr>
          <w:b/>
        </w:rPr>
        <w:t>Trasplante (Fig 3.22):</w:t>
      </w:r>
      <w:r>
        <w:t xml:space="preserve"> pasar a criterios de derivación de ISHLT 2021 y distinguir derivación de listado (INT-01).</w:t>
      </w:r>
    </w:p>
    <w:p>
      <w:pPr>
        <w:pStyle w:val="ListNumber"/>
        <w:numPr>
          <w:ilvl w:val="0"/>
          <w:numId w:val="11"/>
        </w:numPr>
      </w:pPr>
      <w:r>
        <w:rPr>
          <w:b/>
        </w:rPr>
        <w:t>Gravedad de la exacerbación (Fig 4.2):</w:t>
      </w:r>
      <w:r>
        <w:t xml:space="preserve"> reproducir fielmente los umbrales de Roma y unificar el pH (EXA-03, COH-01).</w:t>
      </w:r>
    </w:p>
    <w:p>
      <w:pPr>
        <w:pStyle w:val="ListNumber"/>
        <w:numPr>
          <w:ilvl w:val="0"/>
          <w:numId w:val="11"/>
        </w:numPr>
      </w:pPr>
      <w:r>
        <w:rPr>
          <w:b/>
        </w:rPr>
        <w:t>Soporte ventilatorio:</w:t>
      </w:r>
      <w:r>
        <w:t xml:space="preserve"> no atribuir a la HFNT la evidencia de supervivencia de la VNI; añadir el fracaso de la VNI como indicación de VMI (EXA-06, EXA-02).</w:t>
      </w:r>
    </w:p>
    <w:p>
      <w:pPr>
        <w:pStyle w:val="ListNumber"/>
        <w:numPr>
          <w:ilvl w:val="0"/>
          <w:numId w:val="11"/>
        </w:numPr>
      </w:pPr>
      <w:r>
        <w:rPr>
          <w:b/>
        </w:rPr>
        <w:t>Infecciones en la exacerbación:</w:t>
      </w:r>
    </w:p>
    <w:p>
      <w:pPr>
        <w:pStyle w:val="ListBullet2"/>
      </w:pPr>
      <w:r>
        <w:t>corregir los criterios de Anthonisen;</w:t>
      </w:r>
    </w:p>
    <w:p>
      <w:pPr>
        <w:pStyle w:val="ListBullet2"/>
      </w:pPr>
      <w:r>
        <w:t xml:space="preserve">añadir el riesgo de </w:t>
      </w:r>
      <w:r>
        <w:rPr>
          <w:i/>
        </w:rPr>
        <w:t>Pseudomonas</w:t>
      </w:r>
      <w:r>
        <w:t>;</w:t>
      </w:r>
    </w:p>
    <w:p>
      <w:pPr>
        <w:pStyle w:val="ListBullet2"/>
      </w:pPr>
      <w:r>
        <w:t xml:space="preserve">incluir los </w:t>
      </w:r>
      <w:r>
        <w:rPr>
          <w:b/>
        </w:rPr>
        <w:t>antivirales</w:t>
      </w:r>
      <w:r>
        <w:t>, ausentes del documento (EXA-07, EXA-08, EXA-09).</w:t>
      </w:r>
    </w:p>
    <w:p>
      <w:pPr>
        <w:pStyle w:val="ListNumber"/>
        <w:numPr>
          <w:ilvl w:val="0"/>
          <w:numId w:val="11"/>
        </w:numPr>
      </w:pPr>
      <w:r>
        <w:rPr>
          <w:b/>
        </w:rPr>
        <w:t>Algoritmo farmacológico:</w:t>
      </w:r>
      <w:r>
        <w:t xml:space="preserve"> que la Fig 3.9 y el texto coincidan; corregir la contradicción en los criterios de los biológicos y unificar la definición del candidato a roflumilast (COH-02, NOV-06, COH-03).</w:t>
      </w:r>
    </w:p>
    <w:p>
      <w:pPr>
        <w:pStyle w:val="ListNumber"/>
        <w:numPr>
          <w:ilvl w:val="0"/>
          <w:numId w:val="11"/>
        </w:numPr>
      </w:pPr>
      <w:r>
        <w:rPr>
          <w:b/>
        </w:rPr>
        <w:t>Mensajes sobre la triple terapia y los biológicos:</w:t>
      </w:r>
      <w:r>
        <w:t xml:space="preserve"> decir «sugiere» en lugar de «reduce la mortalidad», y describir METREO, MATINEE y ENHANCE con precisión (NOV-04, NOV-01, NOV-08).</w:t>
      </w:r>
    </w:p>
    <w:p>
      <w:pPr>
        <w:jc w:val="center"/>
      </w:pPr>
      <w:r>
        <w:t>────────────────────────────────────────────────────────────</w:t>
      </w:r>
    </w:p>
    <w:p>
      <w:pPr>
        <w:pStyle w:val="Heading2"/>
      </w:pPr>
      <w:r>
        <w:t>3. Resultados globales</w:t>
      </w:r>
    </w:p>
    <w:p>
      <w:r>
        <w:rPr>
          <w:b/>
        </w:rPr>
        <w:t>279 hallazgos:</w:t>
      </w:r>
      <w:r>
        <w:t xml:space="preserve"> </w:t>
      </w:r>
      <w:r>
        <w:rPr>
          <w:color w:val="C00000"/>
        </w:rPr>
        <w:t>🔴</w:t>
      </w:r>
      <w:r>
        <w:t xml:space="preserve"> 2 críticos · </w:t>
      </w:r>
      <w:r>
        <w:rPr>
          <w:color w:val="ED7D31"/>
        </w:rPr>
        <w:t>🟠</w:t>
      </w:r>
      <w:r>
        <w:t xml:space="preserve"> 78 altos · </w:t>
      </w:r>
      <w:r>
        <w:rPr>
          <w:color w:val="FFC000"/>
        </w:rPr>
        <w:t>🟡</w:t>
      </w:r>
      <w:r>
        <w:t xml:space="preserve"> 162 medios · </w:t>
      </w:r>
      <w:r>
        <w:rPr>
          <w:color w:val="A6A6A6"/>
        </w:rPr>
        <w:t>⚪</w:t>
      </w:r>
      <w:r>
        <w:t xml:space="preserve"> 37 bajos.</w:t>
      </w:r>
    </w:p>
    <w:p>
      <w:pPr>
        <w:pStyle w:val="Heading3"/>
      </w:pPr>
      <w:r>
        <w:t>3.1 Por panel</w:t>
      </w:r>
    </w:p>
    <w:tbl>
      <w:tblPr>
        <w:tblStyle w:val="TableGrid"/>
        <w:tblW w:type="auto" w:w="0"/>
        <w:tblLayout w:type="fixed"/>
        <w:tblLook w:firstColumn="1" w:firstRow="1" w:lastColumn="0" w:lastRow="0" w:noHBand="0" w:noVBand="1" w:val="04A0"/>
      </w:tblPr>
      <w:tblGrid>
        <w:gridCol w:w="7036"/>
        <w:gridCol w:w="357"/>
        <w:gridCol w:w="459"/>
        <w:gridCol w:w="561"/>
        <w:gridCol w:w="459"/>
        <w:gridCol w:w="765"/>
      </w:tblGrid>
      <w:tr>
        <w:trPr>
          <w:tblHeader w:val="true"/>
        </w:trPr>
        <w:tc>
          <w:tcPr>
            <w:tcW w:type="dxa" w:w="7036"/>
            <w:shd w:val="clear" w:color="auto" w:fill="D9E2F3"/>
          </w:tcPr>
          <w:p>
            <w:r/>
            <w:r>
              <w:rPr>
                <w:b/>
                <w:sz w:val="16"/>
              </w:rPr>
              <w:t>Panel</w:t>
            </w:r>
          </w:p>
        </w:tc>
        <w:tc>
          <w:tcPr>
            <w:tcW w:type="dxa" w:w="357"/>
            <w:shd w:val="clear" w:color="auto" w:fill="D9E2F3"/>
          </w:tcPr>
          <w:p>
            <w:r/>
            <w:r>
              <w:rPr>
                <w:b/>
                <w:color w:val="C00000"/>
                <w:sz w:val="16"/>
              </w:rPr>
              <w:t>🔴</w:t>
            </w:r>
          </w:p>
        </w:tc>
        <w:tc>
          <w:tcPr>
            <w:tcW w:type="dxa" w:w="459"/>
            <w:shd w:val="clear" w:color="auto" w:fill="D9E2F3"/>
          </w:tcPr>
          <w:p>
            <w:r/>
            <w:r>
              <w:rPr>
                <w:b/>
                <w:color w:val="ED7D31"/>
                <w:sz w:val="16"/>
              </w:rPr>
              <w:t>🟠</w:t>
            </w:r>
          </w:p>
        </w:tc>
        <w:tc>
          <w:tcPr>
            <w:tcW w:type="dxa" w:w="561"/>
            <w:shd w:val="clear" w:color="auto" w:fill="D9E2F3"/>
          </w:tcPr>
          <w:p>
            <w:r/>
            <w:r>
              <w:rPr>
                <w:b/>
                <w:color w:val="FFC000"/>
                <w:sz w:val="16"/>
              </w:rPr>
              <w:t>🟡</w:t>
            </w:r>
          </w:p>
        </w:tc>
        <w:tc>
          <w:tcPr>
            <w:tcW w:type="dxa" w:w="459"/>
            <w:shd w:val="clear" w:color="auto" w:fill="D9E2F3"/>
          </w:tcPr>
          <w:p>
            <w:r/>
            <w:r>
              <w:rPr>
                <w:b/>
                <w:color w:val="A6A6A6"/>
                <w:sz w:val="16"/>
              </w:rPr>
              <w:t>⚪</w:t>
            </w:r>
          </w:p>
        </w:tc>
        <w:tc>
          <w:tcPr>
            <w:tcW w:type="dxa" w:w="765"/>
            <w:shd w:val="clear" w:color="auto" w:fill="D9E2F3"/>
          </w:tcPr>
          <w:p>
            <w:r/>
            <w:r>
              <w:rPr>
                <w:b/>
                <w:sz w:val="16"/>
              </w:rPr>
              <w:t>Total</w:t>
            </w:r>
          </w:p>
        </w:tc>
      </w:tr>
      <w:tr>
        <w:tc>
          <w:tcPr>
            <w:tcW w:type="dxa" w:w="7036"/>
          </w:tcPr>
          <w:p>
            <w:r/>
            <w:r>
              <w:rPr>
                <w:sz w:val="16"/>
              </w:rPr>
              <w:t>Epidemiología (cap. 1) (EPI)</w:t>
            </w:r>
          </w:p>
        </w:tc>
        <w:tc>
          <w:tcPr>
            <w:tcW w:type="dxa" w:w="357"/>
          </w:tcPr>
          <w:p>
            <w:r/>
            <w:r>
              <w:rPr>
                <w:sz w:val="16"/>
              </w:rPr>
              <w:t>0</w:t>
            </w:r>
          </w:p>
        </w:tc>
        <w:tc>
          <w:tcPr>
            <w:tcW w:type="dxa" w:w="459"/>
          </w:tcPr>
          <w:p>
            <w:r/>
            <w:r>
              <w:rPr>
                <w:sz w:val="16"/>
              </w:rPr>
              <w:t>2</w:t>
            </w:r>
          </w:p>
        </w:tc>
        <w:tc>
          <w:tcPr>
            <w:tcW w:type="dxa" w:w="561"/>
          </w:tcPr>
          <w:p>
            <w:r/>
            <w:r>
              <w:rPr>
                <w:sz w:val="16"/>
              </w:rPr>
              <w:t>16</w:t>
            </w:r>
          </w:p>
        </w:tc>
        <w:tc>
          <w:tcPr>
            <w:tcW w:type="dxa" w:w="459"/>
          </w:tcPr>
          <w:p>
            <w:r/>
            <w:r>
              <w:rPr>
                <w:sz w:val="16"/>
              </w:rPr>
              <w:t>4</w:t>
            </w:r>
          </w:p>
        </w:tc>
        <w:tc>
          <w:tcPr>
            <w:tcW w:type="dxa" w:w="765"/>
          </w:tcPr>
          <w:p>
            <w:r/>
            <w:r>
              <w:rPr>
                <w:sz w:val="16"/>
              </w:rPr>
              <w:t>22</w:t>
            </w:r>
          </w:p>
        </w:tc>
      </w:tr>
      <w:tr>
        <w:tc>
          <w:tcPr>
            <w:tcW w:type="dxa" w:w="7036"/>
          </w:tcPr>
          <w:p>
            <w:r/>
            <w:r>
              <w:rPr>
                <w:sz w:val="16"/>
              </w:rPr>
              <w:t>Fisiología/diagnóstico (cap. 2) (DX)</w:t>
            </w:r>
          </w:p>
        </w:tc>
        <w:tc>
          <w:tcPr>
            <w:tcW w:type="dxa" w:w="357"/>
          </w:tcPr>
          <w:p>
            <w:r/>
            <w:r>
              <w:rPr>
                <w:sz w:val="16"/>
              </w:rPr>
              <w:t>0</w:t>
            </w:r>
          </w:p>
        </w:tc>
        <w:tc>
          <w:tcPr>
            <w:tcW w:type="dxa" w:w="459"/>
          </w:tcPr>
          <w:p>
            <w:r/>
            <w:r>
              <w:rPr>
                <w:sz w:val="16"/>
              </w:rPr>
              <w:t>4</w:t>
            </w:r>
          </w:p>
        </w:tc>
        <w:tc>
          <w:tcPr>
            <w:tcW w:type="dxa" w:w="561"/>
          </w:tcPr>
          <w:p>
            <w:r/>
            <w:r>
              <w:rPr>
                <w:sz w:val="16"/>
              </w:rPr>
              <w:t>17</w:t>
            </w:r>
          </w:p>
        </w:tc>
        <w:tc>
          <w:tcPr>
            <w:tcW w:type="dxa" w:w="459"/>
          </w:tcPr>
          <w:p>
            <w:r/>
            <w:r>
              <w:rPr>
                <w:sz w:val="16"/>
              </w:rPr>
              <w:t>3</w:t>
            </w:r>
          </w:p>
        </w:tc>
        <w:tc>
          <w:tcPr>
            <w:tcW w:type="dxa" w:w="765"/>
          </w:tcPr>
          <w:p>
            <w:r/>
            <w:r>
              <w:rPr>
                <w:sz w:val="16"/>
              </w:rPr>
              <w:t>24</w:t>
            </w:r>
          </w:p>
        </w:tc>
      </w:tr>
      <w:tr>
        <w:tc>
          <w:tcPr>
            <w:tcW w:type="dxa" w:w="7036"/>
          </w:tcPr>
          <w:p>
            <w:r/>
            <w:r>
              <w:rPr>
                <w:sz w:val="16"/>
              </w:rPr>
              <w:t>Farmacología clínica (cap. 3A) (FARM)</w:t>
            </w:r>
          </w:p>
        </w:tc>
        <w:tc>
          <w:tcPr>
            <w:tcW w:type="dxa" w:w="357"/>
          </w:tcPr>
          <w:p>
            <w:r/>
            <w:r>
              <w:rPr>
                <w:sz w:val="16"/>
              </w:rPr>
              <w:t>0</w:t>
            </w:r>
          </w:p>
        </w:tc>
        <w:tc>
          <w:tcPr>
            <w:tcW w:type="dxa" w:w="459"/>
          </w:tcPr>
          <w:p>
            <w:r/>
            <w:r>
              <w:rPr>
                <w:sz w:val="16"/>
              </w:rPr>
              <w:t>4</w:t>
            </w:r>
          </w:p>
        </w:tc>
        <w:tc>
          <w:tcPr>
            <w:tcW w:type="dxa" w:w="561"/>
          </w:tcPr>
          <w:p>
            <w:r/>
            <w:r>
              <w:rPr>
                <w:sz w:val="16"/>
              </w:rPr>
              <w:t>16</w:t>
            </w:r>
          </w:p>
        </w:tc>
        <w:tc>
          <w:tcPr>
            <w:tcW w:type="dxa" w:w="459"/>
          </w:tcPr>
          <w:p>
            <w:r/>
            <w:r>
              <w:rPr>
                <w:sz w:val="16"/>
              </w:rPr>
              <w:t>4</w:t>
            </w:r>
          </w:p>
        </w:tc>
        <w:tc>
          <w:tcPr>
            <w:tcW w:type="dxa" w:w="765"/>
          </w:tcPr>
          <w:p>
            <w:r/>
            <w:r>
              <w:rPr>
                <w:sz w:val="16"/>
              </w:rPr>
              <w:t>24</w:t>
            </w:r>
          </w:p>
        </w:tc>
      </w:tr>
      <w:tr>
        <w:tc>
          <w:tcPr>
            <w:tcW w:type="dxa" w:w="7036"/>
          </w:tcPr>
          <w:p>
            <w:r/>
            <w:r>
              <w:rPr>
                <w:sz w:val="16"/>
              </w:rPr>
              <w:t>Nuevas terapias/biológicos (NOV)</w:t>
            </w:r>
          </w:p>
        </w:tc>
        <w:tc>
          <w:tcPr>
            <w:tcW w:type="dxa" w:w="357"/>
          </w:tcPr>
          <w:p>
            <w:r/>
            <w:r>
              <w:rPr>
                <w:sz w:val="16"/>
              </w:rPr>
              <w:t>0</w:t>
            </w:r>
          </w:p>
        </w:tc>
        <w:tc>
          <w:tcPr>
            <w:tcW w:type="dxa" w:w="459"/>
          </w:tcPr>
          <w:p>
            <w:r/>
            <w:r>
              <w:rPr>
                <w:sz w:val="16"/>
              </w:rPr>
              <w:t>4</w:t>
            </w:r>
          </w:p>
        </w:tc>
        <w:tc>
          <w:tcPr>
            <w:tcW w:type="dxa" w:w="561"/>
          </w:tcPr>
          <w:p>
            <w:r/>
            <w:r>
              <w:rPr>
                <w:sz w:val="16"/>
              </w:rPr>
              <w:t>11</w:t>
            </w:r>
          </w:p>
        </w:tc>
        <w:tc>
          <w:tcPr>
            <w:tcW w:type="dxa" w:w="459"/>
          </w:tcPr>
          <w:p>
            <w:r/>
            <w:r>
              <w:rPr>
                <w:sz w:val="16"/>
              </w:rPr>
              <w:t>3</w:t>
            </w:r>
          </w:p>
        </w:tc>
        <w:tc>
          <w:tcPr>
            <w:tcW w:type="dxa" w:w="765"/>
          </w:tcPr>
          <w:p>
            <w:r/>
            <w:r>
              <w:rPr>
                <w:sz w:val="16"/>
              </w:rPr>
              <w:t>18</w:t>
            </w:r>
          </w:p>
        </w:tc>
      </w:tr>
      <w:tr>
        <w:tc>
          <w:tcPr>
            <w:tcW w:type="dxa" w:w="7036"/>
          </w:tcPr>
          <w:p>
            <w:r/>
            <w:r>
              <w:rPr>
                <w:sz w:val="16"/>
              </w:rPr>
              <w:t>Rehabilitación/oxígeno/VNI (REH)</w:t>
            </w:r>
          </w:p>
        </w:tc>
        <w:tc>
          <w:tcPr>
            <w:tcW w:type="dxa" w:w="357"/>
          </w:tcPr>
          <w:p>
            <w:r/>
            <w:r>
              <w:rPr>
                <w:sz w:val="16"/>
              </w:rPr>
              <w:t>0</w:t>
            </w:r>
          </w:p>
        </w:tc>
        <w:tc>
          <w:tcPr>
            <w:tcW w:type="dxa" w:w="459"/>
          </w:tcPr>
          <w:p>
            <w:r/>
            <w:r>
              <w:rPr>
                <w:sz w:val="16"/>
              </w:rPr>
              <w:t>8</w:t>
            </w:r>
          </w:p>
        </w:tc>
        <w:tc>
          <w:tcPr>
            <w:tcW w:type="dxa" w:w="561"/>
          </w:tcPr>
          <w:p>
            <w:r/>
            <w:r>
              <w:rPr>
                <w:sz w:val="16"/>
              </w:rPr>
              <w:t>14</w:t>
            </w:r>
          </w:p>
        </w:tc>
        <w:tc>
          <w:tcPr>
            <w:tcW w:type="dxa" w:w="459"/>
          </w:tcPr>
          <w:p>
            <w:r/>
            <w:r>
              <w:rPr>
                <w:sz w:val="16"/>
              </w:rPr>
              <w:t>2</w:t>
            </w:r>
          </w:p>
        </w:tc>
        <w:tc>
          <w:tcPr>
            <w:tcW w:type="dxa" w:w="765"/>
          </w:tcPr>
          <w:p>
            <w:r/>
            <w:r>
              <w:rPr>
                <w:sz w:val="16"/>
              </w:rPr>
              <w:t>24</w:t>
            </w:r>
          </w:p>
        </w:tc>
      </w:tr>
      <w:tr>
        <w:tc>
          <w:tcPr>
            <w:tcW w:type="dxa" w:w="7036"/>
          </w:tcPr>
          <w:p>
            <w:r/>
            <w:r>
              <w:rPr>
                <w:sz w:val="16"/>
              </w:rPr>
              <w:t>Intervencionismo/paliativos (INT)</w:t>
            </w:r>
          </w:p>
        </w:tc>
        <w:tc>
          <w:tcPr>
            <w:tcW w:type="dxa" w:w="357"/>
          </w:tcPr>
          <w:p>
            <w:r/>
            <w:r>
              <w:rPr>
                <w:sz w:val="16"/>
              </w:rPr>
              <w:t>0</w:t>
            </w:r>
          </w:p>
        </w:tc>
        <w:tc>
          <w:tcPr>
            <w:tcW w:type="dxa" w:w="459"/>
          </w:tcPr>
          <w:p>
            <w:r/>
            <w:r>
              <w:rPr>
                <w:sz w:val="16"/>
              </w:rPr>
              <w:t>6</w:t>
            </w:r>
          </w:p>
        </w:tc>
        <w:tc>
          <w:tcPr>
            <w:tcW w:type="dxa" w:w="561"/>
          </w:tcPr>
          <w:p>
            <w:r/>
            <w:r>
              <w:rPr>
                <w:sz w:val="16"/>
              </w:rPr>
              <w:t>12</w:t>
            </w:r>
          </w:p>
        </w:tc>
        <w:tc>
          <w:tcPr>
            <w:tcW w:type="dxa" w:w="459"/>
          </w:tcPr>
          <w:p>
            <w:r/>
            <w:r>
              <w:rPr>
                <w:sz w:val="16"/>
              </w:rPr>
              <w:t>6</w:t>
            </w:r>
          </w:p>
        </w:tc>
        <w:tc>
          <w:tcPr>
            <w:tcW w:type="dxa" w:w="765"/>
          </w:tcPr>
          <w:p>
            <w:r/>
            <w:r>
              <w:rPr>
                <w:sz w:val="16"/>
              </w:rPr>
              <w:t>24</w:t>
            </w:r>
          </w:p>
        </w:tc>
      </w:tr>
      <w:tr>
        <w:tc>
          <w:tcPr>
            <w:tcW w:type="dxa" w:w="7036"/>
          </w:tcPr>
          <w:p>
            <w:r/>
            <w:r>
              <w:rPr>
                <w:sz w:val="16"/>
              </w:rPr>
              <w:t>Urgencias/UCI/infecciosas (cap. 4) (EXA)</w:t>
            </w:r>
          </w:p>
        </w:tc>
        <w:tc>
          <w:tcPr>
            <w:tcW w:type="dxa" w:w="357"/>
          </w:tcPr>
          <w:p>
            <w:r/>
            <w:r>
              <w:rPr>
                <w:sz w:val="16"/>
              </w:rPr>
              <w:t>1</w:t>
            </w:r>
          </w:p>
        </w:tc>
        <w:tc>
          <w:tcPr>
            <w:tcW w:type="dxa" w:w="459"/>
          </w:tcPr>
          <w:p>
            <w:r/>
            <w:r>
              <w:rPr>
                <w:sz w:val="16"/>
              </w:rPr>
              <w:t>9</w:t>
            </w:r>
          </w:p>
        </w:tc>
        <w:tc>
          <w:tcPr>
            <w:tcW w:type="dxa" w:w="561"/>
          </w:tcPr>
          <w:p>
            <w:r/>
            <w:r>
              <w:rPr>
                <w:sz w:val="16"/>
              </w:rPr>
              <w:t>12</w:t>
            </w:r>
          </w:p>
        </w:tc>
        <w:tc>
          <w:tcPr>
            <w:tcW w:type="dxa" w:w="459"/>
          </w:tcPr>
          <w:p>
            <w:r/>
            <w:r>
              <w:rPr>
                <w:sz w:val="16"/>
              </w:rPr>
              <w:t>3</w:t>
            </w:r>
          </w:p>
        </w:tc>
        <w:tc>
          <w:tcPr>
            <w:tcW w:type="dxa" w:w="765"/>
          </w:tcPr>
          <w:p>
            <w:r/>
            <w:r>
              <w:rPr>
                <w:sz w:val="16"/>
              </w:rPr>
              <w:t>25</w:t>
            </w:r>
          </w:p>
        </w:tc>
      </w:tr>
      <w:tr>
        <w:tc>
          <w:tcPr>
            <w:tcW w:type="dxa" w:w="7036"/>
          </w:tcPr>
          <w:p>
            <w:r/>
            <w:r>
              <w:rPr>
                <w:sz w:val="16"/>
              </w:rPr>
              <w:t>Multimorbilidad (cap. 5) (MUL)</w:t>
            </w:r>
          </w:p>
        </w:tc>
        <w:tc>
          <w:tcPr>
            <w:tcW w:type="dxa" w:w="357"/>
          </w:tcPr>
          <w:p>
            <w:r/>
            <w:r>
              <w:rPr>
                <w:sz w:val="16"/>
              </w:rPr>
              <w:t>1</w:t>
            </w:r>
          </w:p>
        </w:tc>
        <w:tc>
          <w:tcPr>
            <w:tcW w:type="dxa" w:w="459"/>
          </w:tcPr>
          <w:p>
            <w:r/>
            <w:r>
              <w:rPr>
                <w:sz w:val="16"/>
              </w:rPr>
              <w:t>9</w:t>
            </w:r>
          </w:p>
        </w:tc>
        <w:tc>
          <w:tcPr>
            <w:tcW w:type="dxa" w:w="561"/>
          </w:tcPr>
          <w:p>
            <w:r/>
            <w:r>
              <w:rPr>
                <w:sz w:val="16"/>
              </w:rPr>
              <w:t>15</w:t>
            </w:r>
          </w:p>
        </w:tc>
        <w:tc>
          <w:tcPr>
            <w:tcW w:type="dxa" w:w="459"/>
          </w:tcPr>
          <w:p>
            <w:r/>
            <w:r>
              <w:rPr>
                <w:sz w:val="16"/>
              </w:rPr>
              <w:t>0</w:t>
            </w:r>
          </w:p>
        </w:tc>
        <w:tc>
          <w:tcPr>
            <w:tcW w:type="dxa" w:w="765"/>
          </w:tcPr>
          <w:p>
            <w:r/>
            <w:r>
              <w:rPr>
                <w:sz w:val="16"/>
              </w:rPr>
              <w:t>25</w:t>
            </w:r>
          </w:p>
        </w:tc>
      </w:tr>
      <w:tr>
        <w:tc>
          <w:tcPr>
            <w:tcW w:type="dxa" w:w="7036"/>
          </w:tcPr>
          <w:p>
            <w:r/>
            <w:r>
              <w:rPr>
                <w:sz w:val="16"/>
              </w:rPr>
              <w:t>IA y salud digital (cap. 6) (IA)</w:t>
            </w:r>
          </w:p>
        </w:tc>
        <w:tc>
          <w:tcPr>
            <w:tcW w:type="dxa" w:w="357"/>
          </w:tcPr>
          <w:p>
            <w:r/>
            <w:r>
              <w:rPr>
                <w:sz w:val="16"/>
              </w:rPr>
              <w:t>0</w:t>
            </w:r>
          </w:p>
        </w:tc>
        <w:tc>
          <w:tcPr>
            <w:tcW w:type="dxa" w:w="459"/>
          </w:tcPr>
          <w:p>
            <w:r/>
            <w:r>
              <w:rPr>
                <w:sz w:val="16"/>
              </w:rPr>
              <w:t>10</w:t>
            </w:r>
          </w:p>
        </w:tc>
        <w:tc>
          <w:tcPr>
            <w:tcW w:type="dxa" w:w="561"/>
          </w:tcPr>
          <w:p>
            <w:r/>
            <w:r>
              <w:rPr>
                <w:sz w:val="16"/>
              </w:rPr>
              <w:t>13</w:t>
            </w:r>
          </w:p>
        </w:tc>
        <w:tc>
          <w:tcPr>
            <w:tcW w:type="dxa" w:w="459"/>
          </w:tcPr>
          <w:p>
            <w:r/>
            <w:r>
              <w:rPr>
                <w:sz w:val="16"/>
              </w:rPr>
              <w:t>2</w:t>
            </w:r>
          </w:p>
        </w:tc>
        <w:tc>
          <w:tcPr>
            <w:tcW w:type="dxa" w:w="765"/>
          </w:tcPr>
          <w:p>
            <w:r/>
            <w:r>
              <w:rPr>
                <w:sz w:val="16"/>
              </w:rPr>
              <w:t>25</w:t>
            </w:r>
          </w:p>
        </w:tc>
      </w:tr>
      <w:tr>
        <w:tc>
          <w:tcPr>
            <w:tcW w:type="dxa" w:w="7036"/>
          </w:tcPr>
          <w:p>
            <w:r/>
            <w:r>
              <w:rPr>
                <w:sz w:val="16"/>
              </w:rPr>
              <w:t>Metodología y referencias (MET)</w:t>
            </w:r>
          </w:p>
        </w:tc>
        <w:tc>
          <w:tcPr>
            <w:tcW w:type="dxa" w:w="357"/>
          </w:tcPr>
          <w:p>
            <w:r/>
            <w:r>
              <w:rPr>
                <w:sz w:val="16"/>
              </w:rPr>
              <w:t>0</w:t>
            </w:r>
          </w:p>
        </w:tc>
        <w:tc>
          <w:tcPr>
            <w:tcW w:type="dxa" w:w="459"/>
          </w:tcPr>
          <w:p>
            <w:r/>
            <w:r>
              <w:rPr>
                <w:sz w:val="16"/>
              </w:rPr>
              <w:t>7</w:t>
            </w:r>
          </w:p>
        </w:tc>
        <w:tc>
          <w:tcPr>
            <w:tcW w:type="dxa" w:w="561"/>
          </w:tcPr>
          <w:p>
            <w:r/>
            <w:r>
              <w:rPr>
                <w:sz w:val="16"/>
              </w:rPr>
              <w:t>11</w:t>
            </w:r>
          </w:p>
        </w:tc>
        <w:tc>
          <w:tcPr>
            <w:tcW w:type="dxa" w:w="459"/>
          </w:tcPr>
          <w:p>
            <w:r/>
            <w:r>
              <w:rPr>
                <w:sz w:val="16"/>
              </w:rPr>
              <w:t>3</w:t>
            </w:r>
          </w:p>
        </w:tc>
        <w:tc>
          <w:tcPr>
            <w:tcW w:type="dxa" w:w="765"/>
          </w:tcPr>
          <w:p>
            <w:r/>
            <w:r>
              <w:rPr>
                <w:sz w:val="16"/>
              </w:rPr>
              <w:t>21</w:t>
            </w:r>
          </w:p>
        </w:tc>
      </w:tr>
      <w:tr>
        <w:tc>
          <w:tcPr>
            <w:tcW w:type="dxa" w:w="7036"/>
          </w:tcPr>
          <w:p>
            <w:r/>
            <w:r>
              <w:rPr>
                <w:sz w:val="16"/>
              </w:rPr>
              <w:t>Coherencia interna (COH)</w:t>
            </w:r>
          </w:p>
        </w:tc>
        <w:tc>
          <w:tcPr>
            <w:tcW w:type="dxa" w:w="357"/>
          </w:tcPr>
          <w:p>
            <w:r/>
            <w:r>
              <w:rPr>
                <w:sz w:val="16"/>
              </w:rPr>
              <w:t>0</w:t>
            </w:r>
          </w:p>
        </w:tc>
        <w:tc>
          <w:tcPr>
            <w:tcW w:type="dxa" w:w="459"/>
          </w:tcPr>
          <w:p>
            <w:r/>
            <w:r>
              <w:rPr>
                <w:sz w:val="16"/>
              </w:rPr>
              <w:t>6</w:t>
            </w:r>
          </w:p>
        </w:tc>
        <w:tc>
          <w:tcPr>
            <w:tcW w:type="dxa" w:w="561"/>
          </w:tcPr>
          <w:p>
            <w:r/>
            <w:r>
              <w:rPr>
                <w:sz w:val="16"/>
              </w:rPr>
              <w:t>11</w:t>
            </w:r>
          </w:p>
        </w:tc>
        <w:tc>
          <w:tcPr>
            <w:tcW w:type="dxa" w:w="459"/>
          </w:tcPr>
          <w:p>
            <w:r/>
            <w:r>
              <w:rPr>
                <w:sz w:val="16"/>
              </w:rPr>
              <w:t>5</w:t>
            </w:r>
          </w:p>
        </w:tc>
        <w:tc>
          <w:tcPr>
            <w:tcW w:type="dxa" w:w="765"/>
          </w:tcPr>
          <w:p>
            <w:r/>
            <w:r>
              <w:rPr>
                <w:sz w:val="16"/>
              </w:rPr>
              <w:t>22</w:t>
            </w:r>
          </w:p>
        </w:tc>
      </w:tr>
      <w:tr>
        <w:tc>
          <w:tcPr>
            <w:tcW w:type="dxa" w:w="7036"/>
          </w:tcPr>
          <w:p>
            <w:r/>
            <w:r>
              <w:rPr>
                <w:sz w:val="16"/>
              </w:rPr>
              <w:t>Equidad y atención primaria (EQ)</w:t>
            </w:r>
          </w:p>
        </w:tc>
        <w:tc>
          <w:tcPr>
            <w:tcW w:type="dxa" w:w="357"/>
          </w:tcPr>
          <w:p>
            <w:r/>
            <w:r>
              <w:rPr>
                <w:sz w:val="16"/>
              </w:rPr>
              <w:t>0</w:t>
            </w:r>
          </w:p>
        </w:tc>
        <w:tc>
          <w:tcPr>
            <w:tcW w:type="dxa" w:w="459"/>
          </w:tcPr>
          <w:p>
            <w:r/>
            <w:r>
              <w:rPr>
                <w:sz w:val="16"/>
              </w:rPr>
              <w:t>9</w:t>
            </w:r>
          </w:p>
        </w:tc>
        <w:tc>
          <w:tcPr>
            <w:tcW w:type="dxa" w:w="561"/>
          </w:tcPr>
          <w:p>
            <w:r/>
            <w:r>
              <w:rPr>
                <w:sz w:val="16"/>
              </w:rPr>
              <w:t>14</w:t>
            </w:r>
          </w:p>
        </w:tc>
        <w:tc>
          <w:tcPr>
            <w:tcW w:type="dxa" w:w="459"/>
          </w:tcPr>
          <w:p>
            <w:r/>
            <w:r>
              <w:rPr>
                <w:sz w:val="16"/>
              </w:rPr>
              <w:t>2</w:t>
            </w:r>
          </w:p>
        </w:tc>
        <w:tc>
          <w:tcPr>
            <w:tcW w:type="dxa" w:w="765"/>
          </w:tcPr>
          <w:p>
            <w:r/>
            <w:r>
              <w:rPr>
                <w:sz w:val="16"/>
              </w:rPr>
              <w:t>25</w:t>
            </w:r>
          </w:p>
        </w:tc>
      </w:tr>
      <w:tr>
        <w:tc>
          <w:tcPr>
            <w:tcW w:type="dxa" w:w="7036"/>
          </w:tcPr>
          <w:p>
            <w:r/>
            <w:r>
              <w:rPr>
                <w:b/>
                <w:sz w:val="16"/>
              </w:rPr>
              <w:t>Total</w:t>
            </w:r>
          </w:p>
        </w:tc>
        <w:tc>
          <w:tcPr>
            <w:tcW w:type="dxa" w:w="357"/>
          </w:tcPr>
          <w:p>
            <w:r/>
            <w:r>
              <w:rPr>
                <w:b/>
                <w:sz w:val="16"/>
              </w:rPr>
              <w:t>2</w:t>
            </w:r>
          </w:p>
        </w:tc>
        <w:tc>
          <w:tcPr>
            <w:tcW w:type="dxa" w:w="459"/>
          </w:tcPr>
          <w:p>
            <w:r/>
            <w:r>
              <w:rPr>
                <w:b/>
                <w:sz w:val="16"/>
              </w:rPr>
              <w:t>78</w:t>
            </w:r>
          </w:p>
        </w:tc>
        <w:tc>
          <w:tcPr>
            <w:tcW w:type="dxa" w:w="561"/>
          </w:tcPr>
          <w:p>
            <w:r/>
            <w:r>
              <w:rPr>
                <w:b/>
                <w:sz w:val="16"/>
              </w:rPr>
              <w:t>162</w:t>
            </w:r>
          </w:p>
        </w:tc>
        <w:tc>
          <w:tcPr>
            <w:tcW w:type="dxa" w:w="459"/>
          </w:tcPr>
          <w:p>
            <w:r/>
            <w:r>
              <w:rPr>
                <w:b/>
                <w:sz w:val="16"/>
              </w:rPr>
              <w:t>37</w:t>
            </w:r>
          </w:p>
        </w:tc>
        <w:tc>
          <w:tcPr>
            <w:tcW w:type="dxa" w:w="765"/>
          </w:tcPr>
          <w:p>
            <w:r/>
            <w:r>
              <w:rPr>
                <w:b/>
                <w:sz w:val="16"/>
              </w:rPr>
              <w:t>279</w:t>
            </w:r>
          </w:p>
        </w:tc>
      </w:tr>
    </w:tbl>
    <w:p/>
    <w:p>
      <w:pPr>
        <w:pStyle w:val="Heading3"/>
      </w:pPr>
      <w:r>
        <w:t>3.2 Por tema consolidado</w:t>
      </w:r>
    </w:p>
    <w:tbl>
      <w:tblPr>
        <w:tblStyle w:val="TableGrid"/>
        <w:tblW w:type="auto" w:w="0"/>
        <w:tblLayout w:type="fixed"/>
        <w:tblLook w:firstColumn="1" w:firstRow="1" w:lastColumn="0" w:lastRow="0" w:noHBand="0" w:noVBand="1" w:val="04A0"/>
      </w:tblPr>
      <w:tblGrid>
        <w:gridCol w:w="7138"/>
        <w:gridCol w:w="357"/>
        <w:gridCol w:w="459"/>
        <w:gridCol w:w="459"/>
        <w:gridCol w:w="459"/>
        <w:gridCol w:w="765"/>
      </w:tblGrid>
      <w:tr>
        <w:trPr>
          <w:tblHeader w:val="true"/>
        </w:trPr>
        <w:tc>
          <w:tcPr>
            <w:tcW w:type="dxa" w:w="7138"/>
            <w:shd w:val="clear" w:color="auto" w:fill="D9E2F3"/>
          </w:tcPr>
          <w:p>
            <w:r/>
            <w:r>
              <w:rPr>
                <w:b/>
                <w:sz w:val="16"/>
              </w:rPr>
              <w:t>Tema</w:t>
            </w:r>
          </w:p>
        </w:tc>
        <w:tc>
          <w:tcPr>
            <w:tcW w:type="dxa" w:w="357"/>
            <w:shd w:val="clear" w:color="auto" w:fill="D9E2F3"/>
          </w:tcPr>
          <w:p>
            <w:r/>
            <w:r>
              <w:rPr>
                <w:b/>
                <w:color w:val="C00000"/>
                <w:sz w:val="16"/>
              </w:rPr>
              <w:t>🔴</w:t>
            </w:r>
          </w:p>
        </w:tc>
        <w:tc>
          <w:tcPr>
            <w:tcW w:type="dxa" w:w="459"/>
            <w:shd w:val="clear" w:color="auto" w:fill="D9E2F3"/>
          </w:tcPr>
          <w:p>
            <w:r/>
            <w:r>
              <w:rPr>
                <w:b/>
                <w:color w:val="ED7D31"/>
                <w:sz w:val="16"/>
              </w:rPr>
              <w:t>🟠</w:t>
            </w:r>
          </w:p>
        </w:tc>
        <w:tc>
          <w:tcPr>
            <w:tcW w:type="dxa" w:w="459"/>
            <w:shd w:val="clear" w:color="auto" w:fill="D9E2F3"/>
          </w:tcPr>
          <w:p>
            <w:r/>
            <w:r>
              <w:rPr>
                <w:b/>
                <w:color w:val="FFC000"/>
                <w:sz w:val="16"/>
              </w:rPr>
              <w:t>🟡</w:t>
            </w:r>
          </w:p>
        </w:tc>
        <w:tc>
          <w:tcPr>
            <w:tcW w:type="dxa" w:w="459"/>
            <w:shd w:val="clear" w:color="auto" w:fill="D9E2F3"/>
          </w:tcPr>
          <w:p>
            <w:r/>
            <w:r>
              <w:rPr>
                <w:b/>
                <w:color w:val="A6A6A6"/>
                <w:sz w:val="16"/>
              </w:rPr>
              <w:t>⚪</w:t>
            </w:r>
          </w:p>
        </w:tc>
        <w:tc>
          <w:tcPr>
            <w:tcW w:type="dxa" w:w="765"/>
            <w:shd w:val="clear" w:color="auto" w:fill="D9E2F3"/>
          </w:tcPr>
          <w:p>
            <w:r/>
            <w:r>
              <w:rPr>
                <w:b/>
                <w:sz w:val="16"/>
              </w:rPr>
              <w:t>Total</w:t>
            </w:r>
          </w:p>
        </w:tc>
      </w:tr>
      <w:tr>
        <w:tc>
          <w:tcPr>
            <w:tcW w:type="dxa" w:w="7138"/>
          </w:tcPr>
          <w:p>
            <w:r/>
            <w:r>
              <w:rPr>
                <w:sz w:val="16"/>
              </w:rPr>
              <w:t>T01 · Oxigenoterapia en la exacerbación y umbrales de SpO2</w:t>
            </w:r>
          </w:p>
        </w:tc>
        <w:tc>
          <w:tcPr>
            <w:tcW w:type="dxa" w:w="357"/>
          </w:tcPr>
          <w:p>
            <w:r/>
            <w:r>
              <w:rPr>
                <w:sz w:val="16"/>
              </w:rPr>
              <w:t>1</w:t>
            </w:r>
          </w:p>
        </w:tc>
        <w:tc>
          <w:tcPr>
            <w:tcW w:type="dxa" w:w="459"/>
          </w:tcPr>
          <w:p>
            <w:r/>
            <w:r>
              <w:rPr>
                <w:sz w:val="16"/>
              </w:rPr>
              <w:t>2</w:t>
            </w:r>
          </w:p>
        </w:tc>
        <w:tc>
          <w:tcPr>
            <w:tcW w:type="dxa" w:w="459"/>
          </w:tcPr>
          <w:p>
            <w:r/>
            <w:r>
              <w:rPr>
                <w:sz w:val="16"/>
              </w:rPr>
              <w:t>1</w:t>
            </w:r>
          </w:p>
        </w:tc>
        <w:tc>
          <w:tcPr>
            <w:tcW w:type="dxa" w:w="459"/>
          </w:tcPr>
          <w:p>
            <w:r/>
            <w:r>
              <w:rPr>
                <w:sz w:val="16"/>
              </w:rPr>
              <w:t>0</w:t>
            </w:r>
          </w:p>
        </w:tc>
        <w:tc>
          <w:tcPr>
            <w:tcW w:type="dxa" w:w="765"/>
          </w:tcPr>
          <w:p>
            <w:r/>
            <w:r>
              <w:rPr>
                <w:sz w:val="16"/>
              </w:rPr>
              <w:t>4</w:t>
            </w:r>
          </w:p>
        </w:tc>
      </w:tr>
      <w:tr>
        <w:tc>
          <w:tcPr>
            <w:tcW w:type="dxa" w:w="7138"/>
          </w:tcPr>
          <w:p>
            <w:r/>
            <w:r>
              <w:rPr>
                <w:sz w:val="16"/>
              </w:rPr>
              <w:t>T02 · Clasificación de gravedad de la exacerbación (Roma) y sistemas incompatibles</w:t>
            </w:r>
          </w:p>
        </w:tc>
        <w:tc>
          <w:tcPr>
            <w:tcW w:type="dxa" w:w="357"/>
          </w:tcPr>
          <w:p>
            <w:r/>
            <w:r>
              <w:rPr>
                <w:sz w:val="16"/>
              </w:rPr>
              <w:t>0</w:t>
            </w:r>
          </w:p>
        </w:tc>
        <w:tc>
          <w:tcPr>
            <w:tcW w:type="dxa" w:w="459"/>
          </w:tcPr>
          <w:p>
            <w:r/>
            <w:r>
              <w:rPr>
                <w:sz w:val="16"/>
              </w:rPr>
              <w:t>5</w:t>
            </w:r>
          </w:p>
        </w:tc>
        <w:tc>
          <w:tcPr>
            <w:tcW w:type="dxa" w:w="459"/>
          </w:tcPr>
          <w:p>
            <w:r/>
            <w:r>
              <w:rPr>
                <w:sz w:val="16"/>
              </w:rPr>
              <w:t>1</w:t>
            </w:r>
          </w:p>
        </w:tc>
        <w:tc>
          <w:tcPr>
            <w:tcW w:type="dxa" w:w="459"/>
          </w:tcPr>
          <w:p>
            <w:r/>
            <w:r>
              <w:rPr>
                <w:sz w:val="16"/>
              </w:rPr>
              <w:t>0</w:t>
            </w:r>
          </w:p>
        </w:tc>
        <w:tc>
          <w:tcPr>
            <w:tcW w:type="dxa" w:w="765"/>
          </w:tcPr>
          <w:p>
            <w:r/>
            <w:r>
              <w:rPr>
                <w:sz w:val="16"/>
              </w:rPr>
              <w:t>6</w:t>
            </w:r>
          </w:p>
        </w:tc>
      </w:tr>
      <w:tr>
        <w:tc>
          <w:tcPr>
            <w:tcW w:type="dxa" w:w="7138"/>
          </w:tcPr>
          <w:p>
            <w:r/>
            <w:r>
              <w:rPr>
                <w:sz w:val="16"/>
              </w:rPr>
              <w:t>T03 · Cribado de cáncer de pulmón</w:t>
            </w:r>
          </w:p>
        </w:tc>
        <w:tc>
          <w:tcPr>
            <w:tcW w:type="dxa" w:w="357"/>
          </w:tcPr>
          <w:p>
            <w:r/>
            <w:r>
              <w:rPr>
                <w:sz w:val="16"/>
              </w:rPr>
              <w:t>0</w:t>
            </w:r>
          </w:p>
        </w:tc>
        <w:tc>
          <w:tcPr>
            <w:tcW w:type="dxa" w:w="459"/>
          </w:tcPr>
          <w:p>
            <w:r/>
            <w:r>
              <w:rPr>
                <w:sz w:val="16"/>
              </w:rPr>
              <w:t>2</w:t>
            </w:r>
          </w:p>
        </w:tc>
        <w:tc>
          <w:tcPr>
            <w:tcW w:type="dxa" w:w="459"/>
          </w:tcPr>
          <w:p>
            <w:r/>
            <w:r>
              <w:rPr>
                <w:sz w:val="16"/>
              </w:rPr>
              <w:t>4</w:t>
            </w:r>
          </w:p>
        </w:tc>
        <w:tc>
          <w:tcPr>
            <w:tcW w:type="dxa" w:w="459"/>
          </w:tcPr>
          <w:p>
            <w:r/>
            <w:r>
              <w:rPr>
                <w:sz w:val="16"/>
              </w:rPr>
              <w:t>0</w:t>
            </w:r>
          </w:p>
        </w:tc>
        <w:tc>
          <w:tcPr>
            <w:tcW w:type="dxa" w:w="765"/>
          </w:tcPr>
          <w:p>
            <w:r/>
            <w:r>
              <w:rPr>
                <w:sz w:val="16"/>
              </w:rPr>
              <w:t>6</w:t>
            </w:r>
          </w:p>
        </w:tc>
      </w:tr>
      <w:tr>
        <w:tc>
          <w:tcPr>
            <w:tcW w:type="dxa" w:w="7138"/>
          </w:tcPr>
          <w:p>
            <w:r/>
            <w:r>
              <w:rPr>
                <w:sz w:val="16"/>
              </w:rPr>
              <w:t>T04 · Fibrilación auricular y fármacos antiarrítmicos</w:t>
            </w:r>
          </w:p>
        </w:tc>
        <w:tc>
          <w:tcPr>
            <w:tcW w:type="dxa" w:w="357"/>
          </w:tcPr>
          <w:p>
            <w:r/>
            <w:r>
              <w:rPr>
                <w:sz w:val="16"/>
              </w:rPr>
              <w:t>1</w:t>
            </w:r>
          </w:p>
        </w:tc>
        <w:tc>
          <w:tcPr>
            <w:tcW w:type="dxa" w:w="459"/>
          </w:tcPr>
          <w:p>
            <w:r/>
            <w:r>
              <w:rPr>
                <w:sz w:val="16"/>
              </w:rPr>
              <w:t>0</w:t>
            </w:r>
          </w:p>
        </w:tc>
        <w:tc>
          <w:tcPr>
            <w:tcW w:type="dxa" w:w="459"/>
          </w:tcPr>
          <w:p>
            <w:r/>
            <w:r>
              <w:rPr>
                <w:sz w:val="16"/>
              </w:rPr>
              <w:t>0</w:t>
            </w:r>
          </w:p>
        </w:tc>
        <w:tc>
          <w:tcPr>
            <w:tcW w:type="dxa" w:w="459"/>
          </w:tcPr>
          <w:p>
            <w:r/>
            <w:r>
              <w:rPr>
                <w:sz w:val="16"/>
              </w:rPr>
              <w:t>0</w:t>
            </w:r>
          </w:p>
        </w:tc>
        <w:tc>
          <w:tcPr>
            <w:tcW w:type="dxa" w:w="765"/>
          </w:tcPr>
          <w:p>
            <w:r/>
            <w:r>
              <w:rPr>
                <w:sz w:val="16"/>
              </w:rPr>
              <w:t>1</w:t>
            </w:r>
          </w:p>
        </w:tc>
      </w:tr>
      <w:tr>
        <w:tc>
          <w:tcPr>
            <w:tcW w:type="dxa" w:w="7138"/>
          </w:tcPr>
          <w:p>
            <w:r/>
            <w:r>
              <w:rPr>
                <w:sz w:val="16"/>
              </w:rPr>
              <w:t>T05 · Rehabilitación iniciada en el ingreso y mortalidad</w:t>
            </w:r>
          </w:p>
        </w:tc>
        <w:tc>
          <w:tcPr>
            <w:tcW w:type="dxa" w:w="357"/>
          </w:tcPr>
          <w:p>
            <w:r/>
            <w:r>
              <w:rPr>
                <w:sz w:val="16"/>
              </w:rPr>
              <w:t>0</w:t>
            </w:r>
          </w:p>
        </w:tc>
        <w:tc>
          <w:tcPr>
            <w:tcW w:type="dxa" w:w="459"/>
          </w:tcPr>
          <w:p>
            <w:r/>
            <w:r>
              <w:rPr>
                <w:sz w:val="16"/>
              </w:rPr>
              <w:t>3</w:t>
            </w:r>
          </w:p>
        </w:tc>
        <w:tc>
          <w:tcPr>
            <w:tcW w:type="dxa" w:w="459"/>
          </w:tcPr>
          <w:p>
            <w:r/>
            <w:r>
              <w:rPr>
                <w:sz w:val="16"/>
              </w:rPr>
              <w:t>1</w:t>
            </w:r>
          </w:p>
        </w:tc>
        <w:tc>
          <w:tcPr>
            <w:tcW w:type="dxa" w:w="459"/>
          </w:tcPr>
          <w:p>
            <w:r/>
            <w:r>
              <w:rPr>
                <w:sz w:val="16"/>
              </w:rPr>
              <w:t>0</w:t>
            </w:r>
          </w:p>
        </w:tc>
        <w:tc>
          <w:tcPr>
            <w:tcW w:type="dxa" w:w="765"/>
          </w:tcPr>
          <w:p>
            <w:r/>
            <w:r>
              <w:rPr>
                <w:sz w:val="16"/>
              </w:rPr>
              <w:t>4</w:t>
            </w:r>
          </w:p>
        </w:tc>
      </w:tr>
      <w:tr>
        <w:tc>
          <w:tcPr>
            <w:tcW w:type="dxa" w:w="7138"/>
          </w:tcPr>
          <w:p>
            <w:r/>
            <w:r>
              <w:rPr>
                <w:sz w:val="16"/>
              </w:rPr>
              <w:t>T06 · Trasplante pulmonar</w:t>
            </w:r>
          </w:p>
        </w:tc>
        <w:tc>
          <w:tcPr>
            <w:tcW w:type="dxa" w:w="357"/>
          </w:tcPr>
          <w:p>
            <w:r/>
            <w:r>
              <w:rPr>
                <w:sz w:val="16"/>
              </w:rPr>
              <w:t>0</w:t>
            </w:r>
          </w:p>
        </w:tc>
        <w:tc>
          <w:tcPr>
            <w:tcW w:type="dxa" w:w="459"/>
          </w:tcPr>
          <w:p>
            <w:r/>
            <w:r>
              <w:rPr>
                <w:sz w:val="16"/>
              </w:rPr>
              <w:t>1</w:t>
            </w:r>
          </w:p>
        </w:tc>
        <w:tc>
          <w:tcPr>
            <w:tcW w:type="dxa" w:w="459"/>
          </w:tcPr>
          <w:p>
            <w:r/>
            <w:r>
              <w:rPr>
                <w:sz w:val="16"/>
              </w:rPr>
              <w:t>1</w:t>
            </w:r>
          </w:p>
        </w:tc>
        <w:tc>
          <w:tcPr>
            <w:tcW w:type="dxa" w:w="459"/>
          </w:tcPr>
          <w:p>
            <w:r/>
            <w:r>
              <w:rPr>
                <w:sz w:val="16"/>
              </w:rPr>
              <w:t>0</w:t>
            </w:r>
          </w:p>
        </w:tc>
        <w:tc>
          <w:tcPr>
            <w:tcW w:type="dxa" w:w="765"/>
          </w:tcPr>
          <w:p>
            <w:r/>
            <w:r>
              <w:rPr>
                <w:sz w:val="16"/>
              </w:rPr>
              <w:t>2</w:t>
            </w:r>
          </w:p>
        </w:tc>
      </w:tr>
      <w:tr>
        <w:tc>
          <w:tcPr>
            <w:tcW w:type="dxa" w:w="7138"/>
          </w:tcPr>
          <w:p>
            <w:r/>
            <w:r>
              <w:rPr>
                <w:sz w:val="16"/>
              </w:rPr>
              <w:t>T07 · Algoritmo farmacológico inicial/seguimiento (ABE, Fig 3.8-3.9, ICS, roflumilast)</w:t>
            </w:r>
          </w:p>
        </w:tc>
        <w:tc>
          <w:tcPr>
            <w:tcW w:type="dxa" w:w="357"/>
          </w:tcPr>
          <w:p>
            <w:r/>
            <w:r>
              <w:rPr>
                <w:sz w:val="16"/>
              </w:rPr>
              <w:t>0</w:t>
            </w:r>
          </w:p>
        </w:tc>
        <w:tc>
          <w:tcPr>
            <w:tcW w:type="dxa" w:w="459"/>
          </w:tcPr>
          <w:p>
            <w:r/>
            <w:r>
              <w:rPr>
                <w:sz w:val="16"/>
              </w:rPr>
              <w:t>6</w:t>
            </w:r>
          </w:p>
        </w:tc>
        <w:tc>
          <w:tcPr>
            <w:tcW w:type="dxa" w:w="459"/>
          </w:tcPr>
          <w:p>
            <w:r/>
            <w:r>
              <w:rPr>
                <w:sz w:val="16"/>
              </w:rPr>
              <w:t>11</w:t>
            </w:r>
          </w:p>
        </w:tc>
        <w:tc>
          <w:tcPr>
            <w:tcW w:type="dxa" w:w="459"/>
          </w:tcPr>
          <w:p>
            <w:r/>
            <w:r>
              <w:rPr>
                <w:sz w:val="16"/>
              </w:rPr>
              <w:t>3</w:t>
            </w:r>
          </w:p>
        </w:tc>
        <w:tc>
          <w:tcPr>
            <w:tcW w:type="dxa" w:w="765"/>
          </w:tcPr>
          <w:p>
            <w:r/>
            <w:r>
              <w:rPr>
                <w:sz w:val="16"/>
              </w:rPr>
              <w:t>20</w:t>
            </w:r>
          </w:p>
        </w:tc>
      </w:tr>
      <w:tr>
        <w:tc>
          <w:tcPr>
            <w:tcW w:type="dxa" w:w="7138"/>
          </w:tcPr>
          <w:p>
            <w:r/>
            <w:r>
              <w:rPr>
                <w:sz w:val="16"/>
              </w:rPr>
              <w:t>T08 · Terapia triple y mortalidad</w:t>
            </w:r>
          </w:p>
        </w:tc>
        <w:tc>
          <w:tcPr>
            <w:tcW w:type="dxa" w:w="357"/>
          </w:tcPr>
          <w:p>
            <w:r/>
            <w:r>
              <w:rPr>
                <w:sz w:val="16"/>
              </w:rPr>
              <w:t>0</w:t>
            </w:r>
          </w:p>
        </w:tc>
        <w:tc>
          <w:tcPr>
            <w:tcW w:type="dxa" w:w="459"/>
          </w:tcPr>
          <w:p>
            <w:r/>
            <w:r>
              <w:rPr>
                <w:sz w:val="16"/>
              </w:rPr>
              <w:t>1</w:t>
            </w:r>
          </w:p>
        </w:tc>
        <w:tc>
          <w:tcPr>
            <w:tcW w:type="dxa" w:w="459"/>
          </w:tcPr>
          <w:p>
            <w:r/>
            <w:r>
              <w:rPr>
                <w:sz w:val="16"/>
              </w:rPr>
              <w:t>2</w:t>
            </w:r>
          </w:p>
        </w:tc>
        <w:tc>
          <w:tcPr>
            <w:tcW w:type="dxa" w:w="459"/>
          </w:tcPr>
          <w:p>
            <w:r/>
            <w:r>
              <w:rPr>
                <w:sz w:val="16"/>
              </w:rPr>
              <w:t>1</w:t>
            </w:r>
          </w:p>
        </w:tc>
        <w:tc>
          <w:tcPr>
            <w:tcW w:type="dxa" w:w="765"/>
          </w:tcPr>
          <w:p>
            <w:r/>
            <w:r>
              <w:rPr>
                <w:sz w:val="16"/>
              </w:rPr>
              <w:t>4</w:t>
            </w:r>
          </w:p>
        </w:tc>
      </w:tr>
      <w:tr>
        <w:tc>
          <w:tcPr>
            <w:tcW w:type="dxa" w:w="7138"/>
          </w:tcPr>
          <w:p>
            <w:r/>
            <w:r>
              <w:rPr>
                <w:sz w:val="16"/>
              </w:rPr>
              <w:t>T09 · Biológicos, ensifentrina y nuevas terapias</w:t>
            </w:r>
          </w:p>
        </w:tc>
        <w:tc>
          <w:tcPr>
            <w:tcW w:type="dxa" w:w="357"/>
          </w:tcPr>
          <w:p>
            <w:r/>
            <w:r>
              <w:rPr>
                <w:sz w:val="16"/>
              </w:rPr>
              <w:t>0</w:t>
            </w:r>
          </w:p>
        </w:tc>
        <w:tc>
          <w:tcPr>
            <w:tcW w:type="dxa" w:w="459"/>
          </w:tcPr>
          <w:p>
            <w:r/>
            <w:r>
              <w:rPr>
                <w:sz w:val="16"/>
              </w:rPr>
              <w:t>3</w:t>
            </w:r>
          </w:p>
        </w:tc>
        <w:tc>
          <w:tcPr>
            <w:tcW w:type="dxa" w:w="459"/>
          </w:tcPr>
          <w:p>
            <w:r/>
            <w:r>
              <w:rPr>
                <w:sz w:val="16"/>
              </w:rPr>
              <w:t>8</w:t>
            </w:r>
          </w:p>
        </w:tc>
        <w:tc>
          <w:tcPr>
            <w:tcW w:type="dxa" w:w="459"/>
          </w:tcPr>
          <w:p>
            <w:r/>
            <w:r>
              <w:rPr>
                <w:sz w:val="16"/>
              </w:rPr>
              <w:t>3</w:t>
            </w:r>
          </w:p>
        </w:tc>
        <w:tc>
          <w:tcPr>
            <w:tcW w:type="dxa" w:w="765"/>
          </w:tcPr>
          <w:p>
            <w:r/>
            <w:r>
              <w:rPr>
                <w:sz w:val="16"/>
              </w:rPr>
              <w:t>14</w:t>
            </w:r>
          </w:p>
        </w:tc>
      </w:tr>
      <w:tr>
        <w:tc>
          <w:tcPr>
            <w:tcW w:type="dxa" w:w="7138"/>
          </w:tcPr>
          <w:p>
            <w:r/>
            <w:r>
              <w:rPr>
                <w:sz w:val="16"/>
              </w:rPr>
              <w:t>T10 · Soporte ventilatorio en la exacerbación (HFNT, VNI, VMI)</w:t>
            </w:r>
          </w:p>
        </w:tc>
        <w:tc>
          <w:tcPr>
            <w:tcW w:type="dxa" w:w="357"/>
          </w:tcPr>
          <w:p>
            <w:r/>
            <w:r>
              <w:rPr>
                <w:sz w:val="16"/>
              </w:rPr>
              <w:t>0</w:t>
            </w:r>
          </w:p>
        </w:tc>
        <w:tc>
          <w:tcPr>
            <w:tcW w:type="dxa" w:w="459"/>
          </w:tcPr>
          <w:p>
            <w:r/>
            <w:r>
              <w:rPr>
                <w:sz w:val="16"/>
              </w:rPr>
              <w:t>3</w:t>
            </w:r>
          </w:p>
        </w:tc>
        <w:tc>
          <w:tcPr>
            <w:tcW w:type="dxa" w:w="459"/>
          </w:tcPr>
          <w:p>
            <w:r/>
            <w:r>
              <w:rPr>
                <w:sz w:val="16"/>
              </w:rPr>
              <w:t>4</w:t>
            </w:r>
          </w:p>
        </w:tc>
        <w:tc>
          <w:tcPr>
            <w:tcW w:type="dxa" w:w="459"/>
          </w:tcPr>
          <w:p>
            <w:r/>
            <w:r>
              <w:rPr>
                <w:sz w:val="16"/>
              </w:rPr>
              <w:t>0</w:t>
            </w:r>
          </w:p>
        </w:tc>
        <w:tc>
          <w:tcPr>
            <w:tcW w:type="dxa" w:w="765"/>
          </w:tcPr>
          <w:p>
            <w:r/>
            <w:r>
              <w:rPr>
                <w:sz w:val="16"/>
              </w:rPr>
              <w:t>7</w:t>
            </w:r>
          </w:p>
        </w:tc>
      </w:tr>
      <w:tr>
        <w:tc>
          <w:tcPr>
            <w:tcW w:type="dxa" w:w="7138"/>
          </w:tcPr>
          <w:p>
            <w:r/>
            <w:r>
              <w:rPr>
                <w:sz w:val="16"/>
              </w:rPr>
              <w:t>T11 · Tratamiento de la exacerbación: antimicrobianos, corticoides, TEP, riesgo CV</w:t>
            </w:r>
          </w:p>
        </w:tc>
        <w:tc>
          <w:tcPr>
            <w:tcW w:type="dxa" w:w="357"/>
          </w:tcPr>
          <w:p>
            <w:r/>
            <w:r>
              <w:rPr>
                <w:sz w:val="16"/>
              </w:rPr>
              <w:t>0</w:t>
            </w:r>
          </w:p>
        </w:tc>
        <w:tc>
          <w:tcPr>
            <w:tcW w:type="dxa" w:w="459"/>
          </w:tcPr>
          <w:p>
            <w:r/>
            <w:r>
              <w:rPr>
                <w:sz w:val="16"/>
              </w:rPr>
              <w:t>4</w:t>
            </w:r>
          </w:p>
        </w:tc>
        <w:tc>
          <w:tcPr>
            <w:tcW w:type="dxa" w:w="459"/>
          </w:tcPr>
          <w:p>
            <w:r/>
            <w:r>
              <w:rPr>
                <w:sz w:val="16"/>
              </w:rPr>
              <w:t>7</w:t>
            </w:r>
          </w:p>
        </w:tc>
        <w:tc>
          <w:tcPr>
            <w:tcW w:type="dxa" w:w="459"/>
          </w:tcPr>
          <w:p>
            <w:r/>
            <w:r>
              <w:rPr>
                <w:sz w:val="16"/>
              </w:rPr>
              <w:t>2</w:t>
            </w:r>
          </w:p>
        </w:tc>
        <w:tc>
          <w:tcPr>
            <w:tcW w:type="dxa" w:w="765"/>
          </w:tcPr>
          <w:p>
            <w:r/>
            <w:r>
              <w:rPr>
                <w:sz w:val="16"/>
              </w:rPr>
              <w:t>13</w:t>
            </w:r>
          </w:p>
        </w:tc>
      </w:tr>
      <w:tr>
        <w:tc>
          <w:tcPr>
            <w:tcW w:type="dxa" w:w="7138"/>
          </w:tcPr>
          <w:p>
            <w:r/>
            <w:r>
              <w:rPr>
                <w:sz w:val="16"/>
              </w:rPr>
              <w:t>T12 · Oxigenoterapia crónica domiciliaria (LTOT)</w:t>
            </w:r>
          </w:p>
        </w:tc>
        <w:tc>
          <w:tcPr>
            <w:tcW w:type="dxa" w:w="357"/>
          </w:tcPr>
          <w:p>
            <w:r/>
            <w:r>
              <w:rPr>
                <w:sz w:val="16"/>
              </w:rPr>
              <w:t>0</w:t>
            </w:r>
          </w:p>
        </w:tc>
        <w:tc>
          <w:tcPr>
            <w:tcW w:type="dxa" w:w="459"/>
          </w:tcPr>
          <w:p>
            <w:r/>
            <w:r>
              <w:rPr>
                <w:sz w:val="16"/>
              </w:rPr>
              <w:t>2</w:t>
            </w:r>
          </w:p>
        </w:tc>
        <w:tc>
          <w:tcPr>
            <w:tcW w:type="dxa" w:w="459"/>
          </w:tcPr>
          <w:p>
            <w:r/>
            <w:r>
              <w:rPr>
                <w:sz w:val="16"/>
              </w:rPr>
              <w:t>6</w:t>
            </w:r>
          </w:p>
        </w:tc>
        <w:tc>
          <w:tcPr>
            <w:tcW w:type="dxa" w:w="459"/>
          </w:tcPr>
          <w:p>
            <w:r/>
            <w:r>
              <w:rPr>
                <w:sz w:val="16"/>
              </w:rPr>
              <w:t>1</w:t>
            </w:r>
          </w:p>
        </w:tc>
        <w:tc>
          <w:tcPr>
            <w:tcW w:type="dxa" w:w="765"/>
          </w:tcPr>
          <w:p>
            <w:r/>
            <w:r>
              <w:rPr>
                <w:sz w:val="16"/>
              </w:rPr>
              <w:t>9</w:t>
            </w:r>
          </w:p>
        </w:tc>
      </w:tr>
      <w:tr>
        <w:tc>
          <w:tcPr>
            <w:tcW w:type="dxa" w:w="7138"/>
          </w:tcPr>
          <w:p>
            <w:r/>
            <w:r>
              <w:rPr>
                <w:sz w:val="16"/>
              </w:rPr>
              <w:t>T13 · Ventilación no invasiva domiciliaria</w:t>
            </w:r>
          </w:p>
        </w:tc>
        <w:tc>
          <w:tcPr>
            <w:tcW w:type="dxa" w:w="357"/>
          </w:tcPr>
          <w:p>
            <w:r/>
            <w:r>
              <w:rPr>
                <w:sz w:val="16"/>
              </w:rPr>
              <w:t>0</w:t>
            </w:r>
          </w:p>
        </w:tc>
        <w:tc>
          <w:tcPr>
            <w:tcW w:type="dxa" w:w="459"/>
          </w:tcPr>
          <w:p>
            <w:r/>
            <w:r>
              <w:rPr>
                <w:sz w:val="16"/>
              </w:rPr>
              <w:t>2</w:t>
            </w:r>
          </w:p>
        </w:tc>
        <w:tc>
          <w:tcPr>
            <w:tcW w:type="dxa" w:w="459"/>
          </w:tcPr>
          <w:p>
            <w:r/>
            <w:r>
              <w:rPr>
                <w:sz w:val="16"/>
              </w:rPr>
              <w:t>1</w:t>
            </w:r>
          </w:p>
        </w:tc>
        <w:tc>
          <w:tcPr>
            <w:tcW w:type="dxa" w:w="459"/>
          </w:tcPr>
          <w:p>
            <w:r/>
            <w:r>
              <w:rPr>
                <w:sz w:val="16"/>
              </w:rPr>
              <w:t>0</w:t>
            </w:r>
          </w:p>
        </w:tc>
        <w:tc>
          <w:tcPr>
            <w:tcW w:type="dxa" w:w="765"/>
          </w:tcPr>
          <w:p>
            <w:r/>
            <w:r>
              <w:rPr>
                <w:sz w:val="16"/>
              </w:rPr>
              <w:t>3</w:t>
            </w:r>
          </w:p>
        </w:tc>
      </w:tr>
      <w:tr>
        <w:tc>
          <w:tcPr>
            <w:tcW w:type="dxa" w:w="7138"/>
          </w:tcPr>
          <w:p>
            <w:r/>
            <w:r>
              <w:rPr>
                <w:sz w:val="16"/>
              </w:rPr>
              <w:t>T14 · Cuidados paliativos y disnea refractaria</w:t>
            </w:r>
          </w:p>
        </w:tc>
        <w:tc>
          <w:tcPr>
            <w:tcW w:type="dxa" w:w="357"/>
          </w:tcPr>
          <w:p>
            <w:r/>
            <w:r>
              <w:rPr>
                <w:sz w:val="16"/>
              </w:rPr>
              <w:t>0</w:t>
            </w:r>
          </w:p>
        </w:tc>
        <w:tc>
          <w:tcPr>
            <w:tcW w:type="dxa" w:w="459"/>
          </w:tcPr>
          <w:p>
            <w:r/>
            <w:r>
              <w:rPr>
                <w:sz w:val="16"/>
              </w:rPr>
              <w:t>2</w:t>
            </w:r>
          </w:p>
        </w:tc>
        <w:tc>
          <w:tcPr>
            <w:tcW w:type="dxa" w:w="459"/>
          </w:tcPr>
          <w:p>
            <w:r/>
            <w:r>
              <w:rPr>
                <w:sz w:val="16"/>
              </w:rPr>
              <w:t>6</w:t>
            </w:r>
          </w:p>
        </w:tc>
        <w:tc>
          <w:tcPr>
            <w:tcW w:type="dxa" w:w="459"/>
          </w:tcPr>
          <w:p>
            <w:r/>
            <w:r>
              <w:rPr>
                <w:sz w:val="16"/>
              </w:rPr>
              <w:t>2</w:t>
            </w:r>
          </w:p>
        </w:tc>
        <w:tc>
          <w:tcPr>
            <w:tcW w:type="dxa" w:w="765"/>
          </w:tcPr>
          <w:p>
            <w:r/>
            <w:r>
              <w:rPr>
                <w:sz w:val="16"/>
              </w:rPr>
              <w:t>10</w:t>
            </w:r>
          </w:p>
        </w:tc>
      </w:tr>
      <w:tr>
        <w:tc>
          <w:tcPr>
            <w:tcW w:type="dxa" w:w="7138"/>
          </w:tcPr>
          <w:p>
            <w:r/>
            <w:r>
              <w:rPr>
                <w:sz w:val="16"/>
              </w:rPr>
              <w:t>T15 · Intervenciones broncoscópicas y quirúrgicas</w:t>
            </w:r>
          </w:p>
        </w:tc>
        <w:tc>
          <w:tcPr>
            <w:tcW w:type="dxa" w:w="357"/>
          </w:tcPr>
          <w:p>
            <w:r/>
            <w:r>
              <w:rPr>
                <w:sz w:val="16"/>
              </w:rPr>
              <w:t>0</w:t>
            </w:r>
          </w:p>
        </w:tc>
        <w:tc>
          <w:tcPr>
            <w:tcW w:type="dxa" w:w="459"/>
          </w:tcPr>
          <w:p>
            <w:r/>
            <w:r>
              <w:rPr>
                <w:sz w:val="16"/>
              </w:rPr>
              <w:t>2</w:t>
            </w:r>
          </w:p>
        </w:tc>
        <w:tc>
          <w:tcPr>
            <w:tcW w:type="dxa" w:w="459"/>
          </w:tcPr>
          <w:p>
            <w:r/>
            <w:r>
              <w:rPr>
                <w:sz w:val="16"/>
              </w:rPr>
              <w:t>6</w:t>
            </w:r>
          </w:p>
        </w:tc>
        <w:tc>
          <w:tcPr>
            <w:tcW w:type="dxa" w:w="459"/>
          </w:tcPr>
          <w:p>
            <w:r/>
            <w:r>
              <w:rPr>
                <w:sz w:val="16"/>
              </w:rPr>
              <w:t>3</w:t>
            </w:r>
          </w:p>
        </w:tc>
        <w:tc>
          <w:tcPr>
            <w:tcW w:type="dxa" w:w="765"/>
          </w:tcPr>
          <w:p>
            <w:r/>
            <w:r>
              <w:rPr>
                <w:sz w:val="16"/>
              </w:rPr>
              <w:t>11</w:t>
            </w:r>
          </w:p>
        </w:tc>
      </w:tr>
      <w:tr>
        <w:tc>
          <w:tcPr>
            <w:tcW w:type="dxa" w:w="7138"/>
          </w:tcPr>
          <w:p>
            <w:r/>
            <w:r>
              <w:rPr>
                <w:sz w:val="16"/>
              </w:rPr>
              <w:t>T16 · Tabaquismo y otros factores de riesgo inhalados</w:t>
            </w:r>
          </w:p>
        </w:tc>
        <w:tc>
          <w:tcPr>
            <w:tcW w:type="dxa" w:w="357"/>
          </w:tcPr>
          <w:p>
            <w:r/>
            <w:r>
              <w:rPr>
                <w:sz w:val="16"/>
              </w:rPr>
              <w:t>0</w:t>
            </w:r>
          </w:p>
        </w:tc>
        <w:tc>
          <w:tcPr>
            <w:tcW w:type="dxa" w:w="459"/>
          </w:tcPr>
          <w:p>
            <w:r/>
            <w:r>
              <w:rPr>
                <w:sz w:val="16"/>
              </w:rPr>
              <w:t>1</w:t>
            </w:r>
          </w:p>
        </w:tc>
        <w:tc>
          <w:tcPr>
            <w:tcW w:type="dxa" w:w="459"/>
          </w:tcPr>
          <w:p>
            <w:r/>
            <w:r>
              <w:rPr>
                <w:sz w:val="16"/>
              </w:rPr>
              <w:t>7</w:t>
            </w:r>
          </w:p>
        </w:tc>
        <w:tc>
          <w:tcPr>
            <w:tcW w:type="dxa" w:w="459"/>
          </w:tcPr>
          <w:p>
            <w:r/>
            <w:r>
              <w:rPr>
                <w:sz w:val="16"/>
              </w:rPr>
              <w:t>0</w:t>
            </w:r>
          </w:p>
        </w:tc>
        <w:tc>
          <w:tcPr>
            <w:tcW w:type="dxa" w:w="765"/>
          </w:tcPr>
          <w:p>
            <w:r/>
            <w:r>
              <w:rPr>
                <w:sz w:val="16"/>
              </w:rPr>
              <w:t>8</w:t>
            </w:r>
          </w:p>
        </w:tc>
      </w:tr>
      <w:tr>
        <w:tc>
          <w:tcPr>
            <w:tcW w:type="dxa" w:w="7138"/>
          </w:tcPr>
          <w:p>
            <w:r/>
            <w:r>
              <w:rPr>
                <w:sz w:val="16"/>
              </w:rPr>
              <w:t>T17 · Vacunación</w:t>
            </w:r>
          </w:p>
        </w:tc>
        <w:tc>
          <w:tcPr>
            <w:tcW w:type="dxa" w:w="357"/>
          </w:tcPr>
          <w:p>
            <w:r/>
            <w:r>
              <w:rPr>
                <w:sz w:val="16"/>
              </w:rPr>
              <w:t>0</w:t>
            </w:r>
          </w:p>
        </w:tc>
        <w:tc>
          <w:tcPr>
            <w:tcW w:type="dxa" w:w="459"/>
          </w:tcPr>
          <w:p>
            <w:r/>
            <w:r>
              <w:rPr>
                <w:sz w:val="16"/>
              </w:rPr>
              <w:t>1</w:t>
            </w:r>
          </w:p>
        </w:tc>
        <w:tc>
          <w:tcPr>
            <w:tcW w:type="dxa" w:w="459"/>
          </w:tcPr>
          <w:p>
            <w:r/>
            <w:r>
              <w:rPr>
                <w:sz w:val="16"/>
              </w:rPr>
              <w:t>6</w:t>
            </w:r>
          </w:p>
        </w:tc>
        <w:tc>
          <w:tcPr>
            <w:tcW w:type="dxa" w:w="459"/>
          </w:tcPr>
          <w:p>
            <w:r/>
            <w:r>
              <w:rPr>
                <w:sz w:val="16"/>
              </w:rPr>
              <w:t>0</w:t>
            </w:r>
          </w:p>
        </w:tc>
        <w:tc>
          <w:tcPr>
            <w:tcW w:type="dxa" w:w="765"/>
          </w:tcPr>
          <w:p>
            <w:r/>
            <w:r>
              <w:rPr>
                <w:sz w:val="16"/>
              </w:rPr>
              <w:t>7</w:t>
            </w:r>
          </w:p>
        </w:tc>
      </w:tr>
      <w:tr>
        <w:tc>
          <w:tcPr>
            <w:tcW w:type="dxa" w:w="7138"/>
          </w:tcPr>
          <w:p>
            <w:r/>
            <w:r>
              <w:rPr>
                <w:sz w:val="16"/>
              </w:rPr>
              <w:t>T18 · Diagnóstico, espirometría, búsqueda de casos, pre-EPOC/PRISm</w:t>
            </w:r>
          </w:p>
        </w:tc>
        <w:tc>
          <w:tcPr>
            <w:tcW w:type="dxa" w:w="357"/>
          </w:tcPr>
          <w:p>
            <w:r/>
            <w:r>
              <w:rPr>
                <w:sz w:val="16"/>
              </w:rPr>
              <w:t>0</w:t>
            </w:r>
          </w:p>
        </w:tc>
        <w:tc>
          <w:tcPr>
            <w:tcW w:type="dxa" w:w="459"/>
          </w:tcPr>
          <w:p>
            <w:r/>
            <w:r>
              <w:rPr>
                <w:sz w:val="16"/>
              </w:rPr>
              <w:t>5</w:t>
            </w:r>
          </w:p>
        </w:tc>
        <w:tc>
          <w:tcPr>
            <w:tcW w:type="dxa" w:w="459"/>
          </w:tcPr>
          <w:p>
            <w:r/>
            <w:r>
              <w:rPr>
                <w:sz w:val="16"/>
              </w:rPr>
              <w:t>14</w:t>
            </w:r>
          </w:p>
        </w:tc>
        <w:tc>
          <w:tcPr>
            <w:tcW w:type="dxa" w:w="459"/>
          </w:tcPr>
          <w:p>
            <w:r/>
            <w:r>
              <w:rPr>
                <w:sz w:val="16"/>
              </w:rPr>
              <w:t>3</w:t>
            </w:r>
          </w:p>
        </w:tc>
        <w:tc>
          <w:tcPr>
            <w:tcW w:type="dxa" w:w="765"/>
          </w:tcPr>
          <w:p>
            <w:r/>
            <w:r>
              <w:rPr>
                <w:sz w:val="16"/>
              </w:rPr>
              <w:t>22</w:t>
            </w:r>
          </w:p>
        </w:tc>
      </w:tr>
      <w:tr>
        <w:tc>
          <w:tcPr>
            <w:tcW w:type="dxa" w:w="7138"/>
          </w:tcPr>
          <w:p>
            <w:r/>
            <w:r>
              <w:rPr>
                <w:sz w:val="16"/>
              </w:rPr>
              <w:t>T19 · Multimorbilidad (cardiovascular, HP, SAOS, salud mental, metabólica, otras)</w:t>
            </w:r>
          </w:p>
        </w:tc>
        <w:tc>
          <w:tcPr>
            <w:tcW w:type="dxa" w:w="357"/>
          </w:tcPr>
          <w:p>
            <w:r/>
            <w:r>
              <w:rPr>
                <w:sz w:val="16"/>
              </w:rPr>
              <w:t>0</w:t>
            </w:r>
          </w:p>
        </w:tc>
        <w:tc>
          <w:tcPr>
            <w:tcW w:type="dxa" w:w="459"/>
          </w:tcPr>
          <w:p>
            <w:r/>
            <w:r>
              <w:rPr>
                <w:sz w:val="16"/>
              </w:rPr>
              <w:t>8</w:t>
            </w:r>
          </w:p>
        </w:tc>
        <w:tc>
          <w:tcPr>
            <w:tcW w:type="dxa" w:w="459"/>
          </w:tcPr>
          <w:p>
            <w:r/>
            <w:r>
              <w:rPr>
                <w:sz w:val="16"/>
              </w:rPr>
              <w:t>14</w:t>
            </w:r>
          </w:p>
        </w:tc>
        <w:tc>
          <w:tcPr>
            <w:tcW w:type="dxa" w:w="459"/>
          </w:tcPr>
          <w:p>
            <w:r/>
            <w:r>
              <w:rPr>
                <w:sz w:val="16"/>
              </w:rPr>
              <w:t>1</w:t>
            </w:r>
          </w:p>
        </w:tc>
        <w:tc>
          <w:tcPr>
            <w:tcW w:type="dxa" w:w="765"/>
          </w:tcPr>
          <w:p>
            <w:r/>
            <w:r>
              <w:rPr>
                <w:sz w:val="16"/>
              </w:rPr>
              <w:t>23</w:t>
            </w:r>
          </w:p>
        </w:tc>
      </w:tr>
      <w:tr>
        <w:tc>
          <w:tcPr>
            <w:tcW w:type="dxa" w:w="7138"/>
          </w:tcPr>
          <w:p>
            <w:r/>
            <w:r>
              <w:rPr>
                <w:sz w:val="16"/>
              </w:rPr>
              <w:t>T20 · Telesalud e inteligencia artificial</w:t>
            </w:r>
          </w:p>
        </w:tc>
        <w:tc>
          <w:tcPr>
            <w:tcW w:type="dxa" w:w="357"/>
          </w:tcPr>
          <w:p>
            <w:r/>
            <w:r>
              <w:rPr>
                <w:sz w:val="16"/>
              </w:rPr>
              <w:t>0</w:t>
            </w:r>
          </w:p>
        </w:tc>
        <w:tc>
          <w:tcPr>
            <w:tcW w:type="dxa" w:w="459"/>
          </w:tcPr>
          <w:p>
            <w:r/>
            <w:r>
              <w:rPr>
                <w:sz w:val="16"/>
              </w:rPr>
              <w:t>11</w:t>
            </w:r>
          </w:p>
        </w:tc>
        <w:tc>
          <w:tcPr>
            <w:tcW w:type="dxa" w:w="459"/>
          </w:tcPr>
          <w:p>
            <w:r/>
            <w:r>
              <w:rPr>
                <w:sz w:val="16"/>
              </w:rPr>
              <w:t>14</w:t>
            </w:r>
          </w:p>
        </w:tc>
        <w:tc>
          <w:tcPr>
            <w:tcW w:type="dxa" w:w="459"/>
          </w:tcPr>
          <w:p>
            <w:r/>
            <w:r>
              <w:rPr>
                <w:sz w:val="16"/>
              </w:rPr>
              <w:t>1</w:t>
            </w:r>
          </w:p>
        </w:tc>
        <w:tc>
          <w:tcPr>
            <w:tcW w:type="dxa" w:w="765"/>
          </w:tcPr>
          <w:p>
            <w:r/>
            <w:r>
              <w:rPr>
                <w:sz w:val="16"/>
              </w:rPr>
              <w:t>26</w:t>
            </w:r>
          </w:p>
        </w:tc>
      </w:tr>
      <w:tr>
        <w:tc>
          <w:tcPr>
            <w:tcW w:type="dxa" w:w="7138"/>
          </w:tcPr>
          <w:p>
            <w:r/>
            <w:r>
              <w:rPr>
                <w:sz w:val="16"/>
              </w:rPr>
              <w:t>T21 · Metodología y niveles de evidencia</w:t>
            </w:r>
          </w:p>
        </w:tc>
        <w:tc>
          <w:tcPr>
            <w:tcW w:type="dxa" w:w="357"/>
          </w:tcPr>
          <w:p>
            <w:r/>
            <w:r>
              <w:rPr>
                <w:sz w:val="16"/>
              </w:rPr>
              <w:t>0</w:t>
            </w:r>
          </w:p>
        </w:tc>
        <w:tc>
          <w:tcPr>
            <w:tcW w:type="dxa" w:w="459"/>
          </w:tcPr>
          <w:p>
            <w:r/>
            <w:r>
              <w:rPr>
                <w:sz w:val="16"/>
              </w:rPr>
              <w:t>4</w:t>
            </w:r>
          </w:p>
        </w:tc>
        <w:tc>
          <w:tcPr>
            <w:tcW w:type="dxa" w:w="459"/>
          </w:tcPr>
          <w:p>
            <w:r/>
            <w:r>
              <w:rPr>
                <w:sz w:val="16"/>
              </w:rPr>
              <w:t>9</w:t>
            </w:r>
          </w:p>
        </w:tc>
        <w:tc>
          <w:tcPr>
            <w:tcW w:type="dxa" w:w="459"/>
          </w:tcPr>
          <w:p>
            <w:r/>
            <w:r>
              <w:rPr>
                <w:sz w:val="16"/>
              </w:rPr>
              <w:t>1</w:t>
            </w:r>
          </w:p>
        </w:tc>
        <w:tc>
          <w:tcPr>
            <w:tcW w:type="dxa" w:w="765"/>
          </w:tcPr>
          <w:p>
            <w:r/>
            <w:r>
              <w:rPr>
                <w:sz w:val="16"/>
              </w:rPr>
              <w:t>14</w:t>
            </w:r>
          </w:p>
        </w:tc>
      </w:tr>
      <w:tr>
        <w:tc>
          <w:tcPr>
            <w:tcW w:type="dxa" w:w="7138"/>
          </w:tcPr>
          <w:p>
            <w:r/>
            <w:r>
              <w:rPr>
                <w:sz w:val="16"/>
              </w:rPr>
              <w:t>T22 · Conflictos de interés y financiación</w:t>
            </w:r>
          </w:p>
        </w:tc>
        <w:tc>
          <w:tcPr>
            <w:tcW w:type="dxa" w:w="357"/>
          </w:tcPr>
          <w:p>
            <w:r/>
            <w:r>
              <w:rPr>
                <w:sz w:val="16"/>
              </w:rPr>
              <w:t>0</w:t>
            </w:r>
          </w:p>
        </w:tc>
        <w:tc>
          <w:tcPr>
            <w:tcW w:type="dxa" w:w="459"/>
          </w:tcPr>
          <w:p>
            <w:r/>
            <w:r>
              <w:rPr>
                <w:sz w:val="16"/>
              </w:rPr>
              <w:t>1</w:t>
            </w:r>
          </w:p>
        </w:tc>
        <w:tc>
          <w:tcPr>
            <w:tcW w:type="dxa" w:w="459"/>
          </w:tcPr>
          <w:p>
            <w:r/>
            <w:r>
              <w:rPr>
                <w:sz w:val="16"/>
              </w:rPr>
              <w:t>0</w:t>
            </w:r>
          </w:p>
        </w:tc>
        <w:tc>
          <w:tcPr>
            <w:tcW w:type="dxa" w:w="459"/>
          </w:tcPr>
          <w:p>
            <w:r/>
            <w:r>
              <w:rPr>
                <w:sz w:val="16"/>
              </w:rPr>
              <w:t>0</w:t>
            </w:r>
          </w:p>
        </w:tc>
        <w:tc>
          <w:tcPr>
            <w:tcW w:type="dxa" w:w="765"/>
          </w:tcPr>
          <w:p>
            <w:r/>
            <w:r>
              <w:rPr>
                <w:sz w:val="16"/>
              </w:rPr>
              <w:t>1</w:t>
            </w:r>
          </w:p>
        </w:tc>
      </w:tr>
      <w:tr>
        <w:tc>
          <w:tcPr>
            <w:tcW w:type="dxa" w:w="7138"/>
          </w:tcPr>
          <w:p>
            <w:r/>
            <w:r>
              <w:rPr>
                <w:sz w:val="16"/>
              </w:rPr>
              <w:t>T23 · Integridad de citas y referencias</w:t>
            </w:r>
          </w:p>
        </w:tc>
        <w:tc>
          <w:tcPr>
            <w:tcW w:type="dxa" w:w="357"/>
          </w:tcPr>
          <w:p>
            <w:r/>
            <w:r>
              <w:rPr>
                <w:sz w:val="16"/>
              </w:rPr>
              <w:t>0</w:t>
            </w:r>
          </w:p>
        </w:tc>
        <w:tc>
          <w:tcPr>
            <w:tcW w:type="dxa" w:w="459"/>
          </w:tcPr>
          <w:p>
            <w:r/>
            <w:r>
              <w:rPr>
                <w:sz w:val="16"/>
              </w:rPr>
              <w:t>1</w:t>
            </w:r>
          </w:p>
        </w:tc>
        <w:tc>
          <w:tcPr>
            <w:tcW w:type="dxa" w:w="459"/>
          </w:tcPr>
          <w:p>
            <w:r/>
            <w:r>
              <w:rPr>
                <w:sz w:val="16"/>
              </w:rPr>
              <w:t>6</w:t>
            </w:r>
          </w:p>
        </w:tc>
        <w:tc>
          <w:tcPr>
            <w:tcW w:type="dxa" w:w="459"/>
          </w:tcPr>
          <w:p>
            <w:r/>
            <w:r>
              <w:rPr>
                <w:sz w:val="16"/>
              </w:rPr>
              <w:t>2</w:t>
            </w:r>
          </w:p>
        </w:tc>
        <w:tc>
          <w:tcPr>
            <w:tcW w:type="dxa" w:w="765"/>
          </w:tcPr>
          <w:p>
            <w:r/>
            <w:r>
              <w:rPr>
                <w:sz w:val="16"/>
              </w:rPr>
              <w:t>9</w:t>
            </w:r>
          </w:p>
        </w:tc>
      </w:tr>
      <w:tr>
        <w:tc>
          <w:tcPr>
            <w:tcW w:type="dxa" w:w="7138"/>
          </w:tcPr>
          <w:p>
            <w:r/>
            <w:r>
              <w:rPr>
                <w:sz w:val="16"/>
              </w:rPr>
              <w:t>T24 · Cifras epidemiológicas y datos mal transcritos</w:t>
            </w:r>
          </w:p>
        </w:tc>
        <w:tc>
          <w:tcPr>
            <w:tcW w:type="dxa" w:w="357"/>
          </w:tcPr>
          <w:p>
            <w:r/>
            <w:r>
              <w:rPr>
                <w:sz w:val="16"/>
              </w:rPr>
              <w:t>0</w:t>
            </w:r>
          </w:p>
        </w:tc>
        <w:tc>
          <w:tcPr>
            <w:tcW w:type="dxa" w:w="459"/>
          </w:tcPr>
          <w:p>
            <w:r/>
            <w:r>
              <w:rPr>
                <w:sz w:val="16"/>
              </w:rPr>
              <w:t>2</w:t>
            </w:r>
          </w:p>
        </w:tc>
        <w:tc>
          <w:tcPr>
            <w:tcW w:type="dxa" w:w="459"/>
          </w:tcPr>
          <w:p>
            <w:r/>
            <w:r>
              <w:rPr>
                <w:sz w:val="16"/>
              </w:rPr>
              <w:t>11</w:t>
            </w:r>
          </w:p>
        </w:tc>
        <w:tc>
          <w:tcPr>
            <w:tcW w:type="dxa" w:w="459"/>
          </w:tcPr>
          <w:p>
            <w:r/>
            <w:r>
              <w:rPr>
                <w:sz w:val="16"/>
              </w:rPr>
              <w:t>2</w:t>
            </w:r>
          </w:p>
        </w:tc>
        <w:tc>
          <w:tcPr>
            <w:tcW w:type="dxa" w:w="765"/>
          </w:tcPr>
          <w:p>
            <w:r/>
            <w:r>
              <w:rPr>
                <w:sz w:val="16"/>
              </w:rPr>
              <w:t>15</w:t>
            </w:r>
          </w:p>
        </w:tc>
      </w:tr>
      <w:tr>
        <w:tc>
          <w:tcPr>
            <w:tcW w:type="dxa" w:w="7138"/>
          </w:tcPr>
          <w:p>
            <w:r/>
            <w:r>
              <w:rPr>
                <w:sz w:val="16"/>
              </w:rPr>
              <w:t>T25 · Equidad, países de ingresos bajos y medios, atención primaria</w:t>
            </w:r>
          </w:p>
        </w:tc>
        <w:tc>
          <w:tcPr>
            <w:tcW w:type="dxa" w:w="357"/>
          </w:tcPr>
          <w:p>
            <w:r/>
            <w:r>
              <w:rPr>
                <w:sz w:val="16"/>
              </w:rPr>
              <w:t>0</w:t>
            </w:r>
          </w:p>
        </w:tc>
        <w:tc>
          <w:tcPr>
            <w:tcW w:type="dxa" w:w="459"/>
          </w:tcPr>
          <w:p>
            <w:r/>
            <w:r>
              <w:rPr>
                <w:sz w:val="16"/>
              </w:rPr>
              <w:t>4</w:t>
            </w:r>
          </w:p>
        </w:tc>
        <w:tc>
          <w:tcPr>
            <w:tcW w:type="dxa" w:w="459"/>
          </w:tcPr>
          <w:p>
            <w:r/>
            <w:r>
              <w:rPr>
                <w:sz w:val="16"/>
              </w:rPr>
              <w:t>7</w:t>
            </w:r>
          </w:p>
        </w:tc>
        <w:tc>
          <w:tcPr>
            <w:tcW w:type="dxa" w:w="459"/>
          </w:tcPr>
          <w:p>
            <w:r/>
            <w:r>
              <w:rPr>
                <w:sz w:val="16"/>
              </w:rPr>
              <w:t>0</w:t>
            </w:r>
          </w:p>
        </w:tc>
        <w:tc>
          <w:tcPr>
            <w:tcW w:type="dxa" w:w="765"/>
          </w:tcPr>
          <w:p>
            <w:r/>
            <w:r>
              <w:rPr>
                <w:sz w:val="16"/>
              </w:rPr>
              <w:t>11</w:t>
            </w:r>
          </w:p>
        </w:tc>
      </w:tr>
      <w:tr>
        <w:tc>
          <w:tcPr>
            <w:tcW w:type="dxa" w:w="7138"/>
          </w:tcPr>
          <w:p>
            <w:r/>
            <w:r>
              <w:rPr>
                <w:sz w:val="16"/>
              </w:rPr>
              <w:t>T26 · Sostenibilidad ambiental de los inhaladores</w:t>
            </w:r>
          </w:p>
        </w:tc>
        <w:tc>
          <w:tcPr>
            <w:tcW w:type="dxa" w:w="357"/>
          </w:tcPr>
          <w:p>
            <w:r/>
            <w:r>
              <w:rPr>
                <w:sz w:val="16"/>
              </w:rPr>
              <w:t>0</w:t>
            </w:r>
          </w:p>
        </w:tc>
        <w:tc>
          <w:tcPr>
            <w:tcW w:type="dxa" w:w="459"/>
          </w:tcPr>
          <w:p>
            <w:r/>
            <w:r>
              <w:rPr>
                <w:sz w:val="16"/>
              </w:rPr>
              <w:t>1</w:t>
            </w:r>
          </w:p>
        </w:tc>
        <w:tc>
          <w:tcPr>
            <w:tcW w:type="dxa" w:w="459"/>
          </w:tcPr>
          <w:p>
            <w:r/>
            <w:r>
              <w:rPr>
                <w:sz w:val="16"/>
              </w:rPr>
              <w:t>2</w:t>
            </w:r>
          </w:p>
        </w:tc>
        <w:tc>
          <w:tcPr>
            <w:tcW w:type="dxa" w:w="459"/>
          </w:tcPr>
          <w:p>
            <w:r/>
            <w:r>
              <w:rPr>
                <w:sz w:val="16"/>
              </w:rPr>
              <w:t>0</w:t>
            </w:r>
          </w:p>
        </w:tc>
        <w:tc>
          <w:tcPr>
            <w:tcW w:type="dxa" w:w="765"/>
          </w:tcPr>
          <w:p>
            <w:r/>
            <w:r>
              <w:rPr>
                <w:sz w:val="16"/>
              </w:rPr>
              <w:t>3</w:t>
            </w:r>
          </w:p>
        </w:tc>
      </w:tr>
      <w:tr>
        <w:tc>
          <w:tcPr>
            <w:tcW w:type="dxa" w:w="7138"/>
          </w:tcPr>
          <w:p>
            <w:r/>
            <w:r>
              <w:rPr>
                <w:sz w:val="16"/>
              </w:rPr>
              <w:t>T27 · Alta y prevención tras la exacerbación (ICS, vitamina D, mucolíticos)</w:t>
            </w:r>
          </w:p>
        </w:tc>
        <w:tc>
          <w:tcPr>
            <w:tcW w:type="dxa" w:w="357"/>
          </w:tcPr>
          <w:p>
            <w:r/>
            <w:r>
              <w:rPr>
                <w:sz w:val="16"/>
              </w:rPr>
              <w:t>0</w:t>
            </w:r>
          </w:p>
        </w:tc>
        <w:tc>
          <w:tcPr>
            <w:tcW w:type="dxa" w:w="459"/>
          </w:tcPr>
          <w:p>
            <w:r/>
            <w:r>
              <w:rPr>
                <w:sz w:val="16"/>
              </w:rPr>
              <w:t>0</w:t>
            </w:r>
          </w:p>
        </w:tc>
        <w:tc>
          <w:tcPr>
            <w:tcW w:type="dxa" w:w="459"/>
          </w:tcPr>
          <w:p>
            <w:r/>
            <w:r>
              <w:rPr>
                <w:sz w:val="16"/>
              </w:rPr>
              <w:t>5</w:t>
            </w:r>
          </w:p>
        </w:tc>
        <w:tc>
          <w:tcPr>
            <w:tcW w:type="dxa" w:w="459"/>
          </w:tcPr>
          <w:p>
            <w:r/>
            <w:r>
              <w:rPr>
                <w:sz w:val="16"/>
              </w:rPr>
              <w:t>0</w:t>
            </w:r>
          </w:p>
        </w:tc>
        <w:tc>
          <w:tcPr>
            <w:tcW w:type="dxa" w:w="765"/>
          </w:tcPr>
          <w:p>
            <w:r/>
            <w:r>
              <w:rPr>
                <w:sz w:val="16"/>
              </w:rPr>
              <w:t>5</w:t>
            </w:r>
          </w:p>
        </w:tc>
      </w:tr>
      <w:tr>
        <w:tc>
          <w:tcPr>
            <w:tcW w:type="dxa" w:w="7138"/>
          </w:tcPr>
          <w:p>
            <w:r/>
            <w:r>
              <w:rPr>
                <w:sz w:val="16"/>
              </w:rPr>
              <w:t>T28 · Rehabilitación, autogestión y algoritmos no farmacológicos</w:t>
            </w:r>
          </w:p>
        </w:tc>
        <w:tc>
          <w:tcPr>
            <w:tcW w:type="dxa" w:w="357"/>
          </w:tcPr>
          <w:p>
            <w:r/>
            <w:r>
              <w:rPr>
                <w:sz w:val="16"/>
              </w:rPr>
              <w:t>0</w:t>
            </w:r>
          </w:p>
        </w:tc>
        <w:tc>
          <w:tcPr>
            <w:tcW w:type="dxa" w:w="459"/>
          </w:tcPr>
          <w:p>
            <w:r/>
            <w:r>
              <w:rPr>
                <w:sz w:val="16"/>
              </w:rPr>
              <w:t>1</w:t>
            </w:r>
          </w:p>
        </w:tc>
        <w:tc>
          <w:tcPr>
            <w:tcW w:type="dxa" w:w="459"/>
          </w:tcPr>
          <w:p>
            <w:r/>
            <w:r>
              <w:rPr>
                <w:sz w:val="16"/>
              </w:rPr>
              <w:t>4</w:t>
            </w:r>
          </w:p>
        </w:tc>
        <w:tc>
          <w:tcPr>
            <w:tcW w:type="dxa" w:w="459"/>
          </w:tcPr>
          <w:p>
            <w:r/>
            <w:r>
              <w:rPr>
                <w:sz w:val="16"/>
              </w:rPr>
              <w:t>0</w:t>
            </w:r>
          </w:p>
        </w:tc>
        <w:tc>
          <w:tcPr>
            <w:tcW w:type="dxa" w:w="765"/>
          </w:tcPr>
          <w:p>
            <w:r/>
            <w:r>
              <w:rPr>
                <w:sz w:val="16"/>
              </w:rPr>
              <w:t>5</w:t>
            </w:r>
          </w:p>
        </w:tc>
      </w:tr>
      <w:tr>
        <w:tc>
          <w:tcPr>
            <w:tcW w:type="dxa" w:w="7138"/>
          </w:tcPr>
          <w:p>
            <w:r/>
            <w:r>
              <w:rPr>
                <w:sz w:val="16"/>
              </w:rPr>
              <w:t>T29 · Edición, erratas y estructura</w:t>
            </w:r>
          </w:p>
        </w:tc>
        <w:tc>
          <w:tcPr>
            <w:tcW w:type="dxa" w:w="357"/>
          </w:tcPr>
          <w:p>
            <w:r/>
            <w:r>
              <w:rPr>
                <w:sz w:val="16"/>
              </w:rPr>
              <w:t>0</w:t>
            </w:r>
          </w:p>
        </w:tc>
        <w:tc>
          <w:tcPr>
            <w:tcW w:type="dxa" w:w="459"/>
          </w:tcPr>
          <w:p>
            <w:r/>
            <w:r>
              <w:rPr>
                <w:sz w:val="16"/>
              </w:rPr>
              <w:t>0</w:t>
            </w:r>
          </w:p>
        </w:tc>
        <w:tc>
          <w:tcPr>
            <w:tcW w:type="dxa" w:w="459"/>
          </w:tcPr>
          <w:p>
            <w:r/>
            <w:r>
              <w:rPr>
                <w:sz w:val="16"/>
              </w:rPr>
              <w:t>1</w:t>
            </w:r>
          </w:p>
        </w:tc>
        <w:tc>
          <w:tcPr>
            <w:tcW w:type="dxa" w:w="459"/>
          </w:tcPr>
          <w:p>
            <w:r/>
            <w:r>
              <w:rPr>
                <w:sz w:val="16"/>
              </w:rPr>
              <w:t>12</w:t>
            </w:r>
          </w:p>
        </w:tc>
        <w:tc>
          <w:tcPr>
            <w:tcW w:type="dxa" w:w="765"/>
          </w:tcPr>
          <w:p>
            <w:r/>
            <w:r>
              <w:rPr>
                <w:sz w:val="16"/>
              </w:rPr>
              <w:t>13</w:t>
            </w:r>
          </w:p>
        </w:tc>
      </w:tr>
      <w:tr>
        <w:tc>
          <w:tcPr>
            <w:tcW w:type="dxa" w:w="7138"/>
          </w:tcPr>
          <w:p>
            <w:r/>
            <w:r>
              <w:rPr>
                <w:sz w:val="16"/>
              </w:rPr>
              <w:t>T30 · Déficit de alfa-1 antitripsina</w:t>
            </w:r>
          </w:p>
        </w:tc>
        <w:tc>
          <w:tcPr>
            <w:tcW w:type="dxa" w:w="357"/>
          </w:tcPr>
          <w:p>
            <w:r/>
            <w:r>
              <w:rPr>
                <w:sz w:val="16"/>
              </w:rPr>
              <w:t>0</w:t>
            </w:r>
          </w:p>
        </w:tc>
        <w:tc>
          <w:tcPr>
            <w:tcW w:type="dxa" w:w="459"/>
          </w:tcPr>
          <w:p>
            <w:r/>
            <w:r>
              <w:rPr>
                <w:sz w:val="16"/>
              </w:rPr>
              <w:t>0</w:t>
            </w:r>
          </w:p>
        </w:tc>
        <w:tc>
          <w:tcPr>
            <w:tcW w:type="dxa" w:w="459"/>
          </w:tcPr>
          <w:p>
            <w:r/>
            <w:r>
              <w:rPr>
                <w:sz w:val="16"/>
              </w:rPr>
              <w:t>3</w:t>
            </w:r>
          </w:p>
        </w:tc>
        <w:tc>
          <w:tcPr>
            <w:tcW w:type="dxa" w:w="459"/>
          </w:tcPr>
          <w:p>
            <w:r/>
            <w:r>
              <w:rPr>
                <w:sz w:val="16"/>
              </w:rPr>
              <w:t>0</w:t>
            </w:r>
          </w:p>
        </w:tc>
        <w:tc>
          <w:tcPr>
            <w:tcW w:type="dxa" w:w="765"/>
          </w:tcPr>
          <w:p>
            <w:r/>
            <w:r>
              <w:rPr>
                <w:sz w:val="16"/>
              </w:rPr>
              <w:t>3</w:t>
            </w:r>
          </w:p>
        </w:tc>
      </w:tr>
    </w:tbl>
    <w:p/>
    <w:p>
      <w:r>
        <w:rPr>
          <w:b/>
        </w:rPr>
        <w:t>Lectura de las tablas:</w:t>
      </w:r>
    </w:p>
    <w:p>
      <w:pPr>
        <w:pStyle w:val="ListBullet"/>
      </w:pPr>
      <w:r>
        <w:t xml:space="preserve">Los problemas con riesgo clínico directo se concentran en la </w:t>
      </w:r>
      <w:r>
        <w:rPr>
          <w:b/>
        </w:rPr>
        <w:t>exacerbación</w:t>
      </w:r>
      <w:r>
        <w:t xml:space="preserve"> (oxigenoterapia, clasificación de gravedad, soporte ventilatorio, antimicrobianos), la </w:t>
      </w:r>
      <w:r>
        <w:rPr>
          <w:b/>
        </w:rPr>
        <w:t>multimorbilidad</w:t>
      </w:r>
      <w:r>
        <w:t xml:space="preserve"> (fibrilación auricular, cribado de cáncer) y las </w:t>
      </w:r>
      <w:r>
        <w:rPr>
          <w:b/>
        </w:rPr>
        <w:t>intervenciones no farmacológicas</w:t>
      </w:r>
      <w:r>
        <w:t xml:space="preserve"> (momento de la rehabilitación, trasplante, oxigenoterapia crónica).</w:t>
      </w:r>
    </w:p>
    <w:p>
      <w:pPr>
        <w:pStyle w:val="ListBullet"/>
      </w:pPr>
      <w:r>
        <w:t xml:space="preserve">Los problemas estructurales con más peso para la credibilidad de la guía son la </w:t>
      </w:r>
      <w:r>
        <w:rPr>
          <w:b/>
        </w:rPr>
        <w:t>metodología de los niveles de evidencia</w:t>
      </w:r>
      <w:r>
        <w:t xml:space="preserve">, la </w:t>
      </w:r>
      <w:r>
        <w:rPr>
          <w:b/>
        </w:rPr>
        <w:t>integridad de las citas</w:t>
      </w:r>
      <w:r>
        <w:t xml:space="preserve"> y los </w:t>
      </w:r>
      <w:r>
        <w:rPr>
          <w:b/>
        </w:rPr>
        <w:t>conflictos de interés</w:t>
      </w:r>
      <w:r>
        <w:t>.</w:t>
      </w:r>
    </w:p>
    <w:p>
      <w:pPr>
        <w:jc w:val="center"/>
      </w:pPr>
      <w:r>
        <w:t>────────────────────────────────────────────────────────────</w:t>
      </w:r>
    </w:p>
    <w:p>
      <w:pPr>
        <w:pStyle w:val="Heading2"/>
      </w:pPr>
      <w:r>
        <w:t>4. Temas transversales</w:t>
      </w:r>
    </w:p>
    <w:p>
      <w:pPr>
        <w:pStyle w:val="Heading3"/>
      </w:pPr>
      <w:r>
        <w:t>4.1 Figuras y texto no sincronizados</w:t>
      </w:r>
    </w:p>
    <w:p>
      <w:r>
        <w:t>Este es el patrón más repetido del informe: al menos 25 hallazgos de 6 paneles distintos. Las figuras tienen tres características que agravan el problema:</w:t>
      </w:r>
    </w:p>
    <w:p>
      <w:pPr>
        <w:pStyle w:val="ListBullet"/>
      </w:pPr>
      <w:r>
        <w:t>son imágenes no editables;</w:t>
      </w:r>
    </w:p>
    <w:p>
      <w:pPr>
        <w:pStyle w:val="ListBullet"/>
      </w:pPr>
      <w:r>
        <w:t>concentran las recomendaciones operativas y los niveles de evidencia;</w:t>
      </w:r>
    </w:p>
    <w:p>
      <w:pPr>
        <w:pStyle w:val="ListBullet"/>
      </w:pPr>
      <w:r>
        <w:t>son lo que el clínico consulta y reproduce.</w:t>
      </w:r>
    </w:p>
    <w:p>
      <w:r>
        <w:t>Aun así, divergen del texto en asuntos de peso:</w:t>
      </w:r>
    </w:p>
    <w:p>
      <w:pPr>
        <w:pStyle w:val="ListBullet"/>
      </w:pPr>
      <w:r>
        <w:t>escalada a terapia triple y umbral para biológicos (Fig. 3.9);</w:t>
      </w:r>
    </w:p>
    <w:p>
      <w:pPr>
        <w:pStyle w:val="ListBullet"/>
      </w:pPr>
      <w:r>
        <w:t>criterios gasométricos (Fig. 4.2);</w:t>
      </w:r>
    </w:p>
    <w:p>
      <w:pPr>
        <w:pStyle w:val="ListBullet"/>
      </w:pPr>
      <w:r>
        <w:t>cribado de cáncer (Figs. 5.5 y 5.6);</w:t>
      </w:r>
    </w:p>
    <w:p>
      <w:pPr>
        <w:pStyle w:val="ListBullet"/>
      </w:pPr>
      <w:r>
        <w:t>criterios de trasplante (Fig. 3.22);</w:t>
      </w:r>
    </w:p>
    <w:p>
      <w:pPr>
        <w:pStyle w:val="ListBullet"/>
      </w:pPr>
      <w:r>
        <w:t>criterios de LTOT (Fig. 3.18);</w:t>
      </w:r>
    </w:p>
    <w:p>
      <w:pPr>
        <w:pStyle w:val="ListBullet"/>
      </w:pPr>
      <w:r>
        <w:t>indicaciones de la vacuna frente al VRS (Fig. 3.6);</w:t>
      </w:r>
    </w:p>
    <w:p>
      <w:pPr>
        <w:pStyle w:val="ListBullet"/>
      </w:pPr>
      <w:r>
        <w:t>intervenciones que reducen la mortalidad (Fig. 3.19 frente a la Fig. A4.1).</w:t>
      </w:r>
    </w:p>
    <w:p>
      <w:r>
        <w:rPr>
          <w:b/>
        </w:rPr>
        <w:t>Causa probable:</w:t>
      </w:r>
      <w:r>
        <w:t xml:space="preserve"> el texto se actualiza en cada edición y las figuras se heredan. Ejemplos: la Fig. 3.5 se basa en una guía de 2000 y la Fig. 3.22 en criterios ISHLT de 2006.</w:t>
      </w:r>
    </w:p>
    <w:p>
      <w:r>
        <w:rPr>
          <w:b/>
        </w:rPr>
        <w:t>Recomendación:</w:t>
      </w:r>
      <w:r>
        <w:t xml:space="preserve"> que haya una única fuente de verdad para cada recomendación, generada en texto y figura a la vez, y una lista de comprobación figura-texto antes de publicar cada versión.</w:t>
      </w:r>
    </w:p>
    <w:p>
      <w:pPr>
        <w:pStyle w:val="Heading3"/>
      </w:pPr>
      <w:r>
        <w:t>4.2 Integridad de las citas</w:t>
      </w:r>
    </w:p>
    <w:p>
      <w:pPr>
        <w:pStyle w:val="ListBullet"/>
      </w:pPr>
      <w:r>
        <w:rPr>
          <w:b/>
        </w:rPr>
        <w:t>Capítulo 1:</w:t>
      </w:r>
      <w:r>
        <w:t xml:space="preserve"> desplazamientos sistemáticos de numeración, con al menos 15 llamadas a referencias que no corresponden (EPI-01).</w:t>
      </w:r>
    </w:p>
    <w:p>
      <w:pPr>
        <w:pStyle w:val="ListBullet"/>
      </w:pPr>
      <w:r>
        <w:rPr>
          <w:b/>
        </w:rPr>
        <w:t>Resto del documento:</w:t>
      </w:r>
      <w:r>
        <w:t xml:space="preserve"> citas erróneas en todos los capítulos (DX-08, DX-09, IA-01, IA-05, COH-15, EXA-23, MET-17, INT-19, INT-20, EQ-04, REH-12…). En varios casos la referencia citada dice </w:t>
      </w:r>
      <w:r>
        <w:rPr>
          <w:b/>
        </w:rPr>
        <w:t>lo contrario</w:t>
      </w:r>
      <w:r>
        <w:t xml:space="preserve"> de lo que se afirma, por ejemplo en VMNI (REH-12), telesalud (IA-01) o HFNT (MET-16).</w:t>
      </w:r>
    </w:p>
    <w:p>
      <w:pPr>
        <w:pStyle w:val="ListBullet"/>
      </w:pPr>
      <w:r>
        <w:rPr>
          <w:b/>
        </w:rPr>
        <w:t>Calidad de la lista de referencias:</w:t>
      </w:r>
    </w:p>
    <w:p>
      <w:pPr>
        <w:pStyle w:val="ListBullet2"/>
      </w:pPr>
      <w:r>
        <w:t>se cita un artículo retractado (ref. 241, Malhotra 2009; MET-15);</w:t>
      </w:r>
    </w:p>
    <w:p>
      <w:pPr>
        <w:pStyle w:val="ListBullet2"/>
      </w:pPr>
      <w:r>
        <w:t>hay referencias duplicadas, referencias nunca citadas y una cita inexistente («Martinez 2021», NOV-05).</w:t>
      </w:r>
    </w:p>
    <w:p>
      <w:r>
        <w:rPr>
          <w:b/>
        </w:rPr>
        <w:t>Recomendación:</w:t>
      </w:r>
      <w:r>
        <w:t xml:space="preserve"> antes de cada versión, hacer una auditoría automatizada que compruebe la afirmación frente al título y el resumen de cada referencia, junto con un cribado de retractaciones (Crossref/Retraction Watch).</w:t>
      </w:r>
    </w:p>
    <w:p>
      <w:pPr>
        <w:pStyle w:val="Heading3"/>
      </w:pPr>
      <w:r>
        <w:t>4.3 Escala de evidencia y método</w:t>
      </w:r>
    </w:p>
    <w:p>
      <w:pPr>
        <w:pStyle w:val="ListBullet"/>
      </w:pPr>
      <w:r>
        <w:rPr>
          <w:b/>
        </w:rPr>
        <w:t>Problemas de la Tabla A:</w:t>
      </w:r>
    </w:p>
    <w:p>
      <w:pPr>
        <w:pStyle w:val="ListBullet2"/>
      </w:pPr>
      <w:r>
        <w:t>un único ECA «sin sesgo» puede alcanzar el nivel A, mientras que un metaanálisis de ECA queda en B;</w:t>
      </w:r>
    </w:p>
    <w:p>
      <w:pPr>
        <w:pStyle w:val="ListBullet2"/>
      </w:pPr>
      <w:r>
        <w:t>no evalúa formalmente la certeza (riesgo de sesgo, imprecisión, inconsistencia, evidencia indirecta, sesgo de publicación);</w:t>
      </w:r>
    </w:p>
    <w:p>
      <w:pPr>
        <w:pStyle w:val="ListBullet2"/>
      </w:pPr>
      <w:r>
        <w:t xml:space="preserve">no separa la </w:t>
      </w:r>
      <w:r>
        <w:rPr>
          <w:b/>
        </w:rPr>
        <w:t>certeza de la evidencia</w:t>
      </w:r>
      <w:r>
        <w:t xml:space="preserve"> de la </w:t>
      </w:r>
      <w:r>
        <w:rPr>
          <w:b/>
        </w:rPr>
        <w:t>fuerza de la recomendación</w:t>
      </w:r>
      <w:r>
        <w:t>.</w:t>
      </w:r>
    </w:p>
    <w:p>
      <w:pPr>
        <w:pStyle w:val="ListBullet"/>
      </w:pPr>
      <w:r>
        <w:rPr>
          <w:b/>
        </w:rPr>
        <w:t>Aplicación de la escala:</w:t>
      </w:r>
    </w:p>
    <w:p>
      <w:pPr>
        <w:pStyle w:val="ListBullet2"/>
      </w:pPr>
      <w:r>
        <w:t>es inconsistente: hay nivel A para análisis post hoc o subgrupos (MET-06, INT-17, REH-18, NOV-02);</w:t>
      </w:r>
    </w:p>
    <w:p>
      <w:pPr>
        <w:pStyle w:val="ListBullet2"/>
      </w:pPr>
      <w:r>
        <w:t>muchas recomendaciones clave no tienen nivel asignado (MET-10).</w:t>
      </w:r>
    </w:p>
    <w:p>
      <w:pPr>
        <w:pStyle w:val="ListBullet"/>
      </w:pPr>
      <w:r>
        <w:rPr>
          <w:b/>
        </w:rPr>
        <w:t>Búsqueda y elaboración:</w:t>
      </w:r>
    </w:p>
    <w:p>
      <w:pPr>
        <w:pStyle w:val="ListBullet2"/>
      </w:pPr>
      <w:r>
        <w:t>la búsqueda no es reproducible y solo incluye literatura en inglés;</w:t>
      </w:r>
    </w:p>
    <w:p>
      <w:pPr>
        <w:pStyle w:val="ListBullet2"/>
      </w:pPr>
      <w:r>
        <w:t>no hay participación de pacientes, revisión externa, consulta pública ni metodólogo declarado (MET-03, MET-05, EQ-07).</w:t>
      </w:r>
    </w:p>
    <w:p>
      <w:r>
        <w:rPr>
          <w:b/>
        </w:rPr>
        <w:t>Recomendación:</w:t>
      </w:r>
      <w:r>
        <w:t xml:space="preserve"> migrar progresivamente a </w:t>
      </w:r>
      <w:r>
        <w:rPr>
          <w:b/>
        </w:rPr>
        <w:t>GRADE</w:t>
      </w:r>
      <w:r>
        <w:t xml:space="preserve"> (o a marcos de evidencia a decisión) para las preguntas PICO de mayor impacto: inicio del tratamiento, ICS, biológicos, ensifentrina, oxigenoterapia, VNI, reducción de volumen y vacunas.</w:t>
      </w:r>
    </w:p>
    <w:p>
      <w:pPr>
        <w:pStyle w:val="Heading3"/>
      </w:pPr>
      <w:r>
        <w:t>4.4 Conflictos de interés y financiación</w:t>
      </w:r>
    </w:p>
    <w:p>
      <w:r>
        <w:t xml:space="preserve">El informe remite a las declaraciones de conflictos publicadas en goldcopd.org. La verificación externa (F1) confirmó que existen, pero el único documento enlazado corresponde a </w:t>
      </w:r>
      <w:r>
        <w:rPr>
          <w:b/>
        </w:rPr>
        <w:t>2022</w:t>
      </w:r>
      <w:r>
        <w:t>, no al ciclo de GOLD 2026. GOLD declara en su web que se financia «entirely by the sale of its documents and resources» desde 2014, sin detallar compradores ni volúmenes. El documento, en cambio, no incluye:</w:t>
      </w:r>
    </w:p>
    <w:p>
      <w:pPr>
        <w:pStyle w:val="ListBullet"/>
      </w:pPr>
      <w:r>
        <w:t>una declaración de financiación;</w:t>
      </w:r>
    </w:p>
    <w:p>
      <w:pPr>
        <w:pStyle w:val="ListBullet"/>
      </w:pPr>
      <w:r>
        <w:t>una política de gestión de conflictos de interés (umbrales, recusaciones);</w:t>
      </w:r>
    </w:p>
    <w:p>
      <w:pPr>
        <w:pStyle w:val="ListBullet"/>
      </w:pPr>
      <w:r>
        <w:t>recusaciones por recomendación.</w:t>
      </w:r>
    </w:p>
    <w:p>
      <w:r>
        <w:t xml:space="preserve">Al mismo tiempo, miembros del comité científico, incluida la presidencia, firman los ensayos pivotales de las terapias que el propio informe evalúa y gradúa: biológicos, terapia triple y ensifentrina (MET-04). Esto </w:t>
      </w:r>
      <w:r>
        <w:rPr>
          <w:b/>
        </w:rPr>
        <w:t>no prueba sesgo</w:t>
      </w:r>
      <w:r>
        <w:t xml:space="preserve">, pero los estándares G-I-N (2012) y AGREE II (dominio 6) exigen que la gestión de conflictos se describa en la propia guía. Por eso el hallazgo queda como </w:t>
      </w:r>
      <w:r>
        <w:rPr>
          <w:b/>
        </w:rPr>
        <w:t>CONFIRMADO PARCIAL</w:t>
      </w:r>
      <w:r>
        <w:t>: el título original «no se declaran» era inexacto.</w:t>
      </w:r>
    </w:p>
    <w:p>
      <w:pPr>
        <w:pStyle w:val="Heading3"/>
      </w:pPr>
      <w:r>
        <w:t>4.5 Sobreinterpretación de la evidencia y ensayos omitidos</w:t>
      </w:r>
    </w:p>
    <w:p>
      <w:r>
        <w:t>Se repite el mismo patrón: resultados presentados con más fuerza de la que tienen y ensayos negativos o neutros omitidos.</w:t>
      </w:r>
    </w:p>
    <w:p>
      <w:pPr>
        <w:pStyle w:val="ListBullet"/>
      </w:pPr>
      <w:r>
        <w:rPr>
          <w:b/>
        </w:rPr>
        <w:t>Resultados sobredimensionados:</w:t>
      </w:r>
    </w:p>
    <w:p>
      <w:pPr>
        <w:pStyle w:val="ListBullet2"/>
      </w:pPr>
      <w:r>
        <w:t>mortalidad con terapia triple (análisis post hoc, retirada de ICS);</w:t>
      </w:r>
    </w:p>
    <w:p>
      <w:pPr>
        <w:pStyle w:val="ListBullet2"/>
      </w:pPr>
      <w:r>
        <w:t>mepolizumab (METREO negativo);</w:t>
      </w:r>
    </w:p>
    <w:p>
      <w:pPr>
        <w:pStyle w:val="ListBullet2"/>
      </w:pPr>
      <w:r>
        <w:t>HFNT (se le atribuye la evidencia de la VNI);</w:t>
      </w:r>
    </w:p>
    <w:p>
      <w:pPr>
        <w:pStyle w:val="ListBullet2"/>
      </w:pPr>
      <w:r>
        <w:t>CPAP en el síndrome de solapamiento («claro» beneficio de supervivencia con estudios observacionales);</w:t>
      </w:r>
    </w:p>
    <w:p>
      <w:pPr>
        <w:pStyle w:val="ListBullet2"/>
      </w:pPr>
      <w:r>
        <w:t>telesalud e IA.</w:t>
      </w:r>
    </w:p>
    <w:p>
      <w:pPr>
        <w:pStyle w:val="ListBullet"/>
      </w:pPr>
      <w:r>
        <w:rPr>
          <w:b/>
        </w:rPr>
        <w:t>Ensayos negativos o neutros omitidos:</w:t>
      </w:r>
    </w:p>
    <w:p>
      <w:pPr>
        <w:pStyle w:val="ListBullet2"/>
      </w:pPr>
      <w:r>
        <w:t>opioides para la disnea (BEAMS, MORDYC);</w:t>
      </w:r>
    </w:p>
    <w:p>
      <w:pPr>
        <w:pStyle w:val="ListBullet2"/>
      </w:pPr>
      <w:r>
        <w:t>PERFECT en hipertensión pulmonar asociada a la EPOC, detenido por daño;</w:t>
      </w:r>
    </w:p>
    <w:p>
      <w:pPr>
        <w:pStyle w:val="ListBullet2"/>
      </w:pPr>
      <w:r>
        <w:t>CELEB (cirugía de reducción de volumen frente a válvulas);</w:t>
      </w:r>
    </w:p>
    <w:p>
      <w:pPr>
        <w:pStyle w:val="ListBullet2"/>
      </w:pPr>
      <w:r>
        <w:t>BETTER-B (mirtazapina);</w:t>
      </w:r>
    </w:p>
    <w:p>
      <w:pPr>
        <w:pStyle w:val="ListBullet2"/>
      </w:pPr>
      <w:r>
        <w:t>ensayos negativos de biológicos y alarminas;</w:t>
      </w:r>
    </w:p>
    <w:p>
      <w:pPr>
        <w:pStyle w:val="ListBullet2"/>
      </w:pPr>
      <w:r>
        <w:t>ensayos neutros de telemonitorización.</w:t>
      </w:r>
    </w:p>
    <w:p>
      <w:r>
        <w:rPr>
          <w:b/>
        </w:rPr>
        <w:t>Recomendación:</w:t>
      </w:r>
      <w:r>
        <w:t xml:space="preserve"> declarar la búsqueda de ensayos negativos para cada recomendación y describir los efectos con su magnitud y su certeza.</w:t>
      </w:r>
    </w:p>
    <w:p>
      <w:pPr>
        <w:pStyle w:val="Heading3"/>
      </w:pPr>
      <w:r>
        <w:t>4.6 «Global» en la carga de enfermedad, no en las recomendaciones</w:t>
      </w:r>
    </w:p>
    <w:p>
      <w:pPr>
        <w:pStyle w:val="ListBullet"/>
      </w:pPr>
      <w:r>
        <w:t>El capítulo 1 reconoce la biomasa, la EPOC post-tuberculosis y los LMIC, pero diagnóstico, tratamiento, vacunación y paliativos dan por supuesto un sistema sanitario de ingresos altos, sobre todo el de EE. UU. (CDC/FDA, hospice).</w:t>
      </w:r>
    </w:p>
    <w:p>
      <w:pPr>
        <w:pStyle w:val="ListBullet"/>
      </w:pPr>
      <w:r>
        <w:rPr>
          <w:b/>
        </w:rPr>
        <w:t>Omisiones:</w:t>
      </w:r>
    </w:p>
    <w:p>
      <w:pPr>
        <w:pStyle w:val="ListBullet2"/>
      </w:pPr>
      <w:r>
        <w:t>un escalón terapéutico de bajo coste alineado con la Lista de Medicamentos Esenciales de la OMS;</w:t>
      </w:r>
    </w:p>
    <w:p>
      <w:pPr>
        <w:pStyle w:val="ListBullet2"/>
      </w:pPr>
      <w:r>
        <w:t>una vía diagnóstica para entornos sin espirometría;</w:t>
      </w:r>
    </w:p>
    <w:p>
      <w:pPr>
        <w:pStyle w:val="ListBullet2"/>
      </w:pPr>
      <w:r>
        <w:t>la citisina;</w:t>
      </w:r>
    </w:p>
    <w:p>
      <w:pPr>
        <w:pStyle w:val="ListBullet2"/>
      </w:pPr>
      <w:r>
        <w:t>el ajuste por altitud del oxígeno;</w:t>
      </w:r>
    </w:p>
    <w:p>
      <w:pPr>
        <w:pStyle w:val="ListBullet2"/>
      </w:pPr>
      <w:r>
        <w:t>el sesgo de la pulsioximetría según el tono de piel en los umbrales de decisión;</w:t>
      </w:r>
    </w:p>
    <w:p>
      <w:pPr>
        <w:pStyle w:val="ListBullet2"/>
      </w:pPr>
      <w:r>
        <w:t>el sesgo diagnóstico en mujeres;</w:t>
      </w:r>
    </w:p>
    <w:p>
      <w:pPr>
        <w:pStyle w:val="ListBullet2"/>
      </w:pPr>
      <w:r>
        <w:t>el lenguaje centrado en la persona.</w:t>
      </w:r>
    </w:p>
    <w:p>
      <w:r>
        <w:rPr>
          <w:b/>
        </w:rPr>
        <w:t>Recomendación:</w:t>
      </w:r>
      <w:r>
        <w:t xml:space="preserve"> que las recomendaciones clave se estratifiquen por nivel de recursos (esencial, ampliado u óptimo).</w:t>
      </w:r>
    </w:p>
    <w:p>
      <w:pPr>
        <w:pStyle w:val="Heading3"/>
      </w:pPr>
      <w:r>
        <w:t>4.7 Salud digital e IA: contenido descriptivo sin marco de evaluación</w:t>
      </w:r>
    </w:p>
    <w:p>
      <w:r>
        <w:t>El capítulo 6 tiene estas carencias:</w:t>
      </w:r>
    </w:p>
    <w:p>
      <w:pPr>
        <w:pStyle w:val="ListBullet"/>
      </w:pPr>
      <w:r>
        <w:t>describe herramientas sin distinguir prototipos de productos autorizados;</w:t>
      </w:r>
    </w:p>
    <w:p>
      <w:pPr>
        <w:pStyle w:val="ListBullet"/>
      </w:pPr>
      <w:r>
        <w:t>no adopta marcos de evaluación y comunicación de resultados (TRIPOD+AI, CONSORT-AI, DECIDE-AI);</w:t>
      </w:r>
    </w:p>
    <w:p>
      <w:pPr>
        <w:pStyle w:val="ListBullet"/>
      </w:pPr>
      <w:r>
        <w:t>no aborda la regulación (Reglamento Europeo de IA, FDA SaMD);</w:t>
      </w:r>
    </w:p>
    <w:p>
      <w:pPr>
        <w:pStyle w:val="ListBullet"/>
      </w:pPr>
      <w:r>
        <w:t>propone enviar resúmenes por WhatsApp/SMS sin considerar la privacidad ni las alucinaciones de los LLM;</w:t>
      </w:r>
    </w:p>
    <w:p>
      <w:pPr>
        <w:pStyle w:val="ListBullet"/>
      </w:pPr>
      <w:r>
        <w:t>sus puntos clave sobre telesalud («improved access, outcomes, and affordability») contradicen el propio Apéndice 4 y la revisión Cochrane, que además está mal citada.</w:t>
      </w:r>
    </w:p>
    <w:p>
      <w:pPr>
        <w:jc w:val="center"/>
      </w:pPr>
      <w:r>
        <w:t>────────────────────────────────────────────────────────────</w:t>
      </w:r>
    </w:p>
    <w:p>
      <w:pPr>
        <w:pStyle w:val="Heading2"/>
      </w:pPr>
      <w:r>
        <w:t>5. Recomendaciones al comité GOLD</w:t>
      </w:r>
    </w:p>
    <w:p>
      <w:pPr>
        <w:pStyle w:val="Heading3"/>
      </w:pPr>
      <w:r>
        <w:t>5.1 Inmediatas: fe de erratas o versión 1.4</w:t>
      </w:r>
    </w:p>
    <w:p>
      <w:pPr>
        <w:pStyle w:val="ListNumber"/>
        <w:numPr>
          <w:ilvl w:val="0"/>
          <w:numId w:val="12"/>
        </w:numPr>
      </w:pPr>
      <w:r>
        <w:rPr>
          <w:b/>
        </w:rPr>
        <w:t>Oxígeno en la exacerbación.</w:t>
      </w:r>
      <w:r>
        <w:t xml:space="preserve"> Añadir el objetivo de SpO2 88-92 %, la titulación con Venturi o cánulas a bajo flujo y la gasometría de control. Incorporarlos al texto y a las Figs. 4.5 y 4.6.</w:t>
      </w:r>
    </w:p>
    <w:p>
      <w:pPr>
        <w:pStyle w:val="ListNumber"/>
        <w:numPr>
          <w:ilvl w:val="0"/>
          <w:numId w:val="12"/>
        </w:numPr>
      </w:pPr>
      <w:r>
        <w:rPr>
          <w:b/>
        </w:rPr>
        <w:t>Fibrilación auricular.</w:t>
      </w:r>
      <w:r>
        <w:t xml:space="preserve"> Retirar la frase de que no hay contraindicación para ningún antiarrítmico o betabloqueante. Sustituirla por: β1-selectivos, evitar los no selectivos, el sotalol, la propafenona y la adenosina si hay broncoespasmo, y vigilar la amiodarona.</w:t>
      </w:r>
    </w:p>
    <w:p>
      <w:pPr>
        <w:pStyle w:val="ListNumber"/>
        <w:numPr>
          <w:ilvl w:val="0"/>
          <w:numId w:val="12"/>
        </w:numPr>
      </w:pPr>
      <w:r>
        <w:rPr>
          <w:b/>
        </w:rPr>
        <w:t>Cribado de cáncer.</w:t>
      </w:r>
      <w:r>
        <w:t xml:space="preserve"> Corregir las Figs. 5.5 y 5.6: TC de baja dosis (LDCT) anual </w:t>
      </w:r>
      <w:r>
        <w:rPr>
          <w:b/>
        </w:rPr>
        <w:t>solo</w:t>
      </w:r>
      <w:r>
        <w:t xml:space="preserve"> si se cumplen los criterios de cribado, y no HRCT para todos.</w:t>
      </w:r>
    </w:p>
    <w:p>
      <w:pPr>
        <w:pStyle w:val="ListNumber"/>
        <w:numPr>
          <w:ilvl w:val="0"/>
          <w:numId w:val="12"/>
        </w:numPr>
      </w:pPr>
      <w:r>
        <w:rPr>
          <w:b/>
        </w:rPr>
        <w:t>Rehabilitación.</w:t>
      </w:r>
      <w:r>
        <w:t xml:space="preserve"> En la Fig. 3.19 y en el texto de PDF 91, separar la movilización intrahospitalaria de la rehabilitación estructurada tras el alta. Recomendar iniciar esta última en las 3-4 semanas posteriores al alta y advertir de la señal de daño de Greening 2014.</w:t>
      </w:r>
    </w:p>
    <w:p>
      <w:pPr>
        <w:pStyle w:val="ListNumber"/>
        <w:numPr>
          <w:ilvl w:val="0"/>
          <w:numId w:val="12"/>
        </w:numPr>
      </w:pPr>
      <w:r>
        <w:rPr>
          <w:b/>
        </w:rPr>
        <w:t>Trasplante.</w:t>
      </w:r>
      <w:r>
        <w:t xml:space="preserve"> Sustituir la fila de la Fig. 3.22 por los criterios ISHLT 2021 de </w:t>
      </w:r>
      <w:r>
        <w:rPr>
          <w:b/>
        </w:rPr>
        <w:t>derivación</w:t>
      </w:r>
      <w:r>
        <w:t xml:space="preserve"> y de </w:t>
      </w:r>
      <w:r>
        <w:rPr>
          <w:b/>
        </w:rPr>
        <w:t>listado</w:t>
      </w:r>
      <w:r>
        <w:t>, alineados con el texto.</w:t>
      </w:r>
    </w:p>
    <w:p>
      <w:pPr>
        <w:pStyle w:val="ListNumber"/>
        <w:numPr>
          <w:ilvl w:val="0"/>
          <w:numId w:val="12"/>
        </w:numPr>
      </w:pPr>
      <w:r>
        <w:rPr>
          <w:b/>
        </w:rPr>
        <w:t>Clasificación de gravedad (Fig. 4.2).</w:t>
      </w:r>
      <w:r>
        <w:t xml:space="preserve"> Reproducir fielmente los umbrales de Roma y eliminar «PaO2 70-80».</w:t>
      </w:r>
    </w:p>
    <w:p>
      <w:pPr>
        <w:pStyle w:val="ListNumber"/>
        <w:numPr>
          <w:ilvl w:val="0"/>
          <w:numId w:val="12"/>
        </w:numPr>
      </w:pPr>
      <w:r>
        <w:rPr>
          <w:b/>
        </w:rPr>
        <w:t>Algoritmo de seguimiento.</w:t>
      </w:r>
      <w:r>
        <w:t xml:space="preserve"> Alinear la Fig. 3.9 con el texto: escalada a terapia triple, umbral para biológicos, frase «eos &lt;100» y criterio único para roflumilast.</w:t>
      </w:r>
    </w:p>
    <w:p>
      <w:pPr>
        <w:pStyle w:val="ListNumber"/>
        <w:numPr>
          <w:ilvl w:val="0"/>
          <w:numId w:val="12"/>
        </w:numPr>
      </w:pPr>
      <w:r>
        <w:rPr>
          <w:b/>
        </w:rPr>
        <w:t>Criterios de LTOT.</w:t>
      </w:r>
      <w:r>
        <w:t xml:space="preserve"> Unificarlos: SaO2 ≤88 % o 89 % con comorbilidad, y al menos 15 h/día (REDOX no invalida el mínimo).</w:t>
      </w:r>
    </w:p>
    <w:p>
      <w:pPr>
        <w:pStyle w:val="ListNumber"/>
        <w:numPr>
          <w:ilvl w:val="0"/>
          <w:numId w:val="12"/>
        </w:numPr>
      </w:pPr>
      <w:r>
        <w:rPr>
          <w:b/>
        </w:rPr>
        <w:t>Cifras y citas</w:t>
      </w:r>
      <w:r>
        <w:t xml:space="preserve"> con error demostrado:</w:t>
      </w:r>
    </w:p>
    <w:p>
      <w:pPr>
        <w:pStyle w:val="ListBullet2"/>
      </w:pPr>
      <w:r>
        <w:t>prevalencia «por 100.000»;</w:t>
      </w:r>
    </w:p>
    <w:p>
      <w:pPr>
        <w:pStyle w:val="ListBullet2"/>
      </w:pPr>
      <w:r>
        <w:t>«$15.60 billion»;</w:t>
      </w:r>
    </w:p>
    <w:p>
      <w:pPr>
        <w:pStyle w:val="ListBullet2"/>
      </w:pPr>
      <w:r>
        <w:t>reingresos «30-50 %»;</w:t>
      </w:r>
    </w:p>
    <w:p>
      <w:pPr>
        <w:pStyle w:val="ListBullet2"/>
      </w:pPr>
      <w:r>
        <w:t>CIE-10 «J42-46»;</w:t>
      </w:r>
    </w:p>
    <w:p>
      <w:pPr>
        <w:pStyle w:val="ListBullet2"/>
      </w:pPr>
      <w:r>
        <w:t>Cochrane de telesalud;</w:t>
      </w:r>
    </w:p>
    <w:p>
      <w:pPr>
        <w:pStyle w:val="ListBullet2"/>
      </w:pPr>
      <w:r>
        <w:t>ref. 241 retractada;</w:t>
      </w:r>
    </w:p>
    <w:p>
      <w:pPr>
        <w:pStyle w:val="ListBullet2"/>
      </w:pPr>
      <w:r>
        <w:t>«peripheral vascular resistance»;</w:t>
      </w:r>
    </w:p>
    <w:p>
      <w:pPr>
        <w:pStyle w:val="ListBullet2"/>
      </w:pPr>
      <w:r>
        <w:t>«killed or live inactivated».</w:t>
      </w:r>
    </w:p>
    <w:p>
      <w:pPr>
        <w:pStyle w:val="ListNumber"/>
        <w:numPr>
          <w:ilvl w:val="0"/>
          <w:numId w:val="12"/>
        </w:numPr>
      </w:pPr>
      <w:r>
        <w:rPr>
          <w:b/>
        </w:rPr>
        <w:t>Antivirales.</w:t>
      </w:r>
      <w:r>
        <w:t xml:space="preserve"> Añadir el tratamiento antiviral de la gripe y la COVID-19 en la exacerbación.</w:t>
      </w:r>
    </w:p>
    <w:p>
      <w:pPr>
        <w:pStyle w:val="Heading3"/>
      </w:pPr>
      <w:r>
        <w:t>5.2 Para la edición de 2027</w:t>
      </w:r>
    </w:p>
    <w:p>
      <w:pPr>
        <w:pStyle w:val="ListBullet"/>
      </w:pPr>
      <w:r>
        <w:rPr>
          <w:b/>
        </w:rPr>
        <w:t>Exacerbaciones:</w:t>
      </w:r>
    </w:p>
    <w:p>
      <w:pPr>
        <w:pStyle w:val="ListBullet2"/>
      </w:pPr>
      <w:r>
        <w:t>reescribir el soporte ventilatorio separando VNI y HFNT, cada una con su nivel de evidencia;</w:t>
      </w:r>
    </w:p>
    <w:p>
      <w:pPr>
        <w:pStyle w:val="ListBullet2"/>
      </w:pPr>
      <w:r>
        <w:t>añadir el fracaso de la VNI como indicación de ventilación mecánica invasiva;</w:t>
      </w:r>
    </w:p>
    <w:p>
      <w:pPr>
        <w:pStyle w:val="ListBullet2"/>
      </w:pPr>
      <w:r>
        <w:t xml:space="preserve">incorporar la estratificación del riesgo de </w:t>
      </w:r>
      <w:r>
        <w:rPr>
          <w:i/>
        </w:rPr>
        <w:t>Pseudomonas</w:t>
      </w:r>
      <w:r>
        <w:t xml:space="preserve"> y las advertencias sobre fluoroquinolonas.</w:t>
      </w:r>
    </w:p>
    <w:p>
      <w:pPr>
        <w:pStyle w:val="ListBullet"/>
      </w:pPr>
      <w:r>
        <w:rPr>
          <w:b/>
        </w:rPr>
        <w:t>Terapia triple:</w:t>
      </w:r>
      <w:r>
        <w:t xml:space="preserve"> reformular la mortalidad como un efecto </w:t>
      </w:r>
      <w:r>
        <w:rPr>
          <w:b/>
        </w:rPr>
        <w:t>sugerido</w:t>
      </w:r>
      <w:r>
        <w:t xml:space="preserve"> frente a LABA+LAMA y explicitar sus limitaciones.</w:t>
      </w:r>
    </w:p>
    <w:p>
      <w:pPr>
        <w:pStyle w:val="ListBullet"/>
      </w:pPr>
      <w:r>
        <w:rPr>
          <w:b/>
        </w:rPr>
        <w:t>Biológicos:</w:t>
      </w:r>
      <w:r>
        <w:t xml:space="preserve"> corregir la descripción de mepolizumab (METREX/METREO/MATINEE) y de los datos de BOREAS en la Fig. 3.11.</w:t>
      </w:r>
    </w:p>
    <w:p>
      <w:pPr>
        <w:pStyle w:val="ListBullet"/>
      </w:pPr>
      <w:r>
        <w:rPr>
          <w:b/>
        </w:rPr>
        <w:t>Ensifentrina:</w:t>
      </w:r>
      <w:r>
        <w:t xml:space="preserve"> etiquetarla tras LABA+LAMA como extrapolación (evidencia D).</w:t>
      </w:r>
    </w:p>
    <w:p>
      <w:pPr>
        <w:pStyle w:val="ListBullet"/>
      </w:pPr>
      <w:r>
        <w:rPr>
          <w:b/>
        </w:rPr>
        <w:t>Grupo E con una sola exacerbación moderada:</w:t>
      </w:r>
      <w:r>
        <w:t xml:space="preserve"> etiquetarlo como consenso y armonizar los umbrales entre las Figs. 2.13, 3.8 y 3.9 y el Apéndice 3.</w:t>
      </w:r>
    </w:p>
    <w:p>
      <w:pPr>
        <w:pStyle w:val="ListBullet"/>
      </w:pPr>
      <w:r>
        <w:rPr>
          <w:b/>
        </w:rPr>
        <w:t>Espirometría:</w:t>
      </w:r>
      <w:r>
        <w:t xml:space="preserve"> actualizar las Figs. 2.4 y 2.6 a ATS/ERS 2019 y ERS/ATS 2022, e incorporar PRISm y pre-EPOC al algoritmo diagnóstico.</w:t>
      </w:r>
    </w:p>
    <w:p>
      <w:pPr>
        <w:pStyle w:val="ListBullet"/>
      </w:pPr>
      <w:r>
        <w:rPr>
          <w:b/>
        </w:rPr>
        <w:t>Tabaquismo:</w:t>
      </w:r>
      <w:r>
        <w:t xml:space="preserve"> rehacer la Fig. 3.5, alinear el mensaje sobre el cigarrillo electrónico con Cochrane e incluir la citisina.</w:t>
      </w:r>
    </w:p>
    <w:p>
      <w:pPr>
        <w:pStyle w:val="ListBullet"/>
      </w:pPr>
      <w:r>
        <w:rPr>
          <w:b/>
        </w:rPr>
        <w:t>Vacunación:</w:t>
      </w:r>
      <w:r>
        <w:t xml:space="preserve"> alinear la Fig. 3.6 (VRS) con ACIP/ECDC y ofrecer alternativas fuera de EE. UU.</w:t>
      </w:r>
    </w:p>
    <w:p>
      <w:pPr>
        <w:pStyle w:val="ListBullet"/>
      </w:pPr>
      <w:r>
        <w:rPr>
          <w:b/>
        </w:rPr>
        <w:t>Comorbilidades:</w:t>
      </w:r>
      <w:r>
        <w:t xml:space="preserve"> actualizarlas según ESC 2024 (HTA, FA, IC), ERS/ESC (hipertensión pulmonar) y KDIGO 2024, e incluir PERFECT y BICS.</w:t>
      </w:r>
    </w:p>
    <w:p>
      <w:pPr>
        <w:pStyle w:val="ListBullet"/>
      </w:pPr>
      <w:r>
        <w:rPr>
          <w:b/>
        </w:rPr>
        <w:t>Paliativos:</w:t>
      </w:r>
      <w:r>
        <w:t xml:space="preserve"> incluir los ECA negativos de opioides, la guía ERS 2024 y BETTER-B.</w:t>
      </w:r>
    </w:p>
    <w:p>
      <w:pPr>
        <w:pStyle w:val="Heading3"/>
      </w:pPr>
      <w:r>
        <w:t>5.3 Estructurales</w:t>
      </w:r>
    </w:p>
    <w:p>
      <w:pPr>
        <w:pStyle w:val="ListNumber"/>
        <w:numPr>
          <w:ilvl w:val="0"/>
          <w:numId w:val="13"/>
        </w:numPr>
      </w:pPr>
      <w:r>
        <w:t>Adoptar GRADE o marcos de evidencia a decisión y separar la certeza de la fuerza de la recomendación.</w:t>
      </w:r>
    </w:p>
    <w:p>
      <w:pPr>
        <w:pStyle w:val="ListNumber"/>
        <w:numPr>
          <w:ilvl w:val="0"/>
          <w:numId w:val="13"/>
        </w:numPr>
      </w:pPr>
      <w:r>
        <w:t>Publicar una política de conflictos de interés con recusación por recomendación y la financiación en el propio documento.</w:t>
      </w:r>
    </w:p>
    <w:p>
      <w:pPr>
        <w:pStyle w:val="ListNumber"/>
        <w:numPr>
          <w:ilvl w:val="0"/>
          <w:numId w:val="13"/>
        </w:numPr>
      </w:pPr>
      <w:r>
        <w:t>Incorporar pacientes, atención primaria, metodólogos y revisión externa con consulta pública.</w:t>
      </w:r>
    </w:p>
    <w:p>
      <w:pPr>
        <w:pStyle w:val="ListNumber"/>
        <w:numPr>
          <w:ilvl w:val="0"/>
          <w:numId w:val="13"/>
        </w:numPr>
      </w:pPr>
      <w:r>
        <w:t>Mantener una sola fuente de verdad para texto y figuras. Las figuras deben ser accesibles (texto, no imagen) e incluir siempre el nivel de evidencia y la referencia.</w:t>
      </w:r>
    </w:p>
    <w:p>
      <w:pPr>
        <w:pStyle w:val="ListNumber"/>
        <w:numPr>
          <w:ilvl w:val="0"/>
          <w:numId w:val="13"/>
        </w:numPr>
      </w:pPr>
      <w:r>
        <w:t>Hacer una auditoría automatizada de citas y retractaciones en cada versión.</w:t>
      </w:r>
    </w:p>
    <w:p>
      <w:pPr>
        <w:pStyle w:val="ListNumber"/>
        <w:numPr>
          <w:ilvl w:val="0"/>
          <w:numId w:val="13"/>
        </w:numPr>
      </w:pPr>
      <w:r>
        <w:t>Añadir una versión adaptada a recursos (esencial, ampliado y óptimo) para los LMIC y la atención primaria.</w:t>
      </w:r>
    </w:p>
    <w:p>
      <w:pPr>
        <w:pStyle w:val="ListNumber"/>
        <w:numPr>
          <w:ilvl w:val="0"/>
          <w:numId w:val="13"/>
        </w:numPr>
      </w:pPr>
      <w:r>
        <w:t>Para la IA, exigir los marcos TRIPOD+AI, CONSORT-AI y DECIDE-AI y distinguir el estado regulatorio de cada herramienta.</w:t>
      </w:r>
    </w:p>
    <w:p>
      <w:pPr>
        <w:jc w:val="center"/>
      </w:pPr>
      <w:r>
        <w:t>────────────────────────────────────────────────────────────</w:t>
      </w:r>
    </w:p>
    <w:p>
      <w:pPr>
        <w:pStyle w:val="Heading2"/>
      </w:pPr>
      <w:r>
        <w:t>6. Fortalezas reconocidas</w:t>
      </w:r>
    </w:p>
    <w:p>
      <w:r>
        <w:t>Para equilibrar la revisión, los paneles coinciden en estos aciertos:</w:t>
      </w:r>
    </w:p>
    <w:p>
      <w:pPr>
        <w:pStyle w:val="ListBullet"/>
      </w:pPr>
      <w:r>
        <w:t>la guía es amplia y está actualizada en muchos ámbitos;</w:t>
      </w:r>
    </w:p>
    <w:p>
      <w:pPr>
        <w:pStyle w:val="ListBullet"/>
      </w:pPr>
      <w:r>
        <w:t>incorpora la propuesta de Roma (aunque la adapta mal), los conceptos de pre-EPOC y PRISm, las etiotipologías y un capítulo nuevo de multimorbilidad con enfoque geriátrico;</w:t>
      </w:r>
    </w:p>
    <w:p>
      <w:pPr>
        <w:pStyle w:val="ListBullet"/>
      </w:pPr>
      <w:r>
        <w:t>incluye por primera vez un capítulo de IA;</w:t>
      </w:r>
    </w:p>
    <w:p>
      <w:pPr>
        <w:pStyle w:val="ListBullet"/>
      </w:pPr>
      <w:r>
        <w:t>recomienda el cribado universal del déficit de alfa-1 antitripsina;</w:t>
      </w:r>
    </w:p>
    <w:p>
      <w:pPr>
        <w:pStyle w:val="ListBullet"/>
      </w:pPr>
      <w:r>
        <w:t>reconoce el sesgo de la pulsioximetría;</w:t>
      </w:r>
    </w:p>
    <w:p>
      <w:pPr>
        <w:pStyle w:val="ListBullet"/>
      </w:pPr>
      <w:r>
        <w:t>incorpora GLI-Global y presta atención a la huella de carbono de los inhaladores.</w:t>
      </w:r>
    </w:p>
    <w:p>
      <w:r>
        <w:t xml:space="preserve">Muchos de los problemas detectados son </w:t>
      </w:r>
      <w:r>
        <w:rPr>
          <w:b/>
        </w:rPr>
        <w:t>corregibles con cambios editoriales</w:t>
      </w:r>
      <w:r>
        <w:t xml:space="preserve"> y no exigen replantear la estrategia.</w:t>
      </w:r>
    </w:p>
    <w:p>
      <w:pPr>
        <w:jc w:val="center"/>
      </w:pPr>
      <w:r>
        <w:t>────────────────────────────────────────────────────────────</w:t>
      </w:r>
    </w:p>
    <w:p>
      <w:pPr>
        <w:pStyle w:val="Heading2"/>
      </w:pPr>
      <w:r>
        <w:t>7. Metodología</w:t>
      </w:r>
    </w:p>
    <w:p>
      <w:pPr>
        <w:pStyle w:val="Heading3"/>
      </w:pPr>
      <w:r>
        <w:t>7.1 Preparación del documento</w:t>
      </w:r>
    </w:p>
    <w:p>
      <w:pPr>
        <w:pStyle w:val="ListBullet"/>
      </w:pPr>
      <w:r>
        <w:t xml:space="preserve">El PDF se convirtió a texto con PyMuPDF (≈962.000 caracteres) y se dividió en 12 secciones temáticas. Las páginas 1-174 se renderizaron como imagen (110 ppp), de modo que los revisores pudieron leer las </w:t>
      </w:r>
      <w:r>
        <w:rPr>
          <w:b/>
        </w:rPr>
        <w:t>figuras</w:t>
      </w:r>
      <w:r>
        <w:t>. Muchas recomendaciones y casi todos los niveles de evidencia de GOLD están solo dentro de figuras-imagen.</w:t>
      </w:r>
    </w:p>
    <w:p>
      <w:pPr>
        <w:pStyle w:val="ListBullet"/>
      </w:pPr>
      <w:r>
        <w:t>Cada hallazgo debía incluir una cita literal breve, la ubicación (PDF/impresa), el problema, la evidencia que lo sustenta, una recomendación y un grado de confianza (1-5).</w:t>
      </w:r>
    </w:p>
    <w:p>
      <w:pPr>
        <w:pStyle w:val="Heading3"/>
      </w:pPr>
      <w:r>
        <w:t>7.2 Paneles del enjambre</w:t>
      </w:r>
    </w:p>
    <w:tbl>
      <w:tblPr>
        <w:tblStyle w:val="TableGrid"/>
        <w:tblW w:type="auto" w:w="0"/>
        <w:tblLayout w:type="fixed"/>
        <w:tblLook w:firstColumn="1" w:firstRow="1" w:lastColumn="0" w:lastRow="0" w:noHBand="0" w:noVBand="1" w:val="04A0"/>
      </w:tblPr>
      <w:tblGrid>
        <w:gridCol w:w="1134"/>
        <w:gridCol w:w="3614"/>
        <w:gridCol w:w="4890"/>
      </w:tblGrid>
      <w:tr>
        <w:trPr>
          <w:tblHeader w:val="true"/>
        </w:trPr>
        <w:tc>
          <w:tcPr>
            <w:tcW w:type="dxa" w:w="1134"/>
            <w:shd w:val="clear" w:color="auto" w:fill="D9E2F3"/>
          </w:tcPr>
          <w:p>
            <w:r/>
            <w:r>
              <w:rPr>
                <w:b/>
                <w:sz w:val="18"/>
              </w:rPr>
              <w:t>Panel (prefijo)</w:t>
            </w:r>
          </w:p>
        </w:tc>
        <w:tc>
          <w:tcPr>
            <w:tcW w:type="dxa" w:w="3614"/>
            <w:shd w:val="clear" w:color="auto" w:fill="D9E2F3"/>
          </w:tcPr>
          <w:p>
            <w:r/>
            <w:r>
              <w:rPr>
                <w:b/>
                <w:sz w:val="18"/>
              </w:rPr>
              <w:t>Perfil simulado</w:t>
            </w:r>
          </w:p>
        </w:tc>
        <w:tc>
          <w:tcPr>
            <w:tcW w:type="dxa" w:w="4890"/>
            <w:shd w:val="clear" w:color="auto" w:fill="D9E2F3"/>
          </w:tcPr>
          <w:p>
            <w:r/>
            <w:r>
              <w:rPr>
                <w:b/>
                <w:sz w:val="18"/>
              </w:rPr>
              <w:t>Ámbito principal</w:t>
            </w:r>
          </w:p>
        </w:tc>
      </w:tr>
      <w:tr>
        <w:tc>
          <w:tcPr>
            <w:tcW w:type="dxa" w:w="1134"/>
          </w:tcPr>
          <w:p>
            <w:r/>
            <w:r>
              <w:rPr>
                <w:sz w:val="18"/>
              </w:rPr>
              <w:t>EPI</w:t>
            </w:r>
          </w:p>
        </w:tc>
        <w:tc>
          <w:tcPr>
            <w:tcW w:type="dxa" w:w="3614"/>
          </w:tcPr>
          <w:p>
            <w:r/>
            <w:r>
              <w:rPr>
                <w:sz w:val="18"/>
              </w:rPr>
              <w:t>Epidemiólogo respiratorio / salud pública</w:t>
            </w:r>
          </w:p>
        </w:tc>
        <w:tc>
          <w:tcPr>
            <w:tcW w:type="dxa" w:w="4890"/>
          </w:tcPr>
          <w:p>
            <w:r/>
            <w:r>
              <w:rPr>
                <w:sz w:val="18"/>
              </w:rPr>
              <w:t>Cap. 1: definición, carga, factores de riesgo, patogenia, taxonomía</w:t>
            </w:r>
          </w:p>
        </w:tc>
      </w:tr>
      <w:tr>
        <w:tc>
          <w:tcPr>
            <w:tcW w:type="dxa" w:w="1134"/>
          </w:tcPr>
          <w:p>
            <w:r/>
            <w:r>
              <w:rPr>
                <w:sz w:val="18"/>
              </w:rPr>
              <w:t>DX</w:t>
            </w:r>
          </w:p>
        </w:tc>
        <w:tc>
          <w:tcPr>
            <w:tcW w:type="dxa" w:w="3614"/>
          </w:tcPr>
          <w:p>
            <w:r/>
            <w:r>
              <w:rPr>
                <w:sz w:val="18"/>
              </w:rPr>
              <w:t>Fisiólogo respiratorio / neumólogo diagnóstico</w:t>
            </w:r>
          </w:p>
        </w:tc>
        <w:tc>
          <w:tcPr>
            <w:tcW w:type="dxa" w:w="4890"/>
          </w:tcPr>
          <w:p>
            <w:r/>
            <w:r>
              <w:rPr>
                <w:sz w:val="18"/>
              </w:rPr>
              <w:t>Cap. 2: espirometría, búsqueda de casos, evaluación ABE, imagen, AATD</w:t>
            </w:r>
          </w:p>
        </w:tc>
      </w:tr>
      <w:tr>
        <w:tc>
          <w:tcPr>
            <w:tcW w:type="dxa" w:w="1134"/>
          </w:tcPr>
          <w:p>
            <w:r/>
            <w:r>
              <w:rPr>
                <w:sz w:val="18"/>
              </w:rPr>
              <w:t>FARM</w:t>
            </w:r>
          </w:p>
        </w:tc>
        <w:tc>
          <w:tcPr>
            <w:tcW w:type="dxa" w:w="3614"/>
          </w:tcPr>
          <w:p>
            <w:r/>
            <w:r>
              <w:rPr>
                <w:sz w:val="18"/>
              </w:rPr>
              <w:t>Farmacólogo clínico</w:t>
            </w:r>
          </w:p>
        </w:tc>
        <w:tc>
          <w:tcPr>
            <w:tcW w:type="dxa" w:w="4890"/>
          </w:tcPr>
          <w:p>
            <w:r/>
            <w:r>
              <w:rPr>
                <w:sz w:val="18"/>
              </w:rPr>
              <w:t>Cap. 3 (farmacológico): tabaquismo, vacunas, broncodilatadores, ICS, algoritmos</w:t>
            </w:r>
          </w:p>
        </w:tc>
      </w:tr>
      <w:tr>
        <w:tc>
          <w:tcPr>
            <w:tcW w:type="dxa" w:w="1134"/>
          </w:tcPr>
          <w:p>
            <w:r/>
            <w:r>
              <w:rPr>
                <w:sz w:val="18"/>
              </w:rPr>
              <w:t>NOV</w:t>
            </w:r>
          </w:p>
        </w:tc>
        <w:tc>
          <w:tcPr>
            <w:tcW w:type="dxa" w:w="3614"/>
          </w:tcPr>
          <w:p>
            <w:r/>
            <w:r>
              <w:rPr>
                <w:sz w:val="18"/>
              </w:rPr>
              <w:t>Experto en nuevas terapias / ensayos clínicos</w:t>
            </w:r>
          </w:p>
        </w:tc>
        <w:tc>
          <w:tcPr>
            <w:tcW w:type="dxa" w:w="4890"/>
          </w:tcPr>
          <w:p>
            <w:r/>
            <w:r>
              <w:rPr>
                <w:sz w:val="18"/>
              </w:rPr>
              <w:t>Biológicos, ensifentrina, terapia triple, mortalidad, Apéndice 3</w:t>
            </w:r>
          </w:p>
        </w:tc>
      </w:tr>
      <w:tr>
        <w:tc>
          <w:tcPr>
            <w:tcW w:type="dxa" w:w="1134"/>
          </w:tcPr>
          <w:p>
            <w:r/>
            <w:r>
              <w:rPr>
                <w:sz w:val="18"/>
              </w:rPr>
              <w:t>REH</w:t>
            </w:r>
          </w:p>
        </w:tc>
        <w:tc>
          <w:tcPr>
            <w:tcW w:type="dxa" w:w="3614"/>
          </w:tcPr>
          <w:p>
            <w:r/>
            <w:r>
              <w:rPr>
                <w:sz w:val="18"/>
              </w:rPr>
              <w:t>Rehabilitación respiratoria, oxigenoterapia y VMNI</w:t>
            </w:r>
          </w:p>
        </w:tc>
        <w:tc>
          <w:tcPr>
            <w:tcW w:type="dxa" w:w="4890"/>
          </w:tcPr>
          <w:p>
            <w:r/>
            <w:r>
              <w:rPr>
                <w:sz w:val="18"/>
              </w:rPr>
              <w:t>Cap. 3 (no farmacológico) y Apéndice 4</w:t>
            </w:r>
          </w:p>
        </w:tc>
      </w:tr>
      <w:tr>
        <w:tc>
          <w:tcPr>
            <w:tcW w:type="dxa" w:w="1134"/>
          </w:tcPr>
          <w:p>
            <w:r/>
            <w:r>
              <w:rPr>
                <w:sz w:val="18"/>
              </w:rPr>
              <w:t>INT</w:t>
            </w:r>
          </w:p>
        </w:tc>
        <w:tc>
          <w:tcPr>
            <w:tcW w:type="dxa" w:w="3614"/>
          </w:tcPr>
          <w:p>
            <w:r/>
            <w:r>
              <w:rPr>
                <w:sz w:val="18"/>
              </w:rPr>
              <w:t>Neumología intervencionista, cirugía torácica y cuidados paliativos</w:t>
            </w:r>
          </w:p>
        </w:tc>
        <w:tc>
          <w:tcPr>
            <w:tcW w:type="dxa" w:w="4890"/>
          </w:tcPr>
          <w:p>
            <w:r/>
            <w:r>
              <w:rPr>
                <w:sz w:val="18"/>
              </w:rPr>
              <w:t>Reducción de volumen, trasplante, paliativos</w:t>
            </w:r>
          </w:p>
        </w:tc>
      </w:tr>
      <w:tr>
        <w:tc>
          <w:tcPr>
            <w:tcW w:type="dxa" w:w="1134"/>
          </w:tcPr>
          <w:p>
            <w:r/>
            <w:r>
              <w:rPr>
                <w:sz w:val="18"/>
              </w:rPr>
              <w:t>EXA</w:t>
            </w:r>
          </w:p>
        </w:tc>
        <w:tc>
          <w:tcPr>
            <w:tcW w:type="dxa" w:w="3614"/>
          </w:tcPr>
          <w:p>
            <w:r/>
            <w:r>
              <w:rPr>
                <w:sz w:val="18"/>
              </w:rPr>
              <w:t>Urgencias, UCI e infecciosas</w:t>
            </w:r>
          </w:p>
        </w:tc>
        <w:tc>
          <w:tcPr>
            <w:tcW w:type="dxa" w:w="4890"/>
          </w:tcPr>
          <w:p>
            <w:r/>
            <w:r>
              <w:rPr>
                <w:sz w:val="18"/>
              </w:rPr>
              <w:t>Cap. 4: exacerbaciones</w:t>
            </w:r>
          </w:p>
        </w:tc>
      </w:tr>
      <w:tr>
        <w:tc>
          <w:tcPr>
            <w:tcW w:type="dxa" w:w="1134"/>
          </w:tcPr>
          <w:p>
            <w:r/>
            <w:r>
              <w:rPr>
                <w:sz w:val="18"/>
              </w:rPr>
              <w:t>MUL</w:t>
            </w:r>
          </w:p>
        </w:tc>
        <w:tc>
          <w:tcPr>
            <w:tcW w:type="dxa" w:w="3614"/>
          </w:tcPr>
          <w:p>
            <w:r/>
            <w:r>
              <w:rPr>
                <w:sz w:val="18"/>
              </w:rPr>
              <w:t>Medicina interna, cardiología y geriatría</w:t>
            </w:r>
          </w:p>
        </w:tc>
        <w:tc>
          <w:tcPr>
            <w:tcW w:type="dxa" w:w="4890"/>
          </w:tcPr>
          <w:p>
            <w:r/>
            <w:r>
              <w:rPr>
                <w:sz w:val="18"/>
              </w:rPr>
              <w:t>Cap. 5: multimorbilidad</w:t>
            </w:r>
          </w:p>
        </w:tc>
      </w:tr>
      <w:tr>
        <w:tc>
          <w:tcPr>
            <w:tcW w:type="dxa" w:w="1134"/>
          </w:tcPr>
          <w:p>
            <w:r/>
            <w:r>
              <w:rPr>
                <w:sz w:val="18"/>
              </w:rPr>
              <w:t>IA</w:t>
            </w:r>
          </w:p>
        </w:tc>
        <w:tc>
          <w:tcPr>
            <w:tcW w:type="dxa" w:w="3614"/>
          </w:tcPr>
          <w:p>
            <w:r/>
            <w:r>
              <w:rPr>
                <w:sz w:val="18"/>
              </w:rPr>
              <w:t>Salud digital, IA clínica y regulación</w:t>
            </w:r>
          </w:p>
        </w:tc>
        <w:tc>
          <w:tcPr>
            <w:tcW w:type="dxa" w:w="4890"/>
          </w:tcPr>
          <w:p>
            <w:r/>
            <w:r>
              <w:rPr>
                <w:sz w:val="18"/>
              </w:rPr>
              <w:t>Cap. 6: IA y telesalud</w:t>
            </w:r>
          </w:p>
        </w:tc>
      </w:tr>
      <w:tr>
        <w:tc>
          <w:tcPr>
            <w:tcW w:type="dxa" w:w="1134"/>
          </w:tcPr>
          <w:p>
            <w:r/>
            <w:r>
              <w:rPr>
                <w:sz w:val="18"/>
              </w:rPr>
              <w:t>MET</w:t>
            </w:r>
          </w:p>
        </w:tc>
        <w:tc>
          <w:tcPr>
            <w:tcW w:type="dxa" w:w="3614"/>
          </w:tcPr>
          <w:p>
            <w:r/>
            <w:r>
              <w:rPr>
                <w:sz w:val="18"/>
              </w:rPr>
              <w:t>Metodólogo de guías e integridad bibliográfica</w:t>
            </w:r>
          </w:p>
        </w:tc>
        <w:tc>
          <w:tcPr>
            <w:tcW w:type="dxa" w:w="4890"/>
          </w:tcPr>
          <w:p>
            <w:r/>
            <w:r>
              <w:rPr>
                <w:sz w:val="18"/>
              </w:rPr>
              <w:t>Niveles de evidencia, búsqueda, conflictos de interés, referencias</w:t>
            </w:r>
          </w:p>
        </w:tc>
      </w:tr>
      <w:tr>
        <w:tc>
          <w:tcPr>
            <w:tcW w:type="dxa" w:w="1134"/>
          </w:tcPr>
          <w:p>
            <w:r/>
            <w:r>
              <w:rPr>
                <w:sz w:val="18"/>
              </w:rPr>
              <w:t>COH</w:t>
            </w:r>
          </w:p>
        </w:tc>
        <w:tc>
          <w:tcPr>
            <w:tcW w:type="dxa" w:w="3614"/>
          </w:tcPr>
          <w:p>
            <w:r/>
            <w:r>
              <w:rPr>
                <w:sz w:val="18"/>
              </w:rPr>
              <w:t>Editor científico de coherencia interna</w:t>
            </w:r>
          </w:p>
        </w:tc>
        <w:tc>
          <w:tcPr>
            <w:tcW w:type="dxa" w:w="4890"/>
          </w:tcPr>
          <w:p>
            <w:r/>
            <w:r>
              <w:rPr>
                <w:sz w:val="18"/>
              </w:rPr>
              <w:t>Contradicciones entre capítulos, figuras y textos; remisiones cruzadas</w:t>
            </w:r>
          </w:p>
        </w:tc>
      </w:tr>
      <w:tr>
        <w:tc>
          <w:tcPr>
            <w:tcW w:type="dxa" w:w="1134"/>
          </w:tcPr>
          <w:p>
            <w:r/>
            <w:r>
              <w:rPr>
                <w:sz w:val="18"/>
              </w:rPr>
              <w:t>EQ</w:t>
            </w:r>
          </w:p>
        </w:tc>
        <w:tc>
          <w:tcPr>
            <w:tcW w:type="dxa" w:w="3614"/>
          </w:tcPr>
          <w:p>
            <w:r/>
            <w:r>
              <w:rPr>
                <w:sz w:val="18"/>
              </w:rPr>
              <w:t>Equidad, atención primaria y salud global</w:t>
            </w:r>
          </w:p>
        </w:tc>
        <w:tc>
          <w:tcPr>
            <w:tcW w:type="dxa" w:w="4890"/>
          </w:tcPr>
          <w:p>
            <w:r/>
            <w:r>
              <w:rPr>
                <w:sz w:val="18"/>
              </w:rPr>
              <w:t>Aplicabilidad en países de ingresos bajos y medios (LMIC) y en atención primaria (AP); sexo/género; sostenibilidad</w:t>
            </w:r>
          </w:p>
        </w:tc>
      </w:tr>
    </w:tbl>
    <w:p/>
    <w:p>
      <w:pPr>
        <w:pStyle w:val="Heading3"/>
      </w:pPr>
      <w:r>
        <w:t>7.3 Escala de severidad</w:t>
      </w:r>
    </w:p>
    <w:p>
      <w:pPr>
        <w:pStyle w:val="ListBullet"/>
      </w:pPr>
      <w:r>
        <w:rPr>
          <w:b/>
          <w:color w:val="C00000"/>
        </w:rPr>
        <w:t>🔴</w:t>
      </w:r>
      <w:r>
        <w:rPr>
          <w:b/>
        </w:rPr>
        <w:t xml:space="preserve"> CRÍTICA:</w:t>
      </w:r>
      <w:r>
        <w:t xml:space="preserve"> puede causar daño al paciente o una decisión clínica errónea.</w:t>
      </w:r>
    </w:p>
    <w:p>
      <w:pPr>
        <w:pStyle w:val="ListBullet"/>
      </w:pPr>
      <w:r>
        <w:rPr>
          <w:b/>
          <w:color w:val="ED7D31"/>
        </w:rPr>
        <w:t>🟠</w:t>
      </w:r>
      <w:r>
        <w:rPr>
          <w:b/>
        </w:rPr>
        <w:t xml:space="preserve"> ALTA:</w:t>
      </w:r>
      <w:r>
        <w:t xml:space="preserve"> incongruencia o error científico o clínico sustantivo.</w:t>
      </w:r>
    </w:p>
    <w:p>
      <w:pPr>
        <w:pStyle w:val="ListBullet"/>
      </w:pPr>
      <w:r>
        <w:rPr>
          <w:b/>
          <w:color w:val="FFC000"/>
        </w:rPr>
        <w:t>🟡</w:t>
      </w:r>
      <w:r>
        <w:rPr>
          <w:b/>
        </w:rPr>
        <w:t xml:space="preserve"> MEDIA:</w:t>
      </w:r>
      <w:r>
        <w:t xml:space="preserve"> ambigüedad, desactualización, evidencia débil u omisión relevante.</w:t>
      </w:r>
    </w:p>
    <w:p>
      <w:pPr>
        <w:pStyle w:val="ListBullet"/>
      </w:pPr>
      <w:r>
        <w:rPr>
          <w:b/>
          <w:color w:val="A6A6A6"/>
        </w:rPr>
        <w:t>⚪</w:t>
      </w:r>
      <w:r>
        <w:rPr>
          <w:b/>
        </w:rPr>
        <w:t xml:space="preserve"> BAJA:</w:t>
      </w:r>
      <w:r>
        <w:t xml:space="preserve"> problema editorial, de formato o errata.</w:t>
      </w:r>
    </w:p>
    <w:p>
      <w:pPr>
        <w:pStyle w:val="Heading3"/>
      </w:pPr>
      <w:r>
        <w:t>7.4 Control de calidad</w:t>
      </w:r>
    </w:p>
    <w:p>
      <w:pPr>
        <w:pStyle w:val="ListNumber"/>
        <w:numPr>
          <w:ilvl w:val="0"/>
          <w:numId w:val="14"/>
        </w:numPr>
      </w:pPr>
      <w:r>
        <w:rPr>
          <w:b/>
        </w:rPr>
        <w:t>Comprobación automática de citas.</w:t>
      </w:r>
      <w:r>
        <w:t xml:space="preserve"> Se verificó que el texto citado en cada hallazgo aparece literalmente en el texto extraído de la guía:</w:t>
      </w:r>
    </w:p>
    <w:p>
      <w:pPr>
        <w:pStyle w:val="ListBullet2"/>
      </w:pPr>
      <w:r>
        <w:t>201 de 279 (72 %) coincidieron literalmente.</w:t>
      </w:r>
    </w:p>
    <w:p>
      <w:pPr>
        <w:pStyle w:val="ListBullet2"/>
      </w:pPr>
      <w:r>
        <w:t>En el resto, la discrepancia se debe casi siempre a que el texto está dentro de una figura-imagen o a que la cita es una paráfrasis.</w:t>
      </w:r>
    </w:p>
    <w:p>
      <w:pPr>
        <w:pStyle w:val="ListNumber"/>
        <w:numPr>
          <w:ilvl w:val="0"/>
          <w:numId w:val="14"/>
        </w:numPr>
      </w:pPr>
      <w:r>
        <w:rPr>
          <w:b/>
        </w:rPr>
        <w:t>Segunda verificación independiente</w:t>
      </w:r>
      <w:r>
        <w:t xml:space="preserve"> de los hallazgos prioritarios, a cargo de tres verificadores distintos de los autores:</w:t>
      </w:r>
    </w:p>
    <w:p>
      <w:pPr>
        <w:pStyle w:val="ListBullet2"/>
      </w:pPr>
      <w:r>
        <w:t>uno revisó las figuras sobre la imagen de la página;</w:t>
      </w:r>
    </w:p>
    <w:p>
      <w:pPr>
        <w:pStyle w:val="ListBullet2"/>
      </w:pPr>
      <w:r>
        <w:t>dos contrastaron los hallazgos con fuentes primarias externas: ensayos originales, PubMed/Europe PMC, FDA, ACIP, USPSTF, ESC, ISHLT y avisos de retractación.</w:t>
      </w:r>
    </w:p>
    <w:p>
      <w:r>
        <w:t>Los veredictos y las correcciones figuran en la sección 1 y en el Anexo A.</w:t>
      </w:r>
    </w:p>
    <w:p>
      <w:r>
        <w:rPr>
          <w:b/>
        </w:rPr>
        <w:t>Resultado:</w:t>
      </w:r>
      <w:r>
        <w:t xml:space="preserve"> se verificaron 74 hallazgos, de los que </w:t>
      </w:r>
      <w:r>
        <w:rPr>
          <w:b/>
        </w:rPr>
        <w:t>63 se confirmaron</w:t>
      </w:r>
      <w:r>
        <w:t xml:space="preserve">, </w:t>
      </w:r>
      <w:r>
        <w:rPr>
          <w:b/>
        </w:rPr>
        <w:t>11 solo en parte</w:t>
      </w:r>
      <w:r>
        <w:t xml:space="preserve"> y </w:t>
      </w:r>
      <w:r>
        <w:rPr>
          <w:b/>
        </w:rPr>
        <w:t>ninguno fue refutado</w:t>
      </w:r>
      <w:r>
        <w:t>. En 11 casos se ajustó la severidad a la baja: 3 de CRÍTICA a ALTA y 8 de ALTA a MEDIA. La regla fue:</w:t>
      </w:r>
    </w:p>
    <w:p>
      <w:pPr>
        <w:pStyle w:val="ListBullet2"/>
      </w:pPr>
      <w:r>
        <w:t>se adopta la severidad más conservadora propuesta por los verificadores;</w:t>
      </w:r>
    </w:p>
    <w:p>
      <w:pPr>
        <w:pStyle w:val="ListBullet2"/>
      </w:pPr>
      <w:r>
        <w:t>nunca se escala automáticamente;</w:t>
      </w:r>
    </w:p>
    <w:p>
      <w:pPr>
        <w:pStyle w:val="ListBullet2"/>
      </w:pPr>
      <w:r>
        <w:t>hay una única excepción motivada por el coordinador, MUL-02, que se mantiene en CRÍTICA.</w:t>
      </w:r>
    </w:p>
    <w:p>
      <w:r>
        <w:t>Los hallazgos no verificados conservan la severidad asignada por su panel.</w:t>
      </w:r>
    </w:p>
    <w:p>
      <w:pPr>
        <w:pStyle w:val="ListNumber"/>
        <w:numPr>
          <w:ilvl w:val="0"/>
          <w:numId w:val="14"/>
        </w:numPr>
      </w:pPr>
      <w:r>
        <w:rPr>
          <w:b/>
        </w:rPr>
        <w:t>Consolidación.</w:t>
      </w:r>
      <w:r>
        <w:t xml:space="preserve"> Los 279 hallazgos se agruparon en 30 temas. Los hallazgos convergentes de varios paneles se fusionaron en los hallazgos prioritarios (sección 1). Las fichas originales se conservan íntegras en el Anexo B para trazabilidad.</w:t>
      </w:r>
    </w:p>
    <w:p>
      <w:pPr>
        <w:jc w:val="center"/>
      </w:pPr>
      <w:r>
        <w:t>────────────────────────────────────────────────────────────</w:t>
      </w:r>
    </w:p>
    <w:p>
      <w:pPr>
        <w:pStyle w:val="Heading2"/>
      </w:pPr>
      <w:r>
        <w:t>8. Limitaciones de esta revisión</w:t>
      </w:r>
    </w:p>
    <w:p>
      <w:pPr>
        <w:pStyle w:val="ListBullet"/>
      </w:pPr>
      <w:r>
        <w:rPr>
          <w:b/>
        </w:rPr>
        <w:t>Revisores.</w:t>
      </w:r>
      <w:r>
        <w:t xml:space="preserve"> La revisión la hicieron agentes de IA con perfiles de experto simulados. No sustituye la revisión por pares humana: cada hallazgo debe confirmarlo un especialista antes de actuar.</w:t>
      </w:r>
    </w:p>
    <w:p>
      <w:pPr>
        <w:pStyle w:val="ListBullet"/>
      </w:pPr>
      <w:r>
        <w:rPr>
          <w:b/>
        </w:rPr>
        <w:t>Figuras.</w:t>
      </w:r>
      <w:r>
        <w:t xml:space="preserve"> Las figuras se revisaron sobre imágenes a 110 ppp. En algunas figuras densas pueden haberse escapado detalles; además, varios hallazgos sobre figuras tienen confianza 3-4.</w:t>
      </w:r>
    </w:p>
    <w:p>
      <w:pPr>
        <w:pStyle w:val="ListBullet"/>
      </w:pPr>
      <w:r>
        <w:rPr>
          <w:b/>
        </w:rPr>
        <w:t>Fuentes externas.</w:t>
      </w:r>
      <w:r>
        <w:t xml:space="preserve"> La verificación externa se hizo sobre una selección de hallazgos prioritarios, no sobre los 279. Algunos datos (RESOLUTE, AERIFY, ARNASA) proceden de notas de prensa de los promotores y no de publicaciones revisadas. Hay estudios que no se pudieron identificar con certeza, como «MORDIP», interpretado como MORDYC.</w:t>
      </w:r>
    </w:p>
    <w:p>
      <w:pPr>
        <w:pStyle w:val="ListBullet"/>
      </w:pPr>
      <w:r>
        <w:rPr>
          <w:b/>
        </w:rPr>
        <w:t>Juicio clínico.</w:t>
      </w:r>
      <w:r>
        <w:t xml:space="preserve"> La severidad es un juicio clínico y metodológico. Algunos hallazgos MEDIA podrían considerarse ALTA, o al revés, según el contexto asistencial.</w:t>
      </w:r>
    </w:p>
    <w:p>
      <w:pPr>
        <w:pStyle w:val="ListBullet"/>
      </w:pPr>
      <w:r>
        <w:rPr>
          <w:b/>
        </w:rPr>
        <w:t>Alcance.</w:t>
      </w:r>
      <w:r>
        <w:t xml:space="preserve"> No se evaluaron los materiales complementarios de GOLD (guía de bolsillo, diapositivas, web) ni las declaraciones de conflictos publicadas fuera del documento, salvo lo indicado en la verificación.</w:t>
      </w:r>
    </w:p>
    <w:p>
      <w:pPr>
        <w:pStyle w:val="ListBullet"/>
      </w:pPr>
      <w:r>
        <w:rPr>
          <w:b/>
        </w:rPr>
        <w:t>Copyright.</w:t>
      </w:r>
      <w:r>
        <w:t xml:space="preserve"> El documento GOLD tiene derechos de autor, por lo que solo se reproducen citas literales breves con fines de crítica.</w:t>
      </w:r>
    </w:p>
    <w:p>
      <w:pPr>
        <w:pStyle w:val="Heading2"/>
      </w:pPr>
      <w:r>
        <w:t>Anexo A. Catálogo completo de hallazgos (279), de mayor a menor gravedad</w:t>
      </w:r>
    </w:p>
    <w:p>
      <w:r>
        <w:t xml:space="preserve">Agrupado por severidad final (críticos → altos → medios → bajos) y, dentro de cada nivel, por tema (los nombres de los temas están en la tabla 3.2). Columnas: </w:t>
      </w:r>
      <w:r>
        <w:rPr>
          <w:b/>
        </w:rPr>
        <w:t>Tema</w:t>
      </w:r>
      <w:r>
        <w:t xml:space="preserve"> código del tema · </w:t>
      </w:r>
      <w:r>
        <w:rPr>
          <w:b/>
        </w:rPr>
        <w:t>Conf.</w:t>
      </w:r>
      <w:r>
        <w:t xml:space="preserve"> confianza del agente (1-5; «—» si no la dio) · </w:t>
      </w:r>
      <w:r>
        <w:rPr>
          <w:b/>
        </w:rPr>
        <w:t>Cita</w:t>
      </w:r>
      <w:r>
        <w:t xml:space="preserve"> comprobación automática de que la cita aparece en el texto extraído (✔ literal; ≈ parcial; ✖ no hallada, normalmente porque el texto está dentro de una figura-imagen) · </w:t>
      </w:r>
      <w:r>
        <w:rPr>
          <w:b/>
        </w:rPr>
        <w:t>Verif.</w:t>
      </w:r>
      <w:r>
        <w:t xml:space="preserve"> resultado de la segunda verificación independiente, si se hizo (Confirmado / Parcial).</w:t>
      </w:r>
    </w:p>
    <w:p>
      <w:pPr>
        <w:pStyle w:val="Heading3"/>
      </w:pPr>
      <w:r>
        <w:rPr>
          <w:color w:val="C00000"/>
        </w:rPr>
        <w:t>🔴</w:t>
      </w:r>
      <w:r>
        <w:t xml:space="preserve"> Hallazgos críticos (2)</w:t>
      </w:r>
    </w:p>
    <w:tbl>
      <w:tblPr>
        <w:tblStyle w:val="TableGrid"/>
        <w:tblW w:type="auto" w:w="0"/>
        <w:tblLayout w:type="fixed"/>
        <w:tblLook w:firstColumn="1" w:firstRow="1" w:lastColumn="0" w:lastRow="0" w:noHBand="0" w:noVBand="1" w:val="04A0"/>
      </w:tblPr>
      <w:tblGrid>
        <w:gridCol w:w="867"/>
        <w:gridCol w:w="663"/>
        <w:gridCol w:w="1134"/>
        <w:gridCol w:w="4269"/>
        <w:gridCol w:w="765"/>
        <w:gridCol w:w="663"/>
        <w:gridCol w:w="1276"/>
      </w:tblGrid>
      <w:tr>
        <w:trPr>
          <w:tblHeader w:val="true"/>
        </w:trPr>
        <w:tc>
          <w:tcPr>
            <w:tcW w:type="dxa" w:w="867"/>
            <w:shd w:val="clear" w:color="auto" w:fill="D9E2F3"/>
          </w:tcPr>
          <w:p>
            <w:r/>
            <w:r>
              <w:rPr>
                <w:b/>
                <w:sz w:val="16"/>
              </w:rPr>
              <w:t>ID</w:t>
            </w:r>
          </w:p>
        </w:tc>
        <w:tc>
          <w:tcPr>
            <w:tcW w:type="dxa" w:w="663"/>
            <w:shd w:val="clear" w:color="auto" w:fill="D9E2F3"/>
          </w:tcPr>
          <w:p>
            <w:r/>
            <w:r>
              <w:rPr>
                <w:b/>
                <w:sz w:val="16"/>
              </w:rPr>
              <w:t>Tema</w:t>
            </w:r>
          </w:p>
        </w:tc>
        <w:tc>
          <w:tcPr>
            <w:tcW w:type="dxa" w:w="1134"/>
            <w:shd w:val="clear" w:color="auto" w:fill="D9E2F3"/>
          </w:tcPr>
          <w:p>
            <w:r/>
            <w:r>
              <w:rPr>
                <w:b/>
                <w:sz w:val="16"/>
              </w:rPr>
              <w:t>Págs. PDF</w:t>
            </w:r>
          </w:p>
        </w:tc>
        <w:tc>
          <w:tcPr>
            <w:tcW w:type="dxa" w:w="4269"/>
            <w:shd w:val="clear" w:color="auto" w:fill="D9E2F3"/>
          </w:tcPr>
          <w:p>
            <w:r/>
            <w:r>
              <w:rPr>
                <w:b/>
                <w:sz w:val="16"/>
              </w:rPr>
              <w:t>Hallazgo</w:t>
            </w:r>
          </w:p>
        </w:tc>
        <w:tc>
          <w:tcPr>
            <w:tcW w:type="dxa" w:w="765"/>
            <w:shd w:val="clear" w:color="auto" w:fill="D9E2F3"/>
          </w:tcPr>
          <w:p>
            <w:r/>
            <w:r>
              <w:rPr>
                <w:b/>
                <w:sz w:val="16"/>
              </w:rPr>
              <w:t>Conf.</w:t>
            </w:r>
          </w:p>
        </w:tc>
        <w:tc>
          <w:tcPr>
            <w:tcW w:type="dxa" w:w="663"/>
            <w:shd w:val="clear" w:color="auto" w:fill="D9E2F3"/>
          </w:tcPr>
          <w:p>
            <w:r/>
            <w:r>
              <w:rPr>
                <w:b/>
                <w:sz w:val="16"/>
              </w:rPr>
              <w:t>Cita</w:t>
            </w:r>
          </w:p>
        </w:tc>
        <w:tc>
          <w:tcPr>
            <w:tcW w:type="dxa" w:w="1276"/>
            <w:shd w:val="clear" w:color="auto" w:fill="D9E2F3"/>
          </w:tcPr>
          <w:p>
            <w:r/>
            <w:r>
              <w:rPr>
                <w:b/>
                <w:sz w:val="16"/>
              </w:rPr>
              <w:t>Verif.</w:t>
            </w:r>
          </w:p>
        </w:tc>
      </w:tr>
      <w:tr>
        <w:tc>
          <w:tcPr>
            <w:tcW w:type="dxa" w:w="867"/>
          </w:tcPr>
          <w:p>
            <w:r/>
            <w:r>
              <w:rPr>
                <w:sz w:val="16"/>
              </w:rPr>
              <w:t>EXA-01</w:t>
            </w:r>
          </w:p>
        </w:tc>
        <w:tc>
          <w:tcPr>
            <w:tcW w:type="dxa" w:w="663"/>
          </w:tcPr>
          <w:p>
            <w:r/>
            <w:r>
              <w:rPr>
                <w:sz w:val="16"/>
              </w:rPr>
              <w:t>T01</w:t>
            </w:r>
          </w:p>
        </w:tc>
        <w:tc>
          <w:tcPr>
            <w:tcW w:type="dxa" w:w="1134"/>
          </w:tcPr>
          <w:p>
            <w:r/>
            <w:r>
              <w:rPr>
                <w:sz w:val="16"/>
              </w:rPr>
              <w:t>112, 113, 116</w:t>
            </w:r>
          </w:p>
        </w:tc>
        <w:tc>
          <w:tcPr>
            <w:tcW w:type="dxa" w:w="4269"/>
          </w:tcPr>
          <w:p>
            <w:r/>
            <w:r>
              <w:rPr>
                <w:sz w:val="16"/>
              </w:rPr>
              <w:t>Ausencia de objetivo de saturación (88-92 %) y de pautas de oxigenoterapia controlada</w:t>
            </w:r>
          </w:p>
        </w:tc>
        <w:tc>
          <w:tcPr>
            <w:tcW w:type="dxa" w:w="765"/>
          </w:tcPr>
          <w:p>
            <w:r/>
            <w:r>
              <w:rPr>
                <w:sz w:val="16"/>
              </w:rPr>
              <w:t>5</w:t>
            </w:r>
          </w:p>
        </w:tc>
        <w:tc>
          <w:tcPr>
            <w:tcW w:type="dxa" w:w="663"/>
          </w:tcPr>
          <w:p>
            <w:r/>
            <w:r>
              <w:rPr>
                <w:sz w:val="16"/>
              </w:rPr>
              <w:t>≈</w:t>
            </w:r>
          </w:p>
        </w:tc>
        <w:tc>
          <w:tcPr>
            <w:tcW w:type="dxa" w:w="1276"/>
          </w:tcPr>
          <w:p>
            <w:r/>
            <w:r>
              <w:rPr>
                <w:sz w:val="16"/>
              </w:rPr>
              <w:t>Confirmado</w:t>
            </w:r>
          </w:p>
        </w:tc>
      </w:tr>
      <w:tr>
        <w:tc>
          <w:tcPr>
            <w:tcW w:type="dxa" w:w="867"/>
          </w:tcPr>
          <w:p>
            <w:r/>
            <w:r>
              <w:rPr>
                <w:sz w:val="16"/>
              </w:rPr>
              <w:t>MUL-02</w:t>
            </w:r>
          </w:p>
        </w:tc>
        <w:tc>
          <w:tcPr>
            <w:tcW w:type="dxa" w:w="663"/>
          </w:tcPr>
          <w:p>
            <w:r/>
            <w:r>
              <w:rPr>
                <w:sz w:val="16"/>
              </w:rPr>
              <w:t>T04</w:t>
            </w:r>
          </w:p>
        </w:tc>
        <w:tc>
          <w:tcPr>
            <w:tcW w:type="dxa" w:w="1134"/>
          </w:tcPr>
          <w:p>
            <w:r/>
            <w:r>
              <w:rPr>
                <w:sz w:val="16"/>
              </w:rPr>
              <w:t>128</w:t>
            </w:r>
          </w:p>
        </w:tc>
        <w:tc>
          <w:tcPr>
            <w:tcW w:type="dxa" w:w="4269"/>
          </w:tcPr>
          <w:p>
            <w:r/>
            <w:r>
              <w:rPr>
                <w:sz w:val="16"/>
              </w:rPr>
              <w:t>FA: afirmar que «no hay contraindicación» para ningún antiarrítmico ni betabloqueante es peligroso</w:t>
            </w:r>
          </w:p>
        </w:tc>
        <w:tc>
          <w:tcPr>
            <w:tcW w:type="dxa" w:w="765"/>
          </w:tcPr>
          <w:p>
            <w:r/>
            <w:r>
              <w:rPr>
                <w:sz w:val="16"/>
              </w:rPr>
              <w:t>4</w:t>
            </w:r>
          </w:p>
        </w:tc>
        <w:tc>
          <w:tcPr>
            <w:tcW w:type="dxa" w:w="663"/>
          </w:tcPr>
          <w:p>
            <w:r/>
            <w:r>
              <w:rPr>
                <w:sz w:val="16"/>
              </w:rPr>
              <w:t>✔</w:t>
            </w:r>
          </w:p>
        </w:tc>
        <w:tc>
          <w:tcPr>
            <w:tcW w:type="dxa" w:w="1276"/>
          </w:tcPr>
          <w:p>
            <w:r/>
            <w:r>
              <w:rPr>
                <w:sz w:val="16"/>
              </w:rPr>
              <w:t>Confirmado</w:t>
            </w:r>
          </w:p>
        </w:tc>
      </w:tr>
    </w:tbl>
    <w:p/>
    <w:p>
      <w:pPr>
        <w:pStyle w:val="Heading3"/>
      </w:pPr>
      <w:r>
        <w:rPr>
          <w:color w:val="ED7D31"/>
        </w:rPr>
        <w:t>🟠</w:t>
      </w:r>
      <w:r>
        <w:t xml:space="preserve"> Hallazgos de severidad alta (78)</w:t>
      </w:r>
    </w:p>
    <w:tbl>
      <w:tblPr>
        <w:tblStyle w:val="TableGrid"/>
        <w:tblW w:type="auto" w:w="0"/>
        <w:tblLayout w:type="fixed"/>
        <w:tblLook w:firstColumn="1" w:firstRow="1" w:lastColumn="0" w:lastRow="0" w:noHBand="0" w:noVBand="1" w:val="04A0"/>
      </w:tblPr>
      <w:tblGrid>
        <w:gridCol w:w="969"/>
        <w:gridCol w:w="663"/>
        <w:gridCol w:w="1134"/>
        <w:gridCol w:w="4167"/>
        <w:gridCol w:w="765"/>
        <w:gridCol w:w="663"/>
        <w:gridCol w:w="1276"/>
      </w:tblGrid>
      <w:tr>
        <w:trPr>
          <w:tblHeader w:val="true"/>
        </w:trPr>
        <w:tc>
          <w:tcPr>
            <w:tcW w:type="dxa" w:w="969"/>
            <w:shd w:val="clear" w:color="auto" w:fill="D9E2F3"/>
          </w:tcPr>
          <w:p>
            <w:r/>
            <w:r>
              <w:rPr>
                <w:b/>
                <w:sz w:val="16"/>
              </w:rPr>
              <w:t>ID</w:t>
            </w:r>
          </w:p>
        </w:tc>
        <w:tc>
          <w:tcPr>
            <w:tcW w:type="dxa" w:w="663"/>
            <w:shd w:val="clear" w:color="auto" w:fill="D9E2F3"/>
          </w:tcPr>
          <w:p>
            <w:r/>
            <w:r>
              <w:rPr>
                <w:b/>
                <w:sz w:val="16"/>
              </w:rPr>
              <w:t>Tema</w:t>
            </w:r>
          </w:p>
        </w:tc>
        <w:tc>
          <w:tcPr>
            <w:tcW w:type="dxa" w:w="1134"/>
            <w:shd w:val="clear" w:color="auto" w:fill="D9E2F3"/>
          </w:tcPr>
          <w:p>
            <w:r/>
            <w:r>
              <w:rPr>
                <w:b/>
                <w:sz w:val="16"/>
              </w:rPr>
              <w:t>Págs. PDF</w:t>
            </w:r>
          </w:p>
        </w:tc>
        <w:tc>
          <w:tcPr>
            <w:tcW w:type="dxa" w:w="4167"/>
            <w:shd w:val="clear" w:color="auto" w:fill="D9E2F3"/>
          </w:tcPr>
          <w:p>
            <w:r/>
            <w:r>
              <w:rPr>
                <w:b/>
                <w:sz w:val="16"/>
              </w:rPr>
              <w:t>Hallazgo</w:t>
            </w:r>
          </w:p>
        </w:tc>
        <w:tc>
          <w:tcPr>
            <w:tcW w:type="dxa" w:w="765"/>
            <w:shd w:val="clear" w:color="auto" w:fill="D9E2F3"/>
          </w:tcPr>
          <w:p>
            <w:r/>
            <w:r>
              <w:rPr>
                <w:b/>
                <w:sz w:val="16"/>
              </w:rPr>
              <w:t>Conf.</w:t>
            </w:r>
          </w:p>
        </w:tc>
        <w:tc>
          <w:tcPr>
            <w:tcW w:type="dxa" w:w="663"/>
            <w:shd w:val="clear" w:color="auto" w:fill="D9E2F3"/>
          </w:tcPr>
          <w:p>
            <w:r/>
            <w:r>
              <w:rPr>
                <w:b/>
                <w:sz w:val="16"/>
              </w:rPr>
              <w:t>Cita</w:t>
            </w:r>
          </w:p>
        </w:tc>
        <w:tc>
          <w:tcPr>
            <w:tcW w:type="dxa" w:w="1276"/>
            <w:shd w:val="clear" w:color="auto" w:fill="D9E2F3"/>
          </w:tcPr>
          <w:p>
            <w:r/>
            <w:r>
              <w:rPr>
                <w:b/>
                <w:sz w:val="16"/>
              </w:rPr>
              <w:t>Verif.</w:t>
            </w:r>
          </w:p>
        </w:tc>
      </w:tr>
      <w:tr>
        <w:tc>
          <w:tcPr>
            <w:tcW w:type="dxa" w:w="969"/>
          </w:tcPr>
          <w:p>
            <w:r/>
            <w:r>
              <w:rPr>
                <w:sz w:val="16"/>
              </w:rPr>
              <w:t>COH-06</w:t>
            </w:r>
          </w:p>
        </w:tc>
        <w:tc>
          <w:tcPr>
            <w:tcW w:type="dxa" w:w="663"/>
          </w:tcPr>
          <w:p>
            <w:r/>
            <w:r>
              <w:rPr>
                <w:sz w:val="16"/>
              </w:rPr>
              <w:t>T01</w:t>
            </w:r>
          </w:p>
        </w:tc>
        <w:tc>
          <w:tcPr>
            <w:tcW w:type="dxa" w:w="1134"/>
          </w:tcPr>
          <w:p>
            <w:r/>
            <w:r>
              <w:rPr>
                <w:sz w:val="16"/>
              </w:rPr>
              <w:t>56, 89, 94, 107, 112, 116</w:t>
            </w:r>
          </w:p>
        </w:tc>
        <w:tc>
          <w:tcPr>
            <w:tcW w:type="dxa" w:w="4167"/>
          </w:tcPr>
          <w:p>
            <w:r/>
            <w:r>
              <w:rPr>
                <w:sz w:val="16"/>
              </w:rPr>
              <w:t>Desaparece el objetivo de SpO2 88-92 % en la exacerbación y los umbrales de saturación están dispersos</w:t>
            </w:r>
          </w:p>
        </w:tc>
        <w:tc>
          <w:tcPr>
            <w:tcW w:type="dxa" w:w="765"/>
          </w:tcPr>
          <w:p>
            <w:r/>
            <w:r>
              <w:rPr>
                <w:sz w:val="16"/>
              </w:rPr>
              <w:t>—</w:t>
            </w:r>
          </w:p>
        </w:tc>
        <w:tc>
          <w:tcPr>
            <w:tcW w:type="dxa" w:w="663"/>
          </w:tcPr>
          <w:p>
            <w:r/>
            <w:r>
              <w:rPr>
                <w:sz w:val="16"/>
              </w:rPr>
              <w:t>✔</w:t>
            </w:r>
          </w:p>
        </w:tc>
        <w:tc>
          <w:tcPr>
            <w:tcW w:type="dxa" w:w="1276"/>
          </w:tcPr>
          <w:p>
            <w:r/>
            <w:r>
              <w:rPr>
                <w:sz w:val="16"/>
              </w:rPr>
              <w:t>Confirmado</w:t>
            </w:r>
          </w:p>
        </w:tc>
      </w:tr>
      <w:tr>
        <w:tc>
          <w:tcPr>
            <w:tcW w:type="dxa" w:w="969"/>
          </w:tcPr>
          <w:p>
            <w:r/>
            <w:r>
              <w:rPr>
                <w:sz w:val="16"/>
              </w:rPr>
              <w:t>EQ-13</w:t>
            </w:r>
          </w:p>
        </w:tc>
        <w:tc>
          <w:tcPr>
            <w:tcW w:type="dxa" w:w="663"/>
          </w:tcPr>
          <w:p>
            <w:r/>
            <w:r>
              <w:rPr>
                <w:sz w:val="16"/>
              </w:rPr>
              <w:t>T01</w:t>
            </w:r>
          </w:p>
        </w:tc>
        <w:tc>
          <w:tcPr>
            <w:tcW w:type="dxa" w:w="1134"/>
          </w:tcPr>
          <w:p>
            <w:r/>
            <w:r>
              <w:rPr>
                <w:sz w:val="16"/>
              </w:rPr>
              <w:t>56, 87, 105, 110</w:t>
            </w:r>
          </w:p>
        </w:tc>
        <w:tc>
          <w:tcPr>
            <w:tcW w:type="dxa" w:w="4167"/>
          </w:tcPr>
          <w:p>
            <w:r/>
            <w:r>
              <w:rPr>
                <w:sz w:val="16"/>
              </w:rPr>
              <w:t>Se reconoce que la pulsioximetría es menos precisa en pieles oscuras, pero los umbrales de SpO2 no lo tienen en cuenta</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COH-01</w:t>
            </w:r>
          </w:p>
        </w:tc>
        <w:tc>
          <w:tcPr>
            <w:tcW w:type="dxa" w:w="663"/>
          </w:tcPr>
          <w:p>
            <w:r/>
            <w:r>
              <w:rPr>
                <w:sz w:val="16"/>
              </w:rPr>
              <w:t>T02</w:t>
            </w:r>
          </w:p>
        </w:tc>
        <w:tc>
          <w:tcPr>
            <w:tcW w:type="dxa" w:w="1134"/>
          </w:tcPr>
          <w:p>
            <w:r/>
            <w:r>
              <w:rPr>
                <w:sz w:val="16"/>
              </w:rPr>
              <w:t>105, 107</w:t>
            </w:r>
          </w:p>
        </w:tc>
        <w:tc>
          <w:tcPr>
            <w:tcW w:type="dxa" w:w="4167"/>
          </w:tcPr>
          <w:p>
            <w:r/>
            <w:r>
              <w:rPr>
                <w:sz w:val="16"/>
              </w:rPr>
              <w:t>La Fig. 4.2 altera los criterios gasométricos de la propuesta de Roma y deja huecos de clasificación</w:t>
            </w:r>
          </w:p>
        </w:tc>
        <w:tc>
          <w:tcPr>
            <w:tcW w:type="dxa" w:w="765"/>
          </w:tcPr>
          <w:p>
            <w:r/>
            <w:r>
              <w:rPr>
                <w:sz w:val="16"/>
              </w:rPr>
              <w:t>—</w:t>
            </w:r>
          </w:p>
        </w:tc>
        <w:tc>
          <w:tcPr>
            <w:tcW w:type="dxa" w:w="663"/>
          </w:tcPr>
          <w:p>
            <w:r/>
            <w:r>
              <w:rPr>
                <w:sz w:val="16"/>
              </w:rPr>
              <w:t>✔</w:t>
            </w:r>
          </w:p>
        </w:tc>
        <w:tc>
          <w:tcPr>
            <w:tcW w:type="dxa" w:w="1276"/>
          </w:tcPr>
          <w:p>
            <w:r/>
            <w:r>
              <w:rPr>
                <w:sz w:val="16"/>
              </w:rPr>
              <w:t>Confirmado</w:t>
            </w:r>
          </w:p>
        </w:tc>
      </w:tr>
      <w:tr>
        <w:tc>
          <w:tcPr>
            <w:tcW w:type="dxa" w:w="969"/>
          </w:tcPr>
          <w:p>
            <w:r/>
            <w:r>
              <w:rPr>
                <w:sz w:val="16"/>
              </w:rPr>
              <w:t>COH-05</w:t>
            </w:r>
          </w:p>
        </w:tc>
        <w:tc>
          <w:tcPr>
            <w:tcW w:type="dxa" w:w="663"/>
          </w:tcPr>
          <w:p>
            <w:r/>
            <w:r>
              <w:rPr>
                <w:sz w:val="16"/>
              </w:rPr>
              <w:t>T02</w:t>
            </w:r>
          </w:p>
        </w:tc>
        <w:tc>
          <w:tcPr>
            <w:tcW w:type="dxa" w:w="1134"/>
          </w:tcPr>
          <w:p>
            <w:r/>
            <w:r>
              <w:rPr>
                <w:sz w:val="16"/>
              </w:rPr>
              <w:t>51, 54, 74, 104</w:t>
            </w:r>
          </w:p>
        </w:tc>
        <w:tc>
          <w:tcPr>
            <w:tcW w:type="dxa" w:w="4167"/>
          </w:tcPr>
          <w:p>
            <w:r/>
            <w:r>
              <w:rPr>
                <w:sz w:val="16"/>
              </w:rPr>
              <w:t>Dos sistemas incompatibles de gravedad de la exacerbación, sin regla de transición</w:t>
            </w:r>
          </w:p>
        </w:tc>
        <w:tc>
          <w:tcPr>
            <w:tcW w:type="dxa" w:w="765"/>
          </w:tcPr>
          <w:p>
            <w:r/>
            <w:r>
              <w:rPr>
                <w:sz w:val="16"/>
              </w:rPr>
              <w:t>—</w:t>
            </w:r>
          </w:p>
        </w:tc>
        <w:tc>
          <w:tcPr>
            <w:tcW w:type="dxa" w:w="663"/>
          </w:tcPr>
          <w:p>
            <w:r/>
            <w:r>
              <w:rPr>
                <w:sz w:val="16"/>
              </w:rPr>
              <w:t>✔</w:t>
            </w:r>
          </w:p>
        </w:tc>
        <w:tc>
          <w:tcPr>
            <w:tcW w:type="dxa" w:w="1276"/>
          </w:tcPr>
          <w:p>
            <w:r/>
          </w:p>
        </w:tc>
      </w:tr>
      <w:tr>
        <w:tc>
          <w:tcPr>
            <w:tcW w:type="dxa" w:w="969"/>
          </w:tcPr>
          <w:p>
            <w:r/>
            <w:r>
              <w:rPr>
                <w:sz w:val="16"/>
              </w:rPr>
              <w:t>EXA-03</w:t>
            </w:r>
          </w:p>
        </w:tc>
        <w:tc>
          <w:tcPr>
            <w:tcW w:type="dxa" w:w="663"/>
          </w:tcPr>
          <w:p>
            <w:r/>
            <w:r>
              <w:rPr>
                <w:sz w:val="16"/>
              </w:rPr>
              <w:t>T02</w:t>
            </w:r>
          </w:p>
        </w:tc>
        <w:tc>
          <w:tcPr>
            <w:tcW w:type="dxa" w:w="1134"/>
          </w:tcPr>
          <w:p>
            <w:r/>
            <w:r>
              <w:rPr>
                <w:sz w:val="16"/>
              </w:rPr>
              <w:t>105, 107</w:t>
            </w:r>
          </w:p>
        </w:tc>
        <w:tc>
          <w:tcPr>
            <w:tcW w:type="dxa" w:w="4167"/>
          </w:tcPr>
          <w:p>
            <w:r/>
            <w:r>
              <w:rPr>
                <w:sz w:val="16"/>
              </w:rPr>
              <w:t>Los umbrales gasométricos de la Fig. 4.2 y del texto no corresponden a la propuesta de Roma y son internamente incoherentes</w:t>
            </w:r>
          </w:p>
        </w:tc>
        <w:tc>
          <w:tcPr>
            <w:tcW w:type="dxa" w:w="765"/>
          </w:tcPr>
          <w:p>
            <w:r/>
            <w:r>
              <w:rPr>
                <w:sz w:val="16"/>
              </w:rPr>
              <w:t>5</w:t>
            </w:r>
          </w:p>
        </w:tc>
        <w:tc>
          <w:tcPr>
            <w:tcW w:type="dxa" w:w="663"/>
          </w:tcPr>
          <w:p>
            <w:r/>
            <w:r>
              <w:rPr>
                <w:sz w:val="16"/>
              </w:rPr>
              <w:t>✔</w:t>
            </w:r>
          </w:p>
        </w:tc>
        <w:tc>
          <w:tcPr>
            <w:tcW w:type="dxa" w:w="1276"/>
          </w:tcPr>
          <w:p>
            <w:r/>
            <w:r>
              <w:rPr>
                <w:sz w:val="16"/>
              </w:rPr>
              <w:t>Confirmado</w:t>
            </w:r>
          </w:p>
        </w:tc>
      </w:tr>
      <w:tr>
        <w:tc>
          <w:tcPr>
            <w:tcW w:type="dxa" w:w="969"/>
          </w:tcPr>
          <w:p>
            <w:r/>
            <w:r>
              <w:rPr>
                <w:sz w:val="16"/>
              </w:rPr>
              <w:t>EXA-04</w:t>
            </w:r>
          </w:p>
        </w:tc>
        <w:tc>
          <w:tcPr>
            <w:tcW w:type="dxa" w:w="663"/>
          </w:tcPr>
          <w:p>
            <w:r/>
            <w:r>
              <w:rPr>
                <w:sz w:val="16"/>
              </w:rPr>
              <w:t>T02</w:t>
            </w:r>
          </w:p>
        </w:tc>
        <w:tc>
          <w:tcPr>
            <w:tcW w:type="dxa" w:w="1134"/>
          </w:tcPr>
          <w:p>
            <w:r/>
            <w:r>
              <w:rPr>
                <w:sz w:val="16"/>
              </w:rPr>
              <w:t>105</w:t>
            </w:r>
          </w:p>
        </w:tc>
        <w:tc>
          <w:tcPr>
            <w:tcW w:type="dxa" w:w="4167"/>
          </w:tcPr>
          <w:p>
            <w:r/>
            <w:r>
              <w:rPr>
                <w:sz w:val="16"/>
              </w:rPr>
              <w:t>Clasificación "para pacientes hospitalizados" atribuida a la ref. 932 que no coincide con la fuente, tiene huecos y se solapa con Roma</w:t>
            </w:r>
          </w:p>
        </w:tc>
        <w:tc>
          <w:tcPr>
            <w:tcW w:type="dxa" w:w="765"/>
          </w:tcPr>
          <w:p>
            <w:r/>
            <w:r>
              <w:rPr>
                <w:sz w:val="16"/>
              </w:rPr>
              <w:t>4</w:t>
            </w:r>
          </w:p>
        </w:tc>
        <w:tc>
          <w:tcPr>
            <w:tcW w:type="dxa" w:w="663"/>
          </w:tcPr>
          <w:p>
            <w:r/>
            <w:r>
              <w:rPr>
                <w:sz w:val="16"/>
              </w:rPr>
              <w:t>✔</w:t>
            </w:r>
          </w:p>
        </w:tc>
        <w:tc>
          <w:tcPr>
            <w:tcW w:type="dxa" w:w="1276"/>
          </w:tcPr>
          <w:p>
            <w:r/>
            <w:r>
              <w:rPr>
                <w:sz w:val="16"/>
              </w:rPr>
              <w:t>Confirmado</w:t>
            </w:r>
          </w:p>
        </w:tc>
      </w:tr>
      <w:tr>
        <w:tc>
          <w:tcPr>
            <w:tcW w:type="dxa" w:w="969"/>
          </w:tcPr>
          <w:p>
            <w:r/>
            <w:r>
              <w:rPr>
                <w:sz w:val="16"/>
              </w:rPr>
              <w:t>EXA-05</w:t>
            </w:r>
          </w:p>
        </w:tc>
        <w:tc>
          <w:tcPr>
            <w:tcW w:type="dxa" w:w="663"/>
          </w:tcPr>
          <w:p>
            <w:r/>
            <w:r>
              <w:rPr>
                <w:sz w:val="16"/>
              </w:rPr>
              <w:t>T02</w:t>
            </w:r>
          </w:p>
        </w:tc>
        <w:tc>
          <w:tcPr>
            <w:tcW w:type="dxa" w:w="1134"/>
          </w:tcPr>
          <w:p>
            <w:r/>
            <w:r>
              <w:rPr>
                <w:sz w:val="16"/>
              </w:rPr>
              <w:t>51, 73, 92, 103, 109</w:t>
            </w:r>
          </w:p>
        </w:tc>
        <w:tc>
          <w:tcPr>
            <w:tcW w:type="dxa" w:w="4167"/>
          </w:tcPr>
          <w:p>
            <w:r/>
            <w:r>
              <w:rPr>
                <w:sz w:val="16"/>
              </w:rPr>
              <w:t>La gravedad por Roma no se traduce a la definición "moderada/grave" por recursos de los caps. 2 y 3 ni al algoritmo ABE</w:t>
            </w:r>
          </w:p>
        </w:tc>
        <w:tc>
          <w:tcPr>
            <w:tcW w:type="dxa" w:w="765"/>
          </w:tcPr>
          <w:p>
            <w:r/>
            <w:r>
              <w:rPr>
                <w:sz w:val="16"/>
              </w:rPr>
              <w:t>5</w:t>
            </w:r>
          </w:p>
        </w:tc>
        <w:tc>
          <w:tcPr>
            <w:tcW w:type="dxa" w:w="663"/>
          </w:tcPr>
          <w:p>
            <w:r/>
            <w:r>
              <w:rPr>
                <w:sz w:val="16"/>
              </w:rPr>
              <w:t>✔</w:t>
            </w:r>
          </w:p>
        </w:tc>
        <w:tc>
          <w:tcPr>
            <w:tcW w:type="dxa" w:w="1276"/>
          </w:tcPr>
          <w:p>
            <w:r/>
          </w:p>
        </w:tc>
      </w:tr>
      <w:tr>
        <w:tc>
          <w:tcPr>
            <w:tcW w:type="dxa" w:w="969"/>
          </w:tcPr>
          <w:p>
            <w:r/>
            <w:r>
              <w:rPr>
                <w:sz w:val="16"/>
              </w:rPr>
              <w:t>COH-04</w:t>
            </w:r>
          </w:p>
        </w:tc>
        <w:tc>
          <w:tcPr>
            <w:tcW w:type="dxa" w:w="663"/>
          </w:tcPr>
          <w:p>
            <w:r/>
            <w:r>
              <w:rPr>
                <w:sz w:val="16"/>
              </w:rPr>
              <w:t>T03</w:t>
            </w:r>
          </w:p>
        </w:tc>
        <w:tc>
          <w:tcPr>
            <w:tcW w:type="dxa" w:w="1134"/>
          </w:tcPr>
          <w:p>
            <w:r/>
            <w:r>
              <w:rPr>
                <w:sz w:val="16"/>
              </w:rPr>
              <w:t>47, 123, 130, 141</w:t>
            </w:r>
          </w:p>
        </w:tc>
        <w:tc>
          <w:tcPr>
            <w:tcW w:type="dxa" w:w="4167"/>
          </w:tcPr>
          <w:p>
            <w:r/>
            <w:r>
              <w:rPr>
                <w:sz w:val="16"/>
              </w:rPr>
              <w:t>La Fig. 5.6 propone una TC "HRCT" anual de cribado oncológico para todos los pacientes con EPOC</w:t>
            </w:r>
          </w:p>
        </w:tc>
        <w:tc>
          <w:tcPr>
            <w:tcW w:type="dxa" w:w="765"/>
          </w:tcPr>
          <w:p>
            <w:r/>
            <w:r>
              <w:rPr>
                <w:sz w:val="16"/>
              </w:rPr>
              <w:t>—</w:t>
            </w:r>
          </w:p>
        </w:tc>
        <w:tc>
          <w:tcPr>
            <w:tcW w:type="dxa" w:w="663"/>
          </w:tcPr>
          <w:p>
            <w:r/>
            <w:r>
              <w:rPr>
                <w:sz w:val="16"/>
              </w:rPr>
              <w:t>✖</w:t>
            </w:r>
          </w:p>
        </w:tc>
        <w:tc>
          <w:tcPr>
            <w:tcW w:type="dxa" w:w="1276"/>
          </w:tcPr>
          <w:p>
            <w:r/>
            <w:r>
              <w:rPr>
                <w:sz w:val="16"/>
              </w:rPr>
              <w:t>Confirmado</w:t>
            </w:r>
          </w:p>
        </w:tc>
      </w:tr>
      <w:tr>
        <w:tc>
          <w:tcPr>
            <w:tcW w:type="dxa" w:w="969"/>
          </w:tcPr>
          <w:p>
            <w:r/>
            <w:r>
              <w:rPr>
                <w:sz w:val="16"/>
              </w:rPr>
              <w:t>MUL-01</w:t>
            </w:r>
          </w:p>
        </w:tc>
        <w:tc>
          <w:tcPr>
            <w:tcW w:type="dxa" w:w="663"/>
          </w:tcPr>
          <w:p>
            <w:r/>
            <w:r>
              <w:rPr>
                <w:sz w:val="16"/>
              </w:rPr>
              <w:t>T03</w:t>
            </w:r>
          </w:p>
        </w:tc>
        <w:tc>
          <w:tcPr>
            <w:tcW w:type="dxa" w:w="1134"/>
          </w:tcPr>
          <w:p>
            <w:r/>
            <w:r>
              <w:rPr>
                <w:sz w:val="16"/>
              </w:rPr>
              <w:t>140, 141</w:t>
            </w:r>
          </w:p>
        </w:tc>
        <w:tc>
          <w:tcPr>
            <w:tcW w:type="dxa" w:w="4167"/>
          </w:tcPr>
          <w:p>
            <w:r/>
            <w:r>
              <w:rPr>
                <w:sz w:val="16"/>
              </w:rPr>
              <w:t>Figuras 5.5 y 5.6: HRCT anual para «cribado de cáncer» en todos los pacientes con EPOC</w:t>
            </w:r>
          </w:p>
        </w:tc>
        <w:tc>
          <w:tcPr>
            <w:tcW w:type="dxa" w:w="765"/>
          </w:tcPr>
          <w:p>
            <w:r/>
            <w:r>
              <w:rPr>
                <w:sz w:val="16"/>
              </w:rPr>
              <w:t>5</w:t>
            </w:r>
          </w:p>
        </w:tc>
        <w:tc>
          <w:tcPr>
            <w:tcW w:type="dxa" w:w="663"/>
          </w:tcPr>
          <w:p>
            <w:r/>
            <w:r>
              <w:rPr>
                <w:sz w:val="16"/>
              </w:rPr>
              <w:t>✖</w:t>
            </w:r>
          </w:p>
        </w:tc>
        <w:tc>
          <w:tcPr>
            <w:tcW w:type="dxa" w:w="1276"/>
          </w:tcPr>
          <w:p>
            <w:r/>
            <w:r>
              <w:rPr>
                <w:sz w:val="16"/>
              </w:rPr>
              <w:t>Confirmado</w:t>
            </w:r>
          </w:p>
        </w:tc>
      </w:tr>
      <w:tr>
        <w:tc>
          <w:tcPr>
            <w:tcW w:type="dxa" w:w="969"/>
          </w:tcPr>
          <w:p>
            <w:r/>
            <w:r>
              <w:rPr>
                <w:sz w:val="16"/>
              </w:rPr>
              <w:t>INT-04</w:t>
            </w:r>
          </w:p>
        </w:tc>
        <w:tc>
          <w:tcPr>
            <w:tcW w:type="dxa" w:w="663"/>
          </w:tcPr>
          <w:p>
            <w:r/>
            <w:r>
              <w:rPr>
                <w:sz w:val="16"/>
              </w:rPr>
              <w:t>T05</w:t>
            </w:r>
          </w:p>
        </w:tc>
        <w:tc>
          <w:tcPr>
            <w:tcW w:type="dxa" w:w="1134"/>
          </w:tcPr>
          <w:p>
            <w:r/>
            <w:r>
              <w:rPr>
                <w:sz w:val="16"/>
              </w:rPr>
              <w:t>91, 120, 172</w:t>
            </w:r>
          </w:p>
        </w:tc>
        <w:tc>
          <w:tcPr>
            <w:tcW w:type="dxa" w:w="4167"/>
          </w:tcPr>
          <w:p>
            <w:r/>
            <w:r>
              <w:rPr>
                <w:sz w:val="16"/>
              </w:rPr>
              <w:t>Rehabilitación iniciada «durante la hospitalización» presentada como intervención que reduce la mortalidad, en contradicción con el Apéndice 4 y con la propia Fig. 3.19</w:t>
            </w:r>
          </w:p>
        </w:tc>
        <w:tc>
          <w:tcPr>
            <w:tcW w:type="dxa" w:w="765"/>
          </w:tcPr>
          <w:p>
            <w:r/>
            <w:r>
              <w:rPr>
                <w:sz w:val="16"/>
              </w:rPr>
              <w:t>5</w:t>
            </w:r>
          </w:p>
        </w:tc>
        <w:tc>
          <w:tcPr>
            <w:tcW w:type="dxa" w:w="663"/>
          </w:tcPr>
          <w:p>
            <w:r/>
            <w:r>
              <w:rPr>
                <w:sz w:val="16"/>
              </w:rPr>
              <w:t>✔</w:t>
            </w:r>
          </w:p>
        </w:tc>
        <w:tc>
          <w:tcPr>
            <w:tcW w:type="dxa" w:w="1276"/>
          </w:tcPr>
          <w:p>
            <w:r/>
            <w:r>
              <w:rPr>
                <w:sz w:val="16"/>
              </w:rPr>
              <w:t>Confirmado</w:t>
            </w:r>
          </w:p>
        </w:tc>
      </w:tr>
      <w:tr>
        <w:tc>
          <w:tcPr>
            <w:tcW w:type="dxa" w:w="969"/>
          </w:tcPr>
          <w:p>
            <w:r/>
            <w:r>
              <w:rPr>
                <w:sz w:val="16"/>
              </w:rPr>
              <w:t>REH-01</w:t>
            </w:r>
          </w:p>
        </w:tc>
        <w:tc>
          <w:tcPr>
            <w:tcW w:type="dxa" w:w="663"/>
          </w:tcPr>
          <w:p>
            <w:r/>
            <w:r>
              <w:rPr>
                <w:sz w:val="16"/>
              </w:rPr>
              <w:t>T05</w:t>
            </w:r>
          </w:p>
        </w:tc>
        <w:tc>
          <w:tcPr>
            <w:tcW w:type="dxa" w:w="1134"/>
          </w:tcPr>
          <w:p>
            <w:r/>
            <w:r>
              <w:rPr>
                <w:sz w:val="16"/>
              </w:rPr>
              <w:t>91, 120, 172</w:t>
            </w:r>
          </w:p>
        </w:tc>
        <w:tc>
          <w:tcPr>
            <w:tcW w:type="dxa" w:w="4167"/>
          </w:tcPr>
          <w:p>
            <w:r/>
            <w:r>
              <w:rPr>
                <w:sz w:val="16"/>
              </w:rPr>
              <w:t>Inicio de la RR «durante la hospitalización» presentado como reductor de mortalidad pese a la señal de daño</w:t>
            </w:r>
          </w:p>
        </w:tc>
        <w:tc>
          <w:tcPr>
            <w:tcW w:type="dxa" w:w="765"/>
          </w:tcPr>
          <w:p>
            <w:r/>
            <w:r>
              <w:rPr>
                <w:sz w:val="16"/>
              </w:rPr>
              <w:t>4</w:t>
            </w:r>
          </w:p>
        </w:tc>
        <w:tc>
          <w:tcPr>
            <w:tcW w:type="dxa" w:w="663"/>
          </w:tcPr>
          <w:p>
            <w:r/>
            <w:r>
              <w:rPr>
                <w:sz w:val="16"/>
              </w:rPr>
              <w:t>≈</w:t>
            </w:r>
          </w:p>
        </w:tc>
        <w:tc>
          <w:tcPr>
            <w:tcW w:type="dxa" w:w="1276"/>
          </w:tcPr>
          <w:p>
            <w:r/>
            <w:r>
              <w:rPr>
                <w:sz w:val="16"/>
              </w:rPr>
              <w:t>Confirmado</w:t>
            </w:r>
          </w:p>
        </w:tc>
      </w:tr>
      <w:tr>
        <w:tc>
          <w:tcPr>
            <w:tcW w:type="dxa" w:w="969"/>
          </w:tcPr>
          <w:p>
            <w:r/>
            <w:r>
              <w:rPr>
                <w:sz w:val="16"/>
              </w:rPr>
              <w:t>REH-02</w:t>
            </w:r>
          </w:p>
        </w:tc>
        <w:tc>
          <w:tcPr>
            <w:tcW w:type="dxa" w:w="663"/>
          </w:tcPr>
          <w:p>
            <w:r/>
            <w:r>
              <w:rPr>
                <w:sz w:val="16"/>
              </w:rPr>
              <w:t>T05</w:t>
            </w:r>
          </w:p>
        </w:tc>
        <w:tc>
          <w:tcPr>
            <w:tcW w:type="dxa" w:w="1134"/>
          </w:tcPr>
          <w:p>
            <w:r/>
            <w:r>
              <w:rPr>
                <w:sz w:val="16"/>
              </w:rPr>
              <w:t>91, 172</w:t>
            </w:r>
          </w:p>
        </w:tc>
        <w:tc>
          <w:tcPr>
            <w:tcW w:type="dxa" w:w="4167"/>
          </w:tcPr>
          <w:p>
            <w:r/>
            <w:r>
              <w:rPr>
                <w:sz w:val="16"/>
              </w:rPr>
              <w:t>La evidencia de mortalidad de la RR tras exacerbación se sobrestima (texto frente a datos de la propia Figura 3.19)</w:t>
            </w:r>
          </w:p>
        </w:tc>
        <w:tc>
          <w:tcPr>
            <w:tcW w:type="dxa" w:w="765"/>
          </w:tcPr>
          <w:p>
            <w:r/>
            <w:r>
              <w:rPr>
                <w:sz w:val="16"/>
              </w:rPr>
              <w:t>5</w:t>
            </w:r>
          </w:p>
        </w:tc>
        <w:tc>
          <w:tcPr>
            <w:tcW w:type="dxa" w:w="663"/>
          </w:tcPr>
          <w:p>
            <w:r/>
            <w:r>
              <w:rPr>
                <w:sz w:val="16"/>
              </w:rPr>
              <w:t>✖</w:t>
            </w:r>
          </w:p>
        </w:tc>
        <w:tc>
          <w:tcPr>
            <w:tcW w:type="dxa" w:w="1276"/>
          </w:tcPr>
          <w:p>
            <w:r/>
            <w:r>
              <w:rPr>
                <w:sz w:val="16"/>
              </w:rPr>
              <w:t>Confirmado</w:t>
            </w:r>
          </w:p>
        </w:tc>
      </w:tr>
      <w:tr>
        <w:tc>
          <w:tcPr>
            <w:tcW w:type="dxa" w:w="969"/>
          </w:tcPr>
          <w:p>
            <w:r/>
            <w:r>
              <w:rPr>
                <w:sz w:val="16"/>
              </w:rPr>
              <w:t>INT-01</w:t>
            </w:r>
          </w:p>
        </w:tc>
        <w:tc>
          <w:tcPr>
            <w:tcW w:type="dxa" w:w="663"/>
          </w:tcPr>
          <w:p>
            <w:r/>
            <w:r>
              <w:rPr>
                <w:sz w:val="16"/>
              </w:rPr>
              <w:t>T06</w:t>
            </w:r>
          </w:p>
        </w:tc>
        <w:tc>
          <w:tcPr>
            <w:tcW w:type="dxa" w:w="1134"/>
          </w:tcPr>
          <w:p>
            <w:r/>
            <w:r>
              <w:rPr>
                <w:sz w:val="16"/>
              </w:rPr>
              <w:t>97, 102</w:t>
            </w:r>
          </w:p>
        </w:tc>
        <w:tc>
          <w:tcPr>
            <w:tcW w:type="dxa" w:w="4167"/>
          </w:tcPr>
          <w:p>
            <w:r/>
            <w:r>
              <w:rPr>
                <w:sz w:val="16"/>
              </w:rPr>
              <w:t>Criterios de derivación y listado para trasplante: la Fig. 3.22 contradice el texto y ambos están desactualizados</w:t>
            </w:r>
          </w:p>
        </w:tc>
        <w:tc>
          <w:tcPr>
            <w:tcW w:type="dxa" w:w="765"/>
          </w:tcPr>
          <w:p>
            <w:r/>
            <w:r>
              <w:rPr>
                <w:sz w:val="16"/>
              </w:rPr>
              <w:t>5</w:t>
            </w:r>
          </w:p>
        </w:tc>
        <w:tc>
          <w:tcPr>
            <w:tcW w:type="dxa" w:w="663"/>
          </w:tcPr>
          <w:p>
            <w:r/>
            <w:r>
              <w:rPr>
                <w:sz w:val="16"/>
              </w:rPr>
              <w:t>≈</w:t>
            </w:r>
          </w:p>
        </w:tc>
        <w:tc>
          <w:tcPr>
            <w:tcW w:type="dxa" w:w="1276"/>
          </w:tcPr>
          <w:p>
            <w:r/>
            <w:r>
              <w:rPr>
                <w:sz w:val="16"/>
              </w:rPr>
              <w:t>Parcial</w:t>
            </w:r>
          </w:p>
        </w:tc>
      </w:tr>
      <w:tr>
        <w:tc>
          <w:tcPr>
            <w:tcW w:type="dxa" w:w="969"/>
          </w:tcPr>
          <w:p>
            <w:r/>
            <w:r>
              <w:rPr>
                <w:sz w:val="16"/>
              </w:rPr>
              <w:t>COH-02</w:t>
            </w:r>
          </w:p>
        </w:tc>
        <w:tc>
          <w:tcPr>
            <w:tcW w:type="dxa" w:w="663"/>
          </w:tcPr>
          <w:p>
            <w:r/>
            <w:r>
              <w:rPr>
                <w:sz w:val="16"/>
              </w:rPr>
              <w:t>T07</w:t>
            </w:r>
          </w:p>
        </w:tc>
        <w:tc>
          <w:tcPr>
            <w:tcW w:type="dxa" w:w="1134"/>
          </w:tcPr>
          <w:p>
            <w:r/>
            <w:r>
              <w:rPr>
                <w:sz w:val="16"/>
              </w:rPr>
              <w:t>5, 74, 77</w:t>
            </w:r>
          </w:p>
        </w:tc>
        <w:tc>
          <w:tcPr>
            <w:tcW w:type="dxa" w:w="4167"/>
          </w:tcPr>
          <w:p>
            <w:r/>
            <w:r>
              <w:rPr>
                <w:sz w:val="16"/>
              </w:rPr>
              <w:t>La Fig. 3.9 y el texto (impr. 66) dan algoritmos distintos de seguimiento por exacerbaciones</w:t>
            </w:r>
          </w:p>
        </w:tc>
        <w:tc>
          <w:tcPr>
            <w:tcW w:type="dxa" w:w="765"/>
          </w:tcPr>
          <w:p>
            <w:r/>
            <w:r>
              <w:rPr>
                <w:sz w:val="16"/>
              </w:rPr>
              <w:t>—</w:t>
            </w:r>
          </w:p>
        </w:tc>
        <w:tc>
          <w:tcPr>
            <w:tcW w:type="dxa" w:w="663"/>
          </w:tcPr>
          <w:p>
            <w:r/>
            <w:r>
              <w:rPr>
                <w:sz w:val="16"/>
              </w:rPr>
              <w:t>✔</w:t>
            </w:r>
          </w:p>
        </w:tc>
        <w:tc>
          <w:tcPr>
            <w:tcW w:type="dxa" w:w="1276"/>
          </w:tcPr>
          <w:p>
            <w:r/>
            <w:r>
              <w:rPr>
                <w:sz w:val="16"/>
              </w:rPr>
              <w:t>Confirmado</w:t>
            </w:r>
          </w:p>
        </w:tc>
      </w:tr>
      <w:tr>
        <w:tc>
          <w:tcPr>
            <w:tcW w:type="dxa" w:w="969"/>
          </w:tcPr>
          <w:p>
            <w:r/>
            <w:r>
              <w:rPr>
                <w:sz w:val="16"/>
              </w:rPr>
              <w:t>COH-03</w:t>
            </w:r>
          </w:p>
        </w:tc>
        <w:tc>
          <w:tcPr>
            <w:tcW w:type="dxa" w:w="663"/>
          </w:tcPr>
          <w:p>
            <w:r/>
            <w:r>
              <w:rPr>
                <w:sz w:val="16"/>
              </w:rPr>
              <w:t>T07</w:t>
            </w:r>
          </w:p>
        </w:tc>
        <w:tc>
          <w:tcPr>
            <w:tcW w:type="dxa" w:w="1134"/>
          </w:tcPr>
          <w:p>
            <w:r/>
            <w:r>
              <w:rPr>
                <w:sz w:val="16"/>
              </w:rPr>
              <w:t>74, 77, 160, 162</w:t>
            </w:r>
          </w:p>
        </w:tc>
        <w:tc>
          <w:tcPr>
            <w:tcW w:type="dxa" w:w="4167"/>
          </w:tcPr>
          <w:p>
            <w:r/>
            <w:r>
              <w:rPr>
                <w:sz w:val="16"/>
              </w:rPr>
              <w:t>Cuatro definiciones distintas del candidato a roflumilast</w:t>
            </w:r>
          </w:p>
        </w:tc>
        <w:tc>
          <w:tcPr>
            <w:tcW w:type="dxa" w:w="765"/>
          </w:tcPr>
          <w:p>
            <w:r/>
            <w:r>
              <w:rPr>
                <w:sz w:val="16"/>
              </w:rPr>
              <w:t>—</w:t>
            </w:r>
          </w:p>
        </w:tc>
        <w:tc>
          <w:tcPr>
            <w:tcW w:type="dxa" w:w="663"/>
          </w:tcPr>
          <w:p>
            <w:r/>
            <w:r>
              <w:rPr>
                <w:sz w:val="16"/>
              </w:rPr>
              <w:t>✔</w:t>
            </w:r>
          </w:p>
        </w:tc>
        <w:tc>
          <w:tcPr>
            <w:tcW w:type="dxa" w:w="1276"/>
          </w:tcPr>
          <w:p>
            <w:r/>
            <w:r>
              <w:rPr>
                <w:sz w:val="16"/>
              </w:rPr>
              <w:t>Confirmado</w:t>
            </w:r>
          </w:p>
        </w:tc>
      </w:tr>
      <w:tr>
        <w:tc>
          <w:tcPr>
            <w:tcW w:type="dxa" w:w="969"/>
          </w:tcPr>
          <w:p>
            <w:r/>
            <w:r>
              <w:rPr>
                <w:sz w:val="16"/>
              </w:rPr>
              <w:t>DX-15</w:t>
            </w:r>
          </w:p>
        </w:tc>
        <w:tc>
          <w:tcPr>
            <w:tcW w:type="dxa" w:w="663"/>
          </w:tcPr>
          <w:p>
            <w:r/>
            <w:r>
              <w:rPr>
                <w:sz w:val="16"/>
              </w:rPr>
              <w:t>T07</w:t>
            </w:r>
          </w:p>
        </w:tc>
        <w:tc>
          <w:tcPr>
            <w:tcW w:type="dxa" w:w="1134"/>
          </w:tcPr>
          <w:p>
            <w:r/>
            <w:r>
              <w:rPr>
                <w:sz w:val="16"/>
              </w:rPr>
              <w:t>5, 54, 73, 74, 75, 92, 159, 161</w:t>
            </w:r>
          </w:p>
        </w:tc>
        <w:tc>
          <w:tcPr>
            <w:tcW w:type="dxa" w:w="4167"/>
          </w:tcPr>
          <w:p>
            <w:r/>
            <w:r>
              <w:rPr>
                <w:sz w:val="16"/>
              </w:rPr>
              <w:t>Grupo E con ≥1 exacerbación moderada: cambio sin validar e incongruente con los umbrales de otras partes del informe</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FARM-11</w:t>
            </w:r>
          </w:p>
        </w:tc>
        <w:tc>
          <w:tcPr>
            <w:tcW w:type="dxa" w:w="663"/>
          </w:tcPr>
          <w:p>
            <w:r/>
            <w:r>
              <w:rPr>
                <w:sz w:val="16"/>
              </w:rPr>
              <w:t>T07</w:t>
            </w:r>
          </w:p>
        </w:tc>
        <w:tc>
          <w:tcPr>
            <w:tcW w:type="dxa" w:w="1134"/>
          </w:tcPr>
          <w:p>
            <w:r/>
            <w:r>
              <w:rPr>
                <w:sz w:val="16"/>
              </w:rPr>
              <w:t>5, 54, 71, 73, 78, 161</w:t>
            </w:r>
          </w:p>
        </w:tc>
        <w:tc>
          <w:tcPr>
            <w:tcW w:type="dxa" w:w="4167"/>
          </w:tcPr>
          <w:p>
            <w:r/>
            <w:r>
              <w:rPr>
                <w:sz w:val="16"/>
              </w:rPr>
              <w:t>Umbral de "1 exacerbación" para ICS: el cap. 3 lo atribuye a RCT, los Highlights y el cap. 2 a estudios observacionales</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FARM-12</w:t>
            </w:r>
          </w:p>
        </w:tc>
        <w:tc>
          <w:tcPr>
            <w:tcW w:type="dxa" w:w="663"/>
          </w:tcPr>
          <w:p>
            <w:r/>
            <w:r>
              <w:rPr>
                <w:sz w:val="16"/>
              </w:rPr>
              <w:t>T07</w:t>
            </w:r>
          </w:p>
        </w:tc>
        <w:tc>
          <w:tcPr>
            <w:tcW w:type="dxa" w:w="1134"/>
          </w:tcPr>
          <w:p>
            <w:r/>
            <w:r>
              <w:rPr>
                <w:sz w:val="16"/>
              </w:rPr>
              <w:t>74, 77, 160, 162</w:t>
            </w:r>
          </w:p>
        </w:tc>
        <w:tc>
          <w:tcPr>
            <w:tcW w:type="dxa" w:w="4167"/>
          </w:tcPr>
          <w:p>
            <w:r/>
            <w:r>
              <w:rPr>
                <w:sz w:val="16"/>
              </w:rPr>
              <w:t>Fig 3.9 frente al texto de seguimiento: pasos, umbrales y criterios distintos</w:t>
            </w:r>
          </w:p>
        </w:tc>
        <w:tc>
          <w:tcPr>
            <w:tcW w:type="dxa" w:w="765"/>
          </w:tcPr>
          <w:p>
            <w:r/>
            <w:r>
              <w:rPr>
                <w:sz w:val="16"/>
              </w:rPr>
              <w:t>5</w:t>
            </w:r>
          </w:p>
        </w:tc>
        <w:tc>
          <w:tcPr>
            <w:tcW w:type="dxa" w:w="663"/>
          </w:tcPr>
          <w:p>
            <w:r/>
            <w:r>
              <w:rPr>
                <w:sz w:val="16"/>
              </w:rPr>
              <w:t>✔</w:t>
            </w:r>
          </w:p>
        </w:tc>
        <w:tc>
          <w:tcPr>
            <w:tcW w:type="dxa" w:w="1276"/>
          </w:tcPr>
          <w:p>
            <w:r/>
            <w:r>
              <w:rPr>
                <w:sz w:val="16"/>
              </w:rPr>
              <w:t>Confirmado</w:t>
            </w:r>
          </w:p>
        </w:tc>
      </w:tr>
      <w:tr>
        <w:tc>
          <w:tcPr>
            <w:tcW w:type="dxa" w:w="969"/>
          </w:tcPr>
          <w:p>
            <w:r/>
            <w:r>
              <w:rPr>
                <w:sz w:val="16"/>
              </w:rPr>
              <w:t>NOV-06</w:t>
            </w:r>
          </w:p>
        </w:tc>
        <w:tc>
          <w:tcPr>
            <w:tcW w:type="dxa" w:w="663"/>
          </w:tcPr>
          <w:p>
            <w:r/>
            <w:r>
              <w:rPr>
                <w:sz w:val="16"/>
              </w:rPr>
              <w:t>T07</w:t>
            </w:r>
          </w:p>
        </w:tc>
        <w:tc>
          <w:tcPr>
            <w:tcW w:type="dxa" w:w="1134"/>
          </w:tcPr>
          <w:p>
            <w:r/>
            <w:r>
              <w:rPr>
                <w:sz w:val="16"/>
              </w:rPr>
              <w:t>5, 74, 77</w:t>
            </w:r>
          </w:p>
        </w:tc>
        <w:tc>
          <w:tcPr>
            <w:tcW w:type="dxa" w:w="4167"/>
          </w:tcPr>
          <w:p>
            <w:r/>
            <w:r>
              <w:rPr>
                <w:sz w:val="16"/>
              </w:rPr>
              <w:t>Criterios para iniciar un biológico: contradicción lógica en el texto y desajuste con figura y Highlights</w:t>
            </w:r>
          </w:p>
        </w:tc>
        <w:tc>
          <w:tcPr>
            <w:tcW w:type="dxa" w:w="765"/>
          </w:tcPr>
          <w:p>
            <w:r/>
            <w:r>
              <w:rPr>
                <w:sz w:val="16"/>
              </w:rPr>
              <w:t>4</w:t>
            </w:r>
          </w:p>
        </w:tc>
        <w:tc>
          <w:tcPr>
            <w:tcW w:type="dxa" w:w="663"/>
          </w:tcPr>
          <w:p>
            <w:r/>
            <w:r>
              <w:rPr>
                <w:sz w:val="16"/>
              </w:rPr>
              <w:t>✔</w:t>
            </w:r>
          </w:p>
        </w:tc>
        <w:tc>
          <w:tcPr>
            <w:tcW w:type="dxa" w:w="1276"/>
          </w:tcPr>
          <w:p>
            <w:r/>
            <w:r>
              <w:rPr>
                <w:sz w:val="16"/>
              </w:rPr>
              <w:t>Confirmado</w:t>
            </w:r>
          </w:p>
        </w:tc>
      </w:tr>
      <w:tr>
        <w:tc>
          <w:tcPr>
            <w:tcW w:type="dxa" w:w="969"/>
          </w:tcPr>
          <w:p>
            <w:r/>
            <w:r>
              <w:rPr>
                <w:sz w:val="16"/>
              </w:rPr>
              <w:t>NOV-04</w:t>
            </w:r>
          </w:p>
        </w:tc>
        <w:tc>
          <w:tcPr>
            <w:tcW w:type="dxa" w:w="663"/>
          </w:tcPr>
          <w:p>
            <w:r/>
            <w:r>
              <w:rPr>
                <w:sz w:val="16"/>
              </w:rPr>
              <w:t>T08</w:t>
            </w:r>
          </w:p>
        </w:tc>
        <w:tc>
          <w:tcPr>
            <w:tcW w:type="dxa" w:w="1134"/>
          </w:tcPr>
          <w:p>
            <w:r/>
            <w:r>
              <w:rPr>
                <w:sz w:val="16"/>
              </w:rPr>
              <w:t>91, 92, 162</w:t>
            </w:r>
          </w:p>
        </w:tc>
        <w:tc>
          <w:tcPr>
            <w:tcW w:type="dxa" w:w="4167"/>
          </w:tcPr>
          <w:p>
            <w:r/>
            <w:r>
              <w:rPr>
                <w:sz w:val="16"/>
              </w:rPr>
              <w:t>Reducción de mortalidad con terapia triple presentada como efecto demostrado, sin las limitaciones de IMPACT y ETHOS</w:t>
            </w:r>
          </w:p>
        </w:tc>
        <w:tc>
          <w:tcPr>
            <w:tcW w:type="dxa" w:w="765"/>
          </w:tcPr>
          <w:p>
            <w:r/>
            <w:r>
              <w:rPr>
                <w:sz w:val="16"/>
              </w:rPr>
              <w:t>5</w:t>
            </w:r>
          </w:p>
        </w:tc>
        <w:tc>
          <w:tcPr>
            <w:tcW w:type="dxa" w:w="663"/>
          </w:tcPr>
          <w:p>
            <w:r/>
            <w:r>
              <w:rPr>
                <w:sz w:val="16"/>
              </w:rPr>
              <w:t>✔</w:t>
            </w:r>
          </w:p>
        </w:tc>
        <w:tc>
          <w:tcPr>
            <w:tcW w:type="dxa" w:w="1276"/>
          </w:tcPr>
          <w:p>
            <w:r/>
            <w:r>
              <w:rPr>
                <w:sz w:val="16"/>
              </w:rPr>
              <w:t>Parcial</w:t>
            </w:r>
          </w:p>
        </w:tc>
      </w:tr>
      <w:tr>
        <w:tc>
          <w:tcPr>
            <w:tcW w:type="dxa" w:w="969"/>
          </w:tcPr>
          <w:p>
            <w:r/>
            <w:r>
              <w:rPr>
                <w:sz w:val="16"/>
              </w:rPr>
              <w:t>MET-11</w:t>
            </w:r>
          </w:p>
        </w:tc>
        <w:tc>
          <w:tcPr>
            <w:tcW w:type="dxa" w:w="663"/>
          </w:tcPr>
          <w:p>
            <w:r/>
            <w:r>
              <w:rPr>
                <w:sz w:val="16"/>
              </w:rPr>
              <w:t>T09</w:t>
            </w:r>
          </w:p>
        </w:tc>
        <w:tc>
          <w:tcPr>
            <w:tcW w:type="dxa" w:w="1134"/>
          </w:tcPr>
          <w:p>
            <w:r/>
            <w:r>
              <w:rPr>
                <w:sz w:val="16"/>
              </w:rPr>
              <w:t>163</w:t>
            </w:r>
          </w:p>
        </w:tc>
        <w:tc>
          <w:tcPr>
            <w:tcW w:type="dxa" w:w="4167"/>
          </w:tcPr>
          <w:p>
            <w:r/>
            <w:r>
              <w:rPr>
                <w:sz w:val="16"/>
              </w:rPr>
              <w:t>El texto sobre biológicos sobrerrepresenta los resultados de los ensayos</w:t>
            </w:r>
          </w:p>
        </w:tc>
        <w:tc>
          <w:tcPr>
            <w:tcW w:type="dxa" w:w="765"/>
          </w:tcPr>
          <w:p>
            <w:r/>
            <w:r>
              <w:rPr>
                <w:sz w:val="16"/>
              </w:rPr>
              <w:t>—</w:t>
            </w:r>
          </w:p>
        </w:tc>
        <w:tc>
          <w:tcPr>
            <w:tcW w:type="dxa" w:w="663"/>
          </w:tcPr>
          <w:p>
            <w:r/>
            <w:r>
              <w:rPr>
                <w:sz w:val="16"/>
              </w:rPr>
              <w:t>✔</w:t>
            </w:r>
          </w:p>
        </w:tc>
        <w:tc>
          <w:tcPr>
            <w:tcW w:type="dxa" w:w="1276"/>
          </w:tcPr>
          <w:p>
            <w:r/>
            <w:r>
              <w:rPr>
                <w:sz w:val="16"/>
              </w:rPr>
              <w:t>Confirmado</w:t>
            </w:r>
          </w:p>
        </w:tc>
      </w:tr>
      <w:tr>
        <w:tc>
          <w:tcPr>
            <w:tcW w:type="dxa" w:w="969"/>
          </w:tcPr>
          <w:p>
            <w:r/>
            <w:r>
              <w:rPr>
                <w:sz w:val="16"/>
              </w:rPr>
              <w:t>NOV-01</w:t>
            </w:r>
          </w:p>
        </w:tc>
        <w:tc>
          <w:tcPr>
            <w:tcW w:type="dxa" w:w="663"/>
          </w:tcPr>
          <w:p>
            <w:r/>
            <w:r>
              <w:rPr>
                <w:sz w:val="16"/>
              </w:rPr>
              <w:t>T09</w:t>
            </w:r>
          </w:p>
        </w:tc>
        <w:tc>
          <w:tcPr>
            <w:tcW w:type="dxa" w:w="1134"/>
          </w:tcPr>
          <w:p>
            <w:r/>
            <w:r>
              <w:rPr>
                <w:sz w:val="16"/>
              </w:rPr>
              <w:t>163</w:t>
            </w:r>
          </w:p>
        </w:tc>
        <w:tc>
          <w:tcPr>
            <w:tcW w:type="dxa" w:w="4167"/>
          </w:tcPr>
          <w:p>
            <w:r/>
            <w:r>
              <w:rPr>
                <w:sz w:val="16"/>
              </w:rPr>
              <w:t>Apéndice 3 describe erróneamente la evidencia de mepolizumab (población, duración, resultados)</w:t>
            </w:r>
          </w:p>
        </w:tc>
        <w:tc>
          <w:tcPr>
            <w:tcW w:type="dxa" w:w="765"/>
          </w:tcPr>
          <w:p>
            <w:r/>
            <w:r>
              <w:rPr>
                <w:sz w:val="16"/>
              </w:rPr>
              <w:t>5</w:t>
            </w:r>
          </w:p>
        </w:tc>
        <w:tc>
          <w:tcPr>
            <w:tcW w:type="dxa" w:w="663"/>
          </w:tcPr>
          <w:p>
            <w:r/>
            <w:r>
              <w:rPr>
                <w:sz w:val="16"/>
              </w:rPr>
              <w:t>✔</w:t>
            </w:r>
          </w:p>
        </w:tc>
        <w:tc>
          <w:tcPr>
            <w:tcW w:type="dxa" w:w="1276"/>
          </w:tcPr>
          <w:p>
            <w:r/>
            <w:r>
              <w:rPr>
                <w:sz w:val="16"/>
              </w:rPr>
              <w:t>Confirmado</w:t>
            </w:r>
          </w:p>
        </w:tc>
      </w:tr>
      <w:tr>
        <w:tc>
          <w:tcPr>
            <w:tcW w:type="dxa" w:w="969"/>
          </w:tcPr>
          <w:p>
            <w:r/>
            <w:r>
              <w:rPr>
                <w:sz w:val="16"/>
              </w:rPr>
              <w:t>NOV-08</w:t>
            </w:r>
          </w:p>
        </w:tc>
        <w:tc>
          <w:tcPr>
            <w:tcW w:type="dxa" w:w="663"/>
          </w:tcPr>
          <w:p>
            <w:r/>
            <w:r>
              <w:rPr>
                <w:sz w:val="16"/>
              </w:rPr>
              <w:t>T09</w:t>
            </w:r>
          </w:p>
        </w:tc>
        <w:tc>
          <w:tcPr>
            <w:tcW w:type="dxa" w:w="1134"/>
          </w:tcPr>
          <w:p>
            <w:r/>
            <w:r>
              <w:rPr>
                <w:sz w:val="16"/>
              </w:rPr>
              <w:t>74, 77, 163</w:t>
            </w:r>
          </w:p>
        </w:tc>
        <w:tc>
          <w:tcPr>
            <w:tcW w:type="dxa" w:w="4167"/>
          </w:tcPr>
          <w:p>
            <w:r/>
            <w:r>
              <w:rPr>
                <w:sz w:val="16"/>
              </w:rPr>
              <w:t>Ensifentrina recomendada tras LABA+LAMA sin evidencia en esa posición</w:t>
            </w:r>
          </w:p>
        </w:tc>
        <w:tc>
          <w:tcPr>
            <w:tcW w:type="dxa" w:w="765"/>
          </w:tcPr>
          <w:p>
            <w:r/>
            <w:r>
              <w:rPr>
                <w:sz w:val="16"/>
              </w:rPr>
              <w:t>4</w:t>
            </w:r>
          </w:p>
        </w:tc>
        <w:tc>
          <w:tcPr>
            <w:tcW w:type="dxa" w:w="663"/>
          </w:tcPr>
          <w:p>
            <w:r/>
            <w:r>
              <w:rPr>
                <w:sz w:val="16"/>
              </w:rPr>
              <w:t>✔</w:t>
            </w:r>
          </w:p>
        </w:tc>
        <w:tc>
          <w:tcPr>
            <w:tcW w:type="dxa" w:w="1276"/>
          </w:tcPr>
          <w:p>
            <w:r/>
            <w:r>
              <w:rPr>
                <w:sz w:val="16"/>
              </w:rPr>
              <w:t>Confirmado</w:t>
            </w:r>
          </w:p>
        </w:tc>
      </w:tr>
      <w:tr>
        <w:tc>
          <w:tcPr>
            <w:tcW w:type="dxa" w:w="969"/>
          </w:tcPr>
          <w:p>
            <w:r/>
            <w:r>
              <w:rPr>
                <w:sz w:val="16"/>
              </w:rPr>
              <w:t>EXA-02</w:t>
            </w:r>
          </w:p>
        </w:tc>
        <w:tc>
          <w:tcPr>
            <w:tcW w:type="dxa" w:w="663"/>
          </w:tcPr>
          <w:p>
            <w:r/>
            <w:r>
              <w:rPr>
                <w:sz w:val="16"/>
              </w:rPr>
              <w:t>T10</w:t>
            </w:r>
          </w:p>
        </w:tc>
        <w:tc>
          <w:tcPr>
            <w:tcW w:type="dxa" w:w="1134"/>
          </w:tcPr>
          <w:p>
            <w:r/>
            <w:r>
              <w:rPr>
                <w:sz w:val="16"/>
              </w:rPr>
              <w:t>119</w:t>
            </w:r>
          </w:p>
        </w:tc>
        <w:tc>
          <w:tcPr>
            <w:tcW w:type="dxa" w:w="4167"/>
          </w:tcPr>
          <w:p>
            <w:r/>
            <w:r>
              <w:rPr>
                <w:sz w:val="16"/>
              </w:rPr>
              <w:t>La Fig. 4.9 no incluye el fracaso de la VNI ni la acidosis hipercápnica progresiva como indicación de VMI</w:t>
            </w:r>
          </w:p>
        </w:tc>
        <w:tc>
          <w:tcPr>
            <w:tcW w:type="dxa" w:w="765"/>
          </w:tcPr>
          <w:p>
            <w:r/>
            <w:r>
              <w:rPr>
                <w:sz w:val="16"/>
              </w:rPr>
              <w:t>5</w:t>
            </w:r>
          </w:p>
        </w:tc>
        <w:tc>
          <w:tcPr>
            <w:tcW w:type="dxa" w:w="663"/>
          </w:tcPr>
          <w:p>
            <w:r/>
            <w:r>
              <w:rPr>
                <w:sz w:val="16"/>
              </w:rPr>
              <w:t>✖</w:t>
            </w:r>
          </w:p>
        </w:tc>
        <w:tc>
          <w:tcPr>
            <w:tcW w:type="dxa" w:w="1276"/>
          </w:tcPr>
          <w:p>
            <w:r/>
            <w:r>
              <w:rPr>
                <w:sz w:val="16"/>
              </w:rPr>
              <w:t>Confirmado</w:t>
            </w:r>
          </w:p>
        </w:tc>
      </w:tr>
      <w:tr>
        <w:tc>
          <w:tcPr>
            <w:tcW w:type="dxa" w:w="969"/>
          </w:tcPr>
          <w:p>
            <w:r/>
            <w:r>
              <w:rPr>
                <w:sz w:val="16"/>
              </w:rPr>
              <w:t>EXA-06</w:t>
            </w:r>
          </w:p>
        </w:tc>
        <w:tc>
          <w:tcPr>
            <w:tcW w:type="dxa" w:w="663"/>
          </w:tcPr>
          <w:p>
            <w:r/>
            <w:r>
              <w:rPr>
                <w:sz w:val="16"/>
              </w:rPr>
              <w:t>T10</w:t>
            </w:r>
          </w:p>
        </w:tc>
        <w:tc>
          <w:tcPr>
            <w:tcW w:type="dxa" w:w="1134"/>
          </w:tcPr>
          <w:p>
            <w:r/>
            <w:r>
              <w:rPr>
                <w:sz w:val="16"/>
              </w:rPr>
              <w:t>103, 113, 117</w:t>
            </w:r>
          </w:p>
        </w:tc>
        <w:tc>
          <w:tcPr>
            <w:tcW w:type="dxa" w:w="4167"/>
          </w:tcPr>
          <w:p>
            <w:r/>
            <w:r>
              <w:rPr>
                <w:sz w:val="16"/>
              </w:rPr>
              <w:t>Posicionamiento de la HFNT: se le atribuye la evidencia de la VNI y hay contradicciones entre figuras y texto</w:t>
            </w:r>
          </w:p>
        </w:tc>
        <w:tc>
          <w:tcPr>
            <w:tcW w:type="dxa" w:w="765"/>
          </w:tcPr>
          <w:p>
            <w:r/>
            <w:r>
              <w:rPr>
                <w:sz w:val="16"/>
              </w:rPr>
              <w:t>5</w:t>
            </w:r>
          </w:p>
        </w:tc>
        <w:tc>
          <w:tcPr>
            <w:tcW w:type="dxa" w:w="663"/>
          </w:tcPr>
          <w:p>
            <w:r/>
            <w:r>
              <w:rPr>
                <w:sz w:val="16"/>
              </w:rPr>
              <w:t>≈</w:t>
            </w:r>
          </w:p>
        </w:tc>
        <w:tc>
          <w:tcPr>
            <w:tcW w:type="dxa" w:w="1276"/>
          </w:tcPr>
          <w:p>
            <w:r/>
            <w:r>
              <w:rPr>
                <w:sz w:val="16"/>
              </w:rPr>
              <w:t>Confirmado</w:t>
            </w:r>
          </w:p>
        </w:tc>
      </w:tr>
      <w:tr>
        <w:tc>
          <w:tcPr>
            <w:tcW w:type="dxa" w:w="969"/>
          </w:tcPr>
          <w:p>
            <w:r/>
            <w:r>
              <w:rPr>
                <w:sz w:val="16"/>
              </w:rPr>
              <w:t>MET-16</w:t>
            </w:r>
          </w:p>
        </w:tc>
        <w:tc>
          <w:tcPr>
            <w:tcW w:type="dxa" w:w="663"/>
          </w:tcPr>
          <w:p>
            <w:r/>
            <w:r>
              <w:rPr>
                <w:sz w:val="16"/>
              </w:rPr>
              <w:t>T10</w:t>
            </w:r>
          </w:p>
        </w:tc>
        <w:tc>
          <w:tcPr>
            <w:tcW w:type="dxa" w:w="1134"/>
          </w:tcPr>
          <w:p>
            <w:r/>
            <w:r>
              <w:rPr>
                <w:sz w:val="16"/>
              </w:rPr>
              <w:t>92, 117, 207, 219</w:t>
            </w:r>
          </w:p>
        </w:tc>
        <w:tc>
          <w:tcPr>
            <w:tcW w:type="dxa" w:w="4167"/>
          </w:tcPr>
          <w:p>
            <w:r/>
            <w:r>
              <w:rPr>
                <w:sz w:val="16"/>
              </w:rPr>
              <w:t>Protocolos citados como resultados y un ECA descrito con resultados opuestos (HFNT, SUMMIT)</w:t>
            </w:r>
          </w:p>
        </w:tc>
        <w:tc>
          <w:tcPr>
            <w:tcW w:type="dxa" w:w="765"/>
          </w:tcPr>
          <w:p>
            <w:r/>
            <w:r>
              <w:rPr>
                <w:sz w:val="16"/>
              </w:rPr>
              <w:t>—</w:t>
            </w:r>
          </w:p>
        </w:tc>
        <w:tc>
          <w:tcPr>
            <w:tcW w:type="dxa" w:w="663"/>
          </w:tcPr>
          <w:p>
            <w:r/>
            <w:r>
              <w:rPr>
                <w:sz w:val="16"/>
              </w:rPr>
              <w:t>✔</w:t>
            </w:r>
          </w:p>
        </w:tc>
        <w:tc>
          <w:tcPr>
            <w:tcW w:type="dxa" w:w="1276"/>
          </w:tcPr>
          <w:p>
            <w:r/>
          </w:p>
        </w:tc>
      </w:tr>
      <w:tr>
        <w:tc>
          <w:tcPr>
            <w:tcW w:type="dxa" w:w="969"/>
          </w:tcPr>
          <w:p>
            <w:r/>
            <w:r>
              <w:rPr>
                <w:sz w:val="16"/>
              </w:rPr>
              <w:t>EXA-07</w:t>
            </w:r>
          </w:p>
        </w:tc>
        <w:tc>
          <w:tcPr>
            <w:tcW w:type="dxa" w:w="663"/>
          </w:tcPr>
          <w:p>
            <w:r/>
            <w:r>
              <w:rPr>
                <w:sz w:val="16"/>
              </w:rPr>
              <w:t>T11</w:t>
            </w:r>
          </w:p>
        </w:tc>
        <w:tc>
          <w:tcPr>
            <w:tcW w:type="dxa" w:w="1134"/>
          </w:tcPr>
          <w:p>
            <w:r/>
            <w:r>
              <w:rPr>
                <w:sz w:val="16"/>
              </w:rPr>
              <w:t>103, 113, 115</w:t>
            </w:r>
          </w:p>
        </w:tc>
        <w:tc>
          <w:tcPr>
            <w:tcW w:type="dxa" w:w="4167"/>
          </w:tcPr>
          <w:p>
            <w:r/>
            <w:r>
              <w:rPr>
                <w:sz w:val="16"/>
              </w:rPr>
              <w:t>Criterios de indicación antibiótica mal reproducidos (Anthonisen) e incoherentes entre puntos clave, texto y figuras</w:t>
            </w:r>
          </w:p>
        </w:tc>
        <w:tc>
          <w:tcPr>
            <w:tcW w:type="dxa" w:w="765"/>
          </w:tcPr>
          <w:p>
            <w:r/>
            <w:r>
              <w:rPr>
                <w:sz w:val="16"/>
              </w:rPr>
              <w:t>5</w:t>
            </w:r>
          </w:p>
        </w:tc>
        <w:tc>
          <w:tcPr>
            <w:tcW w:type="dxa" w:w="663"/>
          </w:tcPr>
          <w:p>
            <w:r/>
            <w:r>
              <w:rPr>
                <w:sz w:val="16"/>
              </w:rPr>
              <w:t>≈</w:t>
            </w:r>
          </w:p>
        </w:tc>
        <w:tc>
          <w:tcPr>
            <w:tcW w:type="dxa" w:w="1276"/>
          </w:tcPr>
          <w:p>
            <w:r/>
          </w:p>
        </w:tc>
      </w:tr>
      <w:tr>
        <w:tc>
          <w:tcPr>
            <w:tcW w:type="dxa" w:w="969"/>
          </w:tcPr>
          <w:p>
            <w:r/>
            <w:r>
              <w:rPr>
                <w:sz w:val="16"/>
              </w:rPr>
              <w:t>EXA-08</w:t>
            </w:r>
          </w:p>
        </w:tc>
        <w:tc>
          <w:tcPr>
            <w:tcW w:type="dxa" w:w="663"/>
          </w:tcPr>
          <w:p>
            <w:r/>
            <w:r>
              <w:rPr>
                <w:sz w:val="16"/>
              </w:rPr>
              <w:t>T11</w:t>
            </w:r>
          </w:p>
        </w:tc>
        <w:tc>
          <w:tcPr>
            <w:tcW w:type="dxa" w:w="1134"/>
          </w:tcPr>
          <w:p>
            <w:r/>
            <w:r>
              <w:rPr>
                <w:sz w:val="16"/>
              </w:rPr>
              <w:t>115</w:t>
            </w:r>
          </w:p>
        </w:tc>
        <w:tc>
          <w:tcPr>
            <w:tcW w:type="dxa" w:w="4167"/>
          </w:tcPr>
          <w:p>
            <w:r/>
            <w:r>
              <w:rPr>
                <w:sz w:val="16"/>
              </w:rPr>
              <w:t xml:space="preserve">Elección empírica del antibiótico sin estratificar por riesgo de </w:t>
            </w:r>
            <w:r>
              <w:rPr>
                <w:i/>
                <w:sz w:val="16"/>
              </w:rPr>
              <w:t>Pseudomonas</w:t>
            </w:r>
            <w:r>
              <w:rPr>
                <w:sz w:val="16"/>
              </w:rPr>
              <w:t>, sin resistencias y sin advertencias sobre fluoroquinolonas</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EXA-09</w:t>
            </w:r>
          </w:p>
        </w:tc>
        <w:tc>
          <w:tcPr>
            <w:tcW w:type="dxa" w:w="663"/>
          </w:tcPr>
          <w:p>
            <w:r/>
            <w:r>
              <w:rPr>
                <w:sz w:val="16"/>
              </w:rPr>
              <w:t>T11</w:t>
            </w:r>
          </w:p>
        </w:tc>
        <w:tc>
          <w:tcPr>
            <w:tcW w:type="dxa" w:w="1134"/>
          </w:tcPr>
          <w:p>
            <w:r/>
            <w:r>
              <w:rPr>
                <w:sz w:val="16"/>
              </w:rPr>
              <w:t>107, 110</w:t>
            </w:r>
          </w:p>
        </w:tc>
        <w:tc>
          <w:tcPr>
            <w:tcW w:type="dxa" w:w="4167"/>
          </w:tcPr>
          <w:p>
            <w:r/>
            <w:r>
              <w:rPr>
                <w:sz w:val="16"/>
              </w:rPr>
              <w:t>Omisión completa del tratamiento antiviral (gripe, COVID-19)</w:t>
            </w:r>
          </w:p>
        </w:tc>
        <w:tc>
          <w:tcPr>
            <w:tcW w:type="dxa" w:w="765"/>
          </w:tcPr>
          <w:p>
            <w:r/>
            <w:r>
              <w:rPr>
                <w:sz w:val="16"/>
              </w:rPr>
              <w:t>5</w:t>
            </w:r>
          </w:p>
        </w:tc>
        <w:tc>
          <w:tcPr>
            <w:tcW w:type="dxa" w:w="663"/>
          </w:tcPr>
          <w:p>
            <w:r/>
            <w:r>
              <w:rPr>
                <w:sz w:val="16"/>
              </w:rPr>
              <w:t>≈</w:t>
            </w:r>
          </w:p>
        </w:tc>
        <w:tc>
          <w:tcPr>
            <w:tcW w:type="dxa" w:w="1276"/>
          </w:tcPr>
          <w:p>
            <w:r/>
            <w:r>
              <w:rPr>
                <w:sz w:val="16"/>
              </w:rPr>
              <w:t>Confirmado</w:t>
            </w:r>
          </w:p>
        </w:tc>
      </w:tr>
      <w:tr>
        <w:tc>
          <w:tcPr>
            <w:tcW w:type="dxa" w:w="969"/>
          </w:tcPr>
          <w:p>
            <w:r/>
            <w:r>
              <w:rPr>
                <w:sz w:val="16"/>
              </w:rPr>
              <w:t>MET-09</w:t>
            </w:r>
          </w:p>
        </w:tc>
        <w:tc>
          <w:tcPr>
            <w:tcW w:type="dxa" w:w="663"/>
          </w:tcPr>
          <w:p>
            <w:r/>
            <w:r>
              <w:rPr>
                <w:sz w:val="16"/>
              </w:rPr>
              <w:t>T11</w:t>
            </w:r>
          </w:p>
        </w:tc>
        <w:tc>
          <w:tcPr>
            <w:tcW w:type="dxa" w:w="1134"/>
          </w:tcPr>
          <w:p>
            <w:r/>
            <w:r>
              <w:rPr>
                <w:sz w:val="16"/>
              </w:rPr>
              <w:t>113, 118</w:t>
            </w:r>
          </w:p>
        </w:tc>
        <w:tc>
          <w:tcPr>
            <w:tcW w:type="dxa" w:w="4167"/>
          </w:tcPr>
          <w:p>
            <w:r/>
            <w:r>
              <w:rPr>
                <w:sz w:val="16"/>
              </w:rPr>
              <w:t>Fig 4.6: un único nivel A para afirmaciones compuestas, discordancia con el texto y criterio antibiótico sin base en ECA</w:t>
            </w:r>
          </w:p>
        </w:tc>
        <w:tc>
          <w:tcPr>
            <w:tcW w:type="dxa" w:w="765"/>
          </w:tcPr>
          <w:p>
            <w:r/>
            <w:r>
              <w:rPr>
                <w:sz w:val="16"/>
              </w:rPr>
              <w:t>—</w:t>
            </w:r>
          </w:p>
        </w:tc>
        <w:tc>
          <w:tcPr>
            <w:tcW w:type="dxa" w:w="663"/>
          </w:tcPr>
          <w:p>
            <w:r/>
            <w:r>
              <w:rPr>
                <w:sz w:val="16"/>
              </w:rPr>
              <w:t>≈</w:t>
            </w:r>
          </w:p>
        </w:tc>
        <w:tc>
          <w:tcPr>
            <w:tcW w:type="dxa" w:w="1276"/>
          </w:tcPr>
          <w:p>
            <w:r/>
            <w:r>
              <w:rPr>
                <w:sz w:val="16"/>
              </w:rPr>
              <w:t>Confirmado</w:t>
            </w:r>
          </w:p>
        </w:tc>
      </w:tr>
      <w:tr>
        <w:tc>
          <w:tcPr>
            <w:tcW w:type="dxa" w:w="969"/>
          </w:tcPr>
          <w:p>
            <w:r/>
            <w:r>
              <w:rPr>
                <w:sz w:val="16"/>
              </w:rPr>
              <w:t>REH-04</w:t>
            </w:r>
          </w:p>
        </w:tc>
        <w:tc>
          <w:tcPr>
            <w:tcW w:type="dxa" w:w="663"/>
          </w:tcPr>
          <w:p>
            <w:r/>
            <w:r>
              <w:rPr>
                <w:sz w:val="16"/>
              </w:rPr>
              <w:t>T12</w:t>
            </w:r>
          </w:p>
        </w:tc>
        <w:tc>
          <w:tcPr>
            <w:tcW w:type="dxa" w:w="1134"/>
          </w:tcPr>
          <w:p>
            <w:r/>
            <w:r>
              <w:rPr>
                <w:sz w:val="16"/>
              </w:rPr>
              <w:t>61, 87, 88, 89</w:t>
            </w:r>
          </w:p>
        </w:tc>
        <w:tc>
          <w:tcPr>
            <w:tcW w:type="dxa" w:w="4167"/>
          </w:tcPr>
          <w:p>
            <w:r/>
            <w:r>
              <w:rPr>
                <w:sz w:val="16"/>
              </w:rPr>
              <w:t>Criterios de prescripción de LTOT incoherentes entre texto, Figura 3.18 y mensajes clave</w:t>
            </w:r>
          </w:p>
        </w:tc>
        <w:tc>
          <w:tcPr>
            <w:tcW w:type="dxa" w:w="765"/>
          </w:tcPr>
          <w:p>
            <w:r/>
            <w:r>
              <w:rPr>
                <w:sz w:val="16"/>
              </w:rPr>
              <w:t>5</w:t>
            </w:r>
          </w:p>
        </w:tc>
        <w:tc>
          <w:tcPr>
            <w:tcW w:type="dxa" w:w="663"/>
          </w:tcPr>
          <w:p>
            <w:r/>
            <w:r>
              <w:rPr>
                <w:sz w:val="16"/>
              </w:rPr>
              <w:t>≈</w:t>
            </w:r>
          </w:p>
        </w:tc>
        <w:tc>
          <w:tcPr>
            <w:tcW w:type="dxa" w:w="1276"/>
          </w:tcPr>
          <w:p>
            <w:r/>
            <w:r>
              <w:rPr>
                <w:sz w:val="16"/>
              </w:rPr>
              <w:t>Confirmado</w:t>
            </w:r>
          </w:p>
        </w:tc>
      </w:tr>
      <w:tr>
        <w:tc>
          <w:tcPr>
            <w:tcW w:type="dxa" w:w="969"/>
          </w:tcPr>
          <w:p>
            <w:r/>
            <w:r>
              <w:rPr>
                <w:sz w:val="16"/>
              </w:rPr>
              <w:t>REH-05</w:t>
            </w:r>
          </w:p>
        </w:tc>
        <w:tc>
          <w:tcPr>
            <w:tcW w:type="dxa" w:w="663"/>
          </w:tcPr>
          <w:p>
            <w:r/>
            <w:r>
              <w:rPr>
                <w:sz w:val="16"/>
              </w:rPr>
              <w:t>T12</w:t>
            </w:r>
          </w:p>
        </w:tc>
        <w:tc>
          <w:tcPr>
            <w:tcW w:type="dxa" w:w="1134"/>
          </w:tcPr>
          <w:p>
            <w:r/>
            <w:r>
              <w:rPr>
                <w:sz w:val="16"/>
              </w:rPr>
              <w:t>56, 87, 89, 110</w:t>
            </w:r>
          </w:p>
        </w:tc>
        <w:tc>
          <w:tcPr>
            <w:tcW w:type="dxa" w:w="4167"/>
          </w:tcPr>
          <w:p>
            <w:r/>
            <w:r>
              <w:rPr>
                <w:sz w:val="16"/>
              </w:rPr>
              <w:t>LTOT basada en «SaO2» sin exigir gasometría ni advertir del sesgo de la oximetría según el tono de piel</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REH-12</w:t>
            </w:r>
          </w:p>
        </w:tc>
        <w:tc>
          <w:tcPr>
            <w:tcW w:type="dxa" w:w="663"/>
          </w:tcPr>
          <w:p>
            <w:r/>
            <w:r>
              <w:rPr>
                <w:sz w:val="16"/>
              </w:rPr>
              <w:t>T13</w:t>
            </w:r>
          </w:p>
        </w:tc>
        <w:tc>
          <w:tcPr>
            <w:tcW w:type="dxa" w:w="1134"/>
          </w:tcPr>
          <w:p>
            <w:r/>
            <w:r>
              <w:rPr>
                <w:sz w:val="16"/>
              </w:rPr>
              <w:t>89, 92</w:t>
            </w:r>
          </w:p>
        </w:tc>
        <w:tc>
          <w:tcPr>
            <w:tcW w:type="dxa" w:w="4167"/>
          </w:tcPr>
          <w:p>
            <w:r/>
            <w:r>
              <w:rPr>
                <w:sz w:val="16"/>
              </w:rPr>
              <w:t>VMNI: errores de citación que invierten el sentido de la evidencia</w:t>
            </w:r>
          </w:p>
        </w:tc>
        <w:tc>
          <w:tcPr>
            <w:tcW w:type="dxa" w:w="765"/>
          </w:tcPr>
          <w:p>
            <w:r/>
            <w:r>
              <w:rPr>
                <w:sz w:val="16"/>
              </w:rPr>
              <w:t>5</w:t>
            </w:r>
          </w:p>
        </w:tc>
        <w:tc>
          <w:tcPr>
            <w:tcW w:type="dxa" w:w="663"/>
          </w:tcPr>
          <w:p>
            <w:r/>
            <w:r>
              <w:rPr>
                <w:sz w:val="16"/>
              </w:rPr>
              <w:t>✔</w:t>
            </w:r>
          </w:p>
        </w:tc>
        <w:tc>
          <w:tcPr>
            <w:tcW w:type="dxa" w:w="1276"/>
          </w:tcPr>
          <w:p>
            <w:r/>
          </w:p>
        </w:tc>
      </w:tr>
      <w:tr>
        <w:tc>
          <w:tcPr>
            <w:tcW w:type="dxa" w:w="969"/>
          </w:tcPr>
          <w:p>
            <w:r/>
            <w:r>
              <w:rPr>
                <w:sz w:val="16"/>
              </w:rPr>
              <w:t>REH-13</w:t>
            </w:r>
          </w:p>
        </w:tc>
        <w:tc>
          <w:tcPr>
            <w:tcW w:type="dxa" w:w="663"/>
          </w:tcPr>
          <w:p>
            <w:r/>
            <w:r>
              <w:rPr>
                <w:sz w:val="16"/>
              </w:rPr>
              <w:t>T13</w:t>
            </w:r>
          </w:p>
        </w:tc>
        <w:tc>
          <w:tcPr>
            <w:tcW w:type="dxa" w:w="1134"/>
          </w:tcPr>
          <w:p>
            <w:r/>
            <w:r>
              <w:rPr>
                <w:sz w:val="16"/>
              </w:rPr>
              <w:t>61, 88, 89, 91</w:t>
            </w:r>
          </w:p>
        </w:tc>
        <w:tc>
          <w:tcPr>
            <w:tcW w:type="dxa" w:w="4167"/>
          </w:tcPr>
          <w:p>
            <w:r/>
            <w:r>
              <w:rPr>
                <w:sz w:val="16"/>
              </w:rPr>
              <w:t>VMNI domiciliaria: mensajes contradictorios y sin criterios operativos de prescripción</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INT-02</w:t>
            </w:r>
          </w:p>
        </w:tc>
        <w:tc>
          <w:tcPr>
            <w:tcW w:type="dxa" w:w="663"/>
          </w:tcPr>
          <w:p>
            <w:r/>
            <w:r>
              <w:rPr>
                <w:sz w:val="16"/>
              </w:rPr>
              <w:t>T14</w:t>
            </w:r>
          </w:p>
        </w:tc>
        <w:tc>
          <w:tcPr>
            <w:tcW w:type="dxa" w:w="1134"/>
          </w:tcPr>
          <w:p>
            <w:r/>
            <w:r>
              <w:rPr>
                <w:sz w:val="16"/>
              </w:rPr>
              <w:t>93, 94</w:t>
            </w:r>
          </w:p>
        </w:tc>
        <w:tc>
          <w:tcPr>
            <w:tcW w:type="dxa" w:w="4167"/>
          </w:tcPr>
          <w:p>
            <w:r/>
            <w:r>
              <w:rPr>
                <w:sz w:val="16"/>
              </w:rPr>
              <w:t>Opioides para la disnea: «pueden aliviar» (Evidence C) sin reflejar los ECA negativos, la guía ERS 2024 ni la seguridad</w:t>
            </w:r>
          </w:p>
        </w:tc>
        <w:tc>
          <w:tcPr>
            <w:tcW w:type="dxa" w:w="765"/>
          </w:tcPr>
          <w:p>
            <w:r/>
            <w:r>
              <w:rPr>
                <w:sz w:val="16"/>
              </w:rPr>
              <w:t>4</w:t>
            </w:r>
          </w:p>
        </w:tc>
        <w:tc>
          <w:tcPr>
            <w:tcW w:type="dxa" w:w="663"/>
          </w:tcPr>
          <w:p>
            <w:r/>
            <w:r>
              <w:rPr>
                <w:sz w:val="16"/>
              </w:rPr>
              <w:t>✖</w:t>
            </w:r>
          </w:p>
        </w:tc>
        <w:tc>
          <w:tcPr>
            <w:tcW w:type="dxa" w:w="1276"/>
          </w:tcPr>
          <w:p>
            <w:r/>
            <w:r>
              <w:rPr>
                <w:sz w:val="16"/>
              </w:rPr>
              <w:t>Confirmado</w:t>
            </w:r>
          </w:p>
        </w:tc>
      </w:tr>
      <w:tr>
        <w:tc>
          <w:tcPr>
            <w:tcW w:type="dxa" w:w="969"/>
          </w:tcPr>
          <w:p>
            <w:r/>
            <w:r>
              <w:rPr>
                <w:sz w:val="16"/>
              </w:rPr>
              <w:t>INT-03</w:t>
            </w:r>
          </w:p>
        </w:tc>
        <w:tc>
          <w:tcPr>
            <w:tcW w:type="dxa" w:w="663"/>
          </w:tcPr>
          <w:p>
            <w:r/>
            <w:r>
              <w:rPr>
                <w:sz w:val="16"/>
              </w:rPr>
              <w:t>T14</w:t>
            </w:r>
          </w:p>
        </w:tc>
        <w:tc>
          <w:tcPr>
            <w:tcW w:type="dxa" w:w="1134"/>
          </w:tcPr>
          <w:p>
            <w:r/>
            <w:r>
              <w:rPr>
                <w:sz w:val="16"/>
              </w:rPr>
              <w:t>87, 93, 94</w:t>
            </w:r>
          </w:p>
        </w:tc>
        <w:tc>
          <w:tcPr>
            <w:tcW w:type="dxa" w:w="4167"/>
          </w:tcPr>
          <w:p>
            <w:r/>
            <w:r>
              <w:rPr>
                <w:sz w:val="16"/>
              </w:rPr>
              <w:t>Oxígeno paliativo en pacientes no hipoxémicos: remisión errónea a la Fig. 3.17 y contradicción con la PDF 87 y con la propia PDF 93</w:t>
            </w:r>
          </w:p>
        </w:tc>
        <w:tc>
          <w:tcPr>
            <w:tcW w:type="dxa" w:w="765"/>
          </w:tcPr>
          <w:p>
            <w:r/>
            <w:r>
              <w:rPr>
                <w:sz w:val="16"/>
              </w:rPr>
              <w:t>5</w:t>
            </w:r>
          </w:p>
        </w:tc>
        <w:tc>
          <w:tcPr>
            <w:tcW w:type="dxa" w:w="663"/>
          </w:tcPr>
          <w:p>
            <w:r/>
            <w:r>
              <w:rPr>
                <w:sz w:val="16"/>
              </w:rPr>
              <w:t>✔</w:t>
            </w:r>
          </w:p>
        </w:tc>
        <w:tc>
          <w:tcPr>
            <w:tcW w:type="dxa" w:w="1276"/>
          </w:tcPr>
          <w:p>
            <w:r/>
          </w:p>
        </w:tc>
      </w:tr>
      <w:tr>
        <w:tc>
          <w:tcPr>
            <w:tcW w:type="dxa" w:w="969"/>
          </w:tcPr>
          <w:p>
            <w:r/>
            <w:r>
              <w:rPr>
                <w:sz w:val="16"/>
              </w:rPr>
              <w:t>INT-05</w:t>
            </w:r>
          </w:p>
        </w:tc>
        <w:tc>
          <w:tcPr>
            <w:tcW w:type="dxa" w:w="663"/>
          </w:tcPr>
          <w:p>
            <w:r/>
            <w:r>
              <w:rPr>
                <w:sz w:val="16"/>
              </w:rPr>
              <w:t>T15</w:t>
            </w:r>
          </w:p>
        </w:tc>
        <w:tc>
          <w:tcPr>
            <w:tcW w:type="dxa" w:w="1134"/>
          </w:tcPr>
          <w:p>
            <w:r/>
            <w:r>
              <w:rPr>
                <w:sz w:val="16"/>
              </w:rPr>
              <w:t>99</w:t>
            </w:r>
          </w:p>
        </w:tc>
        <w:tc>
          <w:tcPr>
            <w:tcW w:type="dxa" w:w="4167"/>
          </w:tcPr>
          <w:p>
            <w:r/>
            <w:r>
              <w:rPr>
                <w:sz w:val="16"/>
              </w:rPr>
              <w:t>EBV frente a LVRS: afirmación mal citada («menos complicaciones», ref. 862) y omisión del ECA CELEB; la nota de la Fig. 3.23 está desactualizada y contradice el texto</w:t>
            </w:r>
          </w:p>
        </w:tc>
        <w:tc>
          <w:tcPr>
            <w:tcW w:type="dxa" w:w="765"/>
          </w:tcPr>
          <w:p>
            <w:r/>
            <w:r>
              <w:rPr>
                <w:sz w:val="16"/>
              </w:rPr>
              <w:t>5</w:t>
            </w:r>
          </w:p>
        </w:tc>
        <w:tc>
          <w:tcPr>
            <w:tcW w:type="dxa" w:w="663"/>
          </w:tcPr>
          <w:p>
            <w:r/>
            <w:r>
              <w:rPr>
                <w:sz w:val="16"/>
              </w:rPr>
              <w:t>≈</w:t>
            </w:r>
          </w:p>
        </w:tc>
        <w:tc>
          <w:tcPr>
            <w:tcW w:type="dxa" w:w="1276"/>
          </w:tcPr>
          <w:p>
            <w:r/>
            <w:r>
              <w:rPr>
                <w:sz w:val="16"/>
              </w:rPr>
              <w:t>Confirmado</w:t>
            </w:r>
          </w:p>
        </w:tc>
      </w:tr>
      <w:tr>
        <w:tc>
          <w:tcPr>
            <w:tcW w:type="dxa" w:w="969"/>
          </w:tcPr>
          <w:p>
            <w:r/>
            <w:r>
              <w:rPr>
                <w:sz w:val="16"/>
              </w:rPr>
              <w:t>INT-07</w:t>
            </w:r>
          </w:p>
        </w:tc>
        <w:tc>
          <w:tcPr>
            <w:tcW w:type="dxa" w:w="663"/>
          </w:tcPr>
          <w:p>
            <w:r/>
            <w:r>
              <w:rPr>
                <w:sz w:val="16"/>
              </w:rPr>
              <w:t>T15</w:t>
            </w:r>
          </w:p>
        </w:tc>
        <w:tc>
          <w:tcPr>
            <w:tcW w:type="dxa" w:w="1134"/>
          </w:tcPr>
          <w:p>
            <w:r/>
            <w:r>
              <w:rPr>
                <w:sz w:val="16"/>
              </w:rPr>
              <w:t>92, 98, 99</w:t>
            </w:r>
          </w:p>
        </w:tc>
        <w:tc>
          <w:tcPr>
            <w:tcW w:type="dxa" w:w="4167"/>
          </w:tcPr>
          <w:p>
            <w:r/>
            <w:r>
              <w:rPr>
                <w:sz w:val="16"/>
              </w:rPr>
              <w:t>La Fig. 3.23 ofrece LVRS y ablación por vapor en el enfisema homogéneo sin advertir del subgrupo de alto riesgo</w:t>
            </w:r>
          </w:p>
        </w:tc>
        <w:tc>
          <w:tcPr>
            <w:tcW w:type="dxa" w:w="765"/>
          </w:tcPr>
          <w:p>
            <w:r/>
            <w:r>
              <w:rPr>
                <w:sz w:val="16"/>
              </w:rPr>
              <w:t>4</w:t>
            </w:r>
          </w:p>
        </w:tc>
        <w:tc>
          <w:tcPr>
            <w:tcW w:type="dxa" w:w="663"/>
          </w:tcPr>
          <w:p>
            <w:r/>
            <w:r>
              <w:rPr>
                <w:sz w:val="16"/>
              </w:rPr>
              <w:t>✖</w:t>
            </w:r>
          </w:p>
        </w:tc>
        <w:tc>
          <w:tcPr>
            <w:tcW w:type="dxa" w:w="1276"/>
          </w:tcPr>
          <w:p>
            <w:r/>
            <w:r>
              <w:rPr>
                <w:sz w:val="16"/>
              </w:rPr>
              <w:t>Confirmado</w:t>
            </w:r>
          </w:p>
        </w:tc>
      </w:tr>
      <w:tr>
        <w:tc>
          <w:tcPr>
            <w:tcW w:type="dxa" w:w="969"/>
          </w:tcPr>
          <w:p>
            <w:r/>
            <w:r>
              <w:rPr>
                <w:sz w:val="16"/>
              </w:rPr>
              <w:t>FARM-07</w:t>
            </w:r>
          </w:p>
        </w:tc>
        <w:tc>
          <w:tcPr>
            <w:tcW w:type="dxa" w:w="663"/>
          </w:tcPr>
          <w:p>
            <w:r/>
            <w:r>
              <w:rPr>
                <w:sz w:val="16"/>
              </w:rPr>
              <w:t>T16</w:t>
            </w:r>
          </w:p>
        </w:tc>
        <w:tc>
          <w:tcPr>
            <w:tcW w:type="dxa" w:w="1134"/>
          </w:tcPr>
          <w:p>
            <w:r/>
            <w:r>
              <w:rPr>
                <w:sz w:val="16"/>
              </w:rPr>
              <w:t>61, 154</w:t>
            </w:r>
          </w:p>
        </w:tc>
        <w:tc>
          <w:tcPr>
            <w:tcW w:type="dxa" w:w="4167"/>
          </w:tcPr>
          <w:p>
            <w:r/>
            <w:r>
              <w:rPr>
                <w:sz w:val="16"/>
              </w:rPr>
              <w:t>Cigarrillo electrónico: el key point niega una eficacia que el Apéndice 3 y Cochrane reconocen</w:t>
            </w:r>
          </w:p>
        </w:tc>
        <w:tc>
          <w:tcPr>
            <w:tcW w:type="dxa" w:w="765"/>
          </w:tcPr>
          <w:p>
            <w:r/>
            <w:r>
              <w:rPr>
                <w:sz w:val="16"/>
              </w:rPr>
              <w:t>5</w:t>
            </w:r>
          </w:p>
        </w:tc>
        <w:tc>
          <w:tcPr>
            <w:tcW w:type="dxa" w:w="663"/>
          </w:tcPr>
          <w:p>
            <w:r/>
            <w:r>
              <w:rPr>
                <w:sz w:val="16"/>
              </w:rPr>
              <w:t>✔</w:t>
            </w:r>
          </w:p>
        </w:tc>
        <w:tc>
          <w:tcPr>
            <w:tcW w:type="dxa" w:w="1276"/>
          </w:tcPr>
          <w:p>
            <w:r/>
          </w:p>
        </w:tc>
      </w:tr>
      <w:tr>
        <w:tc>
          <w:tcPr>
            <w:tcW w:type="dxa" w:w="969"/>
          </w:tcPr>
          <w:p>
            <w:r/>
            <w:r>
              <w:rPr>
                <w:sz w:val="16"/>
              </w:rPr>
              <w:t>FARM-02</w:t>
            </w:r>
          </w:p>
        </w:tc>
        <w:tc>
          <w:tcPr>
            <w:tcW w:type="dxa" w:w="663"/>
          </w:tcPr>
          <w:p>
            <w:r/>
            <w:r>
              <w:rPr>
                <w:sz w:val="16"/>
              </w:rPr>
              <w:t>T17</w:t>
            </w:r>
          </w:p>
        </w:tc>
        <w:tc>
          <w:tcPr>
            <w:tcW w:type="dxa" w:w="1134"/>
          </w:tcPr>
          <w:p>
            <w:r/>
            <w:r>
              <w:rPr>
                <w:sz w:val="16"/>
              </w:rPr>
              <w:t>68</w:t>
            </w:r>
          </w:p>
        </w:tc>
        <w:tc>
          <w:tcPr>
            <w:tcW w:type="dxa" w:w="4167"/>
          </w:tcPr>
          <w:p>
            <w:r/>
            <w:r>
              <w:rPr>
                <w:sz w:val="16"/>
              </w:rPr>
              <w:t>Gripe: "killed or live inactivated", un oxímoron y una recomendación sin soporte</w:t>
            </w:r>
          </w:p>
        </w:tc>
        <w:tc>
          <w:tcPr>
            <w:tcW w:type="dxa" w:w="765"/>
          </w:tcPr>
          <w:p>
            <w:r/>
            <w:r>
              <w:rPr>
                <w:sz w:val="16"/>
              </w:rPr>
              <w:t>5</w:t>
            </w:r>
          </w:p>
        </w:tc>
        <w:tc>
          <w:tcPr>
            <w:tcW w:type="dxa" w:w="663"/>
          </w:tcPr>
          <w:p>
            <w:r/>
            <w:r>
              <w:rPr>
                <w:sz w:val="16"/>
              </w:rPr>
              <w:t>✔</w:t>
            </w:r>
          </w:p>
        </w:tc>
        <w:tc>
          <w:tcPr>
            <w:tcW w:type="dxa" w:w="1276"/>
          </w:tcPr>
          <w:p>
            <w:r/>
          </w:p>
        </w:tc>
      </w:tr>
      <w:tr>
        <w:tc>
          <w:tcPr>
            <w:tcW w:type="dxa" w:w="969"/>
          </w:tcPr>
          <w:p>
            <w:r/>
            <w:r>
              <w:rPr>
                <w:sz w:val="16"/>
              </w:rPr>
              <w:t>DX-01</w:t>
            </w:r>
          </w:p>
        </w:tc>
        <w:tc>
          <w:tcPr>
            <w:tcW w:type="dxa" w:w="663"/>
          </w:tcPr>
          <w:p>
            <w:r/>
            <w:r>
              <w:rPr>
                <w:sz w:val="16"/>
              </w:rPr>
              <w:t>T18</w:t>
            </w:r>
          </w:p>
        </w:tc>
        <w:tc>
          <w:tcPr>
            <w:tcW w:type="dxa" w:w="1134"/>
          </w:tcPr>
          <w:p>
            <w:r/>
            <w:r>
              <w:rPr>
                <w:sz w:val="16"/>
              </w:rPr>
              <w:t>38</w:t>
            </w:r>
          </w:p>
        </w:tc>
        <w:tc>
          <w:tcPr>
            <w:tcW w:type="dxa" w:w="4167"/>
          </w:tcPr>
          <w:p>
            <w:r/>
            <w:r>
              <w:rPr>
                <w:sz w:val="16"/>
              </w:rPr>
              <w:t>Fig. 2.4: requisitos de espirometría obsoletos e internamente contradictorios</w:t>
            </w:r>
          </w:p>
        </w:tc>
        <w:tc>
          <w:tcPr>
            <w:tcW w:type="dxa" w:w="765"/>
          </w:tcPr>
          <w:p>
            <w:r/>
            <w:r>
              <w:rPr>
                <w:sz w:val="16"/>
              </w:rPr>
              <w:t>5</w:t>
            </w:r>
          </w:p>
        </w:tc>
        <w:tc>
          <w:tcPr>
            <w:tcW w:type="dxa" w:w="663"/>
          </w:tcPr>
          <w:p>
            <w:r/>
            <w:r>
              <w:rPr>
                <w:sz w:val="16"/>
              </w:rPr>
              <w:t>✖</w:t>
            </w:r>
          </w:p>
        </w:tc>
        <w:tc>
          <w:tcPr>
            <w:tcW w:type="dxa" w:w="1276"/>
          </w:tcPr>
          <w:p>
            <w:r/>
            <w:r>
              <w:rPr>
                <w:sz w:val="16"/>
              </w:rPr>
              <w:t>Confirmado</w:t>
            </w:r>
          </w:p>
        </w:tc>
      </w:tr>
      <w:tr>
        <w:tc>
          <w:tcPr>
            <w:tcW w:type="dxa" w:w="969"/>
          </w:tcPr>
          <w:p>
            <w:r/>
            <w:r>
              <w:rPr>
                <w:sz w:val="16"/>
              </w:rPr>
              <w:t>DX-02</w:t>
            </w:r>
          </w:p>
        </w:tc>
        <w:tc>
          <w:tcPr>
            <w:tcW w:type="dxa" w:w="663"/>
          </w:tcPr>
          <w:p>
            <w:r/>
            <w:r>
              <w:rPr>
                <w:sz w:val="16"/>
              </w:rPr>
              <w:t>T18</w:t>
            </w:r>
          </w:p>
        </w:tc>
        <w:tc>
          <w:tcPr>
            <w:tcW w:type="dxa" w:w="1134"/>
          </w:tcPr>
          <w:p>
            <w:r/>
            <w:r>
              <w:rPr>
                <w:sz w:val="16"/>
              </w:rPr>
              <w:t>32, 39, 40, 41</w:t>
            </w:r>
          </w:p>
        </w:tc>
        <w:tc>
          <w:tcPr>
            <w:tcW w:type="dxa" w:w="4167"/>
          </w:tcPr>
          <w:p>
            <w:r/>
            <w:r>
              <w:rPr>
                <w:sz w:val="16"/>
              </w:rPr>
              <w:t>Fig. 2.6: algoritmo pre/post-BD contradictorio y sin las salidas clínicas necesarias</w:t>
            </w:r>
          </w:p>
        </w:tc>
        <w:tc>
          <w:tcPr>
            <w:tcW w:type="dxa" w:w="765"/>
          </w:tcPr>
          <w:p>
            <w:r/>
            <w:r>
              <w:rPr>
                <w:sz w:val="16"/>
              </w:rPr>
              <w:t>5</w:t>
            </w:r>
          </w:p>
        </w:tc>
        <w:tc>
          <w:tcPr>
            <w:tcW w:type="dxa" w:w="663"/>
          </w:tcPr>
          <w:p>
            <w:r/>
            <w:r>
              <w:rPr>
                <w:sz w:val="16"/>
              </w:rPr>
              <w:t>✖</w:t>
            </w:r>
          </w:p>
        </w:tc>
        <w:tc>
          <w:tcPr>
            <w:tcW w:type="dxa" w:w="1276"/>
          </w:tcPr>
          <w:p>
            <w:r/>
            <w:r>
              <w:rPr>
                <w:sz w:val="16"/>
              </w:rPr>
              <w:t>Confirmado</w:t>
            </w:r>
          </w:p>
        </w:tc>
      </w:tr>
      <w:tr>
        <w:tc>
          <w:tcPr>
            <w:tcW w:type="dxa" w:w="969"/>
          </w:tcPr>
          <w:p>
            <w:r/>
            <w:r>
              <w:rPr>
                <w:sz w:val="16"/>
              </w:rPr>
              <w:t>DX-10</w:t>
            </w:r>
          </w:p>
        </w:tc>
        <w:tc>
          <w:tcPr>
            <w:tcW w:type="dxa" w:w="663"/>
          </w:tcPr>
          <w:p>
            <w:r/>
            <w:r>
              <w:rPr>
                <w:sz w:val="16"/>
              </w:rPr>
              <w:t>T18</w:t>
            </w:r>
          </w:p>
        </w:tc>
        <w:tc>
          <w:tcPr>
            <w:tcW w:type="dxa" w:w="1134"/>
          </w:tcPr>
          <w:p>
            <w:r/>
            <w:r>
              <w:rPr>
                <w:sz w:val="16"/>
              </w:rPr>
              <w:t>33, 44, 45, 46</w:t>
            </w:r>
          </w:p>
        </w:tc>
        <w:tc>
          <w:tcPr>
            <w:tcW w:type="dxa" w:w="4167"/>
          </w:tcPr>
          <w:p>
            <w:r/>
            <w:r>
              <w:rPr>
                <w:sz w:val="16"/>
              </w:rPr>
              <w:t>USPSTF 2022 mal representada: el grado D se aplica a todos los adultos asintomáticos, no solo a los de «bajo riesgo»</w:t>
            </w:r>
          </w:p>
        </w:tc>
        <w:tc>
          <w:tcPr>
            <w:tcW w:type="dxa" w:w="765"/>
          </w:tcPr>
          <w:p>
            <w:r/>
            <w:r>
              <w:rPr>
                <w:sz w:val="16"/>
              </w:rPr>
              <w:t>5</w:t>
            </w:r>
          </w:p>
        </w:tc>
        <w:tc>
          <w:tcPr>
            <w:tcW w:type="dxa" w:w="663"/>
          </w:tcPr>
          <w:p>
            <w:r/>
            <w:r>
              <w:rPr>
                <w:sz w:val="16"/>
              </w:rPr>
              <w:t>✔</w:t>
            </w:r>
          </w:p>
        </w:tc>
        <w:tc>
          <w:tcPr>
            <w:tcW w:type="dxa" w:w="1276"/>
          </w:tcPr>
          <w:p>
            <w:r/>
            <w:r>
              <w:rPr>
                <w:sz w:val="16"/>
              </w:rPr>
              <w:t>Confirmado</w:t>
            </w:r>
          </w:p>
        </w:tc>
      </w:tr>
      <w:tr>
        <w:tc>
          <w:tcPr>
            <w:tcW w:type="dxa" w:w="969"/>
          </w:tcPr>
          <w:p>
            <w:r/>
            <w:r>
              <w:rPr>
                <w:sz w:val="16"/>
              </w:rPr>
              <w:t>EPI-02</w:t>
            </w:r>
          </w:p>
        </w:tc>
        <w:tc>
          <w:tcPr>
            <w:tcW w:type="dxa" w:w="663"/>
          </w:tcPr>
          <w:p>
            <w:r/>
            <w:r>
              <w:rPr>
                <w:sz w:val="16"/>
              </w:rPr>
              <w:t>T18</w:t>
            </w:r>
          </w:p>
        </w:tc>
        <w:tc>
          <w:tcPr>
            <w:tcW w:type="dxa" w:w="1134"/>
          </w:tcPr>
          <w:p>
            <w:r/>
            <w:r>
              <w:rPr>
                <w:sz w:val="16"/>
              </w:rPr>
              <w:t>18, 25</w:t>
            </w:r>
          </w:p>
        </w:tc>
        <w:tc>
          <w:tcPr>
            <w:tcW w:type="dxa" w:w="4167"/>
          </w:tcPr>
          <w:p>
            <w:r/>
            <w:r>
              <w:rPr>
                <w:sz w:val="16"/>
              </w:rPr>
              <w:t>Pre-EPOC y PRISm: definiciones solapadas y mensaje terapéutico no apoyado por la evidencia citada</w:t>
            </w:r>
          </w:p>
        </w:tc>
        <w:tc>
          <w:tcPr>
            <w:tcW w:type="dxa" w:w="765"/>
          </w:tcPr>
          <w:p>
            <w:r/>
            <w:r>
              <w:rPr>
                <w:sz w:val="16"/>
              </w:rPr>
              <w:t>5</w:t>
            </w:r>
          </w:p>
        </w:tc>
        <w:tc>
          <w:tcPr>
            <w:tcW w:type="dxa" w:w="663"/>
          </w:tcPr>
          <w:p>
            <w:r/>
            <w:r>
              <w:rPr>
                <w:sz w:val="16"/>
              </w:rPr>
              <w:t>✔</w:t>
            </w:r>
          </w:p>
        </w:tc>
        <w:tc>
          <w:tcPr>
            <w:tcW w:type="dxa" w:w="1276"/>
          </w:tcPr>
          <w:p>
            <w:r/>
          </w:p>
        </w:tc>
      </w:tr>
      <w:tr>
        <w:tc>
          <w:tcPr>
            <w:tcW w:type="dxa" w:w="969"/>
          </w:tcPr>
          <w:p>
            <w:r/>
            <w:r>
              <w:rPr>
                <w:sz w:val="16"/>
              </w:rPr>
              <w:t>EQ-02</w:t>
            </w:r>
          </w:p>
        </w:tc>
        <w:tc>
          <w:tcPr>
            <w:tcW w:type="dxa" w:w="663"/>
          </w:tcPr>
          <w:p>
            <w:r/>
            <w:r>
              <w:rPr>
                <w:sz w:val="16"/>
              </w:rPr>
              <w:t>T18</w:t>
            </w:r>
          </w:p>
        </w:tc>
        <w:tc>
          <w:tcPr>
            <w:tcW w:type="dxa" w:w="1134"/>
          </w:tcPr>
          <w:p>
            <w:r/>
            <w:r>
              <w:rPr>
                <w:sz w:val="16"/>
              </w:rPr>
              <w:t>46</w:t>
            </w:r>
          </w:p>
        </w:tc>
        <w:tc>
          <w:tcPr>
            <w:tcW w:type="dxa" w:w="4167"/>
          </w:tcPr>
          <w:p>
            <w:r/>
            <w:r>
              <w:rPr>
                <w:sz w:val="16"/>
              </w:rPr>
              <w:t>El algoritmo de búsqueda de casos (fig. 2.9) reserva la espirometría a la atención especializada y puede dejar sin diagnóstico a personas con síntomas</w:t>
            </w:r>
          </w:p>
        </w:tc>
        <w:tc>
          <w:tcPr>
            <w:tcW w:type="dxa" w:w="765"/>
          </w:tcPr>
          <w:p>
            <w:r/>
            <w:r>
              <w:rPr>
                <w:sz w:val="16"/>
              </w:rPr>
              <w:t>4</w:t>
            </w:r>
          </w:p>
        </w:tc>
        <w:tc>
          <w:tcPr>
            <w:tcW w:type="dxa" w:w="663"/>
          </w:tcPr>
          <w:p>
            <w:r/>
            <w:r>
              <w:rPr>
                <w:sz w:val="16"/>
              </w:rPr>
              <w:t>✖</w:t>
            </w:r>
          </w:p>
        </w:tc>
        <w:tc>
          <w:tcPr>
            <w:tcW w:type="dxa" w:w="1276"/>
          </w:tcPr>
          <w:p>
            <w:r/>
            <w:r>
              <w:rPr>
                <w:sz w:val="16"/>
              </w:rPr>
              <w:t>Confirmado</w:t>
            </w:r>
          </w:p>
        </w:tc>
      </w:tr>
      <w:tr>
        <w:tc>
          <w:tcPr>
            <w:tcW w:type="dxa" w:w="969"/>
          </w:tcPr>
          <w:p>
            <w:r/>
            <w:r>
              <w:rPr>
                <w:sz w:val="16"/>
              </w:rPr>
              <w:t>MUL-03</w:t>
            </w:r>
          </w:p>
        </w:tc>
        <w:tc>
          <w:tcPr>
            <w:tcW w:type="dxa" w:w="663"/>
          </w:tcPr>
          <w:p>
            <w:r/>
            <w:r>
              <w:rPr>
                <w:sz w:val="16"/>
              </w:rPr>
              <w:t>T19</w:t>
            </w:r>
          </w:p>
        </w:tc>
        <w:tc>
          <w:tcPr>
            <w:tcW w:type="dxa" w:w="1134"/>
          </w:tcPr>
          <w:p>
            <w:r/>
            <w:r>
              <w:rPr>
                <w:sz w:val="16"/>
              </w:rPr>
              <w:t>126</w:t>
            </w:r>
          </w:p>
        </w:tc>
        <w:tc>
          <w:tcPr>
            <w:tcW w:type="dxa" w:w="4167"/>
          </w:tcPr>
          <w:p>
            <w:r/>
            <w:r>
              <w:rPr>
                <w:sz w:val="16"/>
              </w:rPr>
              <w:t>HTA: umbral «&gt;130/80 merece tratamiento» mal atribuido a la ESC 2024 y guía pediátrica citada para adultos</w:t>
            </w:r>
          </w:p>
        </w:tc>
        <w:tc>
          <w:tcPr>
            <w:tcW w:type="dxa" w:w="765"/>
          </w:tcPr>
          <w:p>
            <w:r/>
            <w:r>
              <w:rPr>
                <w:sz w:val="16"/>
              </w:rPr>
              <w:t>5</w:t>
            </w:r>
          </w:p>
        </w:tc>
        <w:tc>
          <w:tcPr>
            <w:tcW w:type="dxa" w:w="663"/>
          </w:tcPr>
          <w:p>
            <w:r/>
            <w:r>
              <w:rPr>
                <w:sz w:val="16"/>
              </w:rPr>
              <w:t>✔</w:t>
            </w:r>
          </w:p>
        </w:tc>
        <w:tc>
          <w:tcPr>
            <w:tcW w:type="dxa" w:w="1276"/>
          </w:tcPr>
          <w:p>
            <w:r/>
          </w:p>
        </w:tc>
      </w:tr>
      <w:tr>
        <w:tc>
          <w:tcPr>
            <w:tcW w:type="dxa" w:w="969"/>
          </w:tcPr>
          <w:p>
            <w:r/>
            <w:r>
              <w:rPr>
                <w:sz w:val="16"/>
              </w:rPr>
              <w:t>MUL-04</w:t>
            </w:r>
          </w:p>
        </w:tc>
        <w:tc>
          <w:tcPr>
            <w:tcW w:type="dxa" w:w="663"/>
          </w:tcPr>
          <w:p>
            <w:r/>
            <w:r>
              <w:rPr>
                <w:sz w:val="16"/>
              </w:rPr>
              <w:t>T19</w:t>
            </w:r>
          </w:p>
        </w:tc>
        <w:tc>
          <w:tcPr>
            <w:tcW w:type="dxa" w:w="1134"/>
          </w:tcPr>
          <w:p>
            <w:r/>
            <w:r>
              <w:rPr>
                <w:sz w:val="16"/>
              </w:rPr>
              <w:t>127</w:t>
            </w:r>
          </w:p>
        </w:tc>
        <w:tc>
          <w:tcPr>
            <w:tcW w:type="dxa" w:w="4167"/>
          </w:tcPr>
          <w:p>
            <w:r/>
            <w:r>
              <w:rPr>
                <w:sz w:val="16"/>
              </w:rPr>
              <w:t>Riesgo CV: cribado universal con hs-troponina contrario a la ESC y al cap. 2, y calculadora obsoleta</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MUL-05</w:t>
            </w:r>
          </w:p>
        </w:tc>
        <w:tc>
          <w:tcPr>
            <w:tcW w:type="dxa" w:w="663"/>
          </w:tcPr>
          <w:p>
            <w:r/>
            <w:r>
              <w:rPr>
                <w:sz w:val="16"/>
              </w:rPr>
              <w:t>T19</w:t>
            </w:r>
          </w:p>
        </w:tc>
        <w:tc>
          <w:tcPr>
            <w:tcW w:type="dxa" w:w="1134"/>
          </w:tcPr>
          <w:p>
            <w:r/>
            <w:r>
              <w:rPr>
                <w:sz w:val="16"/>
              </w:rPr>
              <w:t>127</w:t>
            </w:r>
          </w:p>
        </w:tc>
        <w:tc>
          <w:tcPr>
            <w:tcW w:type="dxa" w:w="4167"/>
          </w:tcPr>
          <w:p>
            <w:r/>
            <w:r>
              <w:rPr>
                <w:sz w:val="16"/>
              </w:rPr>
              <w:t>IC: terapias de la IC-FEp atribuidas a la ESC 2021 sin actualizar; falta la IC-FElr y la elección de betabloqueante</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MUL-06</w:t>
            </w:r>
          </w:p>
        </w:tc>
        <w:tc>
          <w:tcPr>
            <w:tcW w:type="dxa" w:w="663"/>
          </w:tcPr>
          <w:p>
            <w:r/>
            <w:r>
              <w:rPr>
                <w:sz w:val="16"/>
              </w:rPr>
              <w:t>T19</w:t>
            </w:r>
          </w:p>
        </w:tc>
        <w:tc>
          <w:tcPr>
            <w:tcW w:type="dxa" w:w="1134"/>
          </w:tcPr>
          <w:p>
            <w:r/>
            <w:r>
              <w:rPr>
                <w:sz w:val="16"/>
              </w:rPr>
              <w:t>128</w:t>
            </w:r>
          </w:p>
        </w:tc>
        <w:tc>
          <w:tcPr>
            <w:tcW w:type="dxa" w:w="4167"/>
          </w:tcPr>
          <w:p>
            <w:r/>
            <w:r>
              <w:rPr>
                <w:sz w:val="16"/>
              </w:rPr>
              <w:t xml:space="preserve">HP: «peripheral» en lugar de </w:t>
            </w:r>
            <w:r>
              <w:rPr>
                <w:i/>
                <w:sz w:val="16"/>
              </w:rPr>
              <w:t>pulmonary vascular resistance</w:t>
            </w:r>
            <w:r>
              <w:rPr>
                <w:sz w:val="16"/>
              </w:rPr>
              <w:t>, definición incompleta y Fig. 5.3 sin el grupo 2</w:t>
            </w:r>
          </w:p>
        </w:tc>
        <w:tc>
          <w:tcPr>
            <w:tcW w:type="dxa" w:w="765"/>
          </w:tcPr>
          <w:p>
            <w:r/>
            <w:r>
              <w:rPr>
                <w:sz w:val="16"/>
              </w:rPr>
              <w:t>5</w:t>
            </w:r>
          </w:p>
        </w:tc>
        <w:tc>
          <w:tcPr>
            <w:tcW w:type="dxa" w:w="663"/>
          </w:tcPr>
          <w:p>
            <w:r/>
            <w:r>
              <w:rPr>
                <w:sz w:val="16"/>
              </w:rPr>
              <w:t>✔</w:t>
            </w:r>
          </w:p>
        </w:tc>
        <w:tc>
          <w:tcPr>
            <w:tcW w:type="dxa" w:w="1276"/>
          </w:tcPr>
          <w:p>
            <w:r/>
          </w:p>
        </w:tc>
      </w:tr>
      <w:tr>
        <w:tc>
          <w:tcPr>
            <w:tcW w:type="dxa" w:w="969"/>
          </w:tcPr>
          <w:p>
            <w:r/>
            <w:r>
              <w:rPr>
                <w:sz w:val="16"/>
              </w:rPr>
              <w:t>MUL-07</w:t>
            </w:r>
          </w:p>
        </w:tc>
        <w:tc>
          <w:tcPr>
            <w:tcW w:type="dxa" w:w="663"/>
          </w:tcPr>
          <w:p>
            <w:r/>
            <w:r>
              <w:rPr>
                <w:sz w:val="16"/>
              </w:rPr>
              <w:t>T19</w:t>
            </w:r>
          </w:p>
        </w:tc>
        <w:tc>
          <w:tcPr>
            <w:tcW w:type="dxa" w:w="1134"/>
          </w:tcPr>
          <w:p>
            <w:r/>
            <w:r>
              <w:rPr>
                <w:sz w:val="16"/>
              </w:rPr>
              <w:t>129</w:t>
            </w:r>
          </w:p>
        </w:tc>
        <w:tc>
          <w:tcPr>
            <w:tcW w:type="dxa" w:w="4167"/>
          </w:tcPr>
          <w:p>
            <w:r/>
            <w:r>
              <w:rPr>
                <w:sz w:val="16"/>
              </w:rPr>
              <w:t>HP-EPOC: no se informa de que el ensayo PERFECT se detuvo por daño</w:t>
            </w:r>
          </w:p>
        </w:tc>
        <w:tc>
          <w:tcPr>
            <w:tcW w:type="dxa" w:w="765"/>
          </w:tcPr>
          <w:p>
            <w:r/>
            <w:r>
              <w:rPr>
                <w:sz w:val="16"/>
              </w:rPr>
              <w:t>5</w:t>
            </w:r>
          </w:p>
        </w:tc>
        <w:tc>
          <w:tcPr>
            <w:tcW w:type="dxa" w:w="663"/>
          </w:tcPr>
          <w:p>
            <w:r/>
            <w:r>
              <w:rPr>
                <w:sz w:val="16"/>
              </w:rPr>
              <w:t>✔</w:t>
            </w:r>
          </w:p>
        </w:tc>
        <w:tc>
          <w:tcPr>
            <w:tcW w:type="dxa" w:w="1276"/>
          </w:tcPr>
          <w:p>
            <w:r/>
            <w:r>
              <w:rPr>
                <w:sz w:val="16"/>
              </w:rPr>
              <w:t>Confirmado</w:t>
            </w:r>
          </w:p>
        </w:tc>
      </w:tr>
      <w:tr>
        <w:tc>
          <w:tcPr>
            <w:tcW w:type="dxa" w:w="969"/>
          </w:tcPr>
          <w:p>
            <w:r/>
            <w:r>
              <w:rPr>
                <w:sz w:val="16"/>
              </w:rPr>
              <w:t>MUL-11</w:t>
            </w:r>
          </w:p>
        </w:tc>
        <w:tc>
          <w:tcPr>
            <w:tcW w:type="dxa" w:w="663"/>
          </w:tcPr>
          <w:p>
            <w:r/>
            <w:r>
              <w:rPr>
                <w:sz w:val="16"/>
              </w:rPr>
              <w:t>T19</w:t>
            </w:r>
          </w:p>
        </w:tc>
        <w:tc>
          <w:tcPr>
            <w:tcW w:type="dxa" w:w="1134"/>
          </w:tcPr>
          <w:p>
            <w:r/>
            <w:r>
              <w:rPr>
                <w:sz w:val="16"/>
              </w:rPr>
              <w:t>123, 128, 131, 162</w:t>
            </w:r>
          </w:p>
        </w:tc>
        <w:tc>
          <w:tcPr>
            <w:tcW w:type="dxa" w:w="4167"/>
          </w:tcPr>
          <w:p>
            <w:r/>
            <w:r>
              <w:rPr>
                <w:sz w:val="16"/>
              </w:rPr>
              <w:t>Punto clave «la comorbilidad no debe alterar el tratamiento de la EPOC», contradicho por el propio capítulo (asma, TB, bronquiectasias, FA)</w:t>
            </w:r>
          </w:p>
        </w:tc>
        <w:tc>
          <w:tcPr>
            <w:tcW w:type="dxa" w:w="765"/>
          </w:tcPr>
          <w:p>
            <w:r/>
            <w:r>
              <w:rPr>
                <w:sz w:val="16"/>
              </w:rPr>
              <w:t>5</w:t>
            </w:r>
          </w:p>
        </w:tc>
        <w:tc>
          <w:tcPr>
            <w:tcW w:type="dxa" w:w="663"/>
          </w:tcPr>
          <w:p>
            <w:r/>
            <w:r>
              <w:rPr>
                <w:sz w:val="16"/>
              </w:rPr>
              <w:t>✔</w:t>
            </w:r>
          </w:p>
        </w:tc>
        <w:tc>
          <w:tcPr>
            <w:tcW w:type="dxa" w:w="1276"/>
          </w:tcPr>
          <w:p>
            <w:r/>
          </w:p>
        </w:tc>
      </w:tr>
      <w:tr>
        <w:tc>
          <w:tcPr>
            <w:tcW w:type="dxa" w:w="969"/>
          </w:tcPr>
          <w:p>
            <w:r/>
            <w:r>
              <w:rPr>
                <w:sz w:val="16"/>
              </w:rPr>
              <w:t>MUL-12</w:t>
            </w:r>
          </w:p>
        </w:tc>
        <w:tc>
          <w:tcPr>
            <w:tcW w:type="dxa" w:w="663"/>
          </w:tcPr>
          <w:p>
            <w:r/>
            <w:r>
              <w:rPr>
                <w:sz w:val="16"/>
              </w:rPr>
              <w:t>T19</w:t>
            </w:r>
          </w:p>
        </w:tc>
        <w:tc>
          <w:tcPr>
            <w:tcW w:type="dxa" w:w="1134"/>
          </w:tcPr>
          <w:p>
            <w:r/>
            <w:r>
              <w:rPr>
                <w:sz w:val="16"/>
              </w:rPr>
              <w:t>123, 133</w:t>
            </w:r>
          </w:p>
        </w:tc>
        <w:tc>
          <w:tcPr>
            <w:tcW w:type="dxa" w:w="4167"/>
          </w:tcPr>
          <w:p>
            <w:r/>
            <w:r>
              <w:rPr>
                <w:sz w:val="16"/>
              </w:rPr>
              <w:t>SAOS: «la CPAP disminuye la mortalidad» sobredimensionado, prueba diagnóstica inadecuada y tirzepatida omitida</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MUL-15</w:t>
            </w:r>
          </w:p>
        </w:tc>
        <w:tc>
          <w:tcPr>
            <w:tcW w:type="dxa" w:w="663"/>
          </w:tcPr>
          <w:p>
            <w:r/>
            <w:r>
              <w:rPr>
                <w:sz w:val="16"/>
              </w:rPr>
              <w:t>T19</w:t>
            </w:r>
          </w:p>
        </w:tc>
        <w:tc>
          <w:tcPr>
            <w:tcW w:type="dxa" w:w="1134"/>
          </w:tcPr>
          <w:p>
            <w:r/>
            <w:r>
              <w:rPr>
                <w:sz w:val="16"/>
              </w:rPr>
              <w:t>133</w:t>
            </w:r>
          </w:p>
        </w:tc>
        <w:tc>
          <w:tcPr>
            <w:tcW w:type="dxa" w:w="4167"/>
          </w:tcPr>
          <w:p>
            <w:r/>
            <w:r>
              <w:rPr>
                <w:sz w:val="16"/>
              </w:rPr>
              <w:t>Salud mental: faltan advertencias sobre psicofármacos depresores respiratorios, sobre la interacción tabaco-CYP1A2 y sobre el riesgo suicida</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IA-02</w:t>
            </w:r>
          </w:p>
        </w:tc>
        <w:tc>
          <w:tcPr>
            <w:tcW w:type="dxa" w:w="663"/>
          </w:tcPr>
          <w:p>
            <w:r/>
            <w:r>
              <w:rPr>
                <w:sz w:val="16"/>
              </w:rPr>
              <w:t>T20</w:t>
            </w:r>
          </w:p>
        </w:tc>
        <w:tc>
          <w:tcPr>
            <w:tcW w:type="dxa" w:w="1134"/>
          </w:tcPr>
          <w:p>
            <w:r/>
            <w:r>
              <w:rPr>
                <w:sz w:val="16"/>
              </w:rPr>
              <w:t>32, 142, 146</w:t>
            </w:r>
          </w:p>
        </w:tc>
        <w:tc>
          <w:tcPr>
            <w:tcW w:type="dxa" w:w="4167"/>
          </w:tcPr>
          <w:p>
            <w:r/>
            <w:r>
              <w:rPr>
                <w:sz w:val="16"/>
              </w:rPr>
              <w:t>Puntos clave sobre telesalud ("improved access, outcomes, and affordability") sin respaldo e incoherentes con el Apéndice 4</w:t>
            </w:r>
          </w:p>
        </w:tc>
        <w:tc>
          <w:tcPr>
            <w:tcW w:type="dxa" w:w="765"/>
          </w:tcPr>
          <w:p>
            <w:r/>
            <w:r>
              <w:rPr>
                <w:sz w:val="16"/>
              </w:rPr>
              <w:t>5</w:t>
            </w:r>
          </w:p>
        </w:tc>
        <w:tc>
          <w:tcPr>
            <w:tcW w:type="dxa" w:w="663"/>
          </w:tcPr>
          <w:p>
            <w:r/>
            <w:r>
              <w:rPr>
                <w:sz w:val="16"/>
              </w:rPr>
              <w:t>✔</w:t>
            </w:r>
          </w:p>
        </w:tc>
        <w:tc>
          <w:tcPr>
            <w:tcW w:type="dxa" w:w="1276"/>
          </w:tcPr>
          <w:p>
            <w:r/>
          </w:p>
        </w:tc>
      </w:tr>
      <w:tr>
        <w:tc>
          <w:tcPr>
            <w:tcW w:type="dxa" w:w="969"/>
          </w:tcPr>
          <w:p>
            <w:r/>
            <w:r>
              <w:rPr>
                <w:sz w:val="16"/>
              </w:rPr>
              <w:t>IA-03</w:t>
            </w:r>
          </w:p>
        </w:tc>
        <w:tc>
          <w:tcPr>
            <w:tcW w:type="dxa" w:w="663"/>
          </w:tcPr>
          <w:p>
            <w:r/>
            <w:r>
              <w:rPr>
                <w:sz w:val="16"/>
              </w:rPr>
              <w:t>T20</w:t>
            </w:r>
          </w:p>
        </w:tc>
        <w:tc>
          <w:tcPr>
            <w:tcW w:type="dxa" w:w="1134"/>
          </w:tcPr>
          <w:p>
            <w:r/>
            <w:r>
              <w:rPr>
                <w:sz w:val="16"/>
              </w:rPr>
              <w:t>142</w:t>
            </w:r>
          </w:p>
        </w:tc>
        <w:tc>
          <w:tcPr>
            <w:tcW w:type="dxa" w:w="4167"/>
          </w:tcPr>
          <w:p>
            <w:r/>
            <w:r>
              <w:rPr>
                <w:sz w:val="16"/>
              </w:rPr>
              <w:t>El punto clave sobre IA sobreafirma su utilidad y contradice la propia evidencia del capítulo</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IA-04</w:t>
            </w:r>
          </w:p>
        </w:tc>
        <w:tc>
          <w:tcPr>
            <w:tcW w:type="dxa" w:w="663"/>
          </w:tcPr>
          <w:p>
            <w:r/>
            <w:r>
              <w:rPr>
                <w:sz w:val="16"/>
              </w:rPr>
              <w:t>T20</w:t>
            </w:r>
          </w:p>
        </w:tc>
        <w:tc>
          <w:tcPr>
            <w:tcW w:type="dxa" w:w="1134"/>
          </w:tcPr>
          <w:p>
            <w:r/>
            <w:r>
              <w:rPr>
                <w:sz w:val="16"/>
              </w:rPr>
              <w:t>145</w:t>
            </w:r>
          </w:p>
        </w:tc>
        <w:tc>
          <w:tcPr>
            <w:tcW w:type="dxa" w:w="4167"/>
          </w:tcPr>
          <w:p>
            <w:r/>
            <w:r>
              <w:rPr>
                <w:sz w:val="16"/>
              </w:rPr>
              <w:t>"AI can also help identifying patients at higher risk of exacerbations" se apoya en un estudio caso-control con sesgo de espectro</w:t>
            </w:r>
          </w:p>
        </w:tc>
        <w:tc>
          <w:tcPr>
            <w:tcW w:type="dxa" w:w="765"/>
          </w:tcPr>
          <w:p>
            <w:r/>
            <w:r>
              <w:rPr>
                <w:sz w:val="16"/>
              </w:rPr>
              <w:t>5</w:t>
            </w:r>
          </w:p>
        </w:tc>
        <w:tc>
          <w:tcPr>
            <w:tcW w:type="dxa" w:w="663"/>
          </w:tcPr>
          <w:p>
            <w:r/>
            <w:r>
              <w:rPr>
                <w:sz w:val="16"/>
              </w:rPr>
              <w:t>✔</w:t>
            </w:r>
          </w:p>
        </w:tc>
        <w:tc>
          <w:tcPr>
            <w:tcW w:type="dxa" w:w="1276"/>
          </w:tcPr>
          <w:p>
            <w:r/>
          </w:p>
        </w:tc>
      </w:tr>
      <w:tr>
        <w:tc>
          <w:tcPr>
            <w:tcW w:type="dxa" w:w="969"/>
          </w:tcPr>
          <w:p>
            <w:r/>
            <w:r>
              <w:rPr>
                <w:sz w:val="16"/>
              </w:rPr>
              <w:t>IA-05</w:t>
            </w:r>
          </w:p>
        </w:tc>
        <w:tc>
          <w:tcPr>
            <w:tcW w:type="dxa" w:w="663"/>
          </w:tcPr>
          <w:p>
            <w:r/>
            <w:r>
              <w:rPr>
                <w:sz w:val="16"/>
              </w:rPr>
              <w:t>T20</w:t>
            </w:r>
          </w:p>
        </w:tc>
        <w:tc>
          <w:tcPr>
            <w:tcW w:type="dxa" w:w="1134"/>
          </w:tcPr>
          <w:p>
            <w:r/>
            <w:r>
              <w:rPr>
                <w:sz w:val="16"/>
              </w:rPr>
              <w:t>142, 143</w:t>
            </w:r>
          </w:p>
        </w:tc>
        <w:tc>
          <w:tcPr>
            <w:tcW w:type="dxa" w:w="4167"/>
          </w:tcPr>
          <w:p>
            <w:r/>
            <w:r>
              <w:rPr>
                <w:sz w:val="16"/>
              </w:rPr>
              <w:t>Referencias no pertinentes en "Underdiagnosis" y "Late diagnosis" (refs. 386, 1396, 1402, 1403)</w:t>
            </w:r>
          </w:p>
        </w:tc>
        <w:tc>
          <w:tcPr>
            <w:tcW w:type="dxa" w:w="765"/>
          </w:tcPr>
          <w:p>
            <w:r/>
            <w:r>
              <w:rPr>
                <w:sz w:val="16"/>
              </w:rPr>
              <w:t>5</w:t>
            </w:r>
          </w:p>
        </w:tc>
        <w:tc>
          <w:tcPr>
            <w:tcW w:type="dxa" w:w="663"/>
          </w:tcPr>
          <w:p>
            <w:r/>
            <w:r>
              <w:rPr>
                <w:sz w:val="16"/>
              </w:rPr>
              <w:t>✔</w:t>
            </w:r>
          </w:p>
        </w:tc>
        <w:tc>
          <w:tcPr>
            <w:tcW w:type="dxa" w:w="1276"/>
          </w:tcPr>
          <w:p>
            <w:r/>
          </w:p>
        </w:tc>
      </w:tr>
      <w:tr>
        <w:tc>
          <w:tcPr>
            <w:tcW w:type="dxa" w:w="969"/>
          </w:tcPr>
          <w:p>
            <w:r/>
            <w:r>
              <w:rPr>
                <w:sz w:val="16"/>
              </w:rPr>
              <w:t>IA-07</w:t>
            </w:r>
          </w:p>
        </w:tc>
        <w:tc>
          <w:tcPr>
            <w:tcW w:type="dxa" w:w="663"/>
          </w:tcPr>
          <w:p>
            <w:r/>
            <w:r>
              <w:rPr>
                <w:sz w:val="16"/>
              </w:rPr>
              <w:t>T20</w:t>
            </w:r>
          </w:p>
        </w:tc>
        <w:tc>
          <w:tcPr>
            <w:tcW w:type="dxa" w:w="1134"/>
          </w:tcPr>
          <w:p>
            <w:r/>
            <w:r>
              <w:rPr>
                <w:sz w:val="16"/>
              </w:rPr>
              <w:t>143</w:t>
            </w:r>
          </w:p>
        </w:tc>
        <w:tc>
          <w:tcPr>
            <w:tcW w:type="dxa" w:w="4167"/>
          </w:tcPr>
          <w:p>
            <w:r/>
            <w:r>
              <w:rPr>
                <w:sz w:val="16"/>
              </w:rPr>
              <w:t>Las "AI-assisted diagnostic alternatives to spirometry" contradicen el carácter obligatorio de la espirometría y se basan en estudios con sesgo de espectro</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IA-11</w:t>
            </w:r>
          </w:p>
        </w:tc>
        <w:tc>
          <w:tcPr>
            <w:tcW w:type="dxa" w:w="663"/>
          </w:tcPr>
          <w:p>
            <w:r/>
            <w:r>
              <w:rPr>
                <w:sz w:val="16"/>
              </w:rPr>
              <w:t>T20</w:t>
            </w:r>
          </w:p>
        </w:tc>
        <w:tc>
          <w:tcPr>
            <w:tcW w:type="dxa" w:w="1134"/>
          </w:tcPr>
          <w:p>
            <w:r/>
            <w:r>
              <w:rPr>
                <w:sz w:val="16"/>
              </w:rPr>
              <w:t>142</w:t>
            </w:r>
          </w:p>
        </w:tc>
        <w:tc>
          <w:tcPr>
            <w:tcW w:type="dxa" w:w="4167"/>
          </w:tcPr>
          <w:p>
            <w:r/>
            <w:r>
              <w:rPr>
                <w:sz w:val="16"/>
              </w:rPr>
              <w:t>Ausencia de un marco de evaluación y reporte de IA y de niveles de evidencia</w:t>
            </w:r>
          </w:p>
        </w:tc>
        <w:tc>
          <w:tcPr>
            <w:tcW w:type="dxa" w:w="765"/>
          </w:tcPr>
          <w:p>
            <w:r/>
            <w:r>
              <w:rPr>
                <w:sz w:val="16"/>
              </w:rPr>
              <w:t>5</w:t>
            </w:r>
          </w:p>
        </w:tc>
        <w:tc>
          <w:tcPr>
            <w:tcW w:type="dxa" w:w="663"/>
          </w:tcPr>
          <w:p>
            <w:r/>
            <w:r>
              <w:rPr>
                <w:sz w:val="16"/>
              </w:rPr>
              <w:t>✔</w:t>
            </w:r>
          </w:p>
        </w:tc>
        <w:tc>
          <w:tcPr>
            <w:tcW w:type="dxa" w:w="1276"/>
          </w:tcPr>
          <w:p>
            <w:r/>
          </w:p>
        </w:tc>
      </w:tr>
      <w:tr>
        <w:tc>
          <w:tcPr>
            <w:tcW w:type="dxa" w:w="969"/>
          </w:tcPr>
          <w:p>
            <w:r/>
            <w:r>
              <w:rPr>
                <w:sz w:val="16"/>
              </w:rPr>
              <w:t>IA-12</w:t>
            </w:r>
          </w:p>
        </w:tc>
        <w:tc>
          <w:tcPr>
            <w:tcW w:type="dxa" w:w="663"/>
          </w:tcPr>
          <w:p>
            <w:r/>
            <w:r>
              <w:rPr>
                <w:sz w:val="16"/>
              </w:rPr>
              <w:t>T20</w:t>
            </w:r>
          </w:p>
        </w:tc>
        <w:tc>
          <w:tcPr>
            <w:tcW w:type="dxa" w:w="1134"/>
          </w:tcPr>
          <w:p>
            <w:r/>
            <w:r>
              <w:rPr>
                <w:sz w:val="16"/>
              </w:rPr>
              <w:t>142</w:t>
            </w:r>
          </w:p>
        </w:tc>
        <w:tc>
          <w:tcPr>
            <w:tcW w:type="dxa" w:w="4167"/>
          </w:tcPr>
          <w:p>
            <w:r/>
            <w:r>
              <w:rPr>
                <w:sz w:val="16"/>
              </w:rPr>
              <w:t>Marco regulatorio casi ausente y sin distinguir herramientas autorizadas de prototipos</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IA-13</w:t>
            </w:r>
          </w:p>
        </w:tc>
        <w:tc>
          <w:tcPr>
            <w:tcW w:type="dxa" w:w="663"/>
          </w:tcPr>
          <w:p>
            <w:r/>
            <w:r>
              <w:rPr>
                <w:sz w:val="16"/>
              </w:rPr>
              <w:t>T20</w:t>
            </w:r>
          </w:p>
        </w:tc>
        <w:tc>
          <w:tcPr>
            <w:tcW w:type="dxa" w:w="1134"/>
          </w:tcPr>
          <w:p>
            <w:r/>
            <w:r>
              <w:rPr>
                <w:sz w:val="16"/>
              </w:rPr>
              <w:t>145</w:t>
            </w:r>
          </w:p>
        </w:tc>
        <w:tc>
          <w:tcPr>
            <w:tcW w:type="dxa" w:w="4167"/>
          </w:tcPr>
          <w:p>
            <w:r/>
            <w:r>
              <w:rPr>
                <w:sz w:val="16"/>
              </w:rPr>
              <w:t>"Keyboard zero" y envío de resúmenes por WhatsApp/SMS: privacidad, consentimiento y errores de los LLM no abordados</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IA-15</w:t>
            </w:r>
          </w:p>
        </w:tc>
        <w:tc>
          <w:tcPr>
            <w:tcW w:type="dxa" w:w="663"/>
          </w:tcPr>
          <w:p>
            <w:r/>
            <w:r>
              <w:rPr>
                <w:sz w:val="16"/>
              </w:rPr>
              <w:t>T20</w:t>
            </w:r>
          </w:p>
        </w:tc>
        <w:tc>
          <w:tcPr>
            <w:tcW w:type="dxa" w:w="1134"/>
          </w:tcPr>
          <w:p>
            <w:r/>
            <w:r>
              <w:rPr>
                <w:sz w:val="16"/>
              </w:rPr>
              <w:t>145</w:t>
            </w:r>
          </w:p>
        </w:tc>
        <w:tc>
          <w:tcPr>
            <w:tcW w:type="dxa" w:w="4167"/>
          </w:tcPr>
          <w:p>
            <w:r/>
            <w:r>
              <w:rPr>
                <w:sz w:val="16"/>
              </w:rPr>
              <w:t>Chatbot como primera interfaz y para recomendar acciones: la referencia no evalúa triaje y no se abordan los riesgos de seguridad</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IA-17</w:t>
            </w:r>
          </w:p>
        </w:tc>
        <w:tc>
          <w:tcPr>
            <w:tcW w:type="dxa" w:w="663"/>
          </w:tcPr>
          <w:p>
            <w:r/>
            <w:r>
              <w:rPr>
                <w:sz w:val="16"/>
              </w:rPr>
              <w:t>T20</w:t>
            </w:r>
          </w:p>
        </w:tc>
        <w:tc>
          <w:tcPr>
            <w:tcW w:type="dxa" w:w="1134"/>
          </w:tcPr>
          <w:p>
            <w:r/>
            <w:r>
              <w:rPr>
                <w:sz w:val="16"/>
              </w:rPr>
              <w:t>145</w:t>
            </w:r>
          </w:p>
        </w:tc>
        <w:tc>
          <w:tcPr>
            <w:tcW w:type="dxa" w:w="4167"/>
          </w:tcPr>
          <w:p>
            <w:r/>
            <w:r>
              <w:rPr>
                <w:sz w:val="16"/>
              </w:rPr>
              <w:t>"AI-supported home rehabilitation … alternative" cuando la ref. 1429 evaluó el mantenimiento de la actividad física tras la rehabilitación pulmonar</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REH-17</w:t>
            </w:r>
          </w:p>
        </w:tc>
        <w:tc>
          <w:tcPr>
            <w:tcW w:type="dxa" w:w="663"/>
          </w:tcPr>
          <w:p>
            <w:r/>
            <w:r>
              <w:rPr>
                <w:sz w:val="16"/>
              </w:rPr>
              <w:t>T20</w:t>
            </w:r>
          </w:p>
        </w:tc>
        <w:tc>
          <w:tcPr>
            <w:tcW w:type="dxa" w:w="1134"/>
          </w:tcPr>
          <w:p>
            <w:r/>
            <w:r>
              <w:rPr>
                <w:sz w:val="16"/>
              </w:rPr>
              <w:t>148, 169, 172, 173</w:t>
            </w:r>
          </w:p>
        </w:tc>
        <w:tc>
          <w:tcPr>
            <w:tcW w:type="dxa" w:w="4167"/>
          </w:tcPr>
          <w:p>
            <w:r/>
            <w:r>
              <w:rPr>
                <w:sz w:val="16"/>
              </w:rPr>
              <w:t>Telesalud, telerrehabilitación y atención integrada: la Figura A4.1 contradice el Apéndice 4 y el cap. 6</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EQ-07</w:t>
            </w:r>
          </w:p>
        </w:tc>
        <w:tc>
          <w:tcPr>
            <w:tcW w:type="dxa" w:w="663"/>
          </w:tcPr>
          <w:p>
            <w:r/>
            <w:r>
              <w:rPr>
                <w:sz w:val="16"/>
              </w:rPr>
              <w:t>T21</w:t>
            </w:r>
          </w:p>
        </w:tc>
        <w:tc>
          <w:tcPr>
            <w:tcW w:type="dxa" w:w="1134"/>
          </w:tcPr>
          <w:p>
            <w:r/>
            <w:r>
              <w:rPr>
                <w:sz w:val="16"/>
              </w:rPr>
              <w:t>3, 6</w:t>
            </w:r>
          </w:p>
        </w:tc>
        <w:tc>
          <w:tcPr>
            <w:tcW w:type="dxa" w:w="4167"/>
          </w:tcPr>
          <w:p>
            <w:r/>
            <w:r>
              <w:rPr>
                <w:sz w:val="16"/>
              </w:rPr>
              <w:t>Metodología y gobernanza poco compatibles con una "estrategia global": sin GRADE, sin coste-efectividad, solo en inglés, sin pacientes ni AP, y con escasa representación de LMIC</w:t>
            </w:r>
          </w:p>
        </w:tc>
        <w:tc>
          <w:tcPr>
            <w:tcW w:type="dxa" w:w="765"/>
          </w:tcPr>
          <w:p>
            <w:r/>
            <w:r>
              <w:rPr>
                <w:sz w:val="16"/>
              </w:rPr>
              <w:t>5</w:t>
            </w:r>
          </w:p>
        </w:tc>
        <w:tc>
          <w:tcPr>
            <w:tcW w:type="dxa" w:w="663"/>
          </w:tcPr>
          <w:p>
            <w:r/>
            <w:r>
              <w:rPr>
                <w:sz w:val="16"/>
              </w:rPr>
              <w:t>✔</w:t>
            </w:r>
          </w:p>
        </w:tc>
        <w:tc>
          <w:tcPr>
            <w:tcW w:type="dxa" w:w="1276"/>
          </w:tcPr>
          <w:p>
            <w:r/>
          </w:p>
        </w:tc>
      </w:tr>
      <w:tr>
        <w:tc>
          <w:tcPr>
            <w:tcW w:type="dxa" w:w="969"/>
          </w:tcPr>
          <w:p>
            <w:r/>
            <w:r>
              <w:rPr>
                <w:sz w:val="16"/>
              </w:rPr>
              <w:t>MET-01</w:t>
            </w:r>
          </w:p>
        </w:tc>
        <w:tc>
          <w:tcPr>
            <w:tcW w:type="dxa" w:w="663"/>
          </w:tcPr>
          <w:p>
            <w:r/>
            <w:r>
              <w:rPr>
                <w:sz w:val="16"/>
              </w:rPr>
              <w:t>T21</w:t>
            </w:r>
          </w:p>
        </w:tc>
        <w:tc>
          <w:tcPr>
            <w:tcW w:type="dxa" w:w="1134"/>
          </w:tcPr>
          <w:p>
            <w:r/>
            <w:r>
              <w:rPr>
                <w:sz w:val="16"/>
              </w:rPr>
              <w:t>13, 64, 166</w:t>
            </w:r>
          </w:p>
        </w:tc>
        <w:tc>
          <w:tcPr>
            <w:tcW w:type="dxa" w:w="4167"/>
          </w:tcPr>
          <w:p>
            <w:r/>
            <w:r>
              <w:rPr>
                <w:sz w:val="16"/>
              </w:rPr>
              <w:t>Los niveles de evidencia no aparecen donde dice el método: casi todos están en figuras-imagen sin referencias</w:t>
            </w:r>
          </w:p>
        </w:tc>
        <w:tc>
          <w:tcPr>
            <w:tcW w:type="dxa" w:w="765"/>
          </w:tcPr>
          <w:p>
            <w:r/>
            <w:r>
              <w:rPr>
                <w:sz w:val="16"/>
              </w:rPr>
              <w:t>—</w:t>
            </w:r>
          </w:p>
        </w:tc>
        <w:tc>
          <w:tcPr>
            <w:tcW w:type="dxa" w:w="663"/>
          </w:tcPr>
          <w:p>
            <w:r/>
            <w:r>
              <w:rPr>
                <w:sz w:val="16"/>
              </w:rPr>
              <w:t>✔</w:t>
            </w:r>
          </w:p>
        </w:tc>
        <w:tc>
          <w:tcPr>
            <w:tcW w:type="dxa" w:w="1276"/>
          </w:tcPr>
          <w:p>
            <w:r/>
          </w:p>
        </w:tc>
      </w:tr>
      <w:tr>
        <w:tc>
          <w:tcPr>
            <w:tcW w:type="dxa" w:w="969"/>
          </w:tcPr>
          <w:p>
            <w:r/>
            <w:r>
              <w:rPr>
                <w:sz w:val="16"/>
              </w:rPr>
              <w:t>MET-03</w:t>
            </w:r>
          </w:p>
        </w:tc>
        <w:tc>
          <w:tcPr>
            <w:tcW w:type="dxa" w:w="663"/>
          </w:tcPr>
          <w:p>
            <w:r/>
            <w:r>
              <w:rPr>
                <w:sz w:val="16"/>
              </w:rPr>
              <w:t>T21</w:t>
            </w:r>
          </w:p>
        </w:tc>
        <w:tc>
          <w:tcPr>
            <w:tcW w:type="dxa" w:w="1134"/>
          </w:tcPr>
          <w:p>
            <w:r/>
            <w:r>
              <w:rPr>
                <w:sz w:val="16"/>
              </w:rPr>
              <w:t>6, 175</w:t>
            </w:r>
          </w:p>
        </w:tc>
        <w:tc>
          <w:tcPr>
            <w:tcW w:type="dxa" w:w="4167"/>
          </w:tcPr>
          <w:p>
            <w:r/>
            <w:r>
              <w:rPr>
                <w:sz w:val="16"/>
              </w:rPr>
              <w:t>Búsqueda y selección no reproducibles; referencias fuera de la ventana declarada</w:t>
            </w:r>
          </w:p>
        </w:tc>
        <w:tc>
          <w:tcPr>
            <w:tcW w:type="dxa" w:w="765"/>
          </w:tcPr>
          <w:p>
            <w:r/>
            <w:r>
              <w:rPr>
                <w:sz w:val="16"/>
              </w:rPr>
              <w:t>—</w:t>
            </w:r>
          </w:p>
        </w:tc>
        <w:tc>
          <w:tcPr>
            <w:tcW w:type="dxa" w:w="663"/>
          </w:tcPr>
          <w:p>
            <w:r/>
            <w:r>
              <w:rPr>
                <w:sz w:val="16"/>
              </w:rPr>
              <w:t>✔</w:t>
            </w:r>
          </w:p>
        </w:tc>
        <w:tc>
          <w:tcPr>
            <w:tcW w:type="dxa" w:w="1276"/>
          </w:tcPr>
          <w:p>
            <w:r/>
          </w:p>
        </w:tc>
      </w:tr>
      <w:tr>
        <w:tc>
          <w:tcPr>
            <w:tcW w:type="dxa" w:w="969"/>
          </w:tcPr>
          <w:p>
            <w:r/>
            <w:r>
              <w:rPr>
                <w:sz w:val="16"/>
              </w:rPr>
              <w:t>MET-06</w:t>
            </w:r>
          </w:p>
        </w:tc>
        <w:tc>
          <w:tcPr>
            <w:tcW w:type="dxa" w:w="663"/>
          </w:tcPr>
          <w:p>
            <w:r/>
            <w:r>
              <w:rPr>
                <w:sz w:val="16"/>
              </w:rPr>
              <w:t>T21</w:t>
            </w:r>
          </w:p>
        </w:tc>
        <w:tc>
          <w:tcPr>
            <w:tcW w:type="dxa" w:w="1134"/>
          </w:tcPr>
          <w:p>
            <w:r/>
            <w:r>
              <w:rPr>
                <w:sz w:val="16"/>
              </w:rPr>
              <w:t>69, 88, 97, 160</w:t>
            </w:r>
          </w:p>
        </w:tc>
        <w:tc>
          <w:tcPr>
            <w:tcW w:type="dxa" w:w="4167"/>
          </w:tcPr>
          <w:p>
            <w:r/>
            <w:r>
              <w:rPr>
                <w:sz w:val="16"/>
              </w:rPr>
              <w:t>Nivel A asignado a evidencia que la propia Tabla A clasifica como B</w:t>
            </w:r>
          </w:p>
        </w:tc>
        <w:tc>
          <w:tcPr>
            <w:tcW w:type="dxa" w:w="765"/>
          </w:tcPr>
          <w:p>
            <w:r/>
            <w:r>
              <w:rPr>
                <w:sz w:val="16"/>
              </w:rPr>
              <w:t>—</w:t>
            </w:r>
          </w:p>
        </w:tc>
        <w:tc>
          <w:tcPr>
            <w:tcW w:type="dxa" w:w="663"/>
          </w:tcPr>
          <w:p>
            <w:r/>
            <w:r>
              <w:rPr>
                <w:sz w:val="16"/>
              </w:rPr>
              <w:t>≈</w:t>
            </w:r>
          </w:p>
        </w:tc>
        <w:tc>
          <w:tcPr>
            <w:tcW w:type="dxa" w:w="1276"/>
          </w:tcPr>
          <w:p>
            <w:r/>
          </w:p>
        </w:tc>
      </w:tr>
      <w:tr>
        <w:tc>
          <w:tcPr>
            <w:tcW w:type="dxa" w:w="969"/>
          </w:tcPr>
          <w:p>
            <w:r/>
            <w:r>
              <w:rPr>
                <w:sz w:val="16"/>
              </w:rPr>
              <w:t>MET-04</w:t>
            </w:r>
          </w:p>
        </w:tc>
        <w:tc>
          <w:tcPr>
            <w:tcW w:type="dxa" w:w="663"/>
          </w:tcPr>
          <w:p>
            <w:r/>
            <w:r>
              <w:rPr>
                <w:sz w:val="16"/>
              </w:rPr>
              <w:t>T22</w:t>
            </w:r>
          </w:p>
        </w:tc>
        <w:tc>
          <w:tcPr>
            <w:tcW w:type="dxa" w:w="1134"/>
          </w:tcPr>
          <w:p>
            <w:r/>
            <w:r>
              <w:rPr>
                <w:sz w:val="16"/>
              </w:rPr>
              <w:t>3, 12, 69, 79, 157</w:t>
            </w:r>
          </w:p>
        </w:tc>
        <w:tc>
          <w:tcPr>
            <w:tcW w:type="dxa" w:w="4167"/>
          </w:tcPr>
          <w:p>
            <w:r/>
            <w:r>
              <w:rPr>
                <w:sz w:val="16"/>
              </w:rPr>
              <w:t>Conflictos de interés y financiación: no se declaran, no hay política de gestión y el comité firma los ensayos que evalúa</w:t>
            </w:r>
          </w:p>
        </w:tc>
        <w:tc>
          <w:tcPr>
            <w:tcW w:type="dxa" w:w="765"/>
          </w:tcPr>
          <w:p>
            <w:r/>
            <w:r>
              <w:rPr>
                <w:sz w:val="16"/>
              </w:rPr>
              <w:t>—</w:t>
            </w:r>
          </w:p>
        </w:tc>
        <w:tc>
          <w:tcPr>
            <w:tcW w:type="dxa" w:w="663"/>
          </w:tcPr>
          <w:p>
            <w:r/>
            <w:r>
              <w:rPr>
                <w:sz w:val="16"/>
              </w:rPr>
              <w:t>✔</w:t>
            </w:r>
          </w:p>
        </w:tc>
        <w:tc>
          <w:tcPr>
            <w:tcW w:type="dxa" w:w="1276"/>
          </w:tcPr>
          <w:p>
            <w:r/>
            <w:r>
              <w:rPr>
                <w:sz w:val="16"/>
              </w:rPr>
              <w:t>Parcial</w:t>
            </w:r>
          </w:p>
        </w:tc>
      </w:tr>
      <w:tr>
        <w:tc>
          <w:tcPr>
            <w:tcW w:type="dxa" w:w="969"/>
          </w:tcPr>
          <w:p>
            <w:r/>
            <w:r>
              <w:rPr>
                <w:sz w:val="16"/>
              </w:rPr>
              <w:t>EPI-01</w:t>
            </w:r>
          </w:p>
        </w:tc>
        <w:tc>
          <w:tcPr>
            <w:tcW w:type="dxa" w:w="663"/>
          </w:tcPr>
          <w:p>
            <w:r/>
            <w:r>
              <w:rPr>
                <w:sz w:val="16"/>
              </w:rPr>
              <w:t>T23</w:t>
            </w:r>
          </w:p>
        </w:tc>
        <w:tc>
          <w:tcPr>
            <w:tcW w:type="dxa" w:w="1134"/>
          </w:tcPr>
          <w:p>
            <w:r/>
            <w:r>
              <w:rPr>
                <w:sz w:val="16"/>
              </w:rPr>
              <w:t>5, 17</w:t>
            </w:r>
          </w:p>
        </w:tc>
        <w:tc>
          <w:tcPr>
            <w:tcW w:type="dxa" w:w="4167"/>
          </w:tcPr>
          <w:p>
            <w:r/>
            <w:r>
              <w:rPr>
                <w:sz w:val="16"/>
              </w:rPr>
              <w:t>Errores de cita sistemáticos en el capítulo 1 (desplazamiento de numeración)</w:t>
            </w:r>
          </w:p>
        </w:tc>
        <w:tc>
          <w:tcPr>
            <w:tcW w:type="dxa" w:w="765"/>
          </w:tcPr>
          <w:p>
            <w:r/>
            <w:r>
              <w:rPr>
                <w:sz w:val="16"/>
              </w:rPr>
              <w:t>5</w:t>
            </w:r>
          </w:p>
        </w:tc>
        <w:tc>
          <w:tcPr>
            <w:tcW w:type="dxa" w:w="663"/>
          </w:tcPr>
          <w:p>
            <w:r/>
            <w:r>
              <w:rPr>
                <w:sz w:val="16"/>
              </w:rPr>
              <w:t>✔</w:t>
            </w:r>
          </w:p>
        </w:tc>
        <w:tc>
          <w:tcPr>
            <w:tcW w:type="dxa" w:w="1276"/>
          </w:tcPr>
          <w:p>
            <w:r/>
            <w:r>
              <w:rPr>
                <w:sz w:val="16"/>
              </w:rPr>
              <w:t>Confirmado</w:t>
            </w:r>
          </w:p>
        </w:tc>
      </w:tr>
      <w:tr>
        <w:tc>
          <w:tcPr>
            <w:tcW w:type="dxa" w:w="969"/>
          </w:tcPr>
          <w:p>
            <w:r/>
            <w:r>
              <w:rPr>
                <w:sz w:val="16"/>
              </w:rPr>
              <w:t>EQ-09</w:t>
            </w:r>
          </w:p>
        </w:tc>
        <w:tc>
          <w:tcPr>
            <w:tcW w:type="dxa" w:w="663"/>
          </w:tcPr>
          <w:p>
            <w:r/>
            <w:r>
              <w:rPr>
                <w:sz w:val="16"/>
              </w:rPr>
              <w:t>T24</w:t>
            </w:r>
          </w:p>
        </w:tc>
        <w:tc>
          <w:tcPr>
            <w:tcW w:type="dxa" w:w="1134"/>
          </w:tcPr>
          <w:p>
            <w:r/>
            <w:r>
              <w:rPr>
                <w:sz w:val="16"/>
              </w:rPr>
              <w:t>133</w:t>
            </w:r>
          </w:p>
        </w:tc>
        <w:tc>
          <w:tcPr>
            <w:tcW w:type="dxa" w:w="4167"/>
          </w:tcPr>
          <w:p>
            <w:r/>
            <w:r>
              <w:rPr>
                <w:sz w:val="16"/>
              </w:rPr>
              <w:t>El dato de depresión por sexo está mal representado y contradice las referencias citadas</w:t>
            </w:r>
          </w:p>
        </w:tc>
        <w:tc>
          <w:tcPr>
            <w:tcW w:type="dxa" w:w="765"/>
          </w:tcPr>
          <w:p>
            <w:r/>
            <w:r>
              <w:rPr>
                <w:sz w:val="16"/>
              </w:rPr>
              <w:t>4</w:t>
            </w:r>
          </w:p>
        </w:tc>
        <w:tc>
          <w:tcPr>
            <w:tcW w:type="dxa" w:w="663"/>
          </w:tcPr>
          <w:p>
            <w:r/>
            <w:r>
              <w:rPr>
                <w:sz w:val="16"/>
              </w:rPr>
              <w:t>✔</w:t>
            </w:r>
          </w:p>
        </w:tc>
        <w:tc>
          <w:tcPr>
            <w:tcW w:type="dxa" w:w="1276"/>
          </w:tcPr>
          <w:p>
            <w:r/>
            <w:r>
              <w:rPr>
                <w:sz w:val="16"/>
              </w:rPr>
              <w:t>Confirmado</w:t>
            </w:r>
          </w:p>
        </w:tc>
      </w:tr>
      <w:tr>
        <w:tc>
          <w:tcPr>
            <w:tcW w:type="dxa" w:w="969"/>
          </w:tcPr>
          <w:p>
            <w:r/>
            <w:r>
              <w:rPr>
                <w:sz w:val="16"/>
              </w:rPr>
              <w:t>EXA-14</w:t>
            </w:r>
          </w:p>
        </w:tc>
        <w:tc>
          <w:tcPr>
            <w:tcW w:type="dxa" w:w="663"/>
          </w:tcPr>
          <w:p>
            <w:r/>
            <w:r>
              <w:rPr>
                <w:sz w:val="16"/>
              </w:rPr>
              <w:t>T24</w:t>
            </w:r>
          </w:p>
        </w:tc>
        <w:tc>
          <w:tcPr>
            <w:tcW w:type="dxa" w:w="1134"/>
          </w:tcPr>
          <w:p>
            <w:r/>
            <w:r>
              <w:rPr>
                <w:sz w:val="16"/>
              </w:rPr>
              <w:t>119</w:t>
            </w:r>
          </w:p>
        </w:tc>
        <w:tc>
          <w:tcPr>
            <w:tcW w:type="dxa" w:w="4167"/>
          </w:tcPr>
          <w:p>
            <w:r/>
            <w:r>
              <w:rPr>
                <w:sz w:val="16"/>
              </w:rPr>
              <w:t>Cifra de reingresos a 30 días ("30-50 %") errónea, sin referencia y contradicha por la propia guía</w:t>
            </w:r>
          </w:p>
        </w:tc>
        <w:tc>
          <w:tcPr>
            <w:tcW w:type="dxa" w:w="765"/>
          </w:tcPr>
          <w:p>
            <w:r/>
            <w:r>
              <w:rPr>
                <w:sz w:val="16"/>
              </w:rPr>
              <w:t>5</w:t>
            </w:r>
          </w:p>
        </w:tc>
        <w:tc>
          <w:tcPr>
            <w:tcW w:type="dxa" w:w="663"/>
          </w:tcPr>
          <w:p>
            <w:r/>
            <w:r>
              <w:rPr>
                <w:sz w:val="16"/>
              </w:rPr>
              <w:t>✔</w:t>
            </w:r>
          </w:p>
        </w:tc>
        <w:tc>
          <w:tcPr>
            <w:tcW w:type="dxa" w:w="1276"/>
          </w:tcPr>
          <w:p>
            <w:r/>
            <w:r>
              <w:rPr>
                <w:sz w:val="16"/>
              </w:rPr>
              <w:t>Confirmado</w:t>
            </w:r>
          </w:p>
        </w:tc>
      </w:tr>
      <w:tr>
        <w:tc>
          <w:tcPr>
            <w:tcW w:type="dxa" w:w="969"/>
          </w:tcPr>
          <w:p>
            <w:r/>
            <w:r>
              <w:rPr>
                <w:sz w:val="16"/>
              </w:rPr>
              <w:t>EQ-01</w:t>
            </w:r>
          </w:p>
        </w:tc>
        <w:tc>
          <w:tcPr>
            <w:tcW w:type="dxa" w:w="663"/>
          </w:tcPr>
          <w:p>
            <w:r/>
            <w:r>
              <w:rPr>
                <w:sz w:val="16"/>
              </w:rPr>
              <w:t>T25</w:t>
            </w:r>
          </w:p>
        </w:tc>
        <w:tc>
          <w:tcPr>
            <w:tcW w:type="dxa" w:w="1134"/>
          </w:tcPr>
          <w:p>
            <w:r/>
            <w:r>
              <w:rPr>
                <w:sz w:val="16"/>
              </w:rPr>
              <w:t>13, 21, 37</w:t>
            </w:r>
          </w:p>
        </w:tc>
        <w:tc>
          <w:tcPr>
            <w:tcW w:type="dxa" w:w="4167"/>
          </w:tcPr>
          <w:p>
            <w:r/>
            <w:r>
              <w:rPr>
                <w:sz w:val="16"/>
              </w:rPr>
              <w:t>La espirometría se presenta como "barata y disponible en cualquier entorno", en contradicción con el propio documento</w:t>
            </w:r>
          </w:p>
        </w:tc>
        <w:tc>
          <w:tcPr>
            <w:tcW w:type="dxa" w:w="765"/>
          </w:tcPr>
          <w:p>
            <w:r/>
            <w:r>
              <w:rPr>
                <w:sz w:val="16"/>
              </w:rPr>
              <w:t>5</w:t>
            </w:r>
          </w:p>
        </w:tc>
        <w:tc>
          <w:tcPr>
            <w:tcW w:type="dxa" w:w="663"/>
          </w:tcPr>
          <w:p>
            <w:r/>
            <w:r>
              <w:rPr>
                <w:sz w:val="16"/>
              </w:rPr>
              <w:t>✔</w:t>
            </w:r>
          </w:p>
        </w:tc>
        <w:tc>
          <w:tcPr>
            <w:tcW w:type="dxa" w:w="1276"/>
          </w:tcPr>
          <w:p>
            <w:r/>
          </w:p>
        </w:tc>
      </w:tr>
      <w:tr>
        <w:tc>
          <w:tcPr>
            <w:tcW w:type="dxa" w:w="969"/>
          </w:tcPr>
          <w:p>
            <w:r/>
            <w:r>
              <w:rPr>
                <w:sz w:val="16"/>
              </w:rPr>
              <w:t>EQ-03</w:t>
            </w:r>
          </w:p>
        </w:tc>
        <w:tc>
          <w:tcPr>
            <w:tcW w:type="dxa" w:w="663"/>
          </w:tcPr>
          <w:p>
            <w:r/>
            <w:r>
              <w:rPr>
                <w:sz w:val="16"/>
              </w:rPr>
              <w:t>T25</w:t>
            </w:r>
          </w:p>
        </w:tc>
        <w:tc>
          <w:tcPr>
            <w:tcW w:type="dxa" w:w="1134"/>
          </w:tcPr>
          <w:p>
            <w:r/>
            <w:r>
              <w:rPr>
                <w:sz w:val="16"/>
              </w:rPr>
              <w:t>43</w:t>
            </w:r>
          </w:p>
        </w:tc>
        <w:tc>
          <w:tcPr>
            <w:tcW w:type="dxa" w:w="4167"/>
          </w:tcPr>
          <w:p>
            <w:r/>
            <w:r>
              <w:rPr>
                <w:sz w:val="16"/>
              </w:rPr>
              <w:t>No hay una vía diagnóstica operativa para entornos sin espirometría</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EQ-05</w:t>
            </w:r>
          </w:p>
        </w:tc>
        <w:tc>
          <w:tcPr>
            <w:tcW w:type="dxa" w:w="663"/>
          </w:tcPr>
          <w:p>
            <w:r/>
            <w:r>
              <w:rPr>
                <w:sz w:val="16"/>
              </w:rPr>
              <w:t>T25</w:t>
            </w:r>
          </w:p>
        </w:tc>
        <w:tc>
          <w:tcPr>
            <w:tcW w:type="dxa" w:w="1134"/>
          </w:tcPr>
          <w:p>
            <w:r/>
            <w:r>
              <w:rPr>
                <w:sz w:val="16"/>
              </w:rPr>
              <w:t>72, 75</w:t>
            </w:r>
          </w:p>
        </w:tc>
        <w:tc>
          <w:tcPr>
            <w:tcW w:type="dxa" w:w="4167"/>
          </w:tcPr>
          <w:p>
            <w:r/>
            <w:r>
              <w:rPr>
                <w:sz w:val="16"/>
              </w:rPr>
              <w:t>No hay escalón terapéutico de bajo coste ni alineación con la Lista de Medicamentos Esenciales de la OMS</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EQ-08</w:t>
            </w:r>
          </w:p>
        </w:tc>
        <w:tc>
          <w:tcPr>
            <w:tcW w:type="dxa" w:w="663"/>
          </w:tcPr>
          <w:p>
            <w:r/>
            <w:r>
              <w:rPr>
                <w:sz w:val="16"/>
              </w:rPr>
              <w:t>T25</w:t>
            </w:r>
          </w:p>
        </w:tc>
        <w:tc>
          <w:tcPr>
            <w:tcW w:type="dxa" w:w="1134"/>
          </w:tcPr>
          <w:p>
            <w:r/>
            <w:r>
              <w:rPr>
                <w:sz w:val="16"/>
              </w:rPr>
              <w:t>19, 20, 27</w:t>
            </w:r>
          </w:p>
        </w:tc>
        <w:tc>
          <w:tcPr>
            <w:tcW w:type="dxa" w:w="4167"/>
          </w:tcPr>
          <w:p>
            <w:r/>
            <w:r>
              <w:rPr>
                <w:sz w:val="16"/>
              </w:rPr>
              <w:t>Sexo y género: se omite el sesgo diagnóstico en mujeres y no se relacionan biomasa y mujeres en LMIC</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EQ-20</w:t>
            </w:r>
          </w:p>
        </w:tc>
        <w:tc>
          <w:tcPr>
            <w:tcW w:type="dxa" w:w="663"/>
          </w:tcPr>
          <w:p>
            <w:r/>
            <w:r>
              <w:rPr>
                <w:sz w:val="16"/>
              </w:rPr>
              <w:t>T26</w:t>
            </w:r>
          </w:p>
        </w:tc>
        <w:tc>
          <w:tcPr>
            <w:tcW w:type="dxa" w:w="1134"/>
          </w:tcPr>
          <w:p>
            <w:r/>
            <w:r>
              <w:rPr>
                <w:sz w:val="16"/>
              </w:rPr>
              <w:t>68, 81, 83</w:t>
            </w:r>
          </w:p>
        </w:tc>
        <w:tc>
          <w:tcPr>
            <w:tcW w:type="dxa" w:w="4167"/>
          </w:tcPr>
          <w:p>
            <w:r/>
            <w:r>
              <w:rPr>
                <w:sz w:val="16"/>
              </w:rPr>
              <w:t>Sostenibilidad de los inhaladores: no se menciona la transición a propelentes de bajo PCG y la única fuente tiene conflicto de interés</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REH-16</w:t>
            </w:r>
          </w:p>
        </w:tc>
        <w:tc>
          <w:tcPr>
            <w:tcW w:type="dxa" w:w="663"/>
          </w:tcPr>
          <w:p>
            <w:r/>
            <w:r>
              <w:rPr>
                <w:sz w:val="16"/>
              </w:rPr>
              <w:t>T28</w:t>
            </w:r>
          </w:p>
        </w:tc>
        <w:tc>
          <w:tcPr>
            <w:tcW w:type="dxa" w:w="1134"/>
          </w:tcPr>
          <w:p>
            <w:r/>
            <w:r>
              <w:rPr>
                <w:sz w:val="16"/>
              </w:rPr>
              <w:t>85, 169, 172</w:t>
            </w:r>
          </w:p>
        </w:tc>
        <w:tc>
          <w:tcPr>
            <w:tcW w:type="dxa" w:w="4167"/>
          </w:tcPr>
          <w:p>
            <w:r/>
            <w:r>
              <w:rPr>
                <w:sz w:val="16"/>
              </w:rPr>
              <w:t>Autogestión: señales de daño infravaloradas y planes de acción sin salvaguardas</w:t>
            </w:r>
          </w:p>
        </w:tc>
        <w:tc>
          <w:tcPr>
            <w:tcW w:type="dxa" w:w="765"/>
          </w:tcPr>
          <w:p>
            <w:r/>
            <w:r>
              <w:rPr>
                <w:sz w:val="16"/>
              </w:rPr>
              <w:t>4</w:t>
            </w:r>
          </w:p>
        </w:tc>
        <w:tc>
          <w:tcPr>
            <w:tcW w:type="dxa" w:w="663"/>
          </w:tcPr>
          <w:p>
            <w:r/>
            <w:r>
              <w:rPr>
                <w:sz w:val="16"/>
              </w:rPr>
              <w:t>✔</w:t>
            </w:r>
          </w:p>
        </w:tc>
        <w:tc>
          <w:tcPr>
            <w:tcW w:type="dxa" w:w="1276"/>
          </w:tcPr>
          <w:p>
            <w:r/>
          </w:p>
        </w:tc>
      </w:tr>
    </w:tbl>
    <w:p/>
    <w:p>
      <w:pPr>
        <w:pStyle w:val="Heading3"/>
      </w:pPr>
      <w:r>
        <w:rPr>
          <w:color w:val="FFC000"/>
        </w:rPr>
        <w:t>🟡</w:t>
      </w:r>
      <w:r>
        <w:t xml:space="preserve"> Hallazgos de severidad media (162)</w:t>
      </w:r>
    </w:p>
    <w:tbl>
      <w:tblPr>
        <w:tblStyle w:val="TableGrid"/>
        <w:tblW w:type="auto" w:w="0"/>
        <w:tblLayout w:type="fixed"/>
        <w:tblLook w:firstColumn="1" w:firstRow="1" w:lastColumn="0" w:lastRow="0" w:noHBand="0" w:noVBand="1" w:val="04A0"/>
      </w:tblPr>
      <w:tblGrid>
        <w:gridCol w:w="969"/>
        <w:gridCol w:w="663"/>
        <w:gridCol w:w="1134"/>
        <w:gridCol w:w="4167"/>
        <w:gridCol w:w="765"/>
        <w:gridCol w:w="663"/>
        <w:gridCol w:w="1276"/>
      </w:tblGrid>
      <w:tr>
        <w:trPr>
          <w:tblHeader w:val="true"/>
        </w:trPr>
        <w:tc>
          <w:tcPr>
            <w:tcW w:type="dxa" w:w="969"/>
            <w:shd w:val="clear" w:color="auto" w:fill="D9E2F3"/>
          </w:tcPr>
          <w:p>
            <w:r/>
            <w:r>
              <w:rPr>
                <w:b/>
                <w:sz w:val="16"/>
              </w:rPr>
              <w:t>ID</w:t>
            </w:r>
          </w:p>
        </w:tc>
        <w:tc>
          <w:tcPr>
            <w:tcW w:type="dxa" w:w="663"/>
            <w:shd w:val="clear" w:color="auto" w:fill="D9E2F3"/>
          </w:tcPr>
          <w:p>
            <w:r/>
            <w:r>
              <w:rPr>
                <w:b/>
                <w:sz w:val="16"/>
              </w:rPr>
              <w:t>Tema</w:t>
            </w:r>
          </w:p>
        </w:tc>
        <w:tc>
          <w:tcPr>
            <w:tcW w:type="dxa" w:w="1134"/>
            <w:shd w:val="clear" w:color="auto" w:fill="D9E2F3"/>
          </w:tcPr>
          <w:p>
            <w:r/>
            <w:r>
              <w:rPr>
                <w:b/>
                <w:sz w:val="16"/>
              </w:rPr>
              <w:t>Págs. PDF</w:t>
            </w:r>
          </w:p>
        </w:tc>
        <w:tc>
          <w:tcPr>
            <w:tcW w:type="dxa" w:w="4167"/>
            <w:shd w:val="clear" w:color="auto" w:fill="D9E2F3"/>
          </w:tcPr>
          <w:p>
            <w:r/>
            <w:r>
              <w:rPr>
                <w:b/>
                <w:sz w:val="16"/>
              </w:rPr>
              <w:t>Hallazgo</w:t>
            </w:r>
          </w:p>
        </w:tc>
        <w:tc>
          <w:tcPr>
            <w:tcW w:type="dxa" w:w="765"/>
            <w:shd w:val="clear" w:color="auto" w:fill="D9E2F3"/>
          </w:tcPr>
          <w:p>
            <w:r/>
            <w:r>
              <w:rPr>
                <w:b/>
                <w:sz w:val="16"/>
              </w:rPr>
              <w:t>Conf.</w:t>
            </w:r>
          </w:p>
        </w:tc>
        <w:tc>
          <w:tcPr>
            <w:tcW w:type="dxa" w:w="663"/>
            <w:shd w:val="clear" w:color="auto" w:fill="D9E2F3"/>
          </w:tcPr>
          <w:p>
            <w:r/>
            <w:r>
              <w:rPr>
                <w:b/>
                <w:sz w:val="16"/>
              </w:rPr>
              <w:t>Cita</w:t>
            </w:r>
          </w:p>
        </w:tc>
        <w:tc>
          <w:tcPr>
            <w:tcW w:type="dxa" w:w="1276"/>
            <w:shd w:val="clear" w:color="auto" w:fill="D9E2F3"/>
          </w:tcPr>
          <w:p>
            <w:r/>
            <w:r>
              <w:rPr>
                <w:b/>
                <w:sz w:val="16"/>
              </w:rPr>
              <w:t>Verif.</w:t>
            </w:r>
          </w:p>
        </w:tc>
      </w:tr>
      <w:tr>
        <w:tc>
          <w:tcPr>
            <w:tcW w:type="dxa" w:w="969"/>
          </w:tcPr>
          <w:p>
            <w:r/>
            <w:r>
              <w:rPr>
                <w:sz w:val="16"/>
              </w:rPr>
              <w:t>REH-07</w:t>
            </w:r>
          </w:p>
        </w:tc>
        <w:tc>
          <w:tcPr>
            <w:tcW w:type="dxa" w:w="663"/>
          </w:tcPr>
          <w:p>
            <w:r/>
            <w:r>
              <w:rPr>
                <w:sz w:val="16"/>
              </w:rPr>
              <w:t>T01</w:t>
            </w:r>
          </w:p>
        </w:tc>
        <w:tc>
          <w:tcPr>
            <w:tcW w:type="dxa" w:w="1134"/>
          </w:tcPr>
          <w:p>
            <w:r/>
            <w:r>
              <w:rPr>
                <w:sz w:val="16"/>
              </w:rPr>
              <w:t>88, 89</w:t>
            </w:r>
          </w:p>
        </w:tc>
        <w:tc>
          <w:tcPr>
            <w:tcW w:type="dxa" w:w="4167"/>
          </w:tcPr>
          <w:p>
            <w:r/>
            <w:r>
              <w:rPr>
                <w:sz w:val="16"/>
              </w:rPr>
              <w:t>Figura 3.18: titulación a SaO2 ≥ 90 % sin advertencia sobre retención de CO2</w:t>
            </w:r>
          </w:p>
        </w:tc>
        <w:tc>
          <w:tcPr>
            <w:tcW w:type="dxa" w:w="765"/>
          </w:tcPr>
          <w:p>
            <w:r/>
            <w:r>
              <w:rPr>
                <w:sz w:val="16"/>
              </w:rPr>
              <w:t>4</w:t>
            </w:r>
          </w:p>
        </w:tc>
        <w:tc>
          <w:tcPr>
            <w:tcW w:type="dxa" w:w="663"/>
          </w:tcPr>
          <w:p>
            <w:r/>
            <w:r>
              <w:rPr>
                <w:sz w:val="16"/>
              </w:rPr>
              <w:t>✖</w:t>
            </w:r>
          </w:p>
        </w:tc>
        <w:tc>
          <w:tcPr>
            <w:tcW w:type="dxa" w:w="1276"/>
          </w:tcPr>
          <w:p>
            <w:r/>
            <w:r>
              <w:rPr>
                <w:sz w:val="16"/>
              </w:rPr>
              <w:t>Confirmado</w:t>
            </w:r>
          </w:p>
        </w:tc>
      </w:tr>
      <w:tr>
        <w:tc>
          <w:tcPr>
            <w:tcW w:type="dxa" w:w="969"/>
          </w:tcPr>
          <w:p>
            <w:r/>
            <w:r>
              <w:rPr>
                <w:sz w:val="16"/>
              </w:rPr>
              <w:t>EXA-16</w:t>
            </w:r>
          </w:p>
        </w:tc>
        <w:tc>
          <w:tcPr>
            <w:tcW w:type="dxa" w:w="663"/>
          </w:tcPr>
          <w:p>
            <w:r/>
            <w:r>
              <w:rPr>
                <w:sz w:val="16"/>
              </w:rPr>
              <w:t>T02</w:t>
            </w:r>
          </w:p>
        </w:tc>
        <w:tc>
          <w:tcPr>
            <w:tcW w:type="dxa" w:w="1134"/>
          </w:tcPr>
          <w:p>
            <w:r/>
            <w:r>
              <w:rPr>
                <w:sz w:val="16"/>
              </w:rPr>
              <w:t>105</w:t>
            </w:r>
          </w:p>
        </w:tc>
        <w:tc>
          <w:tcPr>
            <w:tcW w:type="dxa" w:w="4167"/>
          </w:tcPr>
          <w:p>
            <w:r/>
            <w:r>
              <w:rPr>
                <w:sz w:val="16"/>
              </w:rPr>
              <w:t>Distribución de gravedad en las cohortes de validación de Roma mal resumida</w:t>
            </w:r>
          </w:p>
        </w:tc>
        <w:tc>
          <w:tcPr>
            <w:tcW w:type="dxa" w:w="765"/>
          </w:tcPr>
          <w:p>
            <w:r/>
            <w:r>
              <w:rPr>
                <w:sz w:val="16"/>
              </w:rPr>
              <w:t>5</w:t>
            </w:r>
          </w:p>
        </w:tc>
        <w:tc>
          <w:tcPr>
            <w:tcW w:type="dxa" w:w="663"/>
          </w:tcPr>
          <w:p>
            <w:r/>
            <w:r>
              <w:rPr>
                <w:sz w:val="16"/>
              </w:rPr>
              <w:t>✔</w:t>
            </w:r>
          </w:p>
        </w:tc>
        <w:tc>
          <w:tcPr>
            <w:tcW w:type="dxa" w:w="1276"/>
          </w:tcPr>
          <w:p>
            <w:r/>
          </w:p>
        </w:tc>
      </w:tr>
      <w:tr>
        <w:tc>
          <w:tcPr>
            <w:tcW w:type="dxa" w:w="969"/>
          </w:tcPr>
          <w:p>
            <w:r/>
            <w:r>
              <w:rPr>
                <w:sz w:val="16"/>
              </w:rPr>
              <w:t>DX-13</w:t>
            </w:r>
          </w:p>
        </w:tc>
        <w:tc>
          <w:tcPr>
            <w:tcW w:type="dxa" w:w="663"/>
          </w:tcPr>
          <w:p>
            <w:r/>
            <w:r>
              <w:rPr>
                <w:sz w:val="16"/>
              </w:rPr>
              <w:t>T03</w:t>
            </w:r>
          </w:p>
        </w:tc>
        <w:tc>
          <w:tcPr>
            <w:tcW w:type="dxa" w:w="1134"/>
          </w:tcPr>
          <w:p>
            <w:r/>
            <w:r>
              <w:rPr>
                <w:sz w:val="16"/>
              </w:rPr>
              <w:t>47, 57, 59, 130</w:t>
            </w:r>
          </w:p>
        </w:tc>
        <w:tc>
          <w:tcPr>
            <w:tcW w:type="dxa" w:w="4167"/>
          </w:tcPr>
          <w:p>
            <w:r/>
            <w:r>
              <w:rPr>
                <w:sz w:val="16"/>
              </w:rPr>
              <w:t>Cribado de cáncer de pulmón con TC: criterios inconsistentes y redacción errónea</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MUL-09</w:t>
            </w:r>
          </w:p>
        </w:tc>
        <w:tc>
          <w:tcPr>
            <w:tcW w:type="dxa" w:w="663"/>
          </w:tcPr>
          <w:p>
            <w:r/>
            <w:r>
              <w:rPr>
                <w:sz w:val="16"/>
              </w:rPr>
              <w:t>T03</w:t>
            </w:r>
          </w:p>
        </w:tc>
        <w:tc>
          <w:tcPr>
            <w:tcW w:type="dxa" w:w="1134"/>
          </w:tcPr>
          <w:p>
            <w:r/>
            <w:r>
              <w:rPr>
                <w:sz w:val="16"/>
              </w:rPr>
              <w:t>130</w:t>
            </w:r>
          </w:p>
        </w:tc>
        <w:tc>
          <w:tcPr>
            <w:tcW w:type="dxa" w:w="4167"/>
          </w:tcPr>
          <w:p>
            <w:r/>
            <w:r>
              <w:rPr>
                <w:sz w:val="16"/>
              </w:rPr>
              <w:t>Cáncer de pulmón: cifras de GLOBOCAN 2012, comparación incorrecta y «supervivencia» como desenlace</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MUL-10</w:t>
            </w:r>
          </w:p>
        </w:tc>
        <w:tc>
          <w:tcPr>
            <w:tcW w:type="dxa" w:w="663"/>
          </w:tcPr>
          <w:p>
            <w:r/>
            <w:r>
              <w:rPr>
                <w:sz w:val="16"/>
              </w:rPr>
              <w:t>T03</w:t>
            </w:r>
          </w:p>
        </w:tc>
        <w:tc>
          <w:tcPr>
            <w:tcW w:type="dxa" w:w="1134"/>
          </w:tcPr>
          <w:p>
            <w:r/>
            <w:r>
              <w:rPr>
                <w:sz w:val="16"/>
              </w:rPr>
              <w:t>57, 123, 130</w:t>
            </w:r>
          </w:p>
        </w:tc>
        <w:tc>
          <w:tcPr>
            <w:tcW w:type="dxa" w:w="4167"/>
          </w:tcPr>
          <w:p>
            <w:r/>
            <w:r>
              <w:rPr>
                <w:sz w:val="16"/>
              </w:rPr>
              <w:t>Cribado con LDCT: criterios incoherentes entre el punto clave, la Fig. 5.4, el texto y el cap. 2</w:t>
            </w:r>
          </w:p>
        </w:tc>
        <w:tc>
          <w:tcPr>
            <w:tcW w:type="dxa" w:w="765"/>
          </w:tcPr>
          <w:p>
            <w:r/>
            <w:r>
              <w:rPr>
                <w:sz w:val="16"/>
              </w:rPr>
              <w:t>5</w:t>
            </w:r>
          </w:p>
        </w:tc>
        <w:tc>
          <w:tcPr>
            <w:tcW w:type="dxa" w:w="663"/>
          </w:tcPr>
          <w:p>
            <w:r/>
            <w:r>
              <w:rPr>
                <w:sz w:val="16"/>
              </w:rPr>
              <w:t>✔</w:t>
            </w:r>
          </w:p>
        </w:tc>
        <w:tc>
          <w:tcPr>
            <w:tcW w:type="dxa" w:w="1276"/>
          </w:tcPr>
          <w:p>
            <w:r/>
            <w:r>
              <w:rPr>
                <w:sz w:val="16"/>
              </w:rPr>
              <w:t>Parcial</w:t>
            </w:r>
          </w:p>
        </w:tc>
      </w:tr>
      <w:tr>
        <w:tc>
          <w:tcPr>
            <w:tcW w:type="dxa" w:w="969"/>
          </w:tcPr>
          <w:p>
            <w:r/>
            <w:r>
              <w:rPr>
                <w:sz w:val="16"/>
              </w:rPr>
              <w:t>MUL-25</w:t>
            </w:r>
          </w:p>
        </w:tc>
        <w:tc>
          <w:tcPr>
            <w:tcW w:type="dxa" w:w="663"/>
          </w:tcPr>
          <w:p>
            <w:r/>
            <w:r>
              <w:rPr>
                <w:sz w:val="16"/>
              </w:rPr>
              <w:t>T03</w:t>
            </w:r>
          </w:p>
        </w:tc>
        <w:tc>
          <w:tcPr>
            <w:tcW w:type="dxa" w:w="1134"/>
          </w:tcPr>
          <w:p>
            <w:r/>
            <w:r>
              <w:rPr>
                <w:sz w:val="16"/>
              </w:rPr>
              <w:t>128, 140</w:t>
            </w:r>
          </w:p>
        </w:tc>
        <w:tc>
          <w:tcPr>
            <w:tcW w:type="dxa" w:w="4167"/>
          </w:tcPr>
          <w:p>
            <w:r/>
            <w:r>
              <w:rPr>
                <w:sz w:val="16"/>
              </w:rPr>
              <w:t>Figs. 5.5 y 5.6: pruebas y periodicidades no alineadas con el texto</w:t>
            </w:r>
          </w:p>
        </w:tc>
        <w:tc>
          <w:tcPr>
            <w:tcW w:type="dxa" w:w="765"/>
          </w:tcPr>
          <w:p>
            <w:r/>
            <w:r>
              <w:rPr>
                <w:sz w:val="16"/>
              </w:rPr>
              <w:t>5</w:t>
            </w:r>
          </w:p>
        </w:tc>
        <w:tc>
          <w:tcPr>
            <w:tcW w:type="dxa" w:w="663"/>
          </w:tcPr>
          <w:p>
            <w:r/>
            <w:r>
              <w:rPr>
                <w:sz w:val="16"/>
              </w:rPr>
              <w:t>✖</w:t>
            </w:r>
          </w:p>
        </w:tc>
        <w:tc>
          <w:tcPr>
            <w:tcW w:type="dxa" w:w="1276"/>
          </w:tcPr>
          <w:p>
            <w:r/>
            <w:r>
              <w:rPr>
                <w:sz w:val="16"/>
              </w:rPr>
              <w:t>Confirmado</w:t>
            </w:r>
          </w:p>
        </w:tc>
      </w:tr>
      <w:tr>
        <w:tc>
          <w:tcPr>
            <w:tcW w:type="dxa" w:w="969"/>
          </w:tcPr>
          <w:p>
            <w:r/>
            <w:r>
              <w:rPr>
                <w:sz w:val="16"/>
              </w:rPr>
              <w:t>REH-03</w:t>
            </w:r>
          </w:p>
        </w:tc>
        <w:tc>
          <w:tcPr>
            <w:tcW w:type="dxa" w:w="663"/>
          </w:tcPr>
          <w:p>
            <w:r/>
            <w:r>
              <w:rPr>
                <w:sz w:val="16"/>
              </w:rPr>
              <w:t>T05</w:t>
            </w:r>
          </w:p>
        </w:tc>
        <w:tc>
          <w:tcPr>
            <w:tcW w:type="dxa" w:w="1134"/>
          </w:tcPr>
          <w:p>
            <w:r/>
            <w:r>
              <w:rPr>
                <w:sz w:val="16"/>
              </w:rPr>
              <w:t>120, 172</w:t>
            </w:r>
          </w:p>
        </w:tc>
        <w:tc>
          <w:tcPr>
            <w:tcW w:type="dxa" w:w="4167"/>
          </w:tcPr>
          <w:p>
            <w:r/>
            <w:r>
              <w:rPr>
                <w:sz w:val="16"/>
              </w:rPr>
              <w:t>Cap. 4: ventana de inicio de la RR distinta de las guías y referencias que no respaldan la afirmación</w:t>
            </w:r>
          </w:p>
        </w:tc>
        <w:tc>
          <w:tcPr>
            <w:tcW w:type="dxa" w:w="765"/>
          </w:tcPr>
          <w:p>
            <w:r/>
            <w:r>
              <w:rPr>
                <w:sz w:val="16"/>
              </w:rPr>
              <w:t>5</w:t>
            </w:r>
          </w:p>
        </w:tc>
        <w:tc>
          <w:tcPr>
            <w:tcW w:type="dxa" w:w="663"/>
          </w:tcPr>
          <w:p>
            <w:r/>
            <w:r>
              <w:rPr>
                <w:sz w:val="16"/>
              </w:rPr>
              <w:t>✔</w:t>
            </w:r>
          </w:p>
        </w:tc>
        <w:tc>
          <w:tcPr>
            <w:tcW w:type="dxa" w:w="1276"/>
          </w:tcPr>
          <w:p>
            <w:r/>
          </w:p>
        </w:tc>
      </w:tr>
      <w:tr>
        <w:tc>
          <w:tcPr>
            <w:tcW w:type="dxa" w:w="969"/>
          </w:tcPr>
          <w:p>
            <w:r/>
            <w:r>
              <w:rPr>
                <w:sz w:val="16"/>
              </w:rPr>
              <w:t>INT-14</w:t>
            </w:r>
          </w:p>
        </w:tc>
        <w:tc>
          <w:tcPr>
            <w:tcW w:type="dxa" w:w="663"/>
          </w:tcPr>
          <w:p>
            <w:r/>
            <w:r>
              <w:rPr>
                <w:sz w:val="16"/>
              </w:rPr>
              <w:t>T06</w:t>
            </w:r>
          </w:p>
        </w:tc>
        <w:tc>
          <w:tcPr>
            <w:tcW w:type="dxa" w:w="1134"/>
          </w:tcPr>
          <w:p>
            <w:r/>
            <w:r>
              <w:rPr>
                <w:sz w:val="16"/>
              </w:rPr>
              <w:t>102</w:t>
            </w:r>
          </w:p>
        </w:tc>
        <w:tc>
          <w:tcPr>
            <w:tcW w:type="dxa" w:w="4167"/>
          </w:tcPr>
          <w:p>
            <w:r/>
            <w:r>
              <w:rPr>
                <w:sz w:val="16"/>
              </w:rPr>
              <w:t>Trasplante: registro de 2018, referencia al LAS ya sustituido en EE. UU. y complicaciones citadas con un editorial de 1990</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COH-08</w:t>
            </w:r>
          </w:p>
        </w:tc>
        <w:tc>
          <w:tcPr>
            <w:tcW w:type="dxa" w:w="663"/>
          </w:tcPr>
          <w:p>
            <w:r/>
            <w:r>
              <w:rPr>
                <w:sz w:val="16"/>
              </w:rPr>
              <w:t>T07</w:t>
            </w:r>
          </w:p>
        </w:tc>
        <w:tc>
          <w:tcPr>
            <w:tcW w:type="dxa" w:w="1134"/>
          </w:tcPr>
          <w:p>
            <w:r/>
            <w:r>
              <w:rPr>
                <w:sz w:val="16"/>
              </w:rPr>
              <w:t>73, 75, 157</w:t>
            </w:r>
          </w:p>
        </w:tc>
        <w:tc>
          <w:tcPr>
            <w:tcW w:type="dxa" w:w="4167"/>
          </w:tcPr>
          <w:p>
            <w:r/>
            <w:r>
              <w:rPr>
                <w:sz w:val="16"/>
              </w:rPr>
              <w:t>La Fig. A3.2 contradice el tratamiento inicial del grupo A</w:t>
            </w:r>
          </w:p>
        </w:tc>
        <w:tc>
          <w:tcPr>
            <w:tcW w:type="dxa" w:w="765"/>
          </w:tcPr>
          <w:p>
            <w:r/>
            <w:r>
              <w:rPr>
                <w:sz w:val="16"/>
              </w:rPr>
              <w:t>—</w:t>
            </w:r>
          </w:p>
        </w:tc>
        <w:tc>
          <w:tcPr>
            <w:tcW w:type="dxa" w:w="663"/>
          </w:tcPr>
          <w:p>
            <w:r/>
            <w:r>
              <w:rPr>
                <w:sz w:val="16"/>
              </w:rPr>
              <w:t>✖</w:t>
            </w:r>
          </w:p>
        </w:tc>
        <w:tc>
          <w:tcPr>
            <w:tcW w:type="dxa" w:w="1276"/>
          </w:tcPr>
          <w:p>
            <w:r/>
          </w:p>
        </w:tc>
      </w:tr>
      <w:tr>
        <w:tc>
          <w:tcPr>
            <w:tcW w:type="dxa" w:w="969"/>
          </w:tcPr>
          <w:p>
            <w:r/>
            <w:r>
              <w:rPr>
                <w:sz w:val="16"/>
              </w:rPr>
              <w:t>COH-09</w:t>
            </w:r>
          </w:p>
        </w:tc>
        <w:tc>
          <w:tcPr>
            <w:tcW w:type="dxa" w:w="663"/>
          </w:tcPr>
          <w:p>
            <w:r/>
            <w:r>
              <w:rPr>
                <w:sz w:val="16"/>
              </w:rPr>
              <w:t>T07</w:t>
            </w:r>
          </w:p>
        </w:tc>
        <w:tc>
          <w:tcPr>
            <w:tcW w:type="dxa" w:w="1134"/>
          </w:tcPr>
          <w:p>
            <w:r/>
            <w:r>
              <w:rPr>
                <w:sz w:val="16"/>
              </w:rPr>
              <w:t>5, 54, 73, 75</w:t>
            </w:r>
          </w:p>
        </w:tc>
        <w:tc>
          <w:tcPr>
            <w:tcW w:type="dxa" w:w="4167"/>
          </w:tcPr>
          <w:p>
            <w:r/>
            <w:r>
              <w:rPr>
                <w:sz w:val="16"/>
              </w:rPr>
              <w:t>Herramienta ABE: combinaciones discordantes de mMRC/CAAT sin regla, y Highlights que no remiten a la figura correcta</w:t>
            </w:r>
          </w:p>
        </w:tc>
        <w:tc>
          <w:tcPr>
            <w:tcW w:type="dxa" w:w="765"/>
          </w:tcPr>
          <w:p>
            <w:r/>
            <w:r>
              <w:rPr>
                <w:sz w:val="16"/>
              </w:rPr>
              <w:t>—</w:t>
            </w:r>
          </w:p>
        </w:tc>
        <w:tc>
          <w:tcPr>
            <w:tcW w:type="dxa" w:w="663"/>
          </w:tcPr>
          <w:p>
            <w:r/>
            <w:r>
              <w:rPr>
                <w:sz w:val="16"/>
              </w:rPr>
              <w:t>✔</w:t>
            </w:r>
          </w:p>
        </w:tc>
        <w:tc>
          <w:tcPr>
            <w:tcW w:type="dxa" w:w="1276"/>
          </w:tcPr>
          <w:p>
            <w:r/>
          </w:p>
        </w:tc>
      </w:tr>
      <w:tr>
        <w:tc>
          <w:tcPr>
            <w:tcW w:type="dxa" w:w="969"/>
          </w:tcPr>
          <w:p>
            <w:r/>
            <w:r>
              <w:rPr>
                <w:sz w:val="16"/>
              </w:rPr>
              <w:t>COH-10</w:t>
            </w:r>
          </w:p>
        </w:tc>
        <w:tc>
          <w:tcPr>
            <w:tcW w:type="dxa" w:w="663"/>
          </w:tcPr>
          <w:p>
            <w:r/>
            <w:r>
              <w:rPr>
                <w:sz w:val="16"/>
              </w:rPr>
              <w:t>T07</w:t>
            </w:r>
          </w:p>
        </w:tc>
        <w:tc>
          <w:tcPr>
            <w:tcW w:type="dxa" w:w="1134"/>
          </w:tcPr>
          <w:p>
            <w:r/>
            <w:r>
              <w:rPr>
                <w:sz w:val="16"/>
              </w:rPr>
              <w:t>51, 60, 111</w:t>
            </w:r>
          </w:p>
        </w:tc>
        <w:tc>
          <w:tcPr>
            <w:tcW w:type="dxa" w:w="4167"/>
          </w:tcPr>
          <w:p>
            <w:r/>
            <w:r>
              <w:rPr>
                <w:sz w:val="16"/>
              </w:rPr>
              <w:t>Mensajes opuestos sobre el valor de los eosinófilos para predecir exacerbaciones</w:t>
            </w:r>
          </w:p>
        </w:tc>
        <w:tc>
          <w:tcPr>
            <w:tcW w:type="dxa" w:w="765"/>
          </w:tcPr>
          <w:p>
            <w:r/>
            <w:r>
              <w:rPr>
                <w:sz w:val="16"/>
              </w:rPr>
              <w:t>—</w:t>
            </w:r>
          </w:p>
        </w:tc>
        <w:tc>
          <w:tcPr>
            <w:tcW w:type="dxa" w:w="663"/>
          </w:tcPr>
          <w:p>
            <w:r/>
            <w:r>
              <w:rPr>
                <w:sz w:val="16"/>
              </w:rPr>
              <w:t>✔</w:t>
            </w:r>
          </w:p>
        </w:tc>
        <w:tc>
          <w:tcPr>
            <w:tcW w:type="dxa" w:w="1276"/>
          </w:tcPr>
          <w:p>
            <w:r/>
          </w:p>
        </w:tc>
      </w:tr>
      <w:tr>
        <w:tc>
          <w:tcPr>
            <w:tcW w:type="dxa" w:w="969"/>
          </w:tcPr>
          <w:p>
            <w:r/>
            <w:r>
              <w:rPr>
                <w:sz w:val="16"/>
              </w:rPr>
              <w:t>DX-14</w:t>
            </w:r>
          </w:p>
        </w:tc>
        <w:tc>
          <w:tcPr>
            <w:tcW w:type="dxa" w:w="663"/>
          </w:tcPr>
          <w:p>
            <w:r/>
            <w:r>
              <w:rPr>
                <w:sz w:val="16"/>
              </w:rPr>
              <w:t>T07</w:t>
            </w:r>
          </w:p>
        </w:tc>
        <w:tc>
          <w:tcPr>
            <w:tcW w:type="dxa" w:w="1134"/>
          </w:tcPr>
          <w:p>
            <w:r/>
            <w:r>
              <w:rPr>
                <w:sz w:val="16"/>
              </w:rPr>
              <w:t>48, 51, 54, 73</w:t>
            </w:r>
          </w:p>
        </w:tc>
        <w:tc>
          <w:tcPr>
            <w:tcW w:type="dxa" w:w="4167"/>
          </w:tcPr>
          <w:p>
            <w:r/>
            <w:r>
              <w:rPr>
                <w:sz w:val="16"/>
              </w:rPr>
              <w:t>Umbrales de síntomas: mMRC ≥2 y CAAT ≥10 tratados como intercambiables pese a su discordancia reconocida; afirmación histórica inexacta</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DX-16</w:t>
            </w:r>
          </w:p>
        </w:tc>
        <w:tc>
          <w:tcPr>
            <w:tcW w:type="dxa" w:w="663"/>
          </w:tcPr>
          <w:p>
            <w:r/>
            <w:r>
              <w:rPr>
                <w:sz w:val="16"/>
              </w:rPr>
              <w:t>T07</w:t>
            </w:r>
          </w:p>
        </w:tc>
        <w:tc>
          <w:tcPr>
            <w:tcW w:type="dxa" w:w="1134"/>
          </w:tcPr>
          <w:p>
            <w:r/>
            <w:r>
              <w:rPr>
                <w:sz w:val="16"/>
              </w:rPr>
              <w:t>51, 59, 74, 76</w:t>
            </w:r>
          </w:p>
        </w:tc>
        <w:tc>
          <w:tcPr>
            <w:tcW w:type="dxa" w:w="4167"/>
          </w:tcPr>
          <w:p>
            <w:r/>
            <w:r>
              <w:rPr>
                <w:sz w:val="16"/>
              </w:rPr>
              <w:t>Eosinófilos: mensajes contradictorios sobre su valor pronóstico y omisión de los biológicos</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FARM-13</w:t>
            </w:r>
          </w:p>
        </w:tc>
        <w:tc>
          <w:tcPr>
            <w:tcW w:type="dxa" w:w="663"/>
          </w:tcPr>
          <w:p>
            <w:r/>
            <w:r>
              <w:rPr>
                <w:sz w:val="16"/>
              </w:rPr>
              <w:t>T07</w:t>
            </w:r>
          </w:p>
        </w:tc>
        <w:tc>
          <w:tcPr>
            <w:tcW w:type="dxa" w:w="1134"/>
          </w:tcPr>
          <w:p>
            <w:r/>
            <w:r>
              <w:rPr>
                <w:sz w:val="16"/>
              </w:rPr>
              <w:t>74, 77, 78</w:t>
            </w:r>
          </w:p>
        </w:tc>
        <w:tc>
          <w:tcPr>
            <w:tcW w:type="dxa" w:w="4167"/>
          </w:tcPr>
          <w:p>
            <w:r/>
            <w:r>
              <w:rPr>
                <w:sz w:val="16"/>
              </w:rPr>
              <w:t>Retirada de ICS: criterios divergentes y "no response" sin definir</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FARM-16</w:t>
            </w:r>
          </w:p>
        </w:tc>
        <w:tc>
          <w:tcPr>
            <w:tcW w:type="dxa" w:w="663"/>
          </w:tcPr>
          <w:p>
            <w:r/>
            <w:r>
              <w:rPr>
                <w:sz w:val="16"/>
              </w:rPr>
              <w:t>T07</w:t>
            </w:r>
          </w:p>
        </w:tc>
        <w:tc>
          <w:tcPr>
            <w:tcW w:type="dxa" w:w="1134"/>
          </w:tcPr>
          <w:p>
            <w:r/>
            <w:r>
              <w:rPr>
                <w:sz w:val="16"/>
              </w:rPr>
              <w:t>5, 62, 63, 74</w:t>
            </w:r>
          </w:p>
        </w:tc>
        <w:tc>
          <w:tcPr>
            <w:tcW w:type="dxa" w:w="4167"/>
          </w:tcPr>
          <w:p>
            <w:r/>
            <w:r>
              <w:rPr>
                <w:sz w:val="16"/>
              </w:rPr>
              <w:t>"Disease activity": concepto nuevo sin definición operativa</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FARM-17</w:t>
            </w:r>
          </w:p>
        </w:tc>
        <w:tc>
          <w:tcPr>
            <w:tcW w:type="dxa" w:w="663"/>
          </w:tcPr>
          <w:p>
            <w:r/>
            <w:r>
              <w:rPr>
                <w:sz w:val="16"/>
              </w:rPr>
              <w:t>T07</w:t>
            </w:r>
          </w:p>
        </w:tc>
        <w:tc>
          <w:tcPr>
            <w:tcW w:type="dxa" w:w="1134"/>
          </w:tcPr>
          <w:p>
            <w:r/>
            <w:r>
              <w:rPr>
                <w:sz w:val="16"/>
              </w:rPr>
              <w:t>61, 74, 85</w:t>
            </w:r>
          </w:p>
        </w:tc>
        <w:tc>
          <w:tcPr>
            <w:tcW w:type="dxa" w:w="4167"/>
          </w:tcPr>
          <w:p>
            <w:r/>
            <w:r>
              <w:rPr>
                <w:sz w:val="16"/>
              </w:rPr>
              <w:t>Rehabilitación pulmonar "in severe patients" en la revisión del seguimiento</w:t>
            </w:r>
          </w:p>
        </w:tc>
        <w:tc>
          <w:tcPr>
            <w:tcW w:type="dxa" w:w="765"/>
          </w:tcPr>
          <w:p>
            <w:r/>
            <w:r>
              <w:rPr>
                <w:sz w:val="16"/>
              </w:rPr>
              <w:t>5</w:t>
            </w:r>
          </w:p>
        </w:tc>
        <w:tc>
          <w:tcPr>
            <w:tcW w:type="dxa" w:w="663"/>
          </w:tcPr>
          <w:p>
            <w:r/>
            <w:r>
              <w:rPr>
                <w:sz w:val="16"/>
              </w:rPr>
              <w:t>✔</w:t>
            </w:r>
          </w:p>
        </w:tc>
        <w:tc>
          <w:tcPr>
            <w:tcW w:type="dxa" w:w="1276"/>
          </w:tcPr>
          <w:p>
            <w:r/>
          </w:p>
        </w:tc>
      </w:tr>
      <w:tr>
        <w:tc>
          <w:tcPr>
            <w:tcW w:type="dxa" w:w="969"/>
          </w:tcPr>
          <w:p>
            <w:r/>
            <w:r>
              <w:rPr>
                <w:sz w:val="16"/>
              </w:rPr>
              <w:t>FARM-20</w:t>
            </w:r>
          </w:p>
        </w:tc>
        <w:tc>
          <w:tcPr>
            <w:tcW w:type="dxa" w:w="663"/>
          </w:tcPr>
          <w:p>
            <w:r/>
            <w:r>
              <w:rPr>
                <w:sz w:val="16"/>
              </w:rPr>
              <w:t>T07</w:t>
            </w:r>
          </w:p>
        </w:tc>
        <w:tc>
          <w:tcPr>
            <w:tcW w:type="dxa" w:w="1134"/>
          </w:tcPr>
          <w:p>
            <w:r/>
            <w:r>
              <w:rPr>
                <w:sz w:val="16"/>
              </w:rPr>
              <w:t>78, 156</w:t>
            </w:r>
          </w:p>
        </w:tc>
        <w:tc>
          <w:tcPr>
            <w:tcW w:type="dxa" w:w="4167"/>
          </w:tcPr>
          <w:p>
            <w:r/>
            <w:r>
              <w:rPr>
                <w:sz w:val="16"/>
              </w:rPr>
              <w:t>Fig A3.1: nombres, presentaciones y omisiones con posible impacto en la prescripción</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NOV-07</w:t>
            </w:r>
          </w:p>
        </w:tc>
        <w:tc>
          <w:tcPr>
            <w:tcW w:type="dxa" w:w="663"/>
          </w:tcPr>
          <w:p>
            <w:r/>
            <w:r>
              <w:rPr>
                <w:sz w:val="16"/>
              </w:rPr>
              <w:t>T07</w:t>
            </w:r>
          </w:p>
        </w:tc>
        <w:tc>
          <w:tcPr>
            <w:tcW w:type="dxa" w:w="1134"/>
          </w:tcPr>
          <w:p>
            <w:r/>
            <w:r>
              <w:rPr>
                <w:sz w:val="16"/>
              </w:rPr>
              <w:t>74, 77</w:t>
            </w:r>
          </w:p>
        </w:tc>
        <w:tc>
          <w:tcPr>
            <w:tcW w:type="dxa" w:w="4167"/>
          </w:tcPr>
          <w:p>
            <w:r/>
            <w:r>
              <w:rPr>
                <w:sz w:val="16"/>
              </w:rPr>
              <w:t>Escalada desde monoterapia: la Fig. 3.9 permite pasar directamente a triple si eos ≥300, el texto no</w:t>
            </w:r>
          </w:p>
        </w:tc>
        <w:tc>
          <w:tcPr>
            <w:tcW w:type="dxa" w:w="765"/>
          </w:tcPr>
          <w:p>
            <w:r/>
            <w:r>
              <w:rPr>
                <w:sz w:val="16"/>
              </w:rPr>
              <w:t>4</w:t>
            </w:r>
          </w:p>
        </w:tc>
        <w:tc>
          <w:tcPr>
            <w:tcW w:type="dxa" w:w="663"/>
          </w:tcPr>
          <w:p>
            <w:r/>
            <w:r>
              <w:rPr>
                <w:sz w:val="16"/>
              </w:rPr>
              <w:t>≈</w:t>
            </w:r>
          </w:p>
        </w:tc>
        <w:tc>
          <w:tcPr>
            <w:tcW w:type="dxa" w:w="1276"/>
          </w:tcPr>
          <w:p>
            <w:r/>
            <w:r>
              <w:rPr>
                <w:sz w:val="16"/>
              </w:rPr>
              <w:t>Confirmado</w:t>
            </w:r>
          </w:p>
        </w:tc>
      </w:tr>
      <w:tr>
        <w:tc>
          <w:tcPr>
            <w:tcW w:type="dxa" w:w="969"/>
          </w:tcPr>
          <w:p>
            <w:r/>
            <w:r>
              <w:rPr>
                <w:sz w:val="16"/>
              </w:rPr>
              <w:t>NOV-14</w:t>
            </w:r>
          </w:p>
        </w:tc>
        <w:tc>
          <w:tcPr>
            <w:tcW w:type="dxa" w:w="663"/>
          </w:tcPr>
          <w:p>
            <w:r/>
            <w:r>
              <w:rPr>
                <w:sz w:val="16"/>
              </w:rPr>
              <w:t>T07</w:t>
            </w:r>
          </w:p>
        </w:tc>
        <w:tc>
          <w:tcPr>
            <w:tcW w:type="dxa" w:w="1134"/>
          </w:tcPr>
          <w:p>
            <w:r/>
            <w:r>
              <w:rPr>
                <w:sz w:val="16"/>
              </w:rPr>
              <w:t>74, 77, 162</w:t>
            </w:r>
          </w:p>
        </w:tc>
        <w:tc>
          <w:tcPr>
            <w:tcW w:type="dxa" w:w="4167"/>
          </w:tcPr>
          <w:p>
            <w:r/>
            <w:r>
              <w:rPr>
                <w:sz w:val="16"/>
              </w:rPr>
              <w:t>Roflumilast: criterios inconsistentes entre figura y texto, y posicionamiento según eosinófilos discutible</w:t>
            </w:r>
          </w:p>
        </w:tc>
        <w:tc>
          <w:tcPr>
            <w:tcW w:type="dxa" w:w="765"/>
          </w:tcPr>
          <w:p>
            <w:r/>
            <w:r>
              <w:rPr>
                <w:sz w:val="16"/>
              </w:rPr>
              <w:t>3</w:t>
            </w:r>
          </w:p>
        </w:tc>
        <w:tc>
          <w:tcPr>
            <w:tcW w:type="dxa" w:w="663"/>
          </w:tcPr>
          <w:p>
            <w:r/>
            <w:r>
              <w:rPr>
                <w:sz w:val="16"/>
              </w:rPr>
              <w:t>≈</w:t>
            </w:r>
          </w:p>
        </w:tc>
        <w:tc>
          <w:tcPr>
            <w:tcW w:type="dxa" w:w="1276"/>
          </w:tcPr>
          <w:p>
            <w:r/>
          </w:p>
        </w:tc>
      </w:tr>
      <w:tr>
        <w:tc>
          <w:tcPr>
            <w:tcW w:type="dxa" w:w="969"/>
          </w:tcPr>
          <w:p>
            <w:r/>
            <w:r>
              <w:rPr>
                <w:sz w:val="16"/>
              </w:rPr>
              <w:t>INT-11</w:t>
            </w:r>
          </w:p>
        </w:tc>
        <w:tc>
          <w:tcPr>
            <w:tcW w:type="dxa" w:w="663"/>
          </w:tcPr>
          <w:p>
            <w:r/>
            <w:r>
              <w:rPr>
                <w:sz w:val="16"/>
              </w:rPr>
              <w:t>T08</w:t>
            </w:r>
          </w:p>
        </w:tc>
        <w:tc>
          <w:tcPr>
            <w:tcW w:type="dxa" w:w="1134"/>
          </w:tcPr>
          <w:p>
            <w:r/>
            <w:r>
              <w:rPr>
                <w:sz w:val="16"/>
              </w:rPr>
              <w:t>91, 92, 162</w:t>
            </w:r>
          </w:p>
        </w:tc>
        <w:tc>
          <w:tcPr>
            <w:tcW w:type="dxa" w:w="4167"/>
          </w:tcPr>
          <w:p>
            <w:r/>
            <w:r>
              <w:rPr>
                <w:sz w:val="16"/>
              </w:rPr>
              <w:t>Reducción de mortalidad con triple terapia: presentada como un hecho y con criterios de inclusión mal descritos</w:t>
            </w:r>
          </w:p>
        </w:tc>
        <w:tc>
          <w:tcPr>
            <w:tcW w:type="dxa" w:w="765"/>
          </w:tcPr>
          <w:p>
            <w:r/>
            <w:r>
              <w:rPr>
                <w:sz w:val="16"/>
              </w:rPr>
              <w:t>4</w:t>
            </w:r>
          </w:p>
        </w:tc>
        <w:tc>
          <w:tcPr>
            <w:tcW w:type="dxa" w:w="663"/>
          </w:tcPr>
          <w:p>
            <w:r/>
            <w:r>
              <w:rPr>
                <w:sz w:val="16"/>
              </w:rPr>
              <w:t>✔</w:t>
            </w:r>
          </w:p>
        </w:tc>
        <w:tc>
          <w:tcPr>
            <w:tcW w:type="dxa" w:w="1276"/>
          </w:tcPr>
          <w:p>
            <w:r/>
            <w:r>
              <w:rPr>
                <w:sz w:val="16"/>
              </w:rPr>
              <w:t>Parcial</w:t>
            </w:r>
          </w:p>
        </w:tc>
      </w:tr>
      <w:tr>
        <w:tc>
          <w:tcPr>
            <w:tcW w:type="dxa" w:w="969"/>
          </w:tcPr>
          <w:p>
            <w:r/>
            <w:r>
              <w:rPr>
                <w:sz w:val="16"/>
              </w:rPr>
              <w:t>NOV-17</w:t>
            </w:r>
          </w:p>
        </w:tc>
        <w:tc>
          <w:tcPr>
            <w:tcW w:type="dxa" w:w="663"/>
          </w:tcPr>
          <w:p>
            <w:r/>
            <w:r>
              <w:rPr>
                <w:sz w:val="16"/>
              </w:rPr>
              <w:t>T08</w:t>
            </w:r>
          </w:p>
        </w:tc>
        <w:tc>
          <w:tcPr>
            <w:tcW w:type="dxa" w:w="1134"/>
          </w:tcPr>
          <w:p>
            <w:r/>
            <w:r>
              <w:rPr>
                <w:sz w:val="16"/>
              </w:rPr>
              <w:t>121</w:t>
            </w:r>
          </w:p>
        </w:tc>
        <w:tc>
          <w:tcPr>
            <w:tcW w:type="dxa" w:w="4167"/>
          </w:tcPr>
          <w:p>
            <w:r/>
            <w:r>
              <w:rPr>
                <w:sz w:val="16"/>
              </w:rPr>
              <w:t>Terapia triple tras hospitalización: afirmación causal apoyada en estudios observacionales y un póster</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FARM-14</w:t>
            </w:r>
          </w:p>
        </w:tc>
        <w:tc>
          <w:tcPr>
            <w:tcW w:type="dxa" w:w="663"/>
          </w:tcPr>
          <w:p>
            <w:r/>
            <w:r>
              <w:rPr>
                <w:sz w:val="16"/>
              </w:rPr>
              <w:t>T09</w:t>
            </w:r>
          </w:p>
        </w:tc>
        <w:tc>
          <w:tcPr>
            <w:tcW w:type="dxa" w:w="1134"/>
          </w:tcPr>
          <w:p>
            <w:r/>
            <w:r>
              <w:rPr>
                <w:sz w:val="16"/>
              </w:rPr>
              <w:t>79, 163</w:t>
            </w:r>
          </w:p>
        </w:tc>
        <w:tc>
          <w:tcPr>
            <w:tcW w:type="dxa" w:w="4167"/>
          </w:tcPr>
          <w:p>
            <w:r/>
            <w:r>
              <w:rPr>
                <w:sz w:val="16"/>
              </w:rPr>
              <w:t>Fig 3.11 (biológicos): datos mal etiquetados y contradicción con el Apéndice 3</w:t>
            </w:r>
          </w:p>
        </w:tc>
        <w:tc>
          <w:tcPr>
            <w:tcW w:type="dxa" w:w="765"/>
          </w:tcPr>
          <w:p>
            <w:r/>
            <w:r>
              <w:rPr>
                <w:sz w:val="16"/>
              </w:rPr>
              <w:t>4</w:t>
            </w:r>
          </w:p>
        </w:tc>
        <w:tc>
          <w:tcPr>
            <w:tcW w:type="dxa" w:w="663"/>
          </w:tcPr>
          <w:p>
            <w:r/>
            <w:r>
              <w:rPr>
                <w:sz w:val="16"/>
              </w:rPr>
              <w:t>✖</w:t>
            </w:r>
          </w:p>
        </w:tc>
        <w:tc>
          <w:tcPr>
            <w:tcW w:type="dxa" w:w="1276"/>
          </w:tcPr>
          <w:p>
            <w:r/>
            <w:r>
              <w:rPr>
                <w:sz w:val="16"/>
              </w:rPr>
              <w:t>Confirmado</w:t>
            </w:r>
          </w:p>
        </w:tc>
      </w:tr>
      <w:tr>
        <w:tc>
          <w:tcPr>
            <w:tcW w:type="dxa" w:w="969"/>
          </w:tcPr>
          <w:p>
            <w:r/>
            <w:r>
              <w:rPr>
                <w:sz w:val="16"/>
              </w:rPr>
              <w:t>FARM-15</w:t>
            </w:r>
          </w:p>
        </w:tc>
        <w:tc>
          <w:tcPr>
            <w:tcW w:type="dxa" w:w="663"/>
          </w:tcPr>
          <w:p>
            <w:r/>
            <w:r>
              <w:rPr>
                <w:sz w:val="16"/>
              </w:rPr>
              <w:t>T09</w:t>
            </w:r>
          </w:p>
        </w:tc>
        <w:tc>
          <w:tcPr>
            <w:tcW w:type="dxa" w:w="1134"/>
          </w:tcPr>
          <w:p>
            <w:r/>
            <w:r>
              <w:rPr>
                <w:sz w:val="16"/>
              </w:rPr>
              <w:t>74, 77, 163</w:t>
            </w:r>
          </w:p>
        </w:tc>
        <w:tc>
          <w:tcPr>
            <w:tcW w:type="dxa" w:w="4167"/>
          </w:tcPr>
          <w:p>
            <w:r/>
            <w:r>
              <w:rPr>
                <w:sz w:val="16"/>
              </w:rPr>
              <w:t>Ensifentrina tras LABA+LAMA: extrapolación sin ensayos en esa población</w:t>
            </w:r>
          </w:p>
        </w:tc>
        <w:tc>
          <w:tcPr>
            <w:tcW w:type="dxa" w:w="765"/>
          </w:tcPr>
          <w:p>
            <w:r/>
            <w:r>
              <w:rPr>
                <w:sz w:val="16"/>
              </w:rPr>
              <w:t>5</w:t>
            </w:r>
          </w:p>
        </w:tc>
        <w:tc>
          <w:tcPr>
            <w:tcW w:type="dxa" w:w="663"/>
          </w:tcPr>
          <w:p>
            <w:r/>
            <w:r>
              <w:rPr>
                <w:sz w:val="16"/>
              </w:rPr>
              <w:t>≈</w:t>
            </w:r>
          </w:p>
        </w:tc>
        <w:tc>
          <w:tcPr>
            <w:tcW w:type="dxa" w:w="1276"/>
          </w:tcPr>
          <w:p>
            <w:r/>
            <w:r>
              <w:rPr>
                <w:sz w:val="16"/>
              </w:rPr>
              <w:t>Confirmado</w:t>
            </w:r>
          </w:p>
        </w:tc>
      </w:tr>
      <w:tr>
        <w:tc>
          <w:tcPr>
            <w:tcW w:type="dxa" w:w="969"/>
          </w:tcPr>
          <w:p>
            <w:r/>
            <w:r>
              <w:rPr>
                <w:sz w:val="16"/>
              </w:rPr>
              <w:t>MET-12</w:t>
            </w:r>
          </w:p>
        </w:tc>
        <w:tc>
          <w:tcPr>
            <w:tcW w:type="dxa" w:w="663"/>
          </w:tcPr>
          <w:p>
            <w:r/>
            <w:r>
              <w:rPr>
                <w:sz w:val="16"/>
              </w:rPr>
              <w:t>T09</w:t>
            </w:r>
          </w:p>
        </w:tc>
        <w:tc>
          <w:tcPr>
            <w:tcW w:type="dxa" w:w="1134"/>
          </w:tcPr>
          <w:p>
            <w:r/>
            <w:r>
              <w:rPr>
                <w:sz w:val="16"/>
              </w:rPr>
              <w:t>79</w:t>
            </w:r>
          </w:p>
        </w:tc>
        <w:tc>
          <w:tcPr>
            <w:tcW w:type="dxa" w:w="4167"/>
          </w:tcPr>
          <w:p>
            <w:r/>
            <w:r>
              <w:rPr>
                <w:sz w:val="16"/>
              </w:rPr>
              <w:t>Fig 3.11: el dato de FEV1 de BOREAS no corresponde a la semana 52 que indica la figura</w:t>
            </w:r>
          </w:p>
        </w:tc>
        <w:tc>
          <w:tcPr>
            <w:tcW w:type="dxa" w:w="765"/>
          </w:tcPr>
          <w:p>
            <w:r/>
            <w:r>
              <w:rPr>
                <w:sz w:val="16"/>
              </w:rPr>
              <w:t>—</w:t>
            </w:r>
          </w:p>
        </w:tc>
        <w:tc>
          <w:tcPr>
            <w:tcW w:type="dxa" w:w="663"/>
          </w:tcPr>
          <w:p>
            <w:r/>
            <w:r>
              <w:rPr>
                <w:sz w:val="16"/>
              </w:rPr>
              <w:t>✖</w:t>
            </w:r>
          </w:p>
        </w:tc>
        <w:tc>
          <w:tcPr>
            <w:tcW w:type="dxa" w:w="1276"/>
          </w:tcPr>
          <w:p>
            <w:r/>
            <w:r>
              <w:rPr>
                <w:sz w:val="16"/>
              </w:rPr>
              <w:t>Confirmado</w:t>
            </w:r>
          </w:p>
        </w:tc>
      </w:tr>
      <w:tr>
        <w:tc>
          <w:tcPr>
            <w:tcW w:type="dxa" w:w="969"/>
          </w:tcPr>
          <w:p>
            <w:r/>
            <w:r>
              <w:rPr>
                <w:sz w:val="16"/>
              </w:rPr>
              <w:t>NOV-02</w:t>
            </w:r>
          </w:p>
        </w:tc>
        <w:tc>
          <w:tcPr>
            <w:tcW w:type="dxa" w:w="663"/>
          </w:tcPr>
          <w:p>
            <w:r/>
            <w:r>
              <w:rPr>
                <w:sz w:val="16"/>
              </w:rPr>
              <w:t>T09</w:t>
            </w:r>
          </w:p>
        </w:tc>
        <w:tc>
          <w:tcPr>
            <w:tcW w:type="dxa" w:w="1134"/>
          </w:tcPr>
          <w:p>
            <w:r/>
            <w:r>
              <w:rPr>
                <w:sz w:val="16"/>
              </w:rPr>
              <w:t>14, 160, 163</w:t>
            </w:r>
          </w:p>
        </w:tc>
        <w:tc>
          <w:tcPr>
            <w:tcW w:type="dxa" w:w="4167"/>
          </w:tcPr>
          <w:p>
            <w:r/>
            <w:r>
              <w:rPr>
                <w:sz w:val="16"/>
              </w:rPr>
              <w:t>Nivel de evidencia "A" para mepolizumab y para la calidad de vida con dupilumab no se ajusta a la definición de GOLD</w:t>
            </w:r>
          </w:p>
        </w:tc>
        <w:tc>
          <w:tcPr>
            <w:tcW w:type="dxa" w:w="765"/>
          </w:tcPr>
          <w:p>
            <w:r/>
            <w:r>
              <w:rPr>
                <w:sz w:val="16"/>
              </w:rPr>
              <w:t>4</w:t>
            </w:r>
          </w:p>
        </w:tc>
        <w:tc>
          <w:tcPr>
            <w:tcW w:type="dxa" w:w="663"/>
          </w:tcPr>
          <w:p>
            <w:r/>
            <w:r>
              <w:rPr>
                <w:sz w:val="16"/>
              </w:rPr>
              <w:t>≈</w:t>
            </w:r>
          </w:p>
        </w:tc>
        <w:tc>
          <w:tcPr>
            <w:tcW w:type="dxa" w:w="1276"/>
          </w:tcPr>
          <w:p>
            <w:r/>
            <w:r>
              <w:rPr>
                <w:sz w:val="16"/>
              </w:rPr>
              <w:t>Parcial</w:t>
            </w:r>
          </w:p>
        </w:tc>
      </w:tr>
      <w:tr>
        <w:tc>
          <w:tcPr>
            <w:tcW w:type="dxa" w:w="969"/>
          </w:tcPr>
          <w:p>
            <w:r/>
            <w:r>
              <w:rPr>
                <w:sz w:val="16"/>
              </w:rPr>
              <w:t>NOV-03</w:t>
            </w:r>
          </w:p>
        </w:tc>
        <w:tc>
          <w:tcPr>
            <w:tcW w:type="dxa" w:w="663"/>
          </w:tcPr>
          <w:p>
            <w:r/>
            <w:r>
              <w:rPr>
                <w:sz w:val="16"/>
              </w:rPr>
              <w:t>T09</w:t>
            </w:r>
          </w:p>
        </w:tc>
        <w:tc>
          <w:tcPr>
            <w:tcW w:type="dxa" w:w="1134"/>
          </w:tcPr>
          <w:p>
            <w:r/>
            <w:r>
              <w:rPr>
                <w:sz w:val="16"/>
              </w:rPr>
              <w:t>79</w:t>
            </w:r>
          </w:p>
        </w:tc>
        <w:tc>
          <w:tcPr>
            <w:tcW w:type="dxa" w:w="4167"/>
          </w:tcPr>
          <w:p>
            <w:r/>
            <w:r>
              <w:rPr>
                <w:sz w:val="16"/>
              </w:rPr>
              <w:t>Fig. 3.11: datos de METREX y de FEV1 de BOREAS no corresponden a las poblaciones o momentos indicados</w:t>
            </w:r>
          </w:p>
        </w:tc>
        <w:tc>
          <w:tcPr>
            <w:tcW w:type="dxa" w:w="765"/>
          </w:tcPr>
          <w:p>
            <w:r/>
            <w:r>
              <w:rPr>
                <w:sz w:val="16"/>
              </w:rPr>
              <w:t>4</w:t>
            </w:r>
          </w:p>
        </w:tc>
        <w:tc>
          <w:tcPr>
            <w:tcW w:type="dxa" w:w="663"/>
          </w:tcPr>
          <w:p>
            <w:r/>
            <w:r>
              <w:rPr>
                <w:sz w:val="16"/>
              </w:rPr>
              <w:t>✖</w:t>
            </w:r>
          </w:p>
        </w:tc>
        <w:tc>
          <w:tcPr>
            <w:tcW w:type="dxa" w:w="1276"/>
          </w:tcPr>
          <w:p>
            <w:r/>
            <w:r>
              <w:rPr>
                <w:sz w:val="16"/>
              </w:rPr>
              <w:t>Confirmado</w:t>
            </w:r>
          </w:p>
        </w:tc>
      </w:tr>
      <w:tr>
        <w:tc>
          <w:tcPr>
            <w:tcW w:type="dxa" w:w="969"/>
          </w:tcPr>
          <w:p>
            <w:r/>
            <w:r>
              <w:rPr>
                <w:sz w:val="16"/>
              </w:rPr>
              <w:t>NOV-09</w:t>
            </w:r>
          </w:p>
        </w:tc>
        <w:tc>
          <w:tcPr>
            <w:tcW w:type="dxa" w:w="663"/>
          </w:tcPr>
          <w:p>
            <w:r/>
            <w:r>
              <w:rPr>
                <w:sz w:val="16"/>
              </w:rPr>
              <w:t>T09</w:t>
            </w:r>
          </w:p>
        </w:tc>
        <w:tc>
          <w:tcPr>
            <w:tcW w:type="dxa" w:w="1134"/>
          </w:tcPr>
          <w:p>
            <w:r/>
            <w:r>
              <w:rPr>
                <w:sz w:val="16"/>
              </w:rPr>
              <w:t>76, 163</w:t>
            </w:r>
          </w:p>
        </w:tc>
        <w:tc>
          <w:tcPr>
            <w:tcW w:type="dxa" w:w="4167"/>
          </w:tcPr>
          <w:p>
            <w:r/>
            <w:r>
              <w:rPr>
                <w:sz w:val="16"/>
              </w:rPr>
              <w:t>Ensifentrina: referencias erróneas, mecanismo impreciso y disponibilidad desactualizada</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NOV-11</w:t>
            </w:r>
          </w:p>
        </w:tc>
        <w:tc>
          <w:tcPr>
            <w:tcW w:type="dxa" w:w="663"/>
          </w:tcPr>
          <w:p>
            <w:r/>
            <w:r>
              <w:rPr>
                <w:sz w:val="16"/>
              </w:rPr>
              <w:t>T09</w:t>
            </w:r>
          </w:p>
        </w:tc>
        <w:tc>
          <w:tcPr>
            <w:tcW w:type="dxa" w:w="1134"/>
          </w:tcPr>
          <w:p>
            <w:r/>
            <w:r>
              <w:rPr>
                <w:sz w:val="16"/>
              </w:rPr>
              <w:t>74, 79, 163</w:t>
            </w:r>
          </w:p>
        </w:tc>
        <w:tc>
          <w:tcPr>
            <w:tcW w:type="dxa" w:w="4167"/>
          </w:tcPr>
          <w:p>
            <w:r/>
            <w:r>
              <w:rPr>
                <w:sz w:val="16"/>
              </w:rPr>
              <w:t>Estado regulatorio de biológicos y ensifentrina no explicitado; discrepancias con las fichas técnicas</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NOV-12</w:t>
            </w:r>
          </w:p>
        </w:tc>
        <w:tc>
          <w:tcPr>
            <w:tcW w:type="dxa" w:w="663"/>
          </w:tcPr>
          <w:p>
            <w:r/>
            <w:r>
              <w:rPr>
                <w:sz w:val="16"/>
              </w:rPr>
              <w:t>T09</w:t>
            </w:r>
          </w:p>
        </w:tc>
        <w:tc>
          <w:tcPr>
            <w:tcW w:type="dxa" w:w="1134"/>
          </w:tcPr>
          <w:p>
            <w:r/>
            <w:r>
              <w:rPr>
                <w:sz w:val="16"/>
              </w:rPr>
              <w:t>79, 164</w:t>
            </w:r>
          </w:p>
        </w:tc>
        <w:tc>
          <w:tcPr>
            <w:tcW w:type="dxa" w:w="4167"/>
          </w:tcPr>
          <w:p>
            <w:r/>
            <w:r>
              <w:rPr>
                <w:sz w:val="16"/>
              </w:rPr>
              <w:t>Omisión de ensayos recientes negativos o mixtos de biológicos y alarminas</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COH-07</w:t>
            </w:r>
          </w:p>
        </w:tc>
        <w:tc>
          <w:tcPr>
            <w:tcW w:type="dxa" w:w="663"/>
          </w:tcPr>
          <w:p>
            <w:r/>
            <w:r>
              <w:rPr>
                <w:sz w:val="16"/>
              </w:rPr>
              <w:t>T10</w:t>
            </w:r>
          </w:p>
        </w:tc>
        <w:tc>
          <w:tcPr>
            <w:tcW w:type="dxa" w:w="1134"/>
          </w:tcPr>
          <w:p>
            <w:r/>
            <w:r>
              <w:rPr>
                <w:sz w:val="16"/>
              </w:rPr>
              <w:t>103, 105, 113, 117, 118</w:t>
            </w:r>
          </w:p>
        </w:tc>
        <w:tc>
          <w:tcPr>
            <w:tcW w:type="dxa" w:w="4167"/>
          </w:tcPr>
          <w:p>
            <w:r/>
            <w:r>
              <w:rPr>
                <w:sz w:val="16"/>
              </w:rPr>
              <w:t>Soporte ventilatorio: HFNT como "primer modo" frente a NIV como "modo inicial", y límites gasométricos con operadores dispares</w:t>
            </w:r>
          </w:p>
        </w:tc>
        <w:tc>
          <w:tcPr>
            <w:tcW w:type="dxa" w:w="765"/>
          </w:tcPr>
          <w:p>
            <w:r/>
            <w:r>
              <w:rPr>
                <w:sz w:val="16"/>
              </w:rPr>
              <w:t>—</w:t>
            </w:r>
          </w:p>
        </w:tc>
        <w:tc>
          <w:tcPr>
            <w:tcW w:type="dxa" w:w="663"/>
          </w:tcPr>
          <w:p>
            <w:r/>
            <w:r>
              <w:rPr>
                <w:sz w:val="16"/>
              </w:rPr>
              <w:t>≈</w:t>
            </w:r>
          </w:p>
        </w:tc>
        <w:tc>
          <w:tcPr>
            <w:tcW w:type="dxa" w:w="1276"/>
          </w:tcPr>
          <w:p>
            <w:r/>
            <w:r>
              <w:rPr>
                <w:sz w:val="16"/>
              </w:rPr>
              <w:t>Confirmado</w:t>
            </w:r>
          </w:p>
        </w:tc>
      </w:tr>
      <w:tr>
        <w:tc>
          <w:tcPr>
            <w:tcW w:type="dxa" w:w="969"/>
          </w:tcPr>
          <w:p>
            <w:r/>
            <w:r>
              <w:rPr>
                <w:sz w:val="16"/>
              </w:rPr>
              <w:t>EXA-18</w:t>
            </w:r>
          </w:p>
        </w:tc>
        <w:tc>
          <w:tcPr>
            <w:tcW w:type="dxa" w:w="663"/>
          </w:tcPr>
          <w:p>
            <w:r/>
            <w:r>
              <w:rPr>
                <w:sz w:val="16"/>
              </w:rPr>
              <w:t>T10</w:t>
            </w:r>
          </w:p>
        </w:tc>
        <w:tc>
          <w:tcPr>
            <w:tcW w:type="dxa" w:w="1134"/>
          </w:tcPr>
          <w:p>
            <w:r/>
            <w:r>
              <w:rPr>
                <w:sz w:val="16"/>
              </w:rPr>
              <w:t>117</w:t>
            </w:r>
          </w:p>
        </w:tc>
        <w:tc>
          <w:tcPr>
            <w:tcW w:type="dxa" w:w="4167"/>
          </w:tcPr>
          <w:p>
            <w:r/>
            <w:r>
              <w:rPr>
                <w:sz w:val="16"/>
              </w:rPr>
              <w:t>Sección HFNT: referencias mal asignadas, resultados intercambiados y descripción errónea de ensayos</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EXA-19</w:t>
            </w:r>
          </w:p>
        </w:tc>
        <w:tc>
          <w:tcPr>
            <w:tcW w:type="dxa" w:w="663"/>
          </w:tcPr>
          <w:p>
            <w:r/>
            <w:r>
              <w:rPr>
                <w:sz w:val="16"/>
              </w:rPr>
              <w:t>T10</w:t>
            </w:r>
          </w:p>
        </w:tc>
        <w:tc>
          <w:tcPr>
            <w:tcW w:type="dxa" w:w="1134"/>
          </w:tcPr>
          <w:p>
            <w:r/>
            <w:r>
              <w:rPr>
                <w:sz w:val="16"/>
              </w:rPr>
              <w:t>118</w:t>
            </w:r>
          </w:p>
        </w:tc>
        <w:tc>
          <w:tcPr>
            <w:tcW w:type="dxa" w:w="4167"/>
          </w:tcPr>
          <w:p>
            <w:r/>
            <w:r>
              <w:rPr>
                <w:sz w:val="16"/>
              </w:rPr>
              <w:t>Indicaciones de VNI (Fig. 4.8): incluye la hipoxemia aislada y omite el contexto de tratamiento médico óptimo y las contraindicaciones</w:t>
            </w:r>
          </w:p>
        </w:tc>
        <w:tc>
          <w:tcPr>
            <w:tcW w:type="dxa" w:w="765"/>
          </w:tcPr>
          <w:p>
            <w:r/>
            <w:r>
              <w:rPr>
                <w:sz w:val="16"/>
              </w:rPr>
              <w:t>4</w:t>
            </w:r>
          </w:p>
        </w:tc>
        <w:tc>
          <w:tcPr>
            <w:tcW w:type="dxa" w:w="663"/>
          </w:tcPr>
          <w:p>
            <w:r/>
            <w:r>
              <w:rPr>
                <w:sz w:val="16"/>
              </w:rPr>
              <w:t>✖</w:t>
            </w:r>
          </w:p>
        </w:tc>
        <w:tc>
          <w:tcPr>
            <w:tcW w:type="dxa" w:w="1276"/>
          </w:tcPr>
          <w:p>
            <w:r/>
            <w:r>
              <w:rPr>
                <w:sz w:val="16"/>
              </w:rPr>
              <w:t>Confirmado</w:t>
            </w:r>
          </w:p>
        </w:tc>
      </w:tr>
      <w:tr>
        <w:tc>
          <w:tcPr>
            <w:tcW w:type="dxa" w:w="969"/>
          </w:tcPr>
          <w:p>
            <w:r/>
            <w:r>
              <w:rPr>
                <w:sz w:val="16"/>
              </w:rPr>
              <w:t>REH-15</w:t>
            </w:r>
          </w:p>
        </w:tc>
        <w:tc>
          <w:tcPr>
            <w:tcW w:type="dxa" w:w="663"/>
          </w:tcPr>
          <w:p>
            <w:r/>
            <w:r>
              <w:rPr>
                <w:sz w:val="16"/>
              </w:rPr>
              <w:t>T10</w:t>
            </w:r>
          </w:p>
        </w:tc>
        <w:tc>
          <w:tcPr>
            <w:tcW w:type="dxa" w:w="1134"/>
          </w:tcPr>
          <w:p>
            <w:r/>
            <w:r>
              <w:rPr>
                <w:sz w:val="16"/>
              </w:rPr>
              <w:t>90, 117</w:t>
            </w:r>
          </w:p>
        </w:tc>
        <w:tc>
          <w:tcPr>
            <w:tcW w:type="dxa" w:w="4167"/>
          </w:tcPr>
          <w:p>
            <w:r/>
            <w:r>
              <w:rPr>
                <w:sz w:val="16"/>
              </w:rPr>
              <w:t>HFNT domiciliaria: incoherencia entre cap. 3 y cap. 4 y referencia mal asignada</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COH-11</w:t>
            </w:r>
          </w:p>
        </w:tc>
        <w:tc>
          <w:tcPr>
            <w:tcW w:type="dxa" w:w="663"/>
          </w:tcPr>
          <w:p>
            <w:r/>
            <w:r>
              <w:rPr>
                <w:sz w:val="16"/>
              </w:rPr>
              <w:t>T11</w:t>
            </w:r>
          </w:p>
        </w:tc>
        <w:tc>
          <w:tcPr>
            <w:tcW w:type="dxa" w:w="1134"/>
          </w:tcPr>
          <w:p>
            <w:r/>
            <w:r>
              <w:rPr>
                <w:sz w:val="16"/>
              </w:rPr>
              <w:t>103, 113, 114</w:t>
            </w:r>
          </w:p>
        </w:tc>
        <w:tc>
          <w:tcPr>
            <w:tcW w:type="dxa" w:w="4167"/>
          </w:tcPr>
          <w:p>
            <w:r/>
            <w:r>
              <w:rPr>
                <w:sz w:val="16"/>
              </w:rPr>
              <w:t>Antibióticos y corticoides en la exacerbación: la duración y las indicaciones no coinciden entre key points, figuras y texto</w:t>
            </w:r>
          </w:p>
        </w:tc>
        <w:tc>
          <w:tcPr>
            <w:tcW w:type="dxa" w:w="765"/>
          </w:tcPr>
          <w:p>
            <w:r/>
            <w:r>
              <w:rPr>
                <w:sz w:val="16"/>
              </w:rPr>
              <w:t>—</w:t>
            </w:r>
          </w:p>
        </w:tc>
        <w:tc>
          <w:tcPr>
            <w:tcW w:type="dxa" w:w="663"/>
          </w:tcPr>
          <w:p>
            <w:r/>
            <w:r>
              <w:rPr>
                <w:sz w:val="16"/>
              </w:rPr>
              <w:t>✔</w:t>
            </w:r>
          </w:p>
        </w:tc>
        <w:tc>
          <w:tcPr>
            <w:tcW w:type="dxa" w:w="1276"/>
          </w:tcPr>
          <w:p>
            <w:r/>
          </w:p>
        </w:tc>
      </w:tr>
      <w:tr>
        <w:tc>
          <w:tcPr>
            <w:tcW w:type="dxa" w:w="969"/>
          </w:tcPr>
          <w:p>
            <w:r/>
            <w:r>
              <w:rPr>
                <w:sz w:val="16"/>
              </w:rPr>
              <w:t>DX-17</w:t>
            </w:r>
          </w:p>
        </w:tc>
        <w:tc>
          <w:tcPr>
            <w:tcW w:type="dxa" w:w="663"/>
          </w:tcPr>
          <w:p>
            <w:r/>
            <w:r>
              <w:rPr>
                <w:sz w:val="16"/>
              </w:rPr>
              <w:t>T11</w:t>
            </w:r>
          </w:p>
        </w:tc>
        <w:tc>
          <w:tcPr>
            <w:tcW w:type="dxa" w:w="1134"/>
          </w:tcPr>
          <w:p>
            <w:r/>
            <w:r>
              <w:rPr>
                <w:sz w:val="16"/>
              </w:rPr>
              <w:t>53, 103, 107, 113, 127, 164</w:t>
            </w:r>
          </w:p>
        </w:tc>
        <w:tc>
          <w:tcPr>
            <w:tcW w:type="dxa" w:w="4167"/>
          </w:tcPr>
          <w:p>
            <w:r/>
            <w:r>
              <w:rPr>
                <w:sz w:val="16"/>
              </w:rPr>
              <w:t>Riesgo cardiovascular: troponina/BNP «rutinarios» en exacerbaciones no recogidos en el cap. 4; omisión de la señal de daño de BLOCK-COPD</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EXA-10</w:t>
            </w:r>
          </w:p>
        </w:tc>
        <w:tc>
          <w:tcPr>
            <w:tcW w:type="dxa" w:w="663"/>
          </w:tcPr>
          <w:p>
            <w:r/>
            <w:r>
              <w:rPr>
                <w:sz w:val="16"/>
              </w:rPr>
              <w:t>T11</w:t>
            </w:r>
          </w:p>
        </w:tc>
        <w:tc>
          <w:tcPr>
            <w:tcW w:type="dxa" w:w="1134"/>
          </w:tcPr>
          <w:p>
            <w:r/>
            <w:r>
              <w:rPr>
                <w:sz w:val="16"/>
              </w:rPr>
              <w:t>115</w:t>
            </w:r>
          </w:p>
        </w:tc>
        <w:tc>
          <w:tcPr>
            <w:tcW w:type="dxa" w:w="4167"/>
          </w:tcPr>
          <w:p>
            <w:r/>
            <w:r>
              <w:rPr>
                <w:sz w:val="16"/>
              </w:rPr>
              <w:t>Evidencia sobre procalcitonina mal representada</w:t>
            </w:r>
          </w:p>
        </w:tc>
        <w:tc>
          <w:tcPr>
            <w:tcW w:type="dxa" w:w="765"/>
          </w:tcPr>
          <w:p>
            <w:r/>
            <w:r>
              <w:rPr>
                <w:sz w:val="16"/>
              </w:rPr>
              <w:t>5</w:t>
            </w:r>
          </w:p>
        </w:tc>
        <w:tc>
          <w:tcPr>
            <w:tcW w:type="dxa" w:w="663"/>
          </w:tcPr>
          <w:p>
            <w:r/>
            <w:r>
              <w:rPr>
                <w:sz w:val="16"/>
              </w:rPr>
              <w:t>✔</w:t>
            </w:r>
          </w:p>
        </w:tc>
        <w:tc>
          <w:tcPr>
            <w:tcW w:type="dxa" w:w="1276"/>
          </w:tcPr>
          <w:p>
            <w:r/>
          </w:p>
        </w:tc>
      </w:tr>
      <w:tr>
        <w:tc>
          <w:tcPr>
            <w:tcW w:type="dxa" w:w="969"/>
          </w:tcPr>
          <w:p>
            <w:r/>
            <w:r>
              <w:rPr>
                <w:sz w:val="16"/>
              </w:rPr>
              <w:t>EXA-11</w:t>
            </w:r>
          </w:p>
        </w:tc>
        <w:tc>
          <w:tcPr>
            <w:tcW w:type="dxa" w:w="663"/>
          </w:tcPr>
          <w:p>
            <w:r/>
            <w:r>
              <w:rPr>
                <w:sz w:val="16"/>
              </w:rPr>
              <w:t>T11</w:t>
            </w:r>
          </w:p>
        </w:tc>
        <w:tc>
          <w:tcPr>
            <w:tcW w:type="dxa" w:w="1134"/>
          </w:tcPr>
          <w:p>
            <w:r/>
            <w:r>
              <w:rPr>
                <w:sz w:val="16"/>
              </w:rPr>
              <w:t>103, 113, 116</w:t>
            </w:r>
          </w:p>
        </w:tc>
        <w:tc>
          <w:tcPr>
            <w:tcW w:type="dxa" w:w="4167"/>
          </w:tcPr>
          <w:p>
            <w:r/>
            <w:r>
              <w:rPr>
                <w:sz w:val="16"/>
              </w:rPr>
              <w:t>Duración del tratamiento antibiótico: cifras y referencias inconsistentes</w:t>
            </w:r>
          </w:p>
        </w:tc>
        <w:tc>
          <w:tcPr>
            <w:tcW w:type="dxa" w:w="765"/>
          </w:tcPr>
          <w:p>
            <w:r/>
            <w:r>
              <w:rPr>
                <w:sz w:val="16"/>
              </w:rPr>
              <w:t>5</w:t>
            </w:r>
          </w:p>
        </w:tc>
        <w:tc>
          <w:tcPr>
            <w:tcW w:type="dxa" w:w="663"/>
          </w:tcPr>
          <w:p>
            <w:r/>
            <w:r>
              <w:rPr>
                <w:sz w:val="16"/>
              </w:rPr>
              <w:t>≈</w:t>
            </w:r>
          </w:p>
        </w:tc>
        <w:tc>
          <w:tcPr>
            <w:tcW w:type="dxa" w:w="1276"/>
          </w:tcPr>
          <w:p>
            <w:r/>
          </w:p>
        </w:tc>
      </w:tr>
      <w:tr>
        <w:tc>
          <w:tcPr>
            <w:tcW w:type="dxa" w:w="969"/>
          </w:tcPr>
          <w:p>
            <w:r/>
            <w:r>
              <w:rPr>
                <w:sz w:val="16"/>
              </w:rPr>
              <w:t>EXA-13</w:t>
            </w:r>
          </w:p>
        </w:tc>
        <w:tc>
          <w:tcPr>
            <w:tcW w:type="dxa" w:w="663"/>
          </w:tcPr>
          <w:p>
            <w:r/>
            <w:r>
              <w:rPr>
                <w:sz w:val="16"/>
              </w:rPr>
              <w:t>T11</w:t>
            </w:r>
          </w:p>
        </w:tc>
        <w:tc>
          <w:tcPr>
            <w:tcW w:type="dxa" w:w="1134"/>
          </w:tcPr>
          <w:p>
            <w:r/>
            <w:r>
              <w:rPr>
                <w:sz w:val="16"/>
              </w:rPr>
              <w:t>103, 113, 114</w:t>
            </w:r>
          </w:p>
        </w:tc>
        <w:tc>
          <w:tcPr>
            <w:tcW w:type="dxa" w:w="4167"/>
          </w:tcPr>
          <w:p>
            <w:r/>
            <w:r>
              <w:rPr>
                <w:sz w:val="16"/>
              </w:rPr>
              <w:t>Corticoides sistémicos: referencias mal usadas, eosinófilos sin umbral y evidencia hospitalaria infravalorada</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EXA-17</w:t>
            </w:r>
          </w:p>
        </w:tc>
        <w:tc>
          <w:tcPr>
            <w:tcW w:type="dxa" w:w="663"/>
          </w:tcPr>
          <w:p>
            <w:r/>
            <w:r>
              <w:rPr>
                <w:sz w:val="16"/>
              </w:rPr>
              <w:t>T11</w:t>
            </w:r>
          </w:p>
        </w:tc>
        <w:tc>
          <w:tcPr>
            <w:tcW w:type="dxa" w:w="1134"/>
          </w:tcPr>
          <w:p>
            <w:r/>
            <w:r>
              <w:rPr>
                <w:sz w:val="16"/>
              </w:rPr>
              <w:t>108, 113, 116</w:t>
            </w:r>
          </w:p>
        </w:tc>
        <w:tc>
          <w:tcPr>
            <w:tcW w:type="dxa" w:w="4167"/>
          </w:tcPr>
          <w:p>
            <w:r/>
            <w:r>
              <w:rPr>
                <w:sz w:val="16"/>
              </w:rPr>
              <w:t>Tromboembolismo pulmonar: prevalencia mal citada, ausencia de algoritmo diagnóstico y profilaxis con mensajes discordantes</w:t>
            </w:r>
          </w:p>
        </w:tc>
        <w:tc>
          <w:tcPr>
            <w:tcW w:type="dxa" w:w="765"/>
          </w:tcPr>
          <w:p>
            <w:r/>
            <w:r>
              <w:rPr>
                <w:sz w:val="16"/>
              </w:rPr>
              <w:t>5</w:t>
            </w:r>
          </w:p>
        </w:tc>
        <w:tc>
          <w:tcPr>
            <w:tcW w:type="dxa" w:w="663"/>
          </w:tcPr>
          <w:p>
            <w:r/>
            <w:r>
              <w:rPr>
                <w:sz w:val="16"/>
              </w:rPr>
              <w:t>✔</w:t>
            </w:r>
          </w:p>
        </w:tc>
        <w:tc>
          <w:tcPr>
            <w:tcW w:type="dxa" w:w="1276"/>
          </w:tcPr>
          <w:p>
            <w:r/>
          </w:p>
        </w:tc>
      </w:tr>
      <w:tr>
        <w:tc>
          <w:tcPr>
            <w:tcW w:type="dxa" w:w="969"/>
          </w:tcPr>
          <w:p>
            <w:r/>
            <w:r>
              <w:rPr>
                <w:sz w:val="16"/>
              </w:rPr>
              <w:t>EXA-20</w:t>
            </w:r>
          </w:p>
        </w:tc>
        <w:tc>
          <w:tcPr>
            <w:tcW w:type="dxa" w:w="663"/>
          </w:tcPr>
          <w:p>
            <w:r/>
            <w:r>
              <w:rPr>
                <w:sz w:val="16"/>
              </w:rPr>
              <w:t>T11</w:t>
            </w:r>
          </w:p>
        </w:tc>
        <w:tc>
          <w:tcPr>
            <w:tcW w:type="dxa" w:w="1134"/>
          </w:tcPr>
          <w:p>
            <w:r/>
            <w:r>
              <w:rPr>
                <w:sz w:val="16"/>
              </w:rPr>
              <w:t>114</w:t>
            </w:r>
          </w:p>
        </w:tc>
        <w:tc>
          <w:tcPr>
            <w:tcW w:type="dxa" w:w="4167"/>
          </w:tcPr>
          <w:p>
            <w:r/>
            <w:r>
              <w:rPr>
                <w:sz w:val="16"/>
              </w:rPr>
              <w:t>Broncodilatadores de acción corta: pauta sin dosis, afirmaciones sin soporte y referencia errónea</w:t>
            </w:r>
          </w:p>
        </w:tc>
        <w:tc>
          <w:tcPr>
            <w:tcW w:type="dxa" w:w="765"/>
          </w:tcPr>
          <w:p>
            <w:r/>
            <w:r>
              <w:rPr>
                <w:sz w:val="16"/>
              </w:rPr>
              <w:t>3</w:t>
            </w:r>
          </w:p>
        </w:tc>
        <w:tc>
          <w:tcPr>
            <w:tcW w:type="dxa" w:w="663"/>
          </w:tcPr>
          <w:p>
            <w:r/>
            <w:r>
              <w:rPr>
                <w:sz w:val="16"/>
              </w:rPr>
              <w:t>✔</w:t>
            </w:r>
          </w:p>
        </w:tc>
        <w:tc>
          <w:tcPr>
            <w:tcW w:type="dxa" w:w="1276"/>
          </w:tcPr>
          <w:p>
            <w:r/>
          </w:p>
        </w:tc>
      </w:tr>
      <w:tr>
        <w:tc>
          <w:tcPr>
            <w:tcW w:type="dxa" w:w="969"/>
          </w:tcPr>
          <w:p>
            <w:r/>
            <w:r>
              <w:rPr>
                <w:sz w:val="16"/>
              </w:rPr>
              <w:t>COH-13</w:t>
            </w:r>
          </w:p>
        </w:tc>
        <w:tc>
          <w:tcPr>
            <w:tcW w:type="dxa" w:w="663"/>
          </w:tcPr>
          <w:p>
            <w:r/>
            <w:r>
              <w:rPr>
                <w:sz w:val="16"/>
              </w:rPr>
              <w:t>T12</w:t>
            </w:r>
          </w:p>
        </w:tc>
        <w:tc>
          <w:tcPr>
            <w:tcW w:type="dxa" w:w="1134"/>
          </w:tcPr>
          <w:p>
            <w:r/>
            <w:r>
              <w:rPr>
                <w:sz w:val="16"/>
              </w:rPr>
              <w:t>61, 87, 89, 92</w:t>
            </w:r>
          </w:p>
        </w:tc>
        <w:tc>
          <w:tcPr>
            <w:tcW w:type="dxa" w:w="4167"/>
          </w:tcPr>
          <w:p>
            <w:r/>
            <w:r>
              <w:rPr>
                <w:sz w:val="16"/>
              </w:rPr>
              <w:t>Criterios de la oxigenoterapia crónica (LTOT) internamente contradictorios</w:t>
            </w:r>
          </w:p>
        </w:tc>
        <w:tc>
          <w:tcPr>
            <w:tcW w:type="dxa" w:w="765"/>
          </w:tcPr>
          <w:p>
            <w:r/>
            <w:r>
              <w:rPr>
                <w:sz w:val="16"/>
              </w:rPr>
              <w:t>—</w:t>
            </w:r>
          </w:p>
        </w:tc>
        <w:tc>
          <w:tcPr>
            <w:tcW w:type="dxa" w:w="663"/>
          </w:tcPr>
          <w:p>
            <w:r/>
            <w:r>
              <w:rPr>
                <w:sz w:val="16"/>
              </w:rPr>
              <w:t>✔</w:t>
            </w:r>
          </w:p>
        </w:tc>
        <w:tc>
          <w:tcPr>
            <w:tcW w:type="dxa" w:w="1276"/>
          </w:tcPr>
          <w:p>
            <w:r/>
            <w:r>
              <w:rPr>
                <w:sz w:val="16"/>
              </w:rPr>
              <w:t>Confirmado</w:t>
            </w:r>
          </w:p>
        </w:tc>
      </w:tr>
      <w:tr>
        <w:tc>
          <w:tcPr>
            <w:tcW w:type="dxa" w:w="969"/>
          </w:tcPr>
          <w:p>
            <w:r/>
            <w:r>
              <w:rPr>
                <w:sz w:val="16"/>
              </w:rPr>
              <w:t>INT-13</w:t>
            </w:r>
          </w:p>
        </w:tc>
        <w:tc>
          <w:tcPr>
            <w:tcW w:type="dxa" w:w="663"/>
          </w:tcPr>
          <w:p>
            <w:r/>
            <w:r>
              <w:rPr>
                <w:sz w:val="16"/>
              </w:rPr>
              <w:t>T12</w:t>
            </w:r>
          </w:p>
        </w:tc>
        <w:tc>
          <w:tcPr>
            <w:tcW w:type="dxa" w:w="1134"/>
          </w:tcPr>
          <w:p>
            <w:r/>
            <w:r>
              <w:rPr>
                <w:sz w:val="16"/>
              </w:rPr>
              <w:t>87, 91, 92</w:t>
            </w:r>
          </w:p>
        </w:tc>
        <w:tc>
          <w:tcPr>
            <w:tcW w:type="dxa" w:w="4167"/>
          </w:tcPr>
          <w:p>
            <w:r/>
            <w:r>
              <w:rPr>
                <w:sz w:val="16"/>
              </w:rPr>
              <w:t>Oxigenoterapia: la Fig. 3.19 y la PDF 92 destacan «≥ 19 h» mientras la PDF 87 (REDOX) rebaja el umbral a 15 h</w:t>
            </w:r>
          </w:p>
        </w:tc>
        <w:tc>
          <w:tcPr>
            <w:tcW w:type="dxa" w:w="765"/>
          </w:tcPr>
          <w:p>
            <w:r/>
            <w:r>
              <w:rPr>
                <w:sz w:val="16"/>
              </w:rPr>
              <w:t>5</w:t>
            </w:r>
          </w:p>
        </w:tc>
        <w:tc>
          <w:tcPr>
            <w:tcW w:type="dxa" w:w="663"/>
          </w:tcPr>
          <w:p>
            <w:r/>
            <w:r>
              <w:rPr>
                <w:sz w:val="16"/>
              </w:rPr>
              <w:t>≈</w:t>
            </w:r>
          </w:p>
        </w:tc>
        <w:tc>
          <w:tcPr>
            <w:tcW w:type="dxa" w:w="1276"/>
          </w:tcPr>
          <w:p>
            <w:r/>
            <w:r>
              <w:rPr>
                <w:sz w:val="16"/>
              </w:rPr>
              <w:t>Confirmado</w:t>
            </w:r>
          </w:p>
        </w:tc>
      </w:tr>
      <w:tr>
        <w:tc>
          <w:tcPr>
            <w:tcW w:type="dxa" w:w="969"/>
          </w:tcPr>
          <w:p>
            <w:r/>
            <w:r>
              <w:rPr>
                <w:sz w:val="16"/>
              </w:rPr>
              <w:t>REH-06</w:t>
            </w:r>
          </w:p>
        </w:tc>
        <w:tc>
          <w:tcPr>
            <w:tcW w:type="dxa" w:w="663"/>
          </w:tcPr>
          <w:p>
            <w:r/>
            <w:r>
              <w:rPr>
                <w:sz w:val="16"/>
              </w:rPr>
              <w:t>T12</w:t>
            </w:r>
          </w:p>
        </w:tc>
        <w:tc>
          <w:tcPr>
            <w:tcW w:type="dxa" w:w="1134"/>
          </w:tcPr>
          <w:p>
            <w:r/>
            <w:r>
              <w:rPr>
                <w:sz w:val="16"/>
              </w:rPr>
              <w:t>87</w:t>
            </w:r>
          </w:p>
        </w:tc>
        <w:tc>
          <w:tcPr>
            <w:tcW w:type="dxa" w:w="4167"/>
          </w:tcPr>
          <w:p>
            <w:r/>
            <w:r>
              <w:rPr>
                <w:sz w:val="16"/>
              </w:rPr>
              <w:t>«LTOT (&gt; 15 h/día)» contradicho en el mismo apartado por la lectura de REDOX</w:t>
            </w:r>
          </w:p>
        </w:tc>
        <w:tc>
          <w:tcPr>
            <w:tcW w:type="dxa" w:w="765"/>
          </w:tcPr>
          <w:p>
            <w:r/>
            <w:r>
              <w:rPr>
                <w:sz w:val="16"/>
              </w:rPr>
              <w:t>5</w:t>
            </w:r>
          </w:p>
        </w:tc>
        <w:tc>
          <w:tcPr>
            <w:tcW w:type="dxa" w:w="663"/>
          </w:tcPr>
          <w:p>
            <w:r/>
            <w:r>
              <w:rPr>
                <w:sz w:val="16"/>
              </w:rPr>
              <w:t>✔</w:t>
            </w:r>
          </w:p>
        </w:tc>
        <w:tc>
          <w:tcPr>
            <w:tcW w:type="dxa" w:w="1276"/>
          </w:tcPr>
          <w:p>
            <w:r/>
            <w:r>
              <w:rPr>
                <w:sz w:val="16"/>
              </w:rPr>
              <w:t>Confirmado</w:t>
            </w:r>
          </w:p>
        </w:tc>
      </w:tr>
      <w:tr>
        <w:tc>
          <w:tcPr>
            <w:tcW w:type="dxa" w:w="969"/>
          </w:tcPr>
          <w:p>
            <w:r/>
            <w:r>
              <w:rPr>
                <w:sz w:val="16"/>
              </w:rPr>
              <w:t>REH-08</w:t>
            </w:r>
          </w:p>
        </w:tc>
        <w:tc>
          <w:tcPr>
            <w:tcW w:type="dxa" w:w="663"/>
          </w:tcPr>
          <w:p>
            <w:r/>
            <w:r>
              <w:rPr>
                <w:sz w:val="16"/>
              </w:rPr>
              <w:t>T12</w:t>
            </w:r>
          </w:p>
        </w:tc>
        <w:tc>
          <w:tcPr>
            <w:tcW w:type="dxa" w:w="1134"/>
          </w:tcPr>
          <w:p>
            <w:r/>
            <w:r>
              <w:rPr>
                <w:sz w:val="16"/>
              </w:rPr>
              <w:t>87</w:t>
            </w:r>
          </w:p>
        </w:tc>
        <w:tc>
          <w:tcPr>
            <w:tcW w:type="dxa" w:w="4167"/>
          </w:tcPr>
          <w:p>
            <w:r/>
            <w:r>
              <w:rPr>
                <w:sz w:val="16"/>
              </w:rPr>
              <w:t>Faltan el O2 nocturno aislado (INOX) y el O2 ambulatorio/portátil</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REH-09</w:t>
            </w:r>
          </w:p>
        </w:tc>
        <w:tc>
          <w:tcPr>
            <w:tcW w:type="dxa" w:w="663"/>
          </w:tcPr>
          <w:p>
            <w:r/>
            <w:r>
              <w:rPr>
                <w:sz w:val="16"/>
              </w:rPr>
              <w:t>T12</w:t>
            </w:r>
          </w:p>
        </w:tc>
        <w:tc>
          <w:tcPr>
            <w:tcW w:type="dxa" w:w="1134"/>
          </w:tcPr>
          <w:p>
            <w:r/>
            <w:r>
              <w:rPr>
                <w:sz w:val="16"/>
              </w:rPr>
              <w:t>87</w:t>
            </w:r>
          </w:p>
        </w:tc>
        <w:tc>
          <w:tcPr>
            <w:tcW w:type="dxa" w:w="4167"/>
          </w:tcPr>
          <w:p>
            <w:r/>
            <w:r>
              <w:rPr>
                <w:sz w:val="16"/>
              </w:rPr>
              <w:t>Seguridad de la oxigenoterapia domiciliaria: tabaquismo activo, incendios y quemaduras no mencionados</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REH-10</w:t>
            </w:r>
          </w:p>
        </w:tc>
        <w:tc>
          <w:tcPr>
            <w:tcW w:type="dxa" w:w="663"/>
          </w:tcPr>
          <w:p>
            <w:r/>
            <w:r>
              <w:rPr>
                <w:sz w:val="16"/>
              </w:rPr>
              <w:t>T12</w:t>
            </w:r>
          </w:p>
        </w:tc>
        <w:tc>
          <w:tcPr>
            <w:tcW w:type="dxa" w:w="1134"/>
          </w:tcPr>
          <w:p>
            <w:r/>
            <w:r>
              <w:rPr>
                <w:sz w:val="16"/>
              </w:rPr>
              <w:t>88</w:t>
            </w:r>
          </w:p>
        </w:tc>
        <w:tc>
          <w:tcPr>
            <w:tcW w:type="dxa" w:w="4167"/>
          </w:tcPr>
          <w:p>
            <w:r/>
            <w:r>
              <w:rPr>
                <w:sz w:val="16"/>
              </w:rPr>
              <w:t>Recomendaciones para viajes aéreos desactualizadas e incompletas</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INT-12</w:t>
            </w:r>
          </w:p>
        </w:tc>
        <w:tc>
          <w:tcPr>
            <w:tcW w:type="dxa" w:w="663"/>
          </w:tcPr>
          <w:p>
            <w:r/>
            <w:r>
              <w:rPr>
                <w:sz w:val="16"/>
              </w:rPr>
              <w:t>T13</w:t>
            </w:r>
          </w:p>
        </w:tc>
        <w:tc>
          <w:tcPr>
            <w:tcW w:type="dxa" w:w="1134"/>
          </w:tcPr>
          <w:p>
            <w:r/>
            <w:r>
              <w:rPr>
                <w:sz w:val="16"/>
              </w:rPr>
              <w:t>91, 92</w:t>
            </w:r>
          </w:p>
        </w:tc>
        <w:tc>
          <w:tcPr>
            <w:tcW w:type="dxa" w:w="4167"/>
          </w:tcPr>
          <w:p>
            <w:r/>
            <w:r>
              <w:rPr>
                <w:sz w:val="16"/>
              </w:rPr>
              <w:t>VNI domiciliaria: se atribuye a McEvoy 2009 («higher IPAP levels») un resultado que no muestra</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EQ-14</w:t>
            </w:r>
          </w:p>
        </w:tc>
        <w:tc>
          <w:tcPr>
            <w:tcW w:type="dxa" w:w="663"/>
          </w:tcPr>
          <w:p>
            <w:r/>
            <w:r>
              <w:rPr>
                <w:sz w:val="16"/>
              </w:rPr>
              <w:t>T14</w:t>
            </w:r>
          </w:p>
        </w:tc>
        <w:tc>
          <w:tcPr>
            <w:tcW w:type="dxa" w:w="1134"/>
          </w:tcPr>
          <w:p>
            <w:r/>
            <w:r>
              <w:rPr>
                <w:sz w:val="16"/>
              </w:rPr>
              <w:t>87, 93, 137</w:t>
            </w:r>
          </w:p>
        </w:tc>
        <w:tc>
          <w:tcPr>
            <w:tcW w:type="dxa" w:w="4167"/>
          </w:tcPr>
          <w:p>
            <w:r/>
            <w:r>
              <w:rPr>
                <w:sz w:val="16"/>
              </w:rPr>
              <w:t>Oxigenoterapia y cuidados paliativos: no se tiene en cuenta la altitud ni el acceso</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INT-15</w:t>
            </w:r>
          </w:p>
        </w:tc>
        <w:tc>
          <w:tcPr>
            <w:tcW w:type="dxa" w:w="663"/>
          </w:tcPr>
          <w:p>
            <w:r/>
            <w:r>
              <w:rPr>
                <w:sz w:val="16"/>
              </w:rPr>
              <w:t>T14</w:t>
            </w:r>
          </w:p>
        </w:tc>
        <w:tc>
          <w:tcPr>
            <w:tcW w:type="dxa" w:w="1134"/>
          </w:tcPr>
          <w:p>
            <w:r/>
            <w:r>
              <w:rPr>
                <w:sz w:val="16"/>
              </w:rPr>
              <w:t>94</w:t>
            </w:r>
          </w:p>
        </w:tc>
        <w:tc>
          <w:tcPr>
            <w:tcW w:type="dxa" w:w="4167"/>
          </w:tcPr>
          <w:p>
            <w:r/>
            <w:r>
              <w:rPr>
                <w:sz w:val="16"/>
              </w:rPr>
              <w:t>Otros fármacos paliativos: omisión de BETTER-B (mirtazapina) y del ECA de sertralina; benzodiacepinas con una Cochrane superada y sin advertencia de seguridad</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INT-16</w:t>
            </w:r>
          </w:p>
        </w:tc>
        <w:tc>
          <w:tcPr>
            <w:tcW w:type="dxa" w:w="663"/>
          </w:tcPr>
          <w:p>
            <w:r/>
            <w:r>
              <w:rPr>
                <w:sz w:val="16"/>
              </w:rPr>
              <w:t>T14</w:t>
            </w:r>
          </w:p>
        </w:tc>
        <w:tc>
          <w:tcPr>
            <w:tcW w:type="dxa" w:w="1134"/>
          </w:tcPr>
          <w:p>
            <w:r/>
            <w:r>
              <w:rPr>
                <w:sz w:val="16"/>
              </w:rPr>
              <w:t>93, 95</w:t>
            </w:r>
          </w:p>
        </w:tc>
        <w:tc>
          <w:tcPr>
            <w:tcW w:type="dxa" w:w="4167"/>
          </w:tcPr>
          <w:p>
            <w:r/>
            <w:r>
              <w:rPr>
                <w:sz w:val="16"/>
              </w:rPr>
              <w:t>Cuidados paliativos y hospice: enfoque centrado en EE. UU. basado en el pronóstico, con omisiones clave</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INT-18</w:t>
            </w:r>
          </w:p>
        </w:tc>
        <w:tc>
          <w:tcPr>
            <w:tcW w:type="dxa" w:w="663"/>
          </w:tcPr>
          <w:p>
            <w:r/>
            <w:r>
              <w:rPr>
                <w:sz w:val="16"/>
              </w:rPr>
              <w:t>T14</w:t>
            </w:r>
          </w:p>
        </w:tc>
        <w:tc>
          <w:tcPr>
            <w:tcW w:type="dxa" w:w="1134"/>
          </w:tcPr>
          <w:p>
            <w:r/>
            <w:r>
              <w:rPr>
                <w:sz w:val="16"/>
              </w:rPr>
              <w:t>94</w:t>
            </w:r>
          </w:p>
        </w:tc>
        <w:tc>
          <w:tcPr>
            <w:tcW w:type="dxa" w:w="4167"/>
          </w:tcPr>
          <w:p>
            <w:r/>
            <w:r>
              <w:rPr>
                <w:sz w:val="16"/>
              </w:rPr>
              <w:t>Mortalidad tras hospitalización «del 23 % al 80 %» sin horizonte temporal</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MET-13</w:t>
            </w:r>
          </w:p>
        </w:tc>
        <w:tc>
          <w:tcPr>
            <w:tcW w:type="dxa" w:w="663"/>
          </w:tcPr>
          <w:p>
            <w:r/>
            <w:r>
              <w:rPr>
                <w:sz w:val="16"/>
              </w:rPr>
              <w:t>T14</w:t>
            </w:r>
          </w:p>
        </w:tc>
        <w:tc>
          <w:tcPr>
            <w:tcW w:type="dxa" w:w="1134"/>
          </w:tcPr>
          <w:p>
            <w:r/>
            <w:r>
              <w:rPr>
                <w:sz w:val="16"/>
              </w:rPr>
              <w:t>93</w:t>
            </w:r>
          </w:p>
        </w:tc>
        <w:tc>
          <w:tcPr>
            <w:tcW w:type="dxa" w:w="4167"/>
          </w:tcPr>
          <w:p>
            <w:r/>
            <w:r>
              <w:rPr>
                <w:sz w:val="16"/>
              </w:rPr>
              <w:t>Paliación de la disnea: nivel C que oculta ECA negativos y contradice el texto</w:t>
            </w:r>
          </w:p>
        </w:tc>
        <w:tc>
          <w:tcPr>
            <w:tcW w:type="dxa" w:w="765"/>
          </w:tcPr>
          <w:p>
            <w:r/>
            <w:r>
              <w:rPr>
                <w:sz w:val="16"/>
              </w:rPr>
              <w:t>—</w:t>
            </w:r>
          </w:p>
        </w:tc>
        <w:tc>
          <w:tcPr>
            <w:tcW w:type="dxa" w:w="663"/>
          </w:tcPr>
          <w:p>
            <w:r/>
            <w:r>
              <w:rPr>
                <w:sz w:val="16"/>
              </w:rPr>
              <w:t>✖</w:t>
            </w:r>
          </w:p>
        </w:tc>
        <w:tc>
          <w:tcPr>
            <w:tcW w:type="dxa" w:w="1276"/>
          </w:tcPr>
          <w:p>
            <w:r/>
            <w:r>
              <w:rPr>
                <w:sz w:val="16"/>
              </w:rPr>
              <w:t>Confirmado</w:t>
            </w:r>
          </w:p>
        </w:tc>
      </w:tr>
      <w:tr>
        <w:tc>
          <w:tcPr>
            <w:tcW w:type="dxa" w:w="969"/>
          </w:tcPr>
          <w:p>
            <w:r/>
            <w:r>
              <w:rPr>
                <w:sz w:val="16"/>
              </w:rPr>
              <w:t>REH-11</w:t>
            </w:r>
          </w:p>
        </w:tc>
        <w:tc>
          <w:tcPr>
            <w:tcW w:type="dxa" w:w="663"/>
          </w:tcPr>
          <w:p>
            <w:r/>
            <w:r>
              <w:rPr>
                <w:sz w:val="16"/>
              </w:rPr>
              <w:t>T14</w:t>
            </w:r>
          </w:p>
        </w:tc>
        <w:tc>
          <w:tcPr>
            <w:tcW w:type="dxa" w:w="1134"/>
          </w:tcPr>
          <w:p>
            <w:r/>
            <w:r>
              <w:rPr>
                <w:sz w:val="16"/>
              </w:rPr>
              <w:t>87, 94</w:t>
            </w:r>
          </w:p>
        </w:tc>
        <w:tc>
          <w:tcPr>
            <w:tcW w:type="dxa" w:w="4167"/>
          </w:tcPr>
          <w:p>
            <w:r/>
            <w:r>
              <w:rPr>
                <w:sz w:val="16"/>
              </w:rPr>
              <w:t>O2 paliativo en pacientes no hipoxémicos: contradicción con el cap. 3 y referencia cruzada errónea</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DX-19</w:t>
            </w:r>
          </w:p>
        </w:tc>
        <w:tc>
          <w:tcPr>
            <w:tcW w:type="dxa" w:w="663"/>
          </w:tcPr>
          <w:p>
            <w:r/>
            <w:r>
              <w:rPr>
                <w:sz w:val="16"/>
              </w:rPr>
              <w:t>T15</w:t>
            </w:r>
          </w:p>
        </w:tc>
        <w:tc>
          <w:tcPr>
            <w:tcW w:type="dxa" w:w="1134"/>
          </w:tcPr>
          <w:p>
            <w:r/>
            <w:r>
              <w:rPr>
                <w:sz w:val="16"/>
              </w:rPr>
              <w:t>56</w:t>
            </w:r>
          </w:p>
        </w:tc>
        <w:tc>
          <w:tcPr>
            <w:tcW w:type="dxa" w:w="4167"/>
          </w:tcPr>
          <w:p>
            <w:r/>
            <w:r>
              <w:rPr>
                <w:sz w:val="16"/>
              </w:rPr>
              <w:t>DLCO y cirugía de resección: «preclude» sobrestima su papel</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INT-06</w:t>
            </w:r>
          </w:p>
        </w:tc>
        <w:tc>
          <w:tcPr>
            <w:tcW w:type="dxa" w:w="663"/>
          </w:tcPr>
          <w:p>
            <w:r/>
            <w:r>
              <w:rPr>
                <w:sz w:val="16"/>
              </w:rPr>
              <w:t>T15</w:t>
            </w:r>
          </w:p>
        </w:tc>
        <w:tc>
          <w:tcPr>
            <w:tcW w:type="dxa" w:w="1134"/>
          </w:tcPr>
          <w:p>
            <w:r/>
            <w:r>
              <w:rPr>
                <w:sz w:val="16"/>
              </w:rPr>
              <w:t>97, 98, 99, 100</w:t>
            </w:r>
          </w:p>
        </w:tc>
        <w:tc>
          <w:tcPr>
            <w:tcW w:type="dxa" w:w="4167"/>
          </w:tcPr>
          <w:p>
            <w:r/>
            <w:r>
              <w:rPr>
                <w:sz w:val="16"/>
              </w:rPr>
              <w:t>Los coils endobronquiales (LVRC) siguen apareciendo como opción terapéutica pese a no estar aprobados por la FDA y no comercializarse</w:t>
            </w:r>
          </w:p>
        </w:tc>
        <w:tc>
          <w:tcPr>
            <w:tcW w:type="dxa" w:w="765"/>
          </w:tcPr>
          <w:p>
            <w:r/>
            <w:r>
              <w:rPr>
                <w:sz w:val="16"/>
              </w:rPr>
              <w:t>4</w:t>
            </w:r>
          </w:p>
        </w:tc>
        <w:tc>
          <w:tcPr>
            <w:tcW w:type="dxa" w:w="663"/>
          </w:tcPr>
          <w:p>
            <w:r/>
            <w:r>
              <w:rPr>
                <w:sz w:val="16"/>
              </w:rPr>
              <w:t>≈</w:t>
            </w:r>
          </w:p>
        </w:tc>
        <w:tc>
          <w:tcPr>
            <w:tcW w:type="dxa" w:w="1276"/>
          </w:tcPr>
          <w:p>
            <w:r/>
            <w:r>
              <w:rPr>
                <w:sz w:val="16"/>
              </w:rPr>
              <w:t>Confirmado</w:t>
            </w:r>
          </w:p>
        </w:tc>
      </w:tr>
      <w:tr>
        <w:tc>
          <w:tcPr>
            <w:tcW w:type="dxa" w:w="969"/>
          </w:tcPr>
          <w:p>
            <w:r/>
            <w:r>
              <w:rPr>
                <w:sz w:val="16"/>
              </w:rPr>
              <w:t>INT-08</w:t>
            </w:r>
          </w:p>
        </w:tc>
        <w:tc>
          <w:tcPr>
            <w:tcW w:type="dxa" w:w="663"/>
          </w:tcPr>
          <w:p>
            <w:r/>
            <w:r>
              <w:rPr>
                <w:sz w:val="16"/>
              </w:rPr>
              <w:t>T15</w:t>
            </w:r>
          </w:p>
        </w:tc>
        <w:tc>
          <w:tcPr>
            <w:tcW w:type="dxa" w:w="1134"/>
          </w:tcPr>
          <w:p>
            <w:r/>
            <w:r>
              <w:rPr>
                <w:sz w:val="16"/>
              </w:rPr>
              <w:t>58, 92, 97</w:t>
            </w:r>
          </w:p>
        </w:tc>
        <w:tc>
          <w:tcPr>
            <w:tcW w:type="dxa" w:w="4167"/>
          </w:tcPr>
          <w:p>
            <w:r/>
            <w:r>
              <w:rPr>
                <w:sz w:val="16"/>
              </w:rPr>
              <w:t>Faltan criterios operativos de selección para LVRS/ELVR; «low exercise capacity» no se define</w:t>
            </w:r>
          </w:p>
        </w:tc>
        <w:tc>
          <w:tcPr>
            <w:tcW w:type="dxa" w:w="765"/>
          </w:tcPr>
          <w:p>
            <w:r/>
            <w:r>
              <w:rPr>
                <w:sz w:val="16"/>
              </w:rPr>
              <w:t>5</w:t>
            </w:r>
          </w:p>
        </w:tc>
        <w:tc>
          <w:tcPr>
            <w:tcW w:type="dxa" w:w="663"/>
          </w:tcPr>
          <w:p>
            <w:r/>
            <w:r>
              <w:rPr>
                <w:sz w:val="16"/>
              </w:rPr>
              <w:t>✔</w:t>
            </w:r>
          </w:p>
        </w:tc>
        <w:tc>
          <w:tcPr>
            <w:tcW w:type="dxa" w:w="1276"/>
          </w:tcPr>
          <w:p>
            <w:r/>
          </w:p>
        </w:tc>
      </w:tr>
      <w:tr>
        <w:tc>
          <w:tcPr>
            <w:tcW w:type="dxa" w:w="969"/>
          </w:tcPr>
          <w:p>
            <w:r/>
            <w:r>
              <w:rPr>
                <w:sz w:val="16"/>
              </w:rPr>
              <w:t>INT-09</w:t>
            </w:r>
          </w:p>
        </w:tc>
        <w:tc>
          <w:tcPr>
            <w:tcW w:type="dxa" w:w="663"/>
          </w:tcPr>
          <w:p>
            <w:r/>
            <w:r>
              <w:rPr>
                <w:sz w:val="16"/>
              </w:rPr>
              <w:t>T15</w:t>
            </w:r>
          </w:p>
        </w:tc>
        <w:tc>
          <w:tcPr>
            <w:tcW w:type="dxa" w:w="1134"/>
          </w:tcPr>
          <w:p>
            <w:r/>
            <w:r>
              <w:rPr>
                <w:sz w:val="16"/>
              </w:rPr>
              <w:t>96, 97, 101</w:t>
            </w:r>
          </w:p>
        </w:tc>
        <w:tc>
          <w:tcPr>
            <w:tcW w:type="dxa" w:w="4167"/>
          </w:tcPr>
          <w:p>
            <w:r/>
            <w:r>
              <w:rPr>
                <w:sz w:val="16"/>
              </w:rPr>
              <w:t>Denervación pulmonar dirigida: la Fig. 3.22 la presenta «en fase III en curso» y el texto describe AIRFLOW-3 de forma imprecisa</w:t>
            </w:r>
          </w:p>
        </w:tc>
        <w:tc>
          <w:tcPr>
            <w:tcW w:type="dxa" w:w="765"/>
          </w:tcPr>
          <w:p>
            <w:r/>
            <w:r>
              <w:rPr>
                <w:sz w:val="16"/>
              </w:rPr>
              <w:t>4</w:t>
            </w:r>
          </w:p>
        </w:tc>
        <w:tc>
          <w:tcPr>
            <w:tcW w:type="dxa" w:w="663"/>
          </w:tcPr>
          <w:p>
            <w:r/>
            <w:r>
              <w:rPr>
                <w:sz w:val="16"/>
              </w:rPr>
              <w:t>≈</w:t>
            </w:r>
          </w:p>
        </w:tc>
        <w:tc>
          <w:tcPr>
            <w:tcW w:type="dxa" w:w="1276"/>
          </w:tcPr>
          <w:p>
            <w:r/>
            <w:r>
              <w:rPr>
                <w:sz w:val="16"/>
              </w:rPr>
              <w:t>Confirmado</w:t>
            </w:r>
          </w:p>
        </w:tc>
      </w:tr>
      <w:tr>
        <w:tc>
          <w:tcPr>
            <w:tcW w:type="dxa" w:w="969"/>
          </w:tcPr>
          <w:p>
            <w:r/>
            <w:r>
              <w:rPr>
                <w:sz w:val="16"/>
              </w:rPr>
              <w:t>INT-10</w:t>
            </w:r>
          </w:p>
        </w:tc>
        <w:tc>
          <w:tcPr>
            <w:tcW w:type="dxa" w:w="663"/>
          </w:tcPr>
          <w:p>
            <w:r/>
            <w:r>
              <w:rPr>
                <w:sz w:val="16"/>
              </w:rPr>
              <w:t>T15</w:t>
            </w:r>
          </w:p>
        </w:tc>
        <w:tc>
          <w:tcPr>
            <w:tcW w:type="dxa" w:w="1134"/>
          </w:tcPr>
          <w:p>
            <w:r/>
            <w:r>
              <w:rPr>
                <w:sz w:val="16"/>
              </w:rPr>
              <w:t>96, 97, 101</w:t>
            </w:r>
          </w:p>
        </w:tc>
        <w:tc>
          <w:tcPr>
            <w:tcW w:type="dxa" w:w="4167"/>
          </w:tcPr>
          <w:p>
            <w:r/>
            <w:r>
              <w:rPr>
                <w:sz w:val="16"/>
              </w:rPr>
              <w:t>Crioespray y reoplastia bronquial: estado desactualizado («Phase III en curso») y sin advertencia de que son investigacionales</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INT-17</w:t>
            </w:r>
          </w:p>
        </w:tc>
        <w:tc>
          <w:tcPr>
            <w:tcW w:type="dxa" w:w="663"/>
          </w:tcPr>
          <w:p>
            <w:r/>
            <w:r>
              <w:rPr>
                <w:sz w:val="16"/>
              </w:rPr>
              <w:t>T15</w:t>
            </w:r>
          </w:p>
        </w:tc>
        <w:tc>
          <w:tcPr>
            <w:tcW w:type="dxa" w:w="1134"/>
          </w:tcPr>
          <w:p>
            <w:r/>
            <w:r>
              <w:rPr>
                <w:sz w:val="16"/>
              </w:rPr>
              <w:t>14, 97</w:t>
            </w:r>
          </w:p>
        </w:tc>
        <w:tc>
          <w:tcPr>
            <w:tcW w:type="dxa" w:w="4167"/>
          </w:tcPr>
          <w:p>
            <w:r/>
            <w:r>
              <w:rPr>
                <w:sz w:val="16"/>
              </w:rPr>
              <w:t>«Evidence A» para la supervivencia con LVRS: incoherente con la Tabla A (subgrupo de un único ECA)</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EPI-15</w:t>
            </w:r>
          </w:p>
        </w:tc>
        <w:tc>
          <w:tcPr>
            <w:tcW w:type="dxa" w:w="663"/>
          </w:tcPr>
          <w:p>
            <w:r/>
            <w:r>
              <w:rPr>
                <w:sz w:val="16"/>
              </w:rPr>
              <w:t>T16</w:t>
            </w:r>
          </w:p>
        </w:tc>
        <w:tc>
          <w:tcPr>
            <w:tcW w:type="dxa" w:w="1134"/>
          </w:tcPr>
          <w:p>
            <w:r/>
            <w:r>
              <w:rPr>
                <w:sz w:val="16"/>
              </w:rPr>
              <w:t>16, 31</w:t>
            </w:r>
          </w:p>
        </w:tc>
        <w:tc>
          <w:tcPr>
            <w:tcW w:type="dxa" w:w="4167"/>
          </w:tcPr>
          <w:p>
            <w:r/>
            <w:r>
              <w:rPr>
                <w:sz w:val="16"/>
              </w:rPr>
              <w:t>Cannabis presentado como factor de riesgo establecido con evidencia insuficiente</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EPI-16</w:t>
            </w:r>
          </w:p>
        </w:tc>
        <w:tc>
          <w:tcPr>
            <w:tcW w:type="dxa" w:w="663"/>
          </w:tcPr>
          <w:p>
            <w:r/>
            <w:r>
              <w:rPr>
                <w:sz w:val="16"/>
              </w:rPr>
              <w:t>T16</w:t>
            </w:r>
          </w:p>
        </w:tc>
        <w:tc>
          <w:tcPr>
            <w:tcW w:type="dxa" w:w="1134"/>
          </w:tcPr>
          <w:p>
            <w:r/>
            <w:r>
              <w:rPr>
                <w:sz w:val="16"/>
              </w:rPr>
              <w:t>16, 31, 153</w:t>
            </w:r>
          </w:p>
        </w:tc>
        <w:tc>
          <w:tcPr>
            <w:tcW w:type="dxa" w:w="4167"/>
          </w:tcPr>
          <w:p>
            <w:r/>
            <w:r>
              <w:rPr>
                <w:sz w:val="16"/>
              </w:rPr>
              <w:t>Vapeo/cigarrillo electrónico ausente del texto de factores de riesgo</w:t>
            </w:r>
          </w:p>
        </w:tc>
        <w:tc>
          <w:tcPr>
            <w:tcW w:type="dxa" w:w="765"/>
          </w:tcPr>
          <w:p>
            <w:r/>
            <w:r>
              <w:rPr>
                <w:sz w:val="16"/>
              </w:rPr>
              <w:t>5</w:t>
            </w:r>
          </w:p>
        </w:tc>
        <w:tc>
          <w:tcPr>
            <w:tcW w:type="dxa" w:w="663"/>
          </w:tcPr>
          <w:p>
            <w:r/>
            <w:r>
              <w:rPr>
                <w:sz w:val="16"/>
              </w:rPr>
              <w:t>✖</w:t>
            </w:r>
          </w:p>
        </w:tc>
        <w:tc>
          <w:tcPr>
            <w:tcW w:type="dxa" w:w="1276"/>
          </w:tcPr>
          <w:p>
            <w:r/>
          </w:p>
        </w:tc>
      </w:tr>
      <w:tr>
        <w:tc>
          <w:tcPr>
            <w:tcW w:type="dxa" w:w="969"/>
          </w:tcPr>
          <w:p>
            <w:r/>
            <w:r>
              <w:rPr>
                <w:sz w:val="16"/>
              </w:rPr>
              <w:t>EQ-18</w:t>
            </w:r>
          </w:p>
        </w:tc>
        <w:tc>
          <w:tcPr>
            <w:tcW w:type="dxa" w:w="663"/>
          </w:tcPr>
          <w:p>
            <w:r/>
            <w:r>
              <w:rPr>
                <w:sz w:val="16"/>
              </w:rPr>
              <w:t>T16</w:t>
            </w:r>
          </w:p>
        </w:tc>
        <w:tc>
          <w:tcPr>
            <w:tcW w:type="dxa" w:w="1134"/>
          </w:tcPr>
          <w:p>
            <w:r/>
            <w:r>
              <w:rPr>
                <w:sz w:val="16"/>
              </w:rPr>
              <w:t>16, 153</w:t>
            </w:r>
          </w:p>
        </w:tc>
        <w:tc>
          <w:tcPr>
            <w:tcW w:type="dxa" w:w="4167"/>
          </w:tcPr>
          <w:p>
            <w:r/>
            <w:r>
              <w:rPr>
                <w:sz w:val="16"/>
              </w:rPr>
              <w:t>Cesación tabáquica: falta la citisina, la base es la guía de EE. UU. de 2000 y se ignoran productos de tabaco frecuentes en LMIC</w:t>
            </w:r>
          </w:p>
        </w:tc>
        <w:tc>
          <w:tcPr>
            <w:tcW w:type="dxa" w:w="765"/>
          </w:tcPr>
          <w:p>
            <w:r/>
            <w:r>
              <w:rPr>
                <w:sz w:val="16"/>
              </w:rPr>
              <w:t>5</w:t>
            </w:r>
          </w:p>
        </w:tc>
        <w:tc>
          <w:tcPr>
            <w:tcW w:type="dxa" w:w="663"/>
          </w:tcPr>
          <w:p>
            <w:r/>
            <w:r>
              <w:rPr>
                <w:sz w:val="16"/>
              </w:rPr>
              <w:t>✔</w:t>
            </w:r>
          </w:p>
        </w:tc>
        <w:tc>
          <w:tcPr>
            <w:tcW w:type="dxa" w:w="1276"/>
          </w:tcPr>
          <w:p>
            <w:r/>
          </w:p>
        </w:tc>
      </w:tr>
      <w:tr>
        <w:tc>
          <w:tcPr>
            <w:tcW w:type="dxa" w:w="969"/>
          </w:tcPr>
          <w:p>
            <w:r/>
            <w:r>
              <w:rPr>
                <w:sz w:val="16"/>
              </w:rPr>
              <w:t>FARM-08</w:t>
            </w:r>
          </w:p>
        </w:tc>
        <w:tc>
          <w:tcPr>
            <w:tcW w:type="dxa" w:w="663"/>
          </w:tcPr>
          <w:p>
            <w:r/>
            <w:r>
              <w:rPr>
                <w:sz w:val="16"/>
              </w:rPr>
              <w:t>T16</w:t>
            </w:r>
          </w:p>
        </w:tc>
        <w:tc>
          <w:tcPr>
            <w:tcW w:type="dxa" w:w="1134"/>
          </w:tcPr>
          <w:p>
            <w:r/>
            <w:r>
              <w:rPr>
                <w:sz w:val="16"/>
              </w:rPr>
              <w:t>66, 154</w:t>
            </w:r>
          </w:p>
        </w:tc>
        <w:tc>
          <w:tcPr>
            <w:tcW w:type="dxa" w:w="4167"/>
          </w:tcPr>
          <w:p>
            <w:r/>
            <w:r>
              <w:rPr>
                <w:sz w:val="16"/>
              </w:rPr>
              <w:t>Fig 3.5: fuente de 2000, contenido híbrido y nortriptilina como "primera línea"</w:t>
            </w:r>
          </w:p>
        </w:tc>
        <w:tc>
          <w:tcPr>
            <w:tcW w:type="dxa" w:w="765"/>
          </w:tcPr>
          <w:p>
            <w:r/>
            <w:r>
              <w:rPr>
                <w:sz w:val="16"/>
              </w:rPr>
              <w:t>5</w:t>
            </w:r>
          </w:p>
        </w:tc>
        <w:tc>
          <w:tcPr>
            <w:tcW w:type="dxa" w:w="663"/>
          </w:tcPr>
          <w:p>
            <w:r/>
            <w:r>
              <w:rPr>
                <w:sz w:val="16"/>
              </w:rPr>
              <w:t>✖</w:t>
            </w:r>
          </w:p>
        </w:tc>
        <w:tc>
          <w:tcPr>
            <w:tcW w:type="dxa" w:w="1276"/>
          </w:tcPr>
          <w:p>
            <w:r/>
            <w:r>
              <w:rPr>
                <w:sz w:val="16"/>
              </w:rPr>
              <w:t>Confirmado</w:t>
            </w:r>
          </w:p>
        </w:tc>
      </w:tr>
      <w:tr>
        <w:tc>
          <w:tcPr>
            <w:tcW w:type="dxa" w:w="969"/>
          </w:tcPr>
          <w:p>
            <w:r/>
            <w:r>
              <w:rPr>
                <w:sz w:val="16"/>
              </w:rPr>
              <w:t>FARM-09</w:t>
            </w:r>
          </w:p>
        </w:tc>
        <w:tc>
          <w:tcPr>
            <w:tcW w:type="dxa" w:w="663"/>
          </w:tcPr>
          <w:p>
            <w:r/>
            <w:r>
              <w:rPr>
                <w:sz w:val="16"/>
              </w:rPr>
              <w:t>T16</w:t>
            </w:r>
          </w:p>
        </w:tc>
        <w:tc>
          <w:tcPr>
            <w:tcW w:type="dxa" w:w="1134"/>
          </w:tcPr>
          <w:p>
            <w:r/>
            <w:r>
              <w:rPr>
                <w:sz w:val="16"/>
              </w:rPr>
              <w:t>64, 153</w:t>
            </w:r>
          </w:p>
        </w:tc>
        <w:tc>
          <w:tcPr>
            <w:tcW w:type="dxa" w:w="4167"/>
          </w:tcPr>
          <w:p>
            <w:r/>
            <w:r>
              <w:rPr>
                <w:sz w:val="16"/>
              </w:rPr>
              <w:t>Omisión de la citisina (y de la cytisinicline)</w:t>
            </w:r>
          </w:p>
        </w:tc>
        <w:tc>
          <w:tcPr>
            <w:tcW w:type="dxa" w:w="765"/>
          </w:tcPr>
          <w:p>
            <w:r/>
            <w:r>
              <w:rPr>
                <w:sz w:val="16"/>
              </w:rPr>
              <w:t>5</w:t>
            </w:r>
          </w:p>
        </w:tc>
        <w:tc>
          <w:tcPr>
            <w:tcW w:type="dxa" w:w="663"/>
          </w:tcPr>
          <w:p>
            <w:r/>
            <w:r>
              <w:rPr>
                <w:sz w:val="16"/>
              </w:rPr>
              <w:t>✔</w:t>
            </w:r>
          </w:p>
        </w:tc>
        <w:tc>
          <w:tcPr>
            <w:tcW w:type="dxa" w:w="1276"/>
          </w:tcPr>
          <w:p>
            <w:r/>
          </w:p>
        </w:tc>
      </w:tr>
      <w:tr>
        <w:tc>
          <w:tcPr>
            <w:tcW w:type="dxa" w:w="969"/>
          </w:tcPr>
          <w:p>
            <w:r/>
            <w:r>
              <w:rPr>
                <w:sz w:val="16"/>
              </w:rPr>
              <w:t>FARM-10</w:t>
            </w:r>
          </w:p>
        </w:tc>
        <w:tc>
          <w:tcPr>
            <w:tcW w:type="dxa" w:w="663"/>
          </w:tcPr>
          <w:p>
            <w:r/>
            <w:r>
              <w:rPr>
                <w:sz w:val="16"/>
              </w:rPr>
              <w:t>T16</w:t>
            </w:r>
          </w:p>
        </w:tc>
        <w:tc>
          <w:tcPr>
            <w:tcW w:type="dxa" w:w="1134"/>
          </w:tcPr>
          <w:p>
            <w:r/>
            <w:r>
              <w:rPr>
                <w:sz w:val="16"/>
              </w:rPr>
              <w:t>153</w:t>
            </w:r>
          </w:p>
        </w:tc>
        <w:tc>
          <w:tcPr>
            <w:tcW w:type="dxa" w:w="4167"/>
          </w:tcPr>
          <w:p>
            <w:r/>
            <w:r>
              <w:rPr>
                <w:sz w:val="16"/>
              </w:rPr>
              <w:t>TSN "contraindicada" tras IAM o ictus; estudio observacional presentado como comparativo</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MET-14</w:t>
            </w:r>
          </w:p>
        </w:tc>
        <w:tc>
          <w:tcPr>
            <w:tcW w:type="dxa" w:w="663"/>
          </w:tcPr>
          <w:p>
            <w:r/>
            <w:r>
              <w:rPr>
                <w:sz w:val="16"/>
              </w:rPr>
              <w:t>T16</w:t>
            </w:r>
          </w:p>
        </w:tc>
        <w:tc>
          <w:tcPr>
            <w:tcW w:type="dxa" w:w="1134"/>
          </w:tcPr>
          <w:p>
            <w:r/>
            <w:r>
              <w:rPr>
                <w:sz w:val="16"/>
              </w:rPr>
              <w:t>66, 197</w:t>
            </w:r>
          </w:p>
        </w:tc>
        <w:tc>
          <w:tcPr>
            <w:tcW w:type="dxa" w:w="4167"/>
          </w:tcPr>
          <w:p>
            <w:r/>
            <w:r>
              <w:rPr>
                <w:sz w:val="16"/>
              </w:rPr>
              <w:t>Fig 3.5: basada en la guía estadounidense del año 2000 y con contenido que esa guía no contiene</w:t>
            </w:r>
          </w:p>
        </w:tc>
        <w:tc>
          <w:tcPr>
            <w:tcW w:type="dxa" w:w="765"/>
          </w:tcPr>
          <w:p>
            <w:r/>
            <w:r>
              <w:rPr>
                <w:sz w:val="16"/>
              </w:rPr>
              <w:t>—</w:t>
            </w:r>
          </w:p>
        </w:tc>
        <w:tc>
          <w:tcPr>
            <w:tcW w:type="dxa" w:w="663"/>
          </w:tcPr>
          <w:p>
            <w:r/>
            <w:r>
              <w:rPr>
                <w:sz w:val="16"/>
              </w:rPr>
              <w:t>✖</w:t>
            </w:r>
          </w:p>
        </w:tc>
        <w:tc>
          <w:tcPr>
            <w:tcW w:type="dxa" w:w="1276"/>
          </w:tcPr>
          <w:p>
            <w:r/>
            <w:r>
              <w:rPr>
                <w:sz w:val="16"/>
              </w:rPr>
              <w:t>Confirmado</w:t>
            </w:r>
          </w:p>
        </w:tc>
      </w:tr>
      <w:tr>
        <w:tc>
          <w:tcPr>
            <w:tcW w:type="dxa" w:w="969"/>
          </w:tcPr>
          <w:p>
            <w:r/>
            <w:r>
              <w:rPr>
                <w:sz w:val="16"/>
              </w:rPr>
              <w:t>EQ-19</w:t>
            </w:r>
          </w:p>
        </w:tc>
        <w:tc>
          <w:tcPr>
            <w:tcW w:type="dxa" w:w="663"/>
          </w:tcPr>
          <w:p>
            <w:r/>
            <w:r>
              <w:rPr>
                <w:sz w:val="16"/>
              </w:rPr>
              <w:t>T17</w:t>
            </w:r>
          </w:p>
        </w:tc>
        <w:tc>
          <w:tcPr>
            <w:tcW w:type="dxa" w:w="1134"/>
          </w:tcPr>
          <w:p>
            <w:r/>
            <w:r>
              <w:rPr>
                <w:sz w:val="16"/>
              </w:rPr>
              <w:t>68</w:t>
            </w:r>
          </w:p>
        </w:tc>
        <w:tc>
          <w:tcPr>
            <w:tcW w:type="dxa" w:w="4167"/>
          </w:tcPr>
          <w:p>
            <w:r/>
            <w:r>
              <w:rPr>
                <w:sz w:val="16"/>
              </w:rPr>
              <w:t>Vacunación: recomendaciones centradas en EE. UU. (CDC/FDA), sin alternativas cuando PCV20/PCV21 o la vacuna frente al VRS no están disponibles</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FARM-01</w:t>
            </w:r>
          </w:p>
        </w:tc>
        <w:tc>
          <w:tcPr>
            <w:tcW w:type="dxa" w:w="663"/>
          </w:tcPr>
          <w:p>
            <w:r/>
            <w:r>
              <w:rPr>
                <w:sz w:val="16"/>
              </w:rPr>
              <w:t>T17</w:t>
            </w:r>
          </w:p>
        </w:tc>
        <w:tc>
          <w:tcPr>
            <w:tcW w:type="dxa" w:w="1134"/>
          </w:tcPr>
          <w:p>
            <w:r/>
            <w:r>
              <w:rPr>
                <w:sz w:val="16"/>
              </w:rPr>
              <w:t>69, 70, 121</w:t>
            </w:r>
          </w:p>
        </w:tc>
        <w:tc>
          <w:tcPr>
            <w:tcW w:type="dxa" w:w="4167"/>
          </w:tcPr>
          <w:p>
            <w:r/>
            <w:r>
              <w:rPr>
                <w:sz w:val="16"/>
              </w:rPr>
              <w:t>VRS: la Fig 3.6 amplía la indicación respecto al texto y al ACIP, con nivel de evidencia y seguridad mal representados</w:t>
            </w:r>
          </w:p>
        </w:tc>
        <w:tc>
          <w:tcPr>
            <w:tcW w:type="dxa" w:w="765"/>
          </w:tcPr>
          <w:p>
            <w:r/>
            <w:r>
              <w:rPr>
                <w:sz w:val="16"/>
              </w:rPr>
              <w:t>5</w:t>
            </w:r>
          </w:p>
        </w:tc>
        <w:tc>
          <w:tcPr>
            <w:tcW w:type="dxa" w:w="663"/>
          </w:tcPr>
          <w:p>
            <w:r/>
            <w:r>
              <w:rPr>
                <w:sz w:val="16"/>
              </w:rPr>
              <w:t>≈</w:t>
            </w:r>
          </w:p>
        </w:tc>
        <w:tc>
          <w:tcPr>
            <w:tcW w:type="dxa" w:w="1276"/>
          </w:tcPr>
          <w:p>
            <w:r/>
            <w:r>
              <w:rPr>
                <w:sz w:val="16"/>
              </w:rPr>
              <w:t>Parcial</w:t>
            </w:r>
          </w:p>
        </w:tc>
      </w:tr>
      <w:tr>
        <w:tc>
          <w:tcPr>
            <w:tcW w:type="dxa" w:w="969"/>
          </w:tcPr>
          <w:p>
            <w:r/>
            <w:r>
              <w:rPr>
                <w:sz w:val="16"/>
              </w:rPr>
              <w:t>FARM-03</w:t>
            </w:r>
          </w:p>
        </w:tc>
        <w:tc>
          <w:tcPr>
            <w:tcW w:type="dxa" w:w="663"/>
          </w:tcPr>
          <w:p>
            <w:r/>
            <w:r>
              <w:rPr>
                <w:sz w:val="16"/>
              </w:rPr>
              <w:t>T17</w:t>
            </w:r>
          </w:p>
        </w:tc>
        <w:tc>
          <w:tcPr>
            <w:tcW w:type="dxa" w:w="1134"/>
          </w:tcPr>
          <w:p>
            <w:r/>
            <w:r>
              <w:rPr>
                <w:sz w:val="16"/>
              </w:rPr>
              <w:t>68, 69</w:t>
            </w:r>
          </w:p>
        </w:tc>
        <w:tc>
          <w:tcPr>
            <w:tcW w:type="dxa" w:w="4167"/>
          </w:tcPr>
          <w:p>
            <w:r/>
            <w:r>
              <w:rPr>
                <w:sz w:val="16"/>
              </w:rPr>
              <w:t xml:space="preserve">Gripe ≥65 años: se omite la recomendación </w:t>
            </w:r>
            <w:r>
              <w:rPr>
                <w:i/>
                <w:sz w:val="16"/>
              </w:rPr>
              <w:t>preferente</w:t>
            </w:r>
            <w:r>
              <w:rPr>
                <w:sz w:val="16"/>
              </w:rPr>
              <w:t xml:space="preserve"> y la vacuna recombinante</w:t>
            </w:r>
          </w:p>
        </w:tc>
        <w:tc>
          <w:tcPr>
            <w:tcW w:type="dxa" w:w="765"/>
          </w:tcPr>
          <w:p>
            <w:r/>
            <w:r>
              <w:rPr>
                <w:sz w:val="16"/>
              </w:rPr>
              <w:t>5</w:t>
            </w:r>
          </w:p>
        </w:tc>
        <w:tc>
          <w:tcPr>
            <w:tcW w:type="dxa" w:w="663"/>
          </w:tcPr>
          <w:p>
            <w:r/>
            <w:r>
              <w:rPr>
                <w:sz w:val="16"/>
              </w:rPr>
              <w:t>✔</w:t>
            </w:r>
          </w:p>
        </w:tc>
        <w:tc>
          <w:tcPr>
            <w:tcW w:type="dxa" w:w="1276"/>
          </w:tcPr>
          <w:p>
            <w:r/>
          </w:p>
        </w:tc>
      </w:tr>
      <w:tr>
        <w:tc>
          <w:tcPr>
            <w:tcW w:type="dxa" w:w="969"/>
          </w:tcPr>
          <w:p>
            <w:r/>
            <w:r>
              <w:rPr>
                <w:sz w:val="16"/>
              </w:rPr>
              <w:t>FARM-04</w:t>
            </w:r>
          </w:p>
        </w:tc>
        <w:tc>
          <w:tcPr>
            <w:tcW w:type="dxa" w:w="663"/>
          </w:tcPr>
          <w:p>
            <w:r/>
            <w:r>
              <w:rPr>
                <w:sz w:val="16"/>
              </w:rPr>
              <w:t>T17</w:t>
            </w:r>
          </w:p>
        </w:tc>
        <w:tc>
          <w:tcPr>
            <w:tcW w:type="dxa" w:w="1134"/>
          </w:tcPr>
          <w:p>
            <w:r/>
            <w:r>
              <w:rPr>
                <w:sz w:val="16"/>
              </w:rPr>
              <w:t>68</w:t>
            </w:r>
          </w:p>
        </w:tc>
        <w:tc>
          <w:tcPr>
            <w:tcW w:type="dxa" w:w="4167"/>
          </w:tcPr>
          <w:p>
            <w:r/>
            <w:r>
              <w:rPr>
                <w:sz w:val="16"/>
              </w:rPr>
              <w:t>Neumococo: la PCV13 sigue como opción, faltan esquemas para vacunados previos y se presentan cifras sin cautela</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FARM-05</w:t>
            </w:r>
          </w:p>
        </w:tc>
        <w:tc>
          <w:tcPr>
            <w:tcW w:type="dxa" w:w="663"/>
          </w:tcPr>
          <w:p>
            <w:r/>
            <w:r>
              <w:rPr>
                <w:sz w:val="16"/>
              </w:rPr>
              <w:t>T17</w:t>
            </w:r>
          </w:p>
        </w:tc>
        <w:tc>
          <w:tcPr>
            <w:tcW w:type="dxa" w:w="1134"/>
          </w:tcPr>
          <w:p>
            <w:r/>
            <w:r>
              <w:rPr>
                <w:sz w:val="16"/>
              </w:rPr>
              <w:t>61, 69, 70</w:t>
            </w:r>
          </w:p>
        </w:tc>
        <w:tc>
          <w:tcPr>
            <w:tcW w:type="dxa" w:w="4167"/>
          </w:tcPr>
          <w:p>
            <w:r/>
            <w:r>
              <w:rPr>
                <w:sz w:val="16"/>
              </w:rPr>
              <w:t>COVID-19: eficacia frente a infección sobrevalorada, referencia errónea y desfase con las recomendaciones de 2025</w:t>
            </w:r>
          </w:p>
        </w:tc>
        <w:tc>
          <w:tcPr>
            <w:tcW w:type="dxa" w:w="765"/>
          </w:tcPr>
          <w:p>
            <w:r/>
            <w:r>
              <w:rPr>
                <w:sz w:val="16"/>
              </w:rPr>
              <w:t>5</w:t>
            </w:r>
          </w:p>
        </w:tc>
        <w:tc>
          <w:tcPr>
            <w:tcW w:type="dxa" w:w="663"/>
          </w:tcPr>
          <w:p>
            <w:r/>
            <w:r>
              <w:rPr>
                <w:sz w:val="16"/>
              </w:rPr>
              <w:t>✔</w:t>
            </w:r>
          </w:p>
        </w:tc>
        <w:tc>
          <w:tcPr>
            <w:tcW w:type="dxa" w:w="1276"/>
          </w:tcPr>
          <w:p>
            <w:r/>
          </w:p>
        </w:tc>
      </w:tr>
      <w:tr>
        <w:tc>
          <w:tcPr>
            <w:tcW w:type="dxa" w:w="969"/>
          </w:tcPr>
          <w:p>
            <w:r/>
            <w:r>
              <w:rPr>
                <w:sz w:val="16"/>
              </w:rPr>
              <w:t>FARM-06</w:t>
            </w:r>
          </w:p>
        </w:tc>
        <w:tc>
          <w:tcPr>
            <w:tcW w:type="dxa" w:w="663"/>
          </w:tcPr>
          <w:p>
            <w:r/>
            <w:r>
              <w:rPr>
                <w:sz w:val="16"/>
              </w:rPr>
              <w:t>T17</w:t>
            </w:r>
          </w:p>
        </w:tc>
        <w:tc>
          <w:tcPr>
            <w:tcW w:type="dxa" w:w="1134"/>
          </w:tcPr>
          <w:p>
            <w:r/>
            <w:r>
              <w:rPr>
                <w:sz w:val="16"/>
              </w:rPr>
              <w:t>61, 69, 70</w:t>
            </w:r>
          </w:p>
        </w:tc>
        <w:tc>
          <w:tcPr>
            <w:tcW w:type="dxa" w:w="4167"/>
          </w:tcPr>
          <w:p>
            <w:r/>
            <w:r>
              <w:rPr>
                <w:sz w:val="16"/>
              </w:rPr>
              <w:t>Tdap y herpes zóster: nomenclatura, edades y pautas inexactas</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DX-03</w:t>
            </w:r>
          </w:p>
        </w:tc>
        <w:tc>
          <w:tcPr>
            <w:tcW w:type="dxa" w:w="663"/>
          </w:tcPr>
          <w:p>
            <w:r/>
            <w:r>
              <w:rPr>
                <w:sz w:val="16"/>
              </w:rPr>
              <w:t>T18</w:t>
            </w:r>
          </w:p>
        </w:tc>
        <w:tc>
          <w:tcPr>
            <w:tcW w:type="dxa" w:w="1134"/>
          </w:tcPr>
          <w:p>
            <w:r/>
            <w:r>
              <w:rPr>
                <w:sz w:val="16"/>
              </w:rPr>
              <w:t>18, 25, 32</w:t>
            </w:r>
          </w:p>
        </w:tc>
        <w:tc>
          <w:tcPr>
            <w:tcW w:type="dxa" w:w="4167"/>
          </w:tcPr>
          <w:p>
            <w:r/>
            <w:r>
              <w:rPr>
                <w:sz w:val="16"/>
              </w:rPr>
              <w:t>PRISm y pre-EPOC ausentes del capítulo diagnóstico</w:t>
            </w:r>
          </w:p>
        </w:tc>
        <w:tc>
          <w:tcPr>
            <w:tcW w:type="dxa" w:w="765"/>
          </w:tcPr>
          <w:p>
            <w:r/>
            <w:r>
              <w:rPr>
                <w:sz w:val="16"/>
              </w:rPr>
              <w:t>5</w:t>
            </w:r>
          </w:p>
        </w:tc>
        <w:tc>
          <w:tcPr>
            <w:tcW w:type="dxa" w:w="663"/>
          </w:tcPr>
          <w:p>
            <w:r/>
            <w:r>
              <w:rPr>
                <w:sz w:val="16"/>
              </w:rPr>
              <w:t>✔</w:t>
            </w:r>
          </w:p>
        </w:tc>
        <w:tc>
          <w:tcPr>
            <w:tcW w:type="dxa" w:w="1276"/>
          </w:tcPr>
          <w:p>
            <w:r/>
          </w:p>
        </w:tc>
      </w:tr>
      <w:tr>
        <w:tc>
          <w:tcPr>
            <w:tcW w:type="dxa" w:w="969"/>
          </w:tcPr>
          <w:p>
            <w:r/>
            <w:r>
              <w:rPr>
                <w:sz w:val="16"/>
              </w:rPr>
              <w:t>DX-04</w:t>
            </w:r>
          </w:p>
        </w:tc>
        <w:tc>
          <w:tcPr>
            <w:tcW w:type="dxa" w:w="663"/>
          </w:tcPr>
          <w:p>
            <w:r/>
            <w:r>
              <w:rPr>
                <w:sz w:val="16"/>
              </w:rPr>
              <w:t>T18</w:t>
            </w:r>
          </w:p>
        </w:tc>
        <w:tc>
          <w:tcPr>
            <w:tcW w:type="dxa" w:w="1134"/>
          </w:tcPr>
          <w:p>
            <w:r/>
            <w:r>
              <w:rPr>
                <w:sz w:val="16"/>
              </w:rPr>
              <w:t>41</w:t>
            </w:r>
          </w:p>
        </w:tc>
        <w:tc>
          <w:tcPr>
            <w:tcW w:type="dxa" w:w="4167"/>
          </w:tcPr>
          <w:p>
            <w:r/>
            <w:r>
              <w:rPr>
                <w:sz w:val="16"/>
              </w:rPr>
              <w:t>Cociente fijo frente a LLN: afirmación de «no hay estudios longitudinales» contradicha por las propias citas</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DX-05</w:t>
            </w:r>
          </w:p>
        </w:tc>
        <w:tc>
          <w:tcPr>
            <w:tcW w:type="dxa" w:w="663"/>
          </w:tcPr>
          <w:p>
            <w:r/>
            <w:r>
              <w:rPr>
                <w:sz w:val="16"/>
              </w:rPr>
              <w:t>T18</w:t>
            </w:r>
          </w:p>
        </w:tc>
        <w:tc>
          <w:tcPr>
            <w:tcW w:type="dxa" w:w="1134"/>
          </w:tcPr>
          <w:p>
            <w:r/>
            <w:r>
              <w:rPr>
                <w:sz w:val="16"/>
              </w:rPr>
              <w:t>42, 49, 54, 57, 74, 166</w:t>
            </w:r>
          </w:p>
        </w:tc>
        <w:tc>
          <w:tcPr>
            <w:tcW w:type="dxa" w:w="4167"/>
          </w:tcPr>
          <w:p>
            <w:r/>
            <w:r>
              <w:rPr>
                <w:sz w:val="16"/>
              </w:rPr>
              <w:t>GLI-Global adoptada pero con gravedad por %pred: consecuencias no analizadas sobre umbrales terapéuticos y figuras</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DX-07</w:t>
            </w:r>
          </w:p>
        </w:tc>
        <w:tc>
          <w:tcPr>
            <w:tcW w:type="dxa" w:w="663"/>
          </w:tcPr>
          <w:p>
            <w:r/>
            <w:r>
              <w:rPr>
                <w:sz w:val="16"/>
              </w:rPr>
              <w:t>T18</w:t>
            </w:r>
          </w:p>
        </w:tc>
        <w:tc>
          <w:tcPr>
            <w:tcW w:type="dxa" w:w="1134"/>
          </w:tcPr>
          <w:p>
            <w:r/>
            <w:r>
              <w:rPr>
                <w:sz w:val="16"/>
              </w:rPr>
              <w:t>42</w:t>
            </w:r>
          </w:p>
        </w:tc>
        <w:tc>
          <w:tcPr>
            <w:tcW w:type="dxa" w:w="4167"/>
          </w:tcPr>
          <w:p>
            <w:r/>
            <w:r>
              <w:rPr>
                <w:sz w:val="16"/>
              </w:rPr>
              <w:t>Espirometría «solo urgente o esencial» durante epidemias víricas: recomendación vaga, basada en documentos de la era COVID y con riesgo de infradiagnóstico</w:t>
            </w:r>
          </w:p>
        </w:tc>
        <w:tc>
          <w:tcPr>
            <w:tcW w:type="dxa" w:w="765"/>
          </w:tcPr>
          <w:p>
            <w:r/>
            <w:r>
              <w:rPr>
                <w:sz w:val="16"/>
              </w:rPr>
              <w:t>3</w:t>
            </w:r>
          </w:p>
        </w:tc>
        <w:tc>
          <w:tcPr>
            <w:tcW w:type="dxa" w:w="663"/>
          </w:tcPr>
          <w:p>
            <w:r/>
            <w:r>
              <w:rPr>
                <w:sz w:val="16"/>
              </w:rPr>
              <w:t>✔</w:t>
            </w:r>
          </w:p>
        </w:tc>
        <w:tc>
          <w:tcPr>
            <w:tcW w:type="dxa" w:w="1276"/>
          </w:tcPr>
          <w:p>
            <w:r/>
          </w:p>
        </w:tc>
      </w:tr>
      <w:tr>
        <w:tc>
          <w:tcPr>
            <w:tcW w:type="dxa" w:w="969"/>
          </w:tcPr>
          <w:p>
            <w:r/>
            <w:r>
              <w:rPr>
                <w:sz w:val="16"/>
              </w:rPr>
              <w:t>DX-08</w:t>
            </w:r>
          </w:p>
        </w:tc>
        <w:tc>
          <w:tcPr>
            <w:tcW w:type="dxa" w:w="663"/>
          </w:tcPr>
          <w:p>
            <w:r/>
            <w:r>
              <w:rPr>
                <w:sz w:val="16"/>
              </w:rPr>
              <w:t>T18</w:t>
            </w:r>
          </w:p>
        </w:tc>
        <w:tc>
          <w:tcPr>
            <w:tcW w:type="dxa" w:w="1134"/>
          </w:tcPr>
          <w:p>
            <w:r/>
            <w:r>
              <w:rPr>
                <w:sz w:val="16"/>
              </w:rPr>
              <w:t>43</w:t>
            </w:r>
          </w:p>
        </w:tc>
        <w:tc>
          <w:tcPr>
            <w:tcW w:type="dxa" w:w="4167"/>
          </w:tcPr>
          <w:p>
            <w:r/>
            <w:r>
              <w:rPr>
                <w:sz w:val="16"/>
              </w:rPr>
              <w:t>Estudio danés de EPOC no diagnosticada: referencia errónea y HR atribuidos a la población equivocada</w:t>
            </w:r>
          </w:p>
        </w:tc>
        <w:tc>
          <w:tcPr>
            <w:tcW w:type="dxa" w:w="765"/>
          </w:tcPr>
          <w:p>
            <w:r/>
            <w:r>
              <w:rPr>
                <w:sz w:val="16"/>
              </w:rPr>
              <w:t>5</w:t>
            </w:r>
          </w:p>
        </w:tc>
        <w:tc>
          <w:tcPr>
            <w:tcW w:type="dxa" w:w="663"/>
          </w:tcPr>
          <w:p>
            <w:r/>
            <w:r>
              <w:rPr>
                <w:sz w:val="16"/>
              </w:rPr>
              <w:t>✔</w:t>
            </w:r>
          </w:p>
        </w:tc>
        <w:tc>
          <w:tcPr>
            <w:tcW w:type="dxa" w:w="1276"/>
          </w:tcPr>
          <w:p>
            <w:r/>
          </w:p>
        </w:tc>
      </w:tr>
      <w:tr>
        <w:tc>
          <w:tcPr>
            <w:tcW w:type="dxa" w:w="969"/>
          </w:tcPr>
          <w:p>
            <w:r/>
            <w:r>
              <w:rPr>
                <w:sz w:val="16"/>
              </w:rPr>
              <w:t>DX-09</w:t>
            </w:r>
          </w:p>
        </w:tc>
        <w:tc>
          <w:tcPr>
            <w:tcW w:type="dxa" w:w="663"/>
          </w:tcPr>
          <w:p>
            <w:r/>
            <w:r>
              <w:rPr>
                <w:sz w:val="16"/>
              </w:rPr>
              <w:t>T18</w:t>
            </w:r>
          </w:p>
        </w:tc>
        <w:tc>
          <w:tcPr>
            <w:tcW w:type="dxa" w:w="1134"/>
          </w:tcPr>
          <w:p>
            <w:r/>
            <w:r>
              <w:rPr>
                <w:sz w:val="16"/>
              </w:rPr>
              <w:t>47, 57</w:t>
            </w:r>
          </w:p>
        </w:tc>
        <w:tc>
          <w:tcPr>
            <w:tcW w:type="dxa" w:w="4167"/>
          </w:tcPr>
          <w:p>
            <w:r/>
            <w:r>
              <w:rPr>
                <w:sz w:val="16"/>
              </w:rPr>
              <w:t>Otras referencias mal asignadas en la sección de búsqueda de casos y TC</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DX-11</w:t>
            </w:r>
          </w:p>
        </w:tc>
        <w:tc>
          <w:tcPr>
            <w:tcW w:type="dxa" w:w="663"/>
          </w:tcPr>
          <w:p>
            <w:r/>
            <w:r>
              <w:rPr>
                <w:sz w:val="16"/>
              </w:rPr>
              <w:t>T18</w:t>
            </w:r>
          </w:p>
        </w:tc>
        <w:tc>
          <w:tcPr>
            <w:tcW w:type="dxa" w:w="1134"/>
          </w:tcPr>
          <w:p>
            <w:r/>
            <w:r>
              <w:rPr>
                <w:sz w:val="16"/>
              </w:rPr>
              <w:t>45, 46, 47</w:t>
            </w:r>
          </w:p>
        </w:tc>
        <w:tc>
          <w:tcPr>
            <w:tcW w:type="dxa" w:w="4167"/>
          </w:tcPr>
          <w:p>
            <w:r/>
            <w:r>
              <w:rPr>
                <w:sz w:val="16"/>
              </w:rPr>
              <w:t>UCAP y el algoritmo de la Fig. 2.9: beneficio sobredimensionado y algoritmo no validado</w:t>
            </w:r>
          </w:p>
        </w:tc>
        <w:tc>
          <w:tcPr>
            <w:tcW w:type="dxa" w:w="765"/>
          </w:tcPr>
          <w:p>
            <w:r/>
            <w:r>
              <w:rPr>
                <w:sz w:val="16"/>
              </w:rPr>
              <w:t>5</w:t>
            </w:r>
          </w:p>
        </w:tc>
        <w:tc>
          <w:tcPr>
            <w:tcW w:type="dxa" w:w="663"/>
          </w:tcPr>
          <w:p>
            <w:r/>
            <w:r>
              <w:rPr>
                <w:sz w:val="16"/>
              </w:rPr>
              <w:t>✔</w:t>
            </w:r>
          </w:p>
        </w:tc>
        <w:tc>
          <w:tcPr>
            <w:tcW w:type="dxa" w:w="1276"/>
          </w:tcPr>
          <w:p>
            <w:r/>
          </w:p>
        </w:tc>
      </w:tr>
      <w:tr>
        <w:tc>
          <w:tcPr>
            <w:tcW w:type="dxa" w:w="969"/>
          </w:tcPr>
          <w:p>
            <w:r/>
            <w:r>
              <w:rPr>
                <w:sz w:val="16"/>
              </w:rPr>
              <w:t>DX-12</w:t>
            </w:r>
          </w:p>
        </w:tc>
        <w:tc>
          <w:tcPr>
            <w:tcW w:type="dxa" w:w="663"/>
          </w:tcPr>
          <w:p>
            <w:r/>
            <w:r>
              <w:rPr>
                <w:sz w:val="16"/>
              </w:rPr>
              <w:t>T18</w:t>
            </w:r>
          </w:p>
        </w:tc>
        <w:tc>
          <w:tcPr>
            <w:tcW w:type="dxa" w:w="1134"/>
          </w:tcPr>
          <w:p>
            <w:r/>
            <w:r>
              <w:rPr>
                <w:sz w:val="16"/>
              </w:rPr>
              <w:t>37, 45, 46</w:t>
            </w:r>
          </w:p>
        </w:tc>
        <w:tc>
          <w:tcPr>
            <w:tcW w:type="dxa" w:w="4167"/>
          </w:tcPr>
          <w:p>
            <w:r/>
            <w:r>
              <w:rPr>
                <w:sz w:val="16"/>
              </w:rPr>
              <w:t>Fig. 2.9: discordancias con el texto (ámbito de la espirometría, edad, paquetes-año, terminología)</w:t>
            </w:r>
          </w:p>
        </w:tc>
        <w:tc>
          <w:tcPr>
            <w:tcW w:type="dxa" w:w="765"/>
          </w:tcPr>
          <w:p>
            <w:r/>
            <w:r>
              <w:rPr>
                <w:sz w:val="16"/>
              </w:rPr>
              <w:t>4</w:t>
            </w:r>
          </w:p>
        </w:tc>
        <w:tc>
          <w:tcPr>
            <w:tcW w:type="dxa" w:w="663"/>
          </w:tcPr>
          <w:p>
            <w:r/>
            <w:r>
              <w:rPr>
                <w:sz w:val="16"/>
              </w:rPr>
              <w:t>✖</w:t>
            </w:r>
          </w:p>
        </w:tc>
        <w:tc>
          <w:tcPr>
            <w:tcW w:type="dxa" w:w="1276"/>
          </w:tcPr>
          <w:p>
            <w:r/>
            <w:r>
              <w:rPr>
                <w:sz w:val="16"/>
              </w:rPr>
              <w:t>Confirmado</w:t>
            </w:r>
          </w:p>
        </w:tc>
      </w:tr>
      <w:tr>
        <w:tc>
          <w:tcPr>
            <w:tcW w:type="dxa" w:w="969"/>
          </w:tcPr>
          <w:p>
            <w:r/>
            <w:r>
              <w:rPr>
                <w:sz w:val="16"/>
              </w:rPr>
              <w:t>DX-18</w:t>
            </w:r>
          </w:p>
        </w:tc>
        <w:tc>
          <w:tcPr>
            <w:tcW w:type="dxa" w:w="663"/>
          </w:tcPr>
          <w:p>
            <w:r/>
            <w:r>
              <w:rPr>
                <w:sz w:val="16"/>
              </w:rPr>
              <w:t>T18</w:t>
            </w:r>
          </w:p>
        </w:tc>
        <w:tc>
          <w:tcPr>
            <w:tcW w:type="dxa" w:w="1134"/>
          </w:tcPr>
          <w:p>
            <w:r/>
            <w:r>
              <w:rPr>
                <w:sz w:val="16"/>
              </w:rPr>
              <w:t>56</w:t>
            </w:r>
          </w:p>
        </w:tc>
        <w:tc>
          <w:tcPr>
            <w:tcW w:type="dxa" w:w="4167"/>
          </w:tcPr>
          <w:p>
            <w:r/>
            <w:r>
              <w:rPr>
                <w:sz w:val="16"/>
              </w:rPr>
              <w:t>Volúmenes pulmonares: confusión entre hiperinsuflación estática y dinámica</w:t>
            </w:r>
          </w:p>
        </w:tc>
        <w:tc>
          <w:tcPr>
            <w:tcW w:type="dxa" w:w="765"/>
          </w:tcPr>
          <w:p>
            <w:r/>
            <w:r>
              <w:rPr>
                <w:sz w:val="16"/>
              </w:rPr>
              <w:t>5</w:t>
            </w:r>
          </w:p>
        </w:tc>
        <w:tc>
          <w:tcPr>
            <w:tcW w:type="dxa" w:w="663"/>
          </w:tcPr>
          <w:p>
            <w:r/>
            <w:r>
              <w:rPr>
                <w:sz w:val="16"/>
              </w:rPr>
              <w:t>✔</w:t>
            </w:r>
          </w:p>
        </w:tc>
        <w:tc>
          <w:tcPr>
            <w:tcW w:type="dxa" w:w="1276"/>
          </w:tcPr>
          <w:p>
            <w:r/>
          </w:p>
        </w:tc>
      </w:tr>
      <w:tr>
        <w:tc>
          <w:tcPr>
            <w:tcW w:type="dxa" w:w="969"/>
          </w:tcPr>
          <w:p>
            <w:r/>
            <w:r>
              <w:rPr>
                <w:sz w:val="16"/>
              </w:rPr>
              <w:t>DX-20</w:t>
            </w:r>
          </w:p>
        </w:tc>
        <w:tc>
          <w:tcPr>
            <w:tcW w:type="dxa" w:w="663"/>
          </w:tcPr>
          <w:p>
            <w:r/>
            <w:r>
              <w:rPr>
                <w:sz w:val="16"/>
              </w:rPr>
              <w:t>T18</w:t>
            </w:r>
          </w:p>
        </w:tc>
        <w:tc>
          <w:tcPr>
            <w:tcW w:type="dxa" w:w="1134"/>
          </w:tcPr>
          <w:p>
            <w:r/>
            <w:r>
              <w:rPr>
                <w:sz w:val="16"/>
              </w:rPr>
              <w:t>55, 74</w:t>
            </w:r>
          </w:p>
        </w:tc>
        <w:tc>
          <w:tcPr>
            <w:tcW w:type="dxa" w:w="4167"/>
          </w:tcPr>
          <w:p>
            <w:r/>
            <w:r>
              <w:rPr>
                <w:sz w:val="16"/>
              </w:rPr>
              <w:t>Monitorización: sin definición operativa de «declive rápido» y frecuencia ambigua</w:t>
            </w:r>
          </w:p>
        </w:tc>
        <w:tc>
          <w:tcPr>
            <w:tcW w:type="dxa" w:w="765"/>
          </w:tcPr>
          <w:p>
            <w:r/>
            <w:r>
              <w:rPr>
                <w:sz w:val="16"/>
              </w:rPr>
              <w:t>3</w:t>
            </w:r>
          </w:p>
        </w:tc>
        <w:tc>
          <w:tcPr>
            <w:tcW w:type="dxa" w:w="663"/>
          </w:tcPr>
          <w:p>
            <w:r/>
            <w:r>
              <w:rPr>
                <w:sz w:val="16"/>
              </w:rPr>
              <w:t>✔</w:t>
            </w:r>
          </w:p>
        </w:tc>
        <w:tc>
          <w:tcPr>
            <w:tcW w:type="dxa" w:w="1276"/>
          </w:tcPr>
          <w:p>
            <w:r/>
          </w:p>
        </w:tc>
      </w:tr>
      <w:tr>
        <w:tc>
          <w:tcPr>
            <w:tcW w:type="dxa" w:w="969"/>
          </w:tcPr>
          <w:p>
            <w:r/>
            <w:r>
              <w:rPr>
                <w:sz w:val="16"/>
              </w:rPr>
              <w:t>DX-22</w:t>
            </w:r>
          </w:p>
        </w:tc>
        <w:tc>
          <w:tcPr>
            <w:tcW w:type="dxa" w:w="663"/>
          </w:tcPr>
          <w:p>
            <w:r/>
            <w:r>
              <w:rPr>
                <w:sz w:val="16"/>
              </w:rPr>
              <w:t>T18</w:t>
            </w:r>
          </w:p>
        </w:tc>
        <w:tc>
          <w:tcPr>
            <w:tcW w:type="dxa" w:w="1134"/>
          </w:tcPr>
          <w:p>
            <w:r/>
            <w:r>
              <w:rPr>
                <w:sz w:val="16"/>
              </w:rPr>
              <w:t>58</w:t>
            </w:r>
          </w:p>
        </w:tc>
        <w:tc>
          <w:tcPr>
            <w:tcW w:type="dxa" w:w="4167"/>
          </w:tcPr>
          <w:p>
            <w:r/>
            <w:r>
              <w:rPr>
                <w:sz w:val="16"/>
              </w:rPr>
              <w:t>Anomalías pulmonares intersticiales (ILA) y bronquiectasias: cifras mezcladas y ausencia de pautas de seguimiento</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EPI-03</w:t>
            </w:r>
          </w:p>
        </w:tc>
        <w:tc>
          <w:tcPr>
            <w:tcW w:type="dxa" w:w="663"/>
          </w:tcPr>
          <w:p>
            <w:r/>
            <w:r>
              <w:rPr>
                <w:sz w:val="16"/>
              </w:rPr>
              <w:t>T18</w:t>
            </w:r>
          </w:p>
        </w:tc>
        <w:tc>
          <w:tcPr>
            <w:tcW w:type="dxa" w:w="1134"/>
          </w:tcPr>
          <w:p>
            <w:r/>
            <w:r>
              <w:rPr>
                <w:sz w:val="16"/>
              </w:rPr>
              <w:t>18, 30, 37, 44</w:t>
            </w:r>
          </w:p>
        </w:tc>
        <w:tc>
          <w:tcPr>
            <w:tcW w:type="dxa" w:w="4167"/>
          </w:tcPr>
          <w:p>
            <w:r/>
            <w:r>
              <w:rPr>
                <w:sz w:val="16"/>
              </w:rPr>
              <w:t>Las «nuevas oportunidades» del cap. 1 (pre-EPOC, PRISm, etiotipos) no llegan al cap. 2</w:t>
            </w:r>
          </w:p>
        </w:tc>
        <w:tc>
          <w:tcPr>
            <w:tcW w:type="dxa" w:w="765"/>
          </w:tcPr>
          <w:p>
            <w:r/>
            <w:r>
              <w:rPr>
                <w:sz w:val="16"/>
              </w:rPr>
              <w:t>5</w:t>
            </w:r>
          </w:p>
        </w:tc>
        <w:tc>
          <w:tcPr>
            <w:tcW w:type="dxa" w:w="663"/>
          </w:tcPr>
          <w:p>
            <w:r/>
            <w:r>
              <w:rPr>
                <w:sz w:val="16"/>
              </w:rPr>
              <w:t>✔</w:t>
            </w:r>
          </w:p>
        </w:tc>
        <w:tc>
          <w:tcPr>
            <w:tcW w:type="dxa" w:w="1276"/>
          </w:tcPr>
          <w:p>
            <w:r/>
          </w:p>
        </w:tc>
      </w:tr>
      <w:tr>
        <w:tc>
          <w:tcPr>
            <w:tcW w:type="dxa" w:w="969"/>
          </w:tcPr>
          <w:p>
            <w:r/>
            <w:r>
              <w:rPr>
                <w:sz w:val="16"/>
              </w:rPr>
              <w:t>EPI-17</w:t>
            </w:r>
          </w:p>
        </w:tc>
        <w:tc>
          <w:tcPr>
            <w:tcW w:type="dxa" w:w="663"/>
          </w:tcPr>
          <w:p>
            <w:r/>
            <w:r>
              <w:rPr>
                <w:sz w:val="16"/>
              </w:rPr>
              <w:t>T18</w:t>
            </w:r>
          </w:p>
        </w:tc>
        <w:tc>
          <w:tcPr>
            <w:tcW w:type="dxa" w:w="1134"/>
          </w:tcPr>
          <w:p>
            <w:r/>
            <w:r>
              <w:rPr>
                <w:sz w:val="16"/>
              </w:rPr>
              <w:t>30</w:t>
            </w:r>
          </w:p>
        </w:tc>
        <w:tc>
          <w:tcPr>
            <w:tcW w:type="dxa" w:w="4167"/>
          </w:tcPr>
          <w:p>
            <w:r/>
            <w:r>
              <w:rPr>
                <w:sz w:val="16"/>
              </w:rPr>
              <w:t>Figure 1.3 (taxonomía): soporte textual insuficiente, categorías solapadas y fuente inconsistente</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EQ-12</w:t>
            </w:r>
          </w:p>
        </w:tc>
        <w:tc>
          <w:tcPr>
            <w:tcW w:type="dxa" w:w="663"/>
          </w:tcPr>
          <w:p>
            <w:r/>
            <w:r>
              <w:rPr>
                <w:sz w:val="16"/>
              </w:rPr>
              <w:t>T18</w:t>
            </w:r>
          </w:p>
        </w:tc>
        <w:tc>
          <w:tcPr>
            <w:tcW w:type="dxa" w:w="1134"/>
          </w:tcPr>
          <w:p>
            <w:r/>
            <w:r>
              <w:rPr>
                <w:sz w:val="16"/>
              </w:rPr>
              <w:t>42</w:t>
            </w:r>
          </w:p>
        </w:tc>
        <w:tc>
          <w:tcPr>
            <w:tcW w:type="dxa" w:w="4167"/>
          </w:tcPr>
          <w:p>
            <w:r/>
            <w:r>
              <w:rPr>
                <w:sz w:val="16"/>
              </w:rPr>
              <w:t>GLI-Global: falta analizar su impacto en LMIC y las implicaciones para los umbrales terapéuticos</w:t>
            </w:r>
          </w:p>
        </w:tc>
        <w:tc>
          <w:tcPr>
            <w:tcW w:type="dxa" w:w="765"/>
          </w:tcPr>
          <w:p>
            <w:r/>
            <w:r>
              <w:rPr>
                <w:sz w:val="16"/>
              </w:rPr>
              <w:t>3</w:t>
            </w:r>
          </w:p>
        </w:tc>
        <w:tc>
          <w:tcPr>
            <w:tcW w:type="dxa" w:w="663"/>
          </w:tcPr>
          <w:p>
            <w:r/>
            <w:r>
              <w:rPr>
                <w:sz w:val="16"/>
              </w:rPr>
              <w:t>✔</w:t>
            </w:r>
          </w:p>
        </w:tc>
        <w:tc>
          <w:tcPr>
            <w:tcW w:type="dxa" w:w="1276"/>
          </w:tcPr>
          <w:p>
            <w:r/>
          </w:p>
        </w:tc>
      </w:tr>
      <w:tr>
        <w:tc>
          <w:tcPr>
            <w:tcW w:type="dxa" w:w="969"/>
          </w:tcPr>
          <w:p>
            <w:r/>
            <w:r>
              <w:rPr>
                <w:sz w:val="16"/>
              </w:rPr>
              <w:t>MET-18</w:t>
            </w:r>
          </w:p>
        </w:tc>
        <w:tc>
          <w:tcPr>
            <w:tcW w:type="dxa" w:w="663"/>
          </w:tcPr>
          <w:p>
            <w:r/>
            <w:r>
              <w:rPr>
                <w:sz w:val="16"/>
              </w:rPr>
              <w:t>T19</w:t>
            </w:r>
          </w:p>
        </w:tc>
        <w:tc>
          <w:tcPr>
            <w:tcW w:type="dxa" w:w="1134"/>
          </w:tcPr>
          <w:p>
            <w:r/>
            <w:r>
              <w:rPr>
                <w:sz w:val="16"/>
              </w:rPr>
              <w:t>89, 133, 205</w:t>
            </w:r>
          </w:p>
        </w:tc>
        <w:tc>
          <w:tcPr>
            <w:tcW w:type="dxa" w:w="4167"/>
          </w:tcPr>
          <w:p>
            <w:r/>
            <w:r>
              <w:rPr>
                <w:sz w:val="16"/>
              </w:rPr>
              <w:t>CPAP en el solapamiento EPOC-AOS: lenguaje causal a partir de estudios observacionales</w:t>
            </w:r>
          </w:p>
        </w:tc>
        <w:tc>
          <w:tcPr>
            <w:tcW w:type="dxa" w:w="765"/>
          </w:tcPr>
          <w:p>
            <w:r/>
            <w:r>
              <w:rPr>
                <w:sz w:val="16"/>
              </w:rPr>
              <w:t>—</w:t>
            </w:r>
          </w:p>
        </w:tc>
        <w:tc>
          <w:tcPr>
            <w:tcW w:type="dxa" w:w="663"/>
          </w:tcPr>
          <w:p>
            <w:r/>
            <w:r>
              <w:rPr>
                <w:sz w:val="16"/>
              </w:rPr>
              <w:t>✔</w:t>
            </w:r>
          </w:p>
        </w:tc>
        <w:tc>
          <w:tcPr>
            <w:tcW w:type="dxa" w:w="1276"/>
          </w:tcPr>
          <w:p>
            <w:r/>
          </w:p>
        </w:tc>
      </w:tr>
      <w:tr>
        <w:tc>
          <w:tcPr>
            <w:tcW w:type="dxa" w:w="969"/>
          </w:tcPr>
          <w:p>
            <w:r/>
            <w:r>
              <w:rPr>
                <w:sz w:val="16"/>
              </w:rPr>
              <w:t>MUL-08</w:t>
            </w:r>
          </w:p>
        </w:tc>
        <w:tc>
          <w:tcPr>
            <w:tcW w:type="dxa" w:w="663"/>
          </w:tcPr>
          <w:p>
            <w:r/>
            <w:r>
              <w:rPr>
                <w:sz w:val="16"/>
              </w:rPr>
              <w:t>T19</w:t>
            </w:r>
          </w:p>
        </w:tc>
        <w:tc>
          <w:tcPr>
            <w:tcW w:type="dxa" w:w="1134"/>
          </w:tcPr>
          <w:p>
            <w:r/>
            <w:r>
              <w:rPr>
                <w:sz w:val="16"/>
              </w:rPr>
              <w:t>129</w:t>
            </w:r>
          </w:p>
        </w:tc>
        <w:tc>
          <w:tcPr>
            <w:tcW w:type="dxa" w:w="4167"/>
          </w:tcPr>
          <w:p>
            <w:r/>
            <w:r>
              <w:rPr>
                <w:sz w:val="16"/>
              </w:rPr>
              <w:t>Enfermedad arterial periférica: abordaje reducido a la cirugía</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MUL-13</w:t>
            </w:r>
          </w:p>
        </w:tc>
        <w:tc>
          <w:tcPr>
            <w:tcW w:type="dxa" w:w="663"/>
          </w:tcPr>
          <w:p>
            <w:r/>
            <w:r>
              <w:rPr>
                <w:sz w:val="16"/>
              </w:rPr>
              <w:t>T19</w:t>
            </w:r>
          </w:p>
        </w:tc>
        <w:tc>
          <w:tcPr>
            <w:tcW w:type="dxa" w:w="1134"/>
          </w:tcPr>
          <w:p>
            <w:r/>
            <w:r>
              <w:rPr>
                <w:sz w:val="16"/>
              </w:rPr>
              <w:t>123, 125</w:t>
            </w:r>
          </w:p>
        </w:tc>
        <w:tc>
          <w:tcPr>
            <w:tcW w:type="dxa" w:w="4167"/>
          </w:tcPr>
          <w:p>
            <w:r/>
            <w:r>
              <w:rPr>
                <w:sz w:val="16"/>
              </w:rPr>
              <w:t>Marco geriátrico: «4Ms» mal atribuidas al IHI, definición atípica de multimorbilidad, fragilidad sin herramienta y polifarmacia sin desprescripción</w:t>
            </w:r>
          </w:p>
        </w:tc>
        <w:tc>
          <w:tcPr>
            <w:tcW w:type="dxa" w:w="765"/>
          </w:tcPr>
          <w:p>
            <w:r/>
            <w:r>
              <w:rPr>
                <w:sz w:val="16"/>
              </w:rPr>
              <w:t>5</w:t>
            </w:r>
          </w:p>
        </w:tc>
        <w:tc>
          <w:tcPr>
            <w:tcW w:type="dxa" w:w="663"/>
          </w:tcPr>
          <w:p>
            <w:r/>
            <w:r>
              <w:rPr>
                <w:sz w:val="16"/>
              </w:rPr>
              <w:t>✔</w:t>
            </w:r>
          </w:p>
        </w:tc>
        <w:tc>
          <w:tcPr>
            <w:tcW w:type="dxa" w:w="1276"/>
          </w:tcPr>
          <w:p>
            <w:r/>
          </w:p>
        </w:tc>
      </w:tr>
      <w:tr>
        <w:tc>
          <w:tcPr>
            <w:tcW w:type="dxa" w:w="969"/>
          </w:tcPr>
          <w:p>
            <w:r/>
            <w:r>
              <w:rPr>
                <w:sz w:val="16"/>
              </w:rPr>
              <w:t>MUL-16</w:t>
            </w:r>
          </w:p>
        </w:tc>
        <w:tc>
          <w:tcPr>
            <w:tcW w:type="dxa" w:w="663"/>
          </w:tcPr>
          <w:p>
            <w:r/>
            <w:r>
              <w:rPr>
                <w:sz w:val="16"/>
              </w:rPr>
              <w:t>T19</w:t>
            </w:r>
          </w:p>
        </w:tc>
        <w:tc>
          <w:tcPr>
            <w:tcW w:type="dxa" w:w="1134"/>
          </w:tcPr>
          <w:p>
            <w:r/>
            <w:r>
              <w:rPr>
                <w:sz w:val="16"/>
              </w:rPr>
              <w:t>134</w:t>
            </w:r>
          </w:p>
        </w:tc>
        <w:tc>
          <w:tcPr>
            <w:tcW w:type="dxa" w:w="4167"/>
          </w:tcPr>
          <w:p>
            <w:r/>
            <w:r>
              <w:rPr>
                <w:sz w:val="16"/>
              </w:rPr>
              <w:t>Deterioro cognitivo: MMSE como primera opción, derivación mal dirigida y ausencia del delirium</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MUL-17</w:t>
            </w:r>
          </w:p>
        </w:tc>
        <w:tc>
          <w:tcPr>
            <w:tcW w:type="dxa" w:w="663"/>
          </w:tcPr>
          <w:p>
            <w:r/>
            <w:r>
              <w:rPr>
                <w:sz w:val="16"/>
              </w:rPr>
              <w:t>T19</w:t>
            </w:r>
          </w:p>
        </w:tc>
        <w:tc>
          <w:tcPr>
            <w:tcW w:type="dxa" w:w="1134"/>
          </w:tcPr>
          <w:p>
            <w:r/>
            <w:r>
              <w:rPr>
                <w:sz w:val="16"/>
              </w:rPr>
              <w:t>134</w:t>
            </w:r>
          </w:p>
        </w:tc>
        <w:tc>
          <w:tcPr>
            <w:tcW w:type="dxa" w:w="4167"/>
          </w:tcPr>
          <w:p>
            <w:r/>
            <w:r>
              <w:rPr>
                <w:sz w:val="16"/>
              </w:rPr>
              <w:t>Diabetes: mensaje ambiguo sobre los corticoides sistémicos e infravaloración de iSGLT2 y AR-GLP-1</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MUL-18</w:t>
            </w:r>
          </w:p>
        </w:tc>
        <w:tc>
          <w:tcPr>
            <w:tcW w:type="dxa" w:w="663"/>
          </w:tcPr>
          <w:p>
            <w:r/>
            <w:r>
              <w:rPr>
                <w:sz w:val="16"/>
              </w:rPr>
              <w:t>T19</w:t>
            </w:r>
          </w:p>
        </w:tc>
        <w:tc>
          <w:tcPr>
            <w:tcW w:type="dxa" w:w="1134"/>
          </w:tcPr>
          <w:p>
            <w:r/>
            <w:r>
              <w:rPr>
                <w:sz w:val="16"/>
              </w:rPr>
              <w:t>135</w:t>
            </w:r>
          </w:p>
        </w:tc>
        <w:tc>
          <w:tcPr>
            <w:tcW w:type="dxa" w:w="4167"/>
          </w:tcPr>
          <w:p>
            <w:r/>
            <w:r>
              <w:rPr>
                <w:sz w:val="16"/>
              </w:rPr>
              <w:t>ERGE: beneficio de los IBP sobredimensionado y sin advertir de sus riesgos ni de la desprescripción</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MUL-19</w:t>
            </w:r>
          </w:p>
        </w:tc>
        <w:tc>
          <w:tcPr>
            <w:tcW w:type="dxa" w:w="663"/>
          </w:tcPr>
          <w:p>
            <w:r/>
            <w:r>
              <w:rPr>
                <w:sz w:val="16"/>
              </w:rPr>
              <w:t>T19</w:t>
            </w:r>
          </w:p>
        </w:tc>
        <w:tc>
          <w:tcPr>
            <w:tcW w:type="dxa" w:w="1134"/>
          </w:tcPr>
          <w:p>
            <w:r/>
            <w:r>
              <w:rPr>
                <w:sz w:val="16"/>
              </w:rPr>
              <w:t>135</w:t>
            </w:r>
          </w:p>
        </w:tc>
        <w:tc>
          <w:tcPr>
            <w:tcW w:type="dxa" w:w="4167"/>
          </w:tcPr>
          <w:p>
            <w:r/>
            <w:r>
              <w:rPr>
                <w:sz w:val="16"/>
              </w:rPr>
              <w:t>Esteatosis hepática: retroceso a NAFLD, diagnóstico sin FIB-4 ni elastografía y semaglutida sin actualizar</w:t>
            </w:r>
          </w:p>
        </w:tc>
        <w:tc>
          <w:tcPr>
            <w:tcW w:type="dxa" w:w="765"/>
          </w:tcPr>
          <w:p>
            <w:r/>
            <w:r>
              <w:rPr>
                <w:sz w:val="16"/>
              </w:rPr>
              <w:t>5</w:t>
            </w:r>
          </w:p>
        </w:tc>
        <w:tc>
          <w:tcPr>
            <w:tcW w:type="dxa" w:w="663"/>
          </w:tcPr>
          <w:p>
            <w:r/>
            <w:r>
              <w:rPr>
                <w:sz w:val="16"/>
              </w:rPr>
              <w:t>✔</w:t>
            </w:r>
          </w:p>
        </w:tc>
        <w:tc>
          <w:tcPr>
            <w:tcW w:type="dxa" w:w="1276"/>
          </w:tcPr>
          <w:p>
            <w:r/>
          </w:p>
        </w:tc>
      </w:tr>
      <w:tr>
        <w:tc>
          <w:tcPr>
            <w:tcW w:type="dxa" w:w="969"/>
          </w:tcPr>
          <w:p>
            <w:r/>
            <w:r>
              <w:rPr>
                <w:sz w:val="16"/>
              </w:rPr>
              <w:t>MUL-20</w:t>
            </w:r>
          </w:p>
        </w:tc>
        <w:tc>
          <w:tcPr>
            <w:tcW w:type="dxa" w:w="663"/>
          </w:tcPr>
          <w:p>
            <w:r/>
            <w:r>
              <w:rPr>
                <w:sz w:val="16"/>
              </w:rPr>
              <w:t>T19</w:t>
            </w:r>
          </w:p>
        </w:tc>
        <w:tc>
          <w:tcPr>
            <w:tcW w:type="dxa" w:w="1134"/>
          </w:tcPr>
          <w:p>
            <w:r/>
            <w:r>
              <w:rPr>
                <w:sz w:val="16"/>
              </w:rPr>
              <w:t>123, 126, 136</w:t>
            </w:r>
          </w:p>
        </w:tc>
        <w:tc>
          <w:tcPr>
            <w:tcW w:type="dxa" w:w="4167"/>
          </w:tcPr>
          <w:p>
            <w:r/>
            <w:r>
              <w:rPr>
                <w:sz w:val="16"/>
              </w:rPr>
              <w:t>MOLT: definición distinta en el punto clave, el texto y la Fig. 5.2, y beneficio no respaldado</w:t>
            </w:r>
          </w:p>
        </w:tc>
        <w:tc>
          <w:tcPr>
            <w:tcW w:type="dxa" w:w="765"/>
          </w:tcPr>
          <w:p>
            <w:r/>
            <w:r>
              <w:rPr>
                <w:sz w:val="16"/>
              </w:rPr>
              <w:t>5</w:t>
            </w:r>
          </w:p>
        </w:tc>
        <w:tc>
          <w:tcPr>
            <w:tcW w:type="dxa" w:w="663"/>
          </w:tcPr>
          <w:p>
            <w:r/>
            <w:r>
              <w:rPr>
                <w:sz w:val="16"/>
              </w:rPr>
              <w:t>✔</w:t>
            </w:r>
          </w:p>
        </w:tc>
        <w:tc>
          <w:tcPr>
            <w:tcW w:type="dxa" w:w="1276"/>
          </w:tcPr>
          <w:p>
            <w:r/>
          </w:p>
        </w:tc>
      </w:tr>
      <w:tr>
        <w:tc>
          <w:tcPr>
            <w:tcW w:type="dxa" w:w="969"/>
          </w:tcPr>
          <w:p>
            <w:r/>
            <w:r>
              <w:rPr>
                <w:sz w:val="16"/>
              </w:rPr>
              <w:t>MUL-21</w:t>
            </w:r>
          </w:p>
        </w:tc>
        <w:tc>
          <w:tcPr>
            <w:tcW w:type="dxa" w:w="663"/>
          </w:tcPr>
          <w:p>
            <w:r/>
            <w:r>
              <w:rPr>
                <w:sz w:val="16"/>
              </w:rPr>
              <w:t>T19</w:t>
            </w:r>
          </w:p>
        </w:tc>
        <w:tc>
          <w:tcPr>
            <w:tcW w:type="dxa" w:w="1134"/>
          </w:tcPr>
          <w:p>
            <w:r/>
            <w:r>
              <w:rPr>
                <w:sz w:val="16"/>
              </w:rPr>
              <w:t>136</w:t>
            </w:r>
          </w:p>
        </w:tc>
        <w:tc>
          <w:tcPr>
            <w:tcW w:type="dxa" w:w="4167"/>
          </w:tcPr>
          <w:p>
            <w:r/>
            <w:r>
              <w:rPr>
                <w:sz w:val="16"/>
              </w:rPr>
              <w:t>Osteoporosis: derivación al especialista en lugar de tratamiento de primera línea; falta la osteoporosis inducida por glucocorticoides</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MUL-22</w:t>
            </w:r>
          </w:p>
        </w:tc>
        <w:tc>
          <w:tcPr>
            <w:tcW w:type="dxa" w:w="663"/>
          </w:tcPr>
          <w:p>
            <w:r/>
            <w:r>
              <w:rPr>
                <w:sz w:val="16"/>
              </w:rPr>
              <w:t>T19</w:t>
            </w:r>
          </w:p>
        </w:tc>
        <w:tc>
          <w:tcPr>
            <w:tcW w:type="dxa" w:w="1134"/>
          </w:tcPr>
          <w:p>
            <w:r/>
            <w:r>
              <w:rPr>
                <w:sz w:val="16"/>
              </w:rPr>
              <w:t>136</w:t>
            </w:r>
          </w:p>
        </w:tc>
        <w:tc>
          <w:tcPr>
            <w:tcW w:type="dxa" w:w="4167"/>
          </w:tcPr>
          <w:p>
            <w:r/>
            <w:r>
              <w:rPr>
                <w:sz w:val="16"/>
              </w:rPr>
              <w:t>Riñón: «renal failure = FG &lt;60» sin seguir KDIGO 2024; faltan cistatina C, cociente albúmina/creatinina e iSGLT2</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MUL-23</w:t>
            </w:r>
          </w:p>
        </w:tc>
        <w:tc>
          <w:tcPr>
            <w:tcW w:type="dxa" w:w="663"/>
          </w:tcPr>
          <w:p>
            <w:r/>
            <w:r>
              <w:rPr>
                <w:sz w:val="16"/>
              </w:rPr>
              <w:t>T19</w:t>
            </w:r>
          </w:p>
        </w:tc>
        <w:tc>
          <w:tcPr>
            <w:tcW w:type="dxa" w:w="1134"/>
          </w:tcPr>
          <w:p>
            <w:r/>
            <w:r>
              <w:rPr>
                <w:sz w:val="16"/>
              </w:rPr>
              <w:t>87, 137</w:t>
            </w:r>
          </w:p>
        </w:tc>
        <w:tc>
          <w:tcPr>
            <w:tcW w:type="dxa" w:w="4167"/>
          </w:tcPr>
          <w:p>
            <w:r/>
            <w:r>
              <w:rPr>
                <w:sz w:val="16"/>
              </w:rPr>
              <w:t>Anemia y policitemia: «andrógenos» como causa de anemia y umbral distinto del de la OCD (cap. 3)</w:t>
            </w:r>
          </w:p>
        </w:tc>
        <w:tc>
          <w:tcPr>
            <w:tcW w:type="dxa" w:w="765"/>
          </w:tcPr>
          <w:p>
            <w:r/>
            <w:r>
              <w:rPr>
                <w:sz w:val="16"/>
              </w:rPr>
              <w:t>5</w:t>
            </w:r>
          </w:p>
        </w:tc>
        <w:tc>
          <w:tcPr>
            <w:tcW w:type="dxa" w:w="663"/>
          </w:tcPr>
          <w:p>
            <w:r/>
            <w:r>
              <w:rPr>
                <w:sz w:val="16"/>
              </w:rPr>
              <w:t>✔</w:t>
            </w:r>
          </w:p>
        </w:tc>
        <w:tc>
          <w:tcPr>
            <w:tcW w:type="dxa" w:w="1276"/>
          </w:tcPr>
          <w:p>
            <w:r/>
          </w:p>
        </w:tc>
      </w:tr>
      <w:tr>
        <w:tc>
          <w:tcPr>
            <w:tcW w:type="dxa" w:w="969"/>
          </w:tcPr>
          <w:p>
            <w:r/>
            <w:r>
              <w:rPr>
                <w:sz w:val="16"/>
              </w:rPr>
              <w:t>MUL-24</w:t>
            </w:r>
          </w:p>
        </w:tc>
        <w:tc>
          <w:tcPr>
            <w:tcW w:type="dxa" w:w="663"/>
          </w:tcPr>
          <w:p>
            <w:r/>
            <w:r>
              <w:rPr>
                <w:sz w:val="16"/>
              </w:rPr>
              <w:t>T19</w:t>
            </w:r>
          </w:p>
        </w:tc>
        <w:tc>
          <w:tcPr>
            <w:tcW w:type="dxa" w:w="1134"/>
          </w:tcPr>
          <w:p>
            <w:r/>
            <w:r>
              <w:rPr>
                <w:sz w:val="16"/>
              </w:rPr>
              <w:t>137</w:t>
            </w:r>
          </w:p>
        </w:tc>
        <w:tc>
          <w:tcPr>
            <w:tcW w:type="dxa" w:w="4167"/>
          </w:tcPr>
          <w:p>
            <w:r/>
            <w:r>
              <w:rPr>
                <w:sz w:val="16"/>
              </w:rPr>
              <w:t>Riesgo quirúrgico: referencias de 2007-2009 y algoritmo de resección pulmonar desactualizado</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NOV-13</w:t>
            </w:r>
          </w:p>
        </w:tc>
        <w:tc>
          <w:tcPr>
            <w:tcW w:type="dxa" w:w="663"/>
          </w:tcPr>
          <w:p>
            <w:r/>
            <w:r>
              <w:rPr>
                <w:sz w:val="16"/>
              </w:rPr>
              <w:t>T19</w:t>
            </w:r>
          </w:p>
        </w:tc>
        <w:tc>
          <w:tcPr>
            <w:tcW w:type="dxa" w:w="1134"/>
          </w:tcPr>
          <w:p>
            <w:r/>
            <w:r>
              <w:rPr>
                <w:sz w:val="16"/>
              </w:rPr>
              <w:t>127, 164</w:t>
            </w:r>
          </w:p>
        </w:tc>
        <w:tc>
          <w:tcPr>
            <w:tcW w:type="dxa" w:w="4167"/>
          </w:tcPr>
          <w:p>
            <w:r/>
            <w:r>
              <w:rPr>
                <w:sz w:val="16"/>
              </w:rPr>
              <w:t>BICS (bisoprolol, JAMA 2024) citado pero no descrito; el mensaje sobre betabloqueantes queda sesgado hacia el daño</w:t>
            </w:r>
          </w:p>
        </w:tc>
        <w:tc>
          <w:tcPr>
            <w:tcW w:type="dxa" w:w="765"/>
          </w:tcPr>
          <w:p>
            <w:r/>
            <w:r>
              <w:rPr>
                <w:sz w:val="16"/>
              </w:rPr>
              <w:t>5</w:t>
            </w:r>
          </w:p>
        </w:tc>
        <w:tc>
          <w:tcPr>
            <w:tcW w:type="dxa" w:w="663"/>
          </w:tcPr>
          <w:p>
            <w:r/>
            <w:r>
              <w:rPr>
                <w:sz w:val="16"/>
              </w:rPr>
              <w:t>✔</w:t>
            </w:r>
          </w:p>
        </w:tc>
        <w:tc>
          <w:tcPr>
            <w:tcW w:type="dxa" w:w="1276"/>
          </w:tcPr>
          <w:p>
            <w:r/>
          </w:p>
        </w:tc>
      </w:tr>
      <w:tr>
        <w:tc>
          <w:tcPr>
            <w:tcW w:type="dxa" w:w="969"/>
          </w:tcPr>
          <w:p>
            <w:r/>
            <w:r>
              <w:rPr>
                <w:sz w:val="16"/>
              </w:rPr>
              <w:t>REH-14</w:t>
            </w:r>
          </w:p>
        </w:tc>
        <w:tc>
          <w:tcPr>
            <w:tcW w:type="dxa" w:w="663"/>
          </w:tcPr>
          <w:p>
            <w:r/>
            <w:r>
              <w:rPr>
                <w:sz w:val="16"/>
              </w:rPr>
              <w:t>T19</w:t>
            </w:r>
          </w:p>
        </w:tc>
        <w:tc>
          <w:tcPr>
            <w:tcW w:type="dxa" w:w="1134"/>
          </w:tcPr>
          <w:p>
            <w:r/>
            <w:r>
              <w:rPr>
                <w:sz w:val="16"/>
              </w:rPr>
              <w:t>89, 133</w:t>
            </w:r>
          </w:p>
        </w:tc>
        <w:tc>
          <w:tcPr>
            <w:tcW w:type="dxa" w:w="4167"/>
          </w:tcPr>
          <w:p>
            <w:r/>
            <w:r>
              <w:rPr>
                <w:sz w:val="16"/>
              </w:rPr>
              <w:t>CPAP en el síndrome de solapamiento EPOC-SAOS: beneficio de supervivencia afirmado como «claro» con evidencia observacional, en un párrafo duplicado</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EQ-22</w:t>
            </w:r>
          </w:p>
        </w:tc>
        <w:tc>
          <w:tcPr>
            <w:tcW w:type="dxa" w:w="663"/>
          </w:tcPr>
          <w:p>
            <w:r/>
            <w:r>
              <w:rPr>
                <w:sz w:val="16"/>
              </w:rPr>
              <w:t>T20</w:t>
            </w:r>
          </w:p>
        </w:tc>
        <w:tc>
          <w:tcPr>
            <w:tcW w:type="dxa" w:w="1134"/>
          </w:tcPr>
          <w:p>
            <w:r/>
            <w:r>
              <w:rPr>
                <w:sz w:val="16"/>
              </w:rPr>
              <w:t>26, 32, 142, 143, 146, 173</w:t>
            </w:r>
          </w:p>
        </w:tc>
        <w:tc>
          <w:tcPr>
            <w:tcW w:type="dxa" w:w="4167"/>
          </w:tcPr>
          <w:p>
            <w:r/>
            <w:r>
              <w:rPr>
                <w:sz w:val="16"/>
              </w:rPr>
              <w:t>Ruralidad y brecha digital: la telesalud se presenta como más asequible sin considerar quién queda excluido</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IA-01</w:t>
            </w:r>
          </w:p>
        </w:tc>
        <w:tc>
          <w:tcPr>
            <w:tcW w:type="dxa" w:w="663"/>
          </w:tcPr>
          <w:p>
            <w:r/>
            <w:r>
              <w:rPr>
                <w:sz w:val="16"/>
              </w:rPr>
              <w:t>T20</w:t>
            </w:r>
          </w:p>
        </w:tc>
        <w:tc>
          <w:tcPr>
            <w:tcW w:type="dxa" w:w="1134"/>
          </w:tcPr>
          <w:p>
            <w:r/>
            <w:r>
              <w:rPr>
                <w:sz w:val="16"/>
              </w:rPr>
              <w:t>146</w:t>
            </w:r>
          </w:p>
        </w:tc>
        <w:tc>
          <w:tcPr>
            <w:tcW w:type="dxa" w:w="4167"/>
          </w:tcPr>
          <w:p>
            <w:r/>
            <w:r>
              <w:rPr>
                <w:sz w:val="16"/>
              </w:rPr>
              <w:t>Revisión Cochrane de telesalud mal referenciada y resultados mal representados</w:t>
            </w:r>
          </w:p>
        </w:tc>
        <w:tc>
          <w:tcPr>
            <w:tcW w:type="dxa" w:w="765"/>
          </w:tcPr>
          <w:p>
            <w:r/>
            <w:r>
              <w:rPr>
                <w:sz w:val="16"/>
              </w:rPr>
              <w:t>5</w:t>
            </w:r>
          </w:p>
        </w:tc>
        <w:tc>
          <w:tcPr>
            <w:tcW w:type="dxa" w:w="663"/>
          </w:tcPr>
          <w:p>
            <w:r/>
            <w:r>
              <w:rPr>
                <w:sz w:val="16"/>
              </w:rPr>
              <w:t>✔</w:t>
            </w:r>
          </w:p>
        </w:tc>
        <w:tc>
          <w:tcPr>
            <w:tcW w:type="dxa" w:w="1276"/>
          </w:tcPr>
          <w:p>
            <w:r/>
            <w:r>
              <w:rPr>
                <w:sz w:val="16"/>
              </w:rPr>
              <w:t>Parcial</w:t>
            </w:r>
          </w:p>
        </w:tc>
      </w:tr>
      <w:tr>
        <w:tc>
          <w:tcPr>
            <w:tcW w:type="dxa" w:w="969"/>
          </w:tcPr>
          <w:p>
            <w:r/>
            <w:r>
              <w:rPr>
                <w:sz w:val="16"/>
              </w:rPr>
              <w:t>IA-06</w:t>
            </w:r>
          </w:p>
        </w:tc>
        <w:tc>
          <w:tcPr>
            <w:tcW w:type="dxa" w:w="663"/>
          </w:tcPr>
          <w:p>
            <w:r/>
            <w:r>
              <w:rPr>
                <w:sz w:val="16"/>
              </w:rPr>
              <w:t>T20</w:t>
            </w:r>
          </w:p>
        </w:tc>
        <w:tc>
          <w:tcPr>
            <w:tcW w:type="dxa" w:w="1134"/>
          </w:tcPr>
          <w:p>
            <w:r/>
            <w:r>
              <w:rPr>
                <w:sz w:val="16"/>
              </w:rPr>
              <w:t>142</w:t>
            </w:r>
          </w:p>
        </w:tc>
        <w:tc>
          <w:tcPr>
            <w:tcW w:type="dxa" w:w="4167"/>
          </w:tcPr>
          <w:p>
            <w:r/>
            <w:r>
              <w:rPr>
                <w:sz w:val="16"/>
              </w:rPr>
              <w:t>"AI based interpretation strategies can reduce misdiagnosis": la evidencia es un estudio de lectores, no de pacientes</w:t>
            </w:r>
          </w:p>
        </w:tc>
        <w:tc>
          <w:tcPr>
            <w:tcW w:type="dxa" w:w="765"/>
          </w:tcPr>
          <w:p>
            <w:r/>
            <w:r>
              <w:rPr>
                <w:sz w:val="16"/>
              </w:rPr>
              <w:t>5</w:t>
            </w:r>
          </w:p>
        </w:tc>
        <w:tc>
          <w:tcPr>
            <w:tcW w:type="dxa" w:w="663"/>
          </w:tcPr>
          <w:p>
            <w:r/>
            <w:r>
              <w:rPr>
                <w:sz w:val="16"/>
              </w:rPr>
              <w:t>✔</w:t>
            </w:r>
          </w:p>
        </w:tc>
        <w:tc>
          <w:tcPr>
            <w:tcW w:type="dxa" w:w="1276"/>
          </w:tcPr>
          <w:p>
            <w:r/>
          </w:p>
        </w:tc>
      </w:tr>
      <w:tr>
        <w:tc>
          <w:tcPr>
            <w:tcW w:type="dxa" w:w="969"/>
          </w:tcPr>
          <w:p>
            <w:r/>
            <w:r>
              <w:rPr>
                <w:sz w:val="16"/>
              </w:rPr>
              <w:t>IA-08</w:t>
            </w:r>
          </w:p>
        </w:tc>
        <w:tc>
          <w:tcPr>
            <w:tcW w:type="dxa" w:w="663"/>
          </w:tcPr>
          <w:p>
            <w:r/>
            <w:r>
              <w:rPr>
                <w:sz w:val="16"/>
              </w:rPr>
              <w:t>T20</w:t>
            </w:r>
          </w:p>
        </w:tc>
        <w:tc>
          <w:tcPr>
            <w:tcW w:type="dxa" w:w="1134"/>
          </w:tcPr>
          <w:p>
            <w:r/>
            <w:r>
              <w:rPr>
                <w:sz w:val="16"/>
              </w:rPr>
              <w:t>144</w:t>
            </w:r>
          </w:p>
        </w:tc>
        <w:tc>
          <w:tcPr>
            <w:tcW w:type="dxa" w:w="4167"/>
          </w:tcPr>
          <w:p>
            <w:r/>
            <w:r>
              <w:rPr>
                <w:sz w:val="16"/>
              </w:rPr>
              <w:t>Biomarcadores de imagen: cita de un ensayo de asma y sobreafirmación sobre nódulos</w:t>
            </w:r>
          </w:p>
        </w:tc>
        <w:tc>
          <w:tcPr>
            <w:tcW w:type="dxa" w:w="765"/>
          </w:tcPr>
          <w:p>
            <w:r/>
            <w:r>
              <w:rPr>
                <w:sz w:val="16"/>
              </w:rPr>
              <w:t>5</w:t>
            </w:r>
          </w:p>
        </w:tc>
        <w:tc>
          <w:tcPr>
            <w:tcW w:type="dxa" w:w="663"/>
          </w:tcPr>
          <w:p>
            <w:r/>
            <w:r>
              <w:rPr>
                <w:sz w:val="16"/>
              </w:rPr>
              <w:t>✔</w:t>
            </w:r>
          </w:p>
        </w:tc>
        <w:tc>
          <w:tcPr>
            <w:tcW w:type="dxa" w:w="1276"/>
          </w:tcPr>
          <w:p>
            <w:r/>
          </w:p>
        </w:tc>
      </w:tr>
      <w:tr>
        <w:tc>
          <w:tcPr>
            <w:tcW w:type="dxa" w:w="969"/>
          </w:tcPr>
          <w:p>
            <w:r/>
            <w:r>
              <w:rPr>
                <w:sz w:val="16"/>
              </w:rPr>
              <w:t>IA-09</w:t>
            </w:r>
          </w:p>
        </w:tc>
        <w:tc>
          <w:tcPr>
            <w:tcW w:type="dxa" w:w="663"/>
          </w:tcPr>
          <w:p>
            <w:r/>
            <w:r>
              <w:rPr>
                <w:sz w:val="16"/>
              </w:rPr>
              <w:t>T20</w:t>
            </w:r>
          </w:p>
        </w:tc>
        <w:tc>
          <w:tcPr>
            <w:tcW w:type="dxa" w:w="1134"/>
          </w:tcPr>
          <w:p>
            <w:r/>
            <w:r>
              <w:rPr>
                <w:sz w:val="16"/>
              </w:rPr>
              <w:t>144</w:t>
            </w:r>
          </w:p>
        </w:tc>
        <w:tc>
          <w:tcPr>
            <w:tcW w:type="dxa" w:w="4167"/>
          </w:tcPr>
          <w:p>
            <w:r/>
            <w:r>
              <w:rPr>
                <w:sz w:val="16"/>
              </w:rPr>
              <w:t>"AI on omics data" con referencias que no son ómicas ni específicas de EPOC, y "clearly pave the way"</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IA-10</w:t>
            </w:r>
          </w:p>
        </w:tc>
        <w:tc>
          <w:tcPr>
            <w:tcW w:type="dxa" w:w="663"/>
          </w:tcPr>
          <w:p>
            <w:r/>
            <w:r>
              <w:rPr>
                <w:sz w:val="16"/>
              </w:rPr>
              <w:t>T20</w:t>
            </w:r>
          </w:p>
        </w:tc>
        <w:tc>
          <w:tcPr>
            <w:tcW w:type="dxa" w:w="1134"/>
          </w:tcPr>
          <w:p>
            <w:r/>
            <w:r>
              <w:rPr>
                <w:sz w:val="16"/>
              </w:rPr>
              <w:t>145</w:t>
            </w:r>
          </w:p>
        </w:tc>
        <w:tc>
          <w:tcPr>
            <w:tcW w:type="dxa" w:w="4167"/>
          </w:tcPr>
          <w:p>
            <w:r/>
            <w:r>
              <w:rPr>
                <w:sz w:val="16"/>
              </w:rPr>
              <w:t>Modelos fundacionales (Merlin): referencia incompleta y descripción inexacta</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IA-14</w:t>
            </w:r>
          </w:p>
        </w:tc>
        <w:tc>
          <w:tcPr>
            <w:tcW w:type="dxa" w:w="663"/>
          </w:tcPr>
          <w:p>
            <w:r/>
            <w:r>
              <w:rPr>
                <w:sz w:val="16"/>
              </w:rPr>
              <w:t>T20</w:t>
            </w:r>
          </w:p>
        </w:tc>
        <w:tc>
          <w:tcPr>
            <w:tcW w:type="dxa" w:w="1134"/>
          </w:tcPr>
          <w:p>
            <w:r/>
            <w:r>
              <w:rPr>
                <w:sz w:val="16"/>
              </w:rPr>
              <w:t>145</w:t>
            </w:r>
          </w:p>
        </w:tc>
        <w:tc>
          <w:tcPr>
            <w:tcW w:type="dxa" w:w="4167"/>
          </w:tcPr>
          <w:p>
            <w:r/>
            <w:r>
              <w:rPr>
                <w:sz w:val="16"/>
              </w:rPr>
              <w:t>CDS en multimorbilidad: prohibir acrónimos no es realista y no hay evidencia del beneficio</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IA-16</w:t>
            </w:r>
          </w:p>
        </w:tc>
        <w:tc>
          <w:tcPr>
            <w:tcW w:type="dxa" w:w="663"/>
          </w:tcPr>
          <w:p>
            <w:r/>
            <w:r>
              <w:rPr>
                <w:sz w:val="16"/>
              </w:rPr>
              <w:t>T20</w:t>
            </w:r>
          </w:p>
        </w:tc>
        <w:tc>
          <w:tcPr>
            <w:tcW w:type="dxa" w:w="1134"/>
          </w:tcPr>
          <w:p>
            <w:r/>
            <w:r>
              <w:rPr>
                <w:sz w:val="16"/>
              </w:rPr>
              <w:t>145</w:t>
            </w:r>
          </w:p>
        </w:tc>
        <w:tc>
          <w:tcPr>
            <w:tcW w:type="dxa" w:w="4167"/>
          </w:tcPr>
          <w:p>
            <w:r/>
            <w:r>
              <w:rPr>
                <w:sz w:val="16"/>
              </w:rPr>
              <w:t>Telemonitorización e inhaladores inteligentes: confusión entre IA y telemonitorización, y referencias que no respaldan "the potential … is large"</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IA-18</w:t>
            </w:r>
          </w:p>
        </w:tc>
        <w:tc>
          <w:tcPr>
            <w:tcW w:type="dxa" w:w="663"/>
          </w:tcPr>
          <w:p>
            <w:r/>
            <w:r>
              <w:rPr>
                <w:sz w:val="16"/>
              </w:rPr>
              <w:t>T20</w:t>
            </w:r>
          </w:p>
        </w:tc>
        <w:tc>
          <w:tcPr>
            <w:tcW w:type="dxa" w:w="1134"/>
          </w:tcPr>
          <w:p>
            <w:r/>
            <w:r>
              <w:rPr>
                <w:sz w:val="16"/>
              </w:rPr>
              <w:t>145</w:t>
            </w:r>
          </w:p>
        </w:tc>
        <w:tc>
          <w:tcPr>
            <w:tcW w:type="dxa" w:w="4167"/>
          </w:tcPr>
          <w:p>
            <w:r/>
            <w:r>
              <w:rPr>
                <w:sz w:val="16"/>
              </w:rPr>
              <w:t>Omisión de los ECAs neutros o negativos de telemonitorización y de la evidencia económica</w:t>
            </w:r>
          </w:p>
        </w:tc>
        <w:tc>
          <w:tcPr>
            <w:tcW w:type="dxa" w:w="765"/>
          </w:tcPr>
          <w:p>
            <w:r/>
            <w:r>
              <w:rPr>
                <w:sz w:val="16"/>
              </w:rPr>
              <w:t>5</w:t>
            </w:r>
          </w:p>
        </w:tc>
        <w:tc>
          <w:tcPr>
            <w:tcW w:type="dxa" w:w="663"/>
          </w:tcPr>
          <w:p>
            <w:r/>
            <w:r>
              <w:rPr>
                <w:sz w:val="16"/>
              </w:rPr>
              <w:t>✔</w:t>
            </w:r>
          </w:p>
        </w:tc>
        <w:tc>
          <w:tcPr>
            <w:tcW w:type="dxa" w:w="1276"/>
          </w:tcPr>
          <w:p>
            <w:r/>
          </w:p>
        </w:tc>
      </w:tr>
      <w:tr>
        <w:tc>
          <w:tcPr>
            <w:tcW w:type="dxa" w:w="969"/>
          </w:tcPr>
          <w:p>
            <w:r/>
            <w:r>
              <w:rPr>
                <w:sz w:val="16"/>
              </w:rPr>
              <w:t>IA-19</w:t>
            </w:r>
          </w:p>
        </w:tc>
        <w:tc>
          <w:tcPr>
            <w:tcW w:type="dxa" w:w="663"/>
          </w:tcPr>
          <w:p>
            <w:r/>
            <w:r>
              <w:rPr>
                <w:sz w:val="16"/>
              </w:rPr>
              <w:t>T20</w:t>
            </w:r>
          </w:p>
        </w:tc>
        <w:tc>
          <w:tcPr>
            <w:tcW w:type="dxa" w:w="1134"/>
          </w:tcPr>
          <w:p>
            <w:r/>
            <w:r>
              <w:rPr>
                <w:sz w:val="16"/>
              </w:rPr>
              <w:t>148</w:t>
            </w:r>
          </w:p>
        </w:tc>
        <w:tc>
          <w:tcPr>
            <w:tcW w:type="dxa" w:w="4167"/>
          </w:tcPr>
          <w:p>
            <w:r/>
            <w:r>
              <w:rPr>
                <w:sz w:val="16"/>
              </w:rPr>
              <w:t>Telerrehabilitación: redacción ambigua y omisión de las limitaciones señaladas en el Apéndice 4</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IA-20</w:t>
            </w:r>
          </w:p>
        </w:tc>
        <w:tc>
          <w:tcPr>
            <w:tcW w:type="dxa" w:w="663"/>
          </w:tcPr>
          <w:p>
            <w:r/>
            <w:r>
              <w:rPr>
                <w:sz w:val="16"/>
              </w:rPr>
              <w:t>T20</w:t>
            </w:r>
          </w:p>
        </w:tc>
        <w:tc>
          <w:tcPr>
            <w:tcW w:type="dxa" w:w="1134"/>
          </w:tcPr>
          <w:p>
            <w:r/>
            <w:r>
              <w:rPr>
                <w:sz w:val="16"/>
              </w:rPr>
              <w:t>148</w:t>
            </w:r>
          </w:p>
        </w:tc>
        <w:tc>
          <w:tcPr>
            <w:tcW w:type="dxa" w:w="4167"/>
          </w:tcPr>
          <w:p>
            <w:r/>
            <w:r>
              <w:rPr>
                <w:sz w:val="16"/>
              </w:rPr>
              <w:t>Automanejo: falta la magnitud del efecto, y "no studies to date" es inexacto</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IA-21</w:t>
            </w:r>
          </w:p>
        </w:tc>
        <w:tc>
          <w:tcPr>
            <w:tcW w:type="dxa" w:w="663"/>
          </w:tcPr>
          <w:p>
            <w:r/>
            <w:r>
              <w:rPr>
                <w:sz w:val="16"/>
              </w:rPr>
              <w:t>T20</w:t>
            </w:r>
          </w:p>
        </w:tc>
        <w:tc>
          <w:tcPr>
            <w:tcW w:type="dxa" w:w="1134"/>
          </w:tcPr>
          <w:p>
            <w:r/>
            <w:r>
              <w:rPr>
                <w:sz w:val="16"/>
              </w:rPr>
              <w:t>6, 231</w:t>
            </w:r>
          </w:p>
        </w:tc>
        <w:tc>
          <w:tcPr>
            <w:tcW w:type="dxa" w:w="4167"/>
          </w:tcPr>
          <w:p>
            <w:r/>
            <w:r>
              <w:rPr>
                <w:sz w:val="16"/>
              </w:rPr>
              <w:t>Las referencias del Cap. 6 no siguen la metodología declarada por GOLD</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IA-22</w:t>
            </w:r>
          </w:p>
        </w:tc>
        <w:tc>
          <w:tcPr>
            <w:tcW w:type="dxa" w:w="663"/>
          </w:tcPr>
          <w:p>
            <w:r/>
            <w:r>
              <w:rPr>
                <w:sz w:val="16"/>
              </w:rPr>
              <w:t>T20</w:t>
            </w:r>
          </w:p>
        </w:tc>
        <w:tc>
          <w:tcPr>
            <w:tcW w:type="dxa" w:w="1134"/>
          </w:tcPr>
          <w:p>
            <w:r/>
            <w:r>
              <w:rPr>
                <w:sz w:val="16"/>
              </w:rPr>
              <w:t>143, 144</w:t>
            </w:r>
          </w:p>
        </w:tc>
        <w:tc>
          <w:tcPr>
            <w:tcW w:type="dxa" w:w="4167"/>
          </w:tcPr>
          <w:p>
            <w:r/>
            <w:r>
              <w:rPr>
                <w:sz w:val="16"/>
              </w:rPr>
              <w:t>Sesgos y equidad tratados solo de forma genérica en la Figura 6.2, sin aplicarlos a las herramientas descritas</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IA-23</w:t>
            </w:r>
          </w:p>
        </w:tc>
        <w:tc>
          <w:tcPr>
            <w:tcW w:type="dxa" w:w="663"/>
          </w:tcPr>
          <w:p>
            <w:r/>
            <w:r>
              <w:rPr>
                <w:sz w:val="16"/>
              </w:rPr>
              <w:t>T20</w:t>
            </w:r>
          </w:p>
        </w:tc>
        <w:tc>
          <w:tcPr>
            <w:tcW w:type="dxa" w:w="1134"/>
          </w:tcPr>
          <w:p>
            <w:r/>
            <w:r>
              <w:rPr>
                <w:sz w:val="16"/>
              </w:rPr>
              <w:t>146</w:t>
            </w:r>
          </w:p>
        </w:tc>
        <w:tc>
          <w:tcPr>
            <w:tcW w:type="dxa" w:w="4167"/>
          </w:tcPr>
          <w:p>
            <w:r/>
            <w:r>
              <w:rPr>
                <w:sz w:val="16"/>
              </w:rPr>
              <w:t>Criterios de triaje para la teleconsulta sin requisitos digitales, de privacidad ni de seguridad</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EPI-04</w:t>
            </w:r>
          </w:p>
        </w:tc>
        <w:tc>
          <w:tcPr>
            <w:tcW w:type="dxa" w:w="663"/>
          </w:tcPr>
          <w:p>
            <w:r/>
            <w:r>
              <w:rPr>
                <w:sz w:val="16"/>
              </w:rPr>
              <w:t>T21</w:t>
            </w:r>
          </w:p>
        </w:tc>
        <w:tc>
          <w:tcPr>
            <w:tcW w:type="dxa" w:w="1134"/>
          </w:tcPr>
          <w:p>
            <w:r/>
            <w:r>
              <w:rPr>
                <w:sz w:val="16"/>
              </w:rPr>
              <w:t>6</w:t>
            </w:r>
          </w:p>
        </w:tc>
        <w:tc>
          <w:tcPr>
            <w:tcW w:type="dxa" w:w="4167"/>
          </w:tcPr>
          <w:p>
            <w:r/>
            <w:r>
              <w:rPr>
                <w:sz w:val="16"/>
              </w:rPr>
              <w:t>Metodología: lo declarado no se corresponde con lo citado ni con el proceso real</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EPI-05</w:t>
            </w:r>
          </w:p>
        </w:tc>
        <w:tc>
          <w:tcPr>
            <w:tcW w:type="dxa" w:w="663"/>
          </w:tcPr>
          <w:p>
            <w:r/>
            <w:r>
              <w:rPr>
                <w:sz w:val="16"/>
              </w:rPr>
              <w:t>T21</w:t>
            </w:r>
          </w:p>
        </w:tc>
        <w:tc>
          <w:tcPr>
            <w:tcW w:type="dxa" w:w="1134"/>
          </w:tcPr>
          <w:p>
            <w:r/>
            <w:r>
              <w:rPr>
                <w:sz w:val="16"/>
              </w:rPr>
              <w:t>13, 14, 160</w:t>
            </w:r>
          </w:p>
        </w:tc>
        <w:tc>
          <w:tcPr>
            <w:tcW w:type="dxa" w:w="4167"/>
          </w:tcPr>
          <w:p>
            <w:r/>
            <w:r>
              <w:rPr>
                <w:sz w:val="16"/>
              </w:rPr>
              <w:t>Table A (niveles de evidencia): definiciones internamente incoherentes y aplicación heterogénea</w:t>
            </w:r>
          </w:p>
        </w:tc>
        <w:tc>
          <w:tcPr>
            <w:tcW w:type="dxa" w:w="765"/>
          </w:tcPr>
          <w:p>
            <w:r/>
            <w:r>
              <w:rPr>
                <w:sz w:val="16"/>
              </w:rPr>
              <w:t>4</w:t>
            </w:r>
          </w:p>
        </w:tc>
        <w:tc>
          <w:tcPr>
            <w:tcW w:type="dxa" w:w="663"/>
          </w:tcPr>
          <w:p>
            <w:r/>
            <w:r>
              <w:rPr>
                <w:sz w:val="16"/>
              </w:rPr>
              <w:t>✖</w:t>
            </w:r>
          </w:p>
        </w:tc>
        <w:tc>
          <w:tcPr>
            <w:tcW w:type="dxa" w:w="1276"/>
          </w:tcPr>
          <w:p>
            <w:r/>
            <w:r>
              <w:rPr>
                <w:sz w:val="16"/>
              </w:rPr>
              <w:t>Parcial</w:t>
            </w:r>
          </w:p>
        </w:tc>
      </w:tr>
      <w:tr>
        <w:tc>
          <w:tcPr>
            <w:tcW w:type="dxa" w:w="969"/>
          </w:tcPr>
          <w:p>
            <w:r/>
            <w:r>
              <w:rPr>
                <w:sz w:val="16"/>
              </w:rPr>
              <w:t>MET-02</w:t>
            </w:r>
          </w:p>
        </w:tc>
        <w:tc>
          <w:tcPr>
            <w:tcW w:type="dxa" w:w="663"/>
          </w:tcPr>
          <w:p>
            <w:r/>
            <w:r>
              <w:rPr>
                <w:sz w:val="16"/>
              </w:rPr>
              <w:t>T21</w:t>
            </w:r>
          </w:p>
        </w:tc>
        <w:tc>
          <w:tcPr>
            <w:tcW w:type="dxa" w:w="1134"/>
          </w:tcPr>
          <w:p>
            <w:r/>
            <w:r>
              <w:rPr>
                <w:sz w:val="16"/>
              </w:rPr>
              <w:t>7, 14</w:t>
            </w:r>
          </w:p>
        </w:tc>
        <w:tc>
          <w:tcPr>
            <w:tcW w:type="dxa" w:w="4167"/>
          </w:tcPr>
          <w:p>
            <w:r/>
            <w:r>
              <w:rPr>
                <w:sz w:val="16"/>
              </w:rPr>
              <w:t>Tabla A: jerarquía incoherente, sin evaluación del riesgo de sesgo y sin fuerza de recomendación</w:t>
            </w:r>
          </w:p>
        </w:tc>
        <w:tc>
          <w:tcPr>
            <w:tcW w:type="dxa" w:w="765"/>
          </w:tcPr>
          <w:p>
            <w:r/>
            <w:r>
              <w:rPr>
                <w:sz w:val="16"/>
              </w:rPr>
              <w:t>—</w:t>
            </w:r>
          </w:p>
        </w:tc>
        <w:tc>
          <w:tcPr>
            <w:tcW w:type="dxa" w:w="663"/>
          </w:tcPr>
          <w:p>
            <w:r/>
            <w:r>
              <w:rPr>
                <w:sz w:val="16"/>
              </w:rPr>
              <w:t>✖</w:t>
            </w:r>
          </w:p>
        </w:tc>
        <w:tc>
          <w:tcPr>
            <w:tcW w:type="dxa" w:w="1276"/>
          </w:tcPr>
          <w:p>
            <w:r/>
            <w:r>
              <w:rPr>
                <w:sz w:val="16"/>
              </w:rPr>
              <w:t>Parcial</w:t>
            </w:r>
          </w:p>
        </w:tc>
      </w:tr>
      <w:tr>
        <w:tc>
          <w:tcPr>
            <w:tcW w:type="dxa" w:w="969"/>
          </w:tcPr>
          <w:p>
            <w:r/>
            <w:r>
              <w:rPr>
                <w:sz w:val="16"/>
              </w:rPr>
              <w:t>MET-05</w:t>
            </w:r>
          </w:p>
        </w:tc>
        <w:tc>
          <w:tcPr>
            <w:tcW w:type="dxa" w:w="663"/>
          </w:tcPr>
          <w:p>
            <w:r/>
            <w:r>
              <w:rPr>
                <w:sz w:val="16"/>
              </w:rPr>
              <w:t>T21</w:t>
            </w:r>
          </w:p>
        </w:tc>
        <w:tc>
          <w:tcPr>
            <w:tcW w:type="dxa" w:w="1134"/>
          </w:tcPr>
          <w:p>
            <w:r/>
            <w:r>
              <w:rPr>
                <w:sz w:val="16"/>
              </w:rPr>
              <w:t>6</w:t>
            </w:r>
          </w:p>
        </w:tc>
        <w:tc>
          <w:tcPr>
            <w:tcW w:type="dxa" w:w="4167"/>
          </w:tcPr>
          <w:p>
            <w:r/>
            <w:r>
              <w:rPr>
                <w:sz w:val="16"/>
              </w:rPr>
              <w:t>Sin participación de pacientes, revisión externa, consulta pública ni metodólogo</w:t>
            </w:r>
          </w:p>
        </w:tc>
        <w:tc>
          <w:tcPr>
            <w:tcW w:type="dxa" w:w="765"/>
          </w:tcPr>
          <w:p>
            <w:r/>
            <w:r>
              <w:rPr>
                <w:sz w:val="16"/>
              </w:rPr>
              <w:t>—</w:t>
            </w:r>
          </w:p>
        </w:tc>
        <w:tc>
          <w:tcPr>
            <w:tcW w:type="dxa" w:w="663"/>
          </w:tcPr>
          <w:p>
            <w:r/>
            <w:r>
              <w:rPr>
                <w:sz w:val="16"/>
              </w:rPr>
              <w:t>✔</w:t>
            </w:r>
          </w:p>
        </w:tc>
        <w:tc>
          <w:tcPr>
            <w:tcW w:type="dxa" w:w="1276"/>
          </w:tcPr>
          <w:p>
            <w:r/>
          </w:p>
        </w:tc>
      </w:tr>
      <w:tr>
        <w:tc>
          <w:tcPr>
            <w:tcW w:type="dxa" w:w="969"/>
          </w:tcPr>
          <w:p>
            <w:r/>
            <w:r>
              <w:rPr>
                <w:sz w:val="16"/>
              </w:rPr>
              <w:t>MET-07</w:t>
            </w:r>
          </w:p>
        </w:tc>
        <w:tc>
          <w:tcPr>
            <w:tcW w:type="dxa" w:w="663"/>
          </w:tcPr>
          <w:p>
            <w:r/>
            <w:r>
              <w:rPr>
                <w:sz w:val="16"/>
              </w:rPr>
              <w:t>T21</w:t>
            </w:r>
          </w:p>
        </w:tc>
        <w:tc>
          <w:tcPr>
            <w:tcW w:type="dxa" w:w="1134"/>
          </w:tcPr>
          <w:p>
            <w:r/>
            <w:r>
              <w:rPr>
                <w:sz w:val="16"/>
              </w:rPr>
              <w:t>64, 66, 69, 172</w:t>
            </w:r>
          </w:p>
        </w:tc>
        <w:tc>
          <w:tcPr>
            <w:tcW w:type="dxa" w:w="4167"/>
          </w:tcPr>
          <w:p>
            <w:r/>
            <w:r>
              <w:rPr>
                <w:sz w:val="16"/>
              </w:rPr>
              <w:t>Niveles inflados para afirmaciones observacionales o sin ECA en EPOC</w:t>
            </w:r>
          </w:p>
        </w:tc>
        <w:tc>
          <w:tcPr>
            <w:tcW w:type="dxa" w:w="765"/>
          </w:tcPr>
          <w:p>
            <w:r/>
            <w:r>
              <w:rPr>
                <w:sz w:val="16"/>
              </w:rPr>
              <w:t>—</w:t>
            </w:r>
          </w:p>
        </w:tc>
        <w:tc>
          <w:tcPr>
            <w:tcW w:type="dxa" w:w="663"/>
          </w:tcPr>
          <w:p>
            <w:r/>
            <w:r>
              <w:rPr>
                <w:sz w:val="16"/>
              </w:rPr>
              <w:t>✖</w:t>
            </w:r>
          </w:p>
        </w:tc>
        <w:tc>
          <w:tcPr>
            <w:tcW w:type="dxa" w:w="1276"/>
          </w:tcPr>
          <w:p>
            <w:r/>
          </w:p>
        </w:tc>
      </w:tr>
      <w:tr>
        <w:tc>
          <w:tcPr>
            <w:tcW w:type="dxa" w:w="969"/>
          </w:tcPr>
          <w:p>
            <w:r/>
            <w:r>
              <w:rPr>
                <w:sz w:val="16"/>
              </w:rPr>
              <w:t>MET-08</w:t>
            </w:r>
          </w:p>
        </w:tc>
        <w:tc>
          <w:tcPr>
            <w:tcW w:type="dxa" w:w="663"/>
          </w:tcPr>
          <w:p>
            <w:r/>
            <w:r>
              <w:rPr>
                <w:sz w:val="16"/>
              </w:rPr>
              <w:t>T21</w:t>
            </w:r>
          </w:p>
        </w:tc>
        <w:tc>
          <w:tcPr>
            <w:tcW w:type="dxa" w:w="1134"/>
          </w:tcPr>
          <w:p>
            <w:r/>
            <w:r>
              <w:rPr>
                <w:sz w:val="16"/>
              </w:rPr>
              <w:t>160</w:t>
            </w:r>
          </w:p>
        </w:tc>
        <w:tc>
          <w:tcPr>
            <w:tcW w:type="dxa" w:w="4167"/>
          </w:tcPr>
          <w:p>
            <w:r/>
            <w:r>
              <w:rPr>
                <w:sz w:val="16"/>
              </w:rPr>
              <w:t>Mucolíticos: la recomendación tiene un nivel mayor que la evidencia en la que se basa</w:t>
            </w:r>
          </w:p>
        </w:tc>
        <w:tc>
          <w:tcPr>
            <w:tcW w:type="dxa" w:w="765"/>
          </w:tcPr>
          <w:p>
            <w:r/>
            <w:r>
              <w:rPr>
                <w:sz w:val="16"/>
              </w:rPr>
              <w:t>—</w:t>
            </w:r>
          </w:p>
        </w:tc>
        <w:tc>
          <w:tcPr>
            <w:tcW w:type="dxa" w:w="663"/>
          </w:tcPr>
          <w:p>
            <w:r/>
            <w:r>
              <w:rPr>
                <w:sz w:val="16"/>
              </w:rPr>
              <w:t>✖</w:t>
            </w:r>
          </w:p>
        </w:tc>
        <w:tc>
          <w:tcPr>
            <w:tcW w:type="dxa" w:w="1276"/>
          </w:tcPr>
          <w:p>
            <w:r/>
            <w:r>
              <w:rPr>
                <w:sz w:val="16"/>
              </w:rPr>
              <w:t>Confirmado</w:t>
            </w:r>
          </w:p>
        </w:tc>
      </w:tr>
      <w:tr>
        <w:tc>
          <w:tcPr>
            <w:tcW w:type="dxa" w:w="969"/>
          </w:tcPr>
          <w:p>
            <w:r/>
            <w:r>
              <w:rPr>
                <w:sz w:val="16"/>
              </w:rPr>
              <w:t>MET-10</w:t>
            </w:r>
          </w:p>
        </w:tc>
        <w:tc>
          <w:tcPr>
            <w:tcW w:type="dxa" w:w="663"/>
          </w:tcPr>
          <w:p>
            <w:r/>
            <w:r>
              <w:rPr>
                <w:sz w:val="16"/>
              </w:rPr>
              <w:t>T21</w:t>
            </w:r>
          </w:p>
        </w:tc>
        <w:tc>
          <w:tcPr>
            <w:tcW w:type="dxa" w:w="1134"/>
          </w:tcPr>
          <w:p>
            <w:r/>
            <w:r>
              <w:rPr>
                <w:sz w:val="16"/>
              </w:rPr>
              <w:t>122, 141, 160</w:t>
            </w:r>
          </w:p>
        </w:tc>
        <w:tc>
          <w:tcPr>
            <w:tcW w:type="dxa" w:w="4167"/>
          </w:tcPr>
          <w:p>
            <w:r/>
            <w:r>
              <w:rPr>
                <w:sz w:val="16"/>
              </w:rPr>
              <w:t>Recomendaciones clave sin nivel de evidencia</w:t>
            </w:r>
          </w:p>
        </w:tc>
        <w:tc>
          <w:tcPr>
            <w:tcW w:type="dxa" w:w="765"/>
          </w:tcPr>
          <w:p>
            <w:r/>
            <w:r>
              <w:rPr>
                <w:sz w:val="16"/>
              </w:rPr>
              <w:t>—</w:t>
            </w:r>
          </w:p>
        </w:tc>
        <w:tc>
          <w:tcPr>
            <w:tcW w:type="dxa" w:w="663"/>
          </w:tcPr>
          <w:p>
            <w:r/>
            <w:r>
              <w:rPr>
                <w:sz w:val="16"/>
              </w:rPr>
              <w:t>✖</w:t>
            </w:r>
          </w:p>
        </w:tc>
        <w:tc>
          <w:tcPr>
            <w:tcW w:type="dxa" w:w="1276"/>
          </w:tcPr>
          <w:p>
            <w:r/>
          </w:p>
        </w:tc>
      </w:tr>
      <w:tr>
        <w:tc>
          <w:tcPr>
            <w:tcW w:type="dxa" w:w="969"/>
          </w:tcPr>
          <w:p>
            <w:r/>
            <w:r>
              <w:rPr>
                <w:sz w:val="16"/>
              </w:rPr>
              <w:t>NOV-15</w:t>
            </w:r>
          </w:p>
        </w:tc>
        <w:tc>
          <w:tcPr>
            <w:tcW w:type="dxa" w:w="663"/>
          </w:tcPr>
          <w:p>
            <w:r/>
            <w:r>
              <w:rPr>
                <w:sz w:val="16"/>
              </w:rPr>
              <w:t>T21</w:t>
            </w:r>
          </w:p>
        </w:tc>
        <w:tc>
          <w:tcPr>
            <w:tcW w:type="dxa" w:w="1134"/>
          </w:tcPr>
          <w:p>
            <w:r/>
            <w:r>
              <w:rPr>
                <w:sz w:val="16"/>
              </w:rPr>
              <w:t>122, 160, 163, 167</w:t>
            </w:r>
          </w:p>
        </w:tc>
        <w:tc>
          <w:tcPr>
            <w:tcW w:type="dxa" w:w="4167"/>
          </w:tcPr>
          <w:p>
            <w:r/>
            <w:r>
              <w:rPr>
                <w:sz w:val="16"/>
              </w:rPr>
              <w:t>Mucolíticos: niveles de evidencia contradictorios y presentación sin restricciones en la Fig. 4.11</w:t>
            </w:r>
          </w:p>
        </w:tc>
        <w:tc>
          <w:tcPr>
            <w:tcW w:type="dxa" w:w="765"/>
          </w:tcPr>
          <w:p>
            <w:r/>
            <w:r>
              <w:rPr>
                <w:sz w:val="16"/>
              </w:rPr>
              <w:t>4</w:t>
            </w:r>
          </w:p>
        </w:tc>
        <w:tc>
          <w:tcPr>
            <w:tcW w:type="dxa" w:w="663"/>
          </w:tcPr>
          <w:p>
            <w:r/>
            <w:r>
              <w:rPr>
                <w:sz w:val="16"/>
              </w:rPr>
              <w:t>✖</w:t>
            </w:r>
          </w:p>
        </w:tc>
        <w:tc>
          <w:tcPr>
            <w:tcW w:type="dxa" w:w="1276"/>
          </w:tcPr>
          <w:p>
            <w:r/>
            <w:r>
              <w:rPr>
                <w:sz w:val="16"/>
              </w:rPr>
              <w:t>Confirmado</w:t>
            </w:r>
          </w:p>
        </w:tc>
      </w:tr>
      <w:tr>
        <w:tc>
          <w:tcPr>
            <w:tcW w:type="dxa" w:w="969"/>
          </w:tcPr>
          <w:p>
            <w:r/>
            <w:r>
              <w:rPr>
                <w:sz w:val="16"/>
              </w:rPr>
              <w:t>REH-18</w:t>
            </w:r>
          </w:p>
        </w:tc>
        <w:tc>
          <w:tcPr>
            <w:tcW w:type="dxa" w:w="663"/>
          </w:tcPr>
          <w:p>
            <w:r/>
            <w:r>
              <w:rPr>
                <w:sz w:val="16"/>
              </w:rPr>
              <w:t>T21</w:t>
            </w:r>
          </w:p>
        </w:tc>
        <w:tc>
          <w:tcPr>
            <w:tcW w:type="dxa" w:w="1134"/>
          </w:tcPr>
          <w:p>
            <w:r/>
            <w:r>
              <w:rPr>
                <w:sz w:val="16"/>
              </w:rPr>
              <w:t>14, 172</w:t>
            </w:r>
          </w:p>
        </w:tc>
        <w:tc>
          <w:tcPr>
            <w:tcW w:type="dxa" w:w="4167"/>
          </w:tcPr>
          <w:p>
            <w:r/>
            <w:r>
              <w:rPr>
                <w:sz w:val="16"/>
              </w:rPr>
              <w:t>Evidencia A asignada a una afirmación pronóstica observacional («physical activity is a strong predictor of mortality»)</w:t>
            </w:r>
          </w:p>
        </w:tc>
        <w:tc>
          <w:tcPr>
            <w:tcW w:type="dxa" w:w="765"/>
          </w:tcPr>
          <w:p>
            <w:r/>
            <w:r>
              <w:rPr>
                <w:sz w:val="16"/>
              </w:rPr>
              <w:t>5</w:t>
            </w:r>
          </w:p>
        </w:tc>
        <w:tc>
          <w:tcPr>
            <w:tcW w:type="dxa" w:w="663"/>
          </w:tcPr>
          <w:p>
            <w:r/>
            <w:r>
              <w:rPr>
                <w:sz w:val="16"/>
              </w:rPr>
              <w:t>✖</w:t>
            </w:r>
          </w:p>
        </w:tc>
        <w:tc>
          <w:tcPr>
            <w:tcW w:type="dxa" w:w="1276"/>
          </w:tcPr>
          <w:p>
            <w:r/>
          </w:p>
        </w:tc>
      </w:tr>
      <w:tr>
        <w:tc>
          <w:tcPr>
            <w:tcW w:type="dxa" w:w="969"/>
          </w:tcPr>
          <w:p>
            <w:r/>
            <w:r>
              <w:rPr>
                <w:sz w:val="16"/>
              </w:rPr>
              <w:t>COH-14</w:t>
            </w:r>
          </w:p>
        </w:tc>
        <w:tc>
          <w:tcPr>
            <w:tcW w:type="dxa" w:w="663"/>
          </w:tcPr>
          <w:p>
            <w:r/>
            <w:r>
              <w:rPr>
                <w:sz w:val="16"/>
              </w:rPr>
              <w:t>T23</w:t>
            </w:r>
          </w:p>
        </w:tc>
        <w:tc>
          <w:tcPr>
            <w:tcW w:type="dxa" w:w="1134"/>
          </w:tcPr>
          <w:p>
            <w:r/>
            <w:r>
              <w:rPr>
                <w:sz w:val="16"/>
              </w:rPr>
              <w:t>5, 78, 87, 94, 155</w:t>
            </w:r>
          </w:p>
        </w:tc>
        <w:tc>
          <w:tcPr>
            <w:tcW w:type="dxa" w:w="4167"/>
          </w:tcPr>
          <w:p>
            <w:r/>
            <w:r>
              <w:rPr>
                <w:sz w:val="16"/>
              </w:rPr>
              <w:t>Referencias cruzadas a figuras erróneas o que no sostienen lo que se afirma</w:t>
            </w:r>
          </w:p>
        </w:tc>
        <w:tc>
          <w:tcPr>
            <w:tcW w:type="dxa" w:w="765"/>
          </w:tcPr>
          <w:p>
            <w:r/>
            <w:r>
              <w:rPr>
                <w:sz w:val="16"/>
              </w:rPr>
              <w:t>—</w:t>
            </w:r>
          </w:p>
        </w:tc>
        <w:tc>
          <w:tcPr>
            <w:tcW w:type="dxa" w:w="663"/>
          </w:tcPr>
          <w:p>
            <w:r/>
            <w:r>
              <w:rPr>
                <w:sz w:val="16"/>
              </w:rPr>
              <w:t>✔</w:t>
            </w:r>
          </w:p>
        </w:tc>
        <w:tc>
          <w:tcPr>
            <w:tcW w:type="dxa" w:w="1276"/>
          </w:tcPr>
          <w:p>
            <w:r/>
          </w:p>
        </w:tc>
      </w:tr>
      <w:tr>
        <w:tc>
          <w:tcPr>
            <w:tcW w:type="dxa" w:w="969"/>
          </w:tcPr>
          <w:p>
            <w:r/>
            <w:r>
              <w:rPr>
                <w:sz w:val="16"/>
              </w:rPr>
              <w:t>COH-15</w:t>
            </w:r>
          </w:p>
        </w:tc>
        <w:tc>
          <w:tcPr>
            <w:tcW w:type="dxa" w:w="663"/>
          </w:tcPr>
          <w:p>
            <w:r/>
            <w:r>
              <w:rPr>
                <w:sz w:val="16"/>
              </w:rPr>
              <w:t>T23</w:t>
            </w:r>
          </w:p>
        </w:tc>
        <w:tc>
          <w:tcPr>
            <w:tcW w:type="dxa" w:w="1134"/>
          </w:tcPr>
          <w:p>
            <w:r/>
            <w:r>
              <w:rPr>
                <w:sz w:val="16"/>
              </w:rPr>
              <w:t>115, 117</w:t>
            </w:r>
          </w:p>
        </w:tc>
        <w:tc>
          <w:tcPr>
            <w:tcW w:type="dxa" w:w="4167"/>
          </w:tcPr>
          <w:p>
            <w:r/>
            <w:r>
              <w:rPr>
                <w:sz w:val="16"/>
              </w:rPr>
              <w:t>Citas bibliográficas que no corresponden a la afirmación (cap. 4)</w:t>
            </w:r>
          </w:p>
        </w:tc>
        <w:tc>
          <w:tcPr>
            <w:tcW w:type="dxa" w:w="765"/>
          </w:tcPr>
          <w:p>
            <w:r/>
            <w:r>
              <w:rPr>
                <w:sz w:val="16"/>
              </w:rPr>
              <w:t>—</w:t>
            </w:r>
          </w:p>
        </w:tc>
        <w:tc>
          <w:tcPr>
            <w:tcW w:type="dxa" w:w="663"/>
          </w:tcPr>
          <w:p>
            <w:r/>
            <w:r>
              <w:rPr>
                <w:sz w:val="16"/>
              </w:rPr>
              <w:t>≈</w:t>
            </w:r>
          </w:p>
        </w:tc>
        <w:tc>
          <w:tcPr>
            <w:tcW w:type="dxa" w:w="1276"/>
          </w:tcPr>
          <w:p>
            <w:r/>
          </w:p>
        </w:tc>
      </w:tr>
      <w:tr>
        <w:tc>
          <w:tcPr>
            <w:tcW w:type="dxa" w:w="969"/>
          </w:tcPr>
          <w:p>
            <w:r/>
            <w:r>
              <w:rPr>
                <w:sz w:val="16"/>
              </w:rPr>
              <w:t>EQ-04</w:t>
            </w:r>
          </w:p>
        </w:tc>
        <w:tc>
          <w:tcPr>
            <w:tcW w:type="dxa" w:w="663"/>
          </w:tcPr>
          <w:p>
            <w:r/>
            <w:r>
              <w:rPr>
                <w:sz w:val="16"/>
              </w:rPr>
              <w:t>T23</w:t>
            </w:r>
          </w:p>
        </w:tc>
        <w:tc>
          <w:tcPr>
            <w:tcW w:type="dxa" w:w="1134"/>
          </w:tcPr>
          <w:p>
            <w:r/>
            <w:r>
              <w:rPr>
                <w:sz w:val="16"/>
              </w:rPr>
              <w:t>43</w:t>
            </w:r>
          </w:p>
        </w:tc>
        <w:tc>
          <w:tcPr>
            <w:tcW w:type="dxa" w:w="4167"/>
          </w:tcPr>
          <w:p>
            <w:r/>
            <w:r>
              <w:rPr>
                <w:sz w:val="16"/>
              </w:rPr>
              <w:t>La única cita de evidencia de LMIC sobre instrumentos de cribado está mal atribuida</w:t>
            </w:r>
          </w:p>
        </w:tc>
        <w:tc>
          <w:tcPr>
            <w:tcW w:type="dxa" w:w="765"/>
          </w:tcPr>
          <w:p>
            <w:r/>
            <w:r>
              <w:rPr>
                <w:sz w:val="16"/>
              </w:rPr>
              <w:t>5</w:t>
            </w:r>
          </w:p>
        </w:tc>
        <w:tc>
          <w:tcPr>
            <w:tcW w:type="dxa" w:w="663"/>
          </w:tcPr>
          <w:p>
            <w:r/>
            <w:r>
              <w:rPr>
                <w:sz w:val="16"/>
              </w:rPr>
              <w:t>✔</w:t>
            </w:r>
          </w:p>
        </w:tc>
        <w:tc>
          <w:tcPr>
            <w:tcW w:type="dxa" w:w="1276"/>
          </w:tcPr>
          <w:p>
            <w:r/>
          </w:p>
        </w:tc>
      </w:tr>
      <w:tr>
        <w:tc>
          <w:tcPr>
            <w:tcW w:type="dxa" w:w="969"/>
          </w:tcPr>
          <w:p>
            <w:r/>
            <w:r>
              <w:rPr>
                <w:sz w:val="16"/>
              </w:rPr>
              <w:t>EXA-23</w:t>
            </w:r>
          </w:p>
        </w:tc>
        <w:tc>
          <w:tcPr>
            <w:tcW w:type="dxa" w:w="663"/>
          </w:tcPr>
          <w:p>
            <w:r/>
            <w:r>
              <w:rPr>
                <w:sz w:val="16"/>
              </w:rPr>
              <w:t>T23</w:t>
            </w:r>
          </w:p>
        </w:tc>
        <w:tc>
          <w:tcPr>
            <w:tcW w:type="dxa" w:w="1134"/>
          </w:tcPr>
          <w:p>
            <w:r/>
            <w:r>
              <w:rPr>
                <w:sz w:val="16"/>
              </w:rPr>
              <w:t>115, 116, 120</w:t>
            </w:r>
          </w:p>
        </w:tc>
        <w:tc>
          <w:tcPr>
            <w:tcW w:type="dxa" w:w="4167"/>
          </w:tcPr>
          <w:p>
            <w:r/>
            <w:r>
              <w:rPr>
                <w:sz w:val="16"/>
              </w:rPr>
              <w:t>Referencias citadas que no sustentan la afirmación (CRP, rehabilitación, antibióticos)</w:t>
            </w:r>
          </w:p>
        </w:tc>
        <w:tc>
          <w:tcPr>
            <w:tcW w:type="dxa" w:w="765"/>
          </w:tcPr>
          <w:p>
            <w:r/>
            <w:r>
              <w:rPr>
                <w:sz w:val="16"/>
              </w:rPr>
              <w:t>5</w:t>
            </w:r>
          </w:p>
        </w:tc>
        <w:tc>
          <w:tcPr>
            <w:tcW w:type="dxa" w:w="663"/>
          </w:tcPr>
          <w:p>
            <w:r/>
            <w:r>
              <w:rPr>
                <w:sz w:val="16"/>
              </w:rPr>
              <w:t>✔</w:t>
            </w:r>
          </w:p>
        </w:tc>
        <w:tc>
          <w:tcPr>
            <w:tcW w:type="dxa" w:w="1276"/>
          </w:tcPr>
          <w:p>
            <w:r/>
          </w:p>
        </w:tc>
      </w:tr>
      <w:tr>
        <w:tc>
          <w:tcPr>
            <w:tcW w:type="dxa" w:w="969"/>
          </w:tcPr>
          <w:p>
            <w:r/>
            <w:r>
              <w:rPr>
                <w:sz w:val="16"/>
              </w:rPr>
              <w:t>MET-15</w:t>
            </w:r>
          </w:p>
        </w:tc>
        <w:tc>
          <w:tcPr>
            <w:tcW w:type="dxa" w:w="663"/>
          </w:tcPr>
          <w:p>
            <w:r/>
            <w:r>
              <w:rPr>
                <w:sz w:val="16"/>
              </w:rPr>
              <w:t>T23</w:t>
            </w:r>
          </w:p>
        </w:tc>
        <w:tc>
          <w:tcPr>
            <w:tcW w:type="dxa" w:w="1134"/>
          </w:tcPr>
          <w:p>
            <w:r/>
            <w:r>
              <w:rPr>
                <w:sz w:val="16"/>
              </w:rPr>
              <w:t>28, 184</w:t>
            </w:r>
          </w:p>
        </w:tc>
        <w:tc>
          <w:tcPr>
            <w:tcW w:type="dxa" w:w="4167"/>
          </w:tcPr>
          <w:p>
            <w:r/>
            <w:r>
              <w:rPr>
                <w:sz w:val="16"/>
              </w:rPr>
              <w:t>Se cita un artículo retractado (ref 241)</w:t>
            </w:r>
          </w:p>
        </w:tc>
        <w:tc>
          <w:tcPr>
            <w:tcW w:type="dxa" w:w="765"/>
          </w:tcPr>
          <w:p>
            <w:r/>
            <w:r>
              <w:rPr>
                <w:sz w:val="16"/>
              </w:rPr>
              <w:t>—</w:t>
            </w:r>
          </w:p>
        </w:tc>
        <w:tc>
          <w:tcPr>
            <w:tcW w:type="dxa" w:w="663"/>
          </w:tcPr>
          <w:p>
            <w:r/>
            <w:r>
              <w:rPr>
                <w:sz w:val="16"/>
              </w:rPr>
              <w:t>✔</w:t>
            </w:r>
          </w:p>
        </w:tc>
        <w:tc>
          <w:tcPr>
            <w:tcW w:type="dxa" w:w="1276"/>
          </w:tcPr>
          <w:p>
            <w:r/>
            <w:r>
              <w:rPr>
                <w:sz w:val="16"/>
              </w:rPr>
              <w:t>Confirmado</w:t>
            </w:r>
          </w:p>
        </w:tc>
      </w:tr>
      <w:tr>
        <w:tc>
          <w:tcPr>
            <w:tcW w:type="dxa" w:w="969"/>
          </w:tcPr>
          <w:p>
            <w:r/>
            <w:r>
              <w:rPr>
                <w:sz w:val="16"/>
              </w:rPr>
              <w:t>MET-17</w:t>
            </w:r>
          </w:p>
        </w:tc>
        <w:tc>
          <w:tcPr>
            <w:tcW w:type="dxa" w:w="663"/>
          </w:tcPr>
          <w:p>
            <w:r/>
            <w:r>
              <w:rPr>
                <w:sz w:val="16"/>
              </w:rPr>
              <w:t>T23</w:t>
            </w:r>
          </w:p>
        </w:tc>
        <w:tc>
          <w:tcPr>
            <w:tcW w:type="dxa" w:w="1134"/>
          </w:tcPr>
          <w:p>
            <w:r/>
            <w:r>
              <w:rPr>
                <w:sz w:val="16"/>
              </w:rPr>
              <w:t>34, 93, 114, 163</w:t>
            </w:r>
          </w:p>
        </w:tc>
        <w:tc>
          <w:tcPr>
            <w:tcW w:type="dxa" w:w="4167"/>
          </w:tcPr>
          <w:p>
            <w:r/>
            <w:r>
              <w:rPr>
                <w:sz w:val="16"/>
              </w:rPr>
              <w:t>Otras citas que no respaldan la afirmación (refs 309, 1025, 1605, 319)</w:t>
            </w:r>
          </w:p>
        </w:tc>
        <w:tc>
          <w:tcPr>
            <w:tcW w:type="dxa" w:w="765"/>
          </w:tcPr>
          <w:p>
            <w:r/>
            <w:r>
              <w:rPr>
                <w:sz w:val="16"/>
              </w:rPr>
              <w:t>—</w:t>
            </w:r>
          </w:p>
        </w:tc>
        <w:tc>
          <w:tcPr>
            <w:tcW w:type="dxa" w:w="663"/>
          </w:tcPr>
          <w:p>
            <w:r/>
            <w:r>
              <w:rPr>
                <w:sz w:val="16"/>
              </w:rPr>
              <w:t>✔</w:t>
            </w:r>
          </w:p>
        </w:tc>
        <w:tc>
          <w:tcPr>
            <w:tcW w:type="dxa" w:w="1276"/>
          </w:tcPr>
          <w:p>
            <w:r/>
          </w:p>
        </w:tc>
      </w:tr>
      <w:tr>
        <w:tc>
          <w:tcPr>
            <w:tcW w:type="dxa" w:w="969"/>
          </w:tcPr>
          <w:p>
            <w:r/>
            <w:r>
              <w:rPr>
                <w:sz w:val="16"/>
              </w:rPr>
              <w:t>EPI-06</w:t>
            </w:r>
          </w:p>
        </w:tc>
        <w:tc>
          <w:tcPr>
            <w:tcW w:type="dxa" w:w="663"/>
          </w:tcPr>
          <w:p>
            <w:r/>
            <w:r>
              <w:rPr>
                <w:sz w:val="16"/>
              </w:rPr>
              <w:t>T24</w:t>
            </w:r>
          </w:p>
        </w:tc>
        <w:tc>
          <w:tcPr>
            <w:tcW w:type="dxa" w:w="1134"/>
          </w:tcPr>
          <w:p>
            <w:r/>
            <w:r>
              <w:rPr>
                <w:sz w:val="16"/>
              </w:rPr>
              <w:t>12, 20</w:t>
            </w:r>
          </w:p>
        </w:tc>
        <w:tc>
          <w:tcPr>
            <w:tcW w:type="dxa" w:w="4167"/>
          </w:tcPr>
          <w:p>
            <w:r/>
            <w:r>
              <w:rPr>
                <w:sz w:val="16"/>
              </w:rPr>
              <w:t>Mortalidad: rango, cifras, años y fuentes incoherentes entre Background y el cap. 1</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EPI-07</w:t>
            </w:r>
          </w:p>
        </w:tc>
        <w:tc>
          <w:tcPr>
            <w:tcW w:type="dxa" w:w="663"/>
          </w:tcPr>
          <w:p>
            <w:r/>
            <w:r>
              <w:rPr>
                <w:sz w:val="16"/>
              </w:rPr>
              <w:t>T24</w:t>
            </w:r>
          </w:p>
        </w:tc>
        <w:tc>
          <w:tcPr>
            <w:tcW w:type="dxa" w:w="1134"/>
          </w:tcPr>
          <w:p>
            <w:r/>
            <w:r>
              <w:rPr>
                <w:sz w:val="16"/>
              </w:rPr>
              <w:t>19</w:t>
            </w:r>
          </w:p>
        </w:tc>
        <w:tc>
          <w:tcPr>
            <w:tcW w:type="dxa" w:w="4167"/>
          </w:tcPr>
          <w:p>
            <w:r/>
            <w:r>
              <w:rPr>
                <w:sz w:val="16"/>
              </w:rPr>
              <w:t>Prevalencia GBD 2021: error de unidades y cambio no significativo presentado como tendencia</w:t>
            </w:r>
          </w:p>
        </w:tc>
        <w:tc>
          <w:tcPr>
            <w:tcW w:type="dxa" w:w="765"/>
          </w:tcPr>
          <w:p>
            <w:r/>
            <w:r>
              <w:rPr>
                <w:sz w:val="16"/>
              </w:rPr>
              <w:t>5</w:t>
            </w:r>
          </w:p>
        </w:tc>
        <w:tc>
          <w:tcPr>
            <w:tcW w:type="dxa" w:w="663"/>
          </w:tcPr>
          <w:p>
            <w:r/>
            <w:r>
              <w:rPr>
                <w:sz w:val="16"/>
              </w:rPr>
              <w:t>✔</w:t>
            </w:r>
          </w:p>
        </w:tc>
        <w:tc>
          <w:tcPr>
            <w:tcW w:type="dxa" w:w="1276"/>
          </w:tcPr>
          <w:p>
            <w:r/>
            <w:r>
              <w:rPr>
                <w:sz w:val="16"/>
              </w:rPr>
              <w:t>Confirmado</w:t>
            </w:r>
          </w:p>
        </w:tc>
      </w:tr>
      <w:tr>
        <w:tc>
          <w:tcPr>
            <w:tcW w:type="dxa" w:w="969"/>
          </w:tcPr>
          <w:p>
            <w:r/>
            <w:r>
              <w:rPr>
                <w:sz w:val="16"/>
              </w:rPr>
              <w:t>EPI-08</w:t>
            </w:r>
          </w:p>
        </w:tc>
        <w:tc>
          <w:tcPr>
            <w:tcW w:type="dxa" w:w="663"/>
          </w:tcPr>
          <w:p>
            <w:r/>
            <w:r>
              <w:rPr>
                <w:sz w:val="16"/>
              </w:rPr>
              <w:t>T24</w:t>
            </w:r>
          </w:p>
        </w:tc>
        <w:tc>
          <w:tcPr>
            <w:tcW w:type="dxa" w:w="1134"/>
          </w:tcPr>
          <w:p>
            <w:r/>
            <w:r>
              <w:rPr>
                <w:sz w:val="16"/>
              </w:rPr>
              <w:t>20</w:t>
            </w:r>
          </w:p>
        </w:tc>
        <w:tc>
          <w:tcPr>
            <w:tcW w:type="dxa" w:w="4167"/>
          </w:tcPr>
          <w:p>
            <w:r/>
            <w:r>
              <w:rPr>
                <w:sz w:val="16"/>
              </w:rPr>
              <w:t>Figure 1.1: eje mal rotulado y comparación de estimaciones no comparables</w:t>
            </w:r>
          </w:p>
        </w:tc>
        <w:tc>
          <w:tcPr>
            <w:tcW w:type="dxa" w:w="765"/>
          </w:tcPr>
          <w:p>
            <w:r/>
            <w:r>
              <w:rPr>
                <w:sz w:val="16"/>
              </w:rPr>
              <w:t>5</w:t>
            </w:r>
          </w:p>
        </w:tc>
        <w:tc>
          <w:tcPr>
            <w:tcW w:type="dxa" w:w="663"/>
          </w:tcPr>
          <w:p>
            <w:r/>
            <w:r>
              <w:rPr>
                <w:sz w:val="16"/>
              </w:rPr>
              <w:t>✖</w:t>
            </w:r>
          </w:p>
        </w:tc>
        <w:tc>
          <w:tcPr>
            <w:tcW w:type="dxa" w:w="1276"/>
          </w:tcPr>
          <w:p>
            <w:r/>
          </w:p>
        </w:tc>
      </w:tr>
      <w:tr>
        <w:tc>
          <w:tcPr>
            <w:tcW w:type="dxa" w:w="969"/>
          </w:tcPr>
          <w:p>
            <w:r/>
            <w:r>
              <w:rPr>
                <w:sz w:val="16"/>
              </w:rPr>
              <w:t>EPI-09</w:t>
            </w:r>
          </w:p>
        </w:tc>
        <w:tc>
          <w:tcPr>
            <w:tcW w:type="dxa" w:w="663"/>
          </w:tcPr>
          <w:p>
            <w:r/>
            <w:r>
              <w:rPr>
                <w:sz w:val="16"/>
              </w:rPr>
              <w:t>T24</w:t>
            </w:r>
          </w:p>
        </w:tc>
        <w:tc>
          <w:tcPr>
            <w:tcW w:type="dxa" w:w="1134"/>
          </w:tcPr>
          <w:p>
            <w:r/>
            <w:r>
              <w:rPr>
                <w:sz w:val="16"/>
              </w:rPr>
              <w:t>16, 17, 20</w:t>
            </w:r>
          </w:p>
        </w:tc>
        <w:tc>
          <w:tcPr>
            <w:tcW w:type="dxa" w:w="4167"/>
          </w:tcPr>
          <w:p>
            <w:r/>
            <w:r>
              <w:rPr>
                <w:sz w:val="16"/>
              </w:rPr>
              <w:t>Fracciones atribuibles a tabaco y contaminación: cifras heterogéneas, no aditivas y de fuentes débiles</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EPI-10</w:t>
            </w:r>
          </w:p>
        </w:tc>
        <w:tc>
          <w:tcPr>
            <w:tcW w:type="dxa" w:w="663"/>
          </w:tcPr>
          <w:p>
            <w:r/>
            <w:r>
              <w:rPr>
                <w:sz w:val="16"/>
              </w:rPr>
              <w:t>T24</w:t>
            </w:r>
          </w:p>
        </w:tc>
        <w:tc>
          <w:tcPr>
            <w:tcW w:type="dxa" w:w="1134"/>
          </w:tcPr>
          <w:p>
            <w:r/>
            <w:r>
              <w:rPr>
                <w:sz w:val="16"/>
              </w:rPr>
              <w:t>21</w:t>
            </w:r>
          </w:p>
        </w:tc>
        <w:tc>
          <w:tcPr>
            <w:tcW w:type="dxa" w:w="4167"/>
          </w:tcPr>
          <w:p>
            <w:r/>
            <w:r>
              <w:rPr>
                <w:sz w:val="16"/>
              </w:rPr>
              <w:t>Códigos CIE-10 erróneos («J42-46», «COPD and allied conditions»)</w:t>
            </w:r>
          </w:p>
        </w:tc>
        <w:tc>
          <w:tcPr>
            <w:tcW w:type="dxa" w:w="765"/>
          </w:tcPr>
          <w:p>
            <w:r/>
            <w:r>
              <w:rPr>
                <w:sz w:val="16"/>
              </w:rPr>
              <w:t>5</w:t>
            </w:r>
          </w:p>
        </w:tc>
        <w:tc>
          <w:tcPr>
            <w:tcW w:type="dxa" w:w="663"/>
          </w:tcPr>
          <w:p>
            <w:r/>
            <w:r>
              <w:rPr>
                <w:sz w:val="16"/>
              </w:rPr>
              <w:t>✔</w:t>
            </w:r>
          </w:p>
        </w:tc>
        <w:tc>
          <w:tcPr>
            <w:tcW w:type="dxa" w:w="1276"/>
          </w:tcPr>
          <w:p>
            <w:r/>
            <w:r>
              <w:rPr>
                <w:sz w:val="16"/>
              </w:rPr>
              <w:t>Confirmado</w:t>
            </w:r>
          </w:p>
        </w:tc>
      </w:tr>
      <w:tr>
        <w:tc>
          <w:tcPr>
            <w:tcW w:type="dxa" w:w="969"/>
          </w:tcPr>
          <w:p>
            <w:r/>
            <w:r>
              <w:rPr>
                <w:sz w:val="16"/>
              </w:rPr>
              <w:t>EPI-11</w:t>
            </w:r>
          </w:p>
        </w:tc>
        <w:tc>
          <w:tcPr>
            <w:tcW w:type="dxa" w:w="663"/>
          </w:tcPr>
          <w:p>
            <w:r/>
            <w:r>
              <w:rPr>
                <w:sz w:val="16"/>
              </w:rPr>
              <w:t>T24</w:t>
            </w:r>
          </w:p>
        </w:tc>
        <w:tc>
          <w:tcPr>
            <w:tcW w:type="dxa" w:w="1134"/>
          </w:tcPr>
          <w:p>
            <w:r/>
            <w:r>
              <w:rPr>
                <w:sz w:val="16"/>
              </w:rPr>
              <w:t>21</w:t>
            </w:r>
          </w:p>
        </w:tc>
        <w:tc>
          <w:tcPr>
            <w:tcW w:type="dxa" w:w="4167"/>
          </w:tcPr>
          <w:p>
            <w:r/>
            <w:r>
              <w:rPr>
                <w:sz w:val="16"/>
              </w:rPr>
              <w:t>Boers 2025: las exacerbaciones son un número de episodios, no dólares</w:t>
            </w:r>
          </w:p>
        </w:tc>
        <w:tc>
          <w:tcPr>
            <w:tcW w:type="dxa" w:w="765"/>
          </w:tcPr>
          <w:p>
            <w:r/>
            <w:r>
              <w:rPr>
                <w:sz w:val="16"/>
              </w:rPr>
              <w:t>5</w:t>
            </w:r>
          </w:p>
        </w:tc>
        <w:tc>
          <w:tcPr>
            <w:tcW w:type="dxa" w:w="663"/>
          </w:tcPr>
          <w:p>
            <w:r/>
            <w:r>
              <w:rPr>
                <w:sz w:val="16"/>
              </w:rPr>
              <w:t>✔</w:t>
            </w:r>
          </w:p>
        </w:tc>
        <w:tc>
          <w:tcPr>
            <w:tcW w:type="dxa" w:w="1276"/>
          </w:tcPr>
          <w:p>
            <w:r/>
            <w:r>
              <w:rPr>
                <w:sz w:val="16"/>
              </w:rPr>
              <w:t>Confirmado</w:t>
            </w:r>
          </w:p>
        </w:tc>
      </w:tr>
      <w:tr>
        <w:tc>
          <w:tcPr>
            <w:tcW w:type="dxa" w:w="969"/>
          </w:tcPr>
          <w:p>
            <w:r/>
            <w:r>
              <w:rPr>
                <w:sz w:val="16"/>
              </w:rPr>
              <w:t>EPI-12</w:t>
            </w:r>
          </w:p>
        </w:tc>
        <w:tc>
          <w:tcPr>
            <w:tcW w:type="dxa" w:w="663"/>
          </w:tcPr>
          <w:p>
            <w:r/>
            <w:r>
              <w:rPr>
                <w:sz w:val="16"/>
              </w:rPr>
              <w:t>T24</w:t>
            </w:r>
          </w:p>
        </w:tc>
        <w:tc>
          <w:tcPr>
            <w:tcW w:type="dxa" w:w="1134"/>
          </w:tcPr>
          <w:p>
            <w:r/>
            <w:r>
              <w:rPr>
                <w:sz w:val="16"/>
              </w:rPr>
              <w:t>5, 21</w:t>
            </w:r>
          </w:p>
        </w:tc>
        <w:tc>
          <w:tcPr>
            <w:tcW w:type="dxa" w:w="4167"/>
          </w:tcPr>
          <w:p>
            <w:r/>
            <w:r>
              <w:rPr>
                <w:sz w:val="16"/>
              </w:rPr>
              <w:t>Carga económica y proyecciones desactualizadas pese al Highlight i</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EPI-13</w:t>
            </w:r>
          </w:p>
        </w:tc>
        <w:tc>
          <w:tcPr>
            <w:tcW w:type="dxa" w:w="663"/>
          </w:tcPr>
          <w:p>
            <w:r/>
            <w:r>
              <w:rPr>
                <w:sz w:val="16"/>
              </w:rPr>
              <w:t>T24</w:t>
            </w:r>
          </w:p>
        </w:tc>
        <w:tc>
          <w:tcPr>
            <w:tcW w:type="dxa" w:w="1134"/>
          </w:tcPr>
          <w:p>
            <w:r/>
            <w:r>
              <w:rPr>
                <w:sz w:val="16"/>
              </w:rPr>
              <w:t>19, 27</w:t>
            </w:r>
          </w:p>
        </w:tc>
        <w:tc>
          <w:tcPr>
            <w:tcW w:type="dxa" w:w="4167"/>
          </w:tcPr>
          <w:p>
            <w:r/>
            <w:r>
              <w:rPr>
                <w:sz w:val="16"/>
              </w:rPr>
              <w:t>Sexo: el capítulo se contradice sobre la prevalencia por sexo</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EQ-23</w:t>
            </w:r>
          </w:p>
        </w:tc>
        <w:tc>
          <w:tcPr>
            <w:tcW w:type="dxa" w:w="663"/>
          </w:tcPr>
          <w:p>
            <w:r/>
            <w:r>
              <w:rPr>
                <w:sz w:val="16"/>
              </w:rPr>
              <w:t>T24</w:t>
            </w:r>
          </w:p>
        </w:tc>
        <w:tc>
          <w:tcPr>
            <w:tcW w:type="dxa" w:w="1134"/>
          </w:tcPr>
          <w:p>
            <w:r/>
            <w:r>
              <w:rPr>
                <w:sz w:val="16"/>
              </w:rPr>
              <w:t>21</w:t>
            </w:r>
          </w:p>
        </w:tc>
        <w:tc>
          <w:tcPr>
            <w:tcW w:type="dxa" w:w="4167"/>
          </w:tcPr>
          <w:p>
            <w:r/>
            <w:r>
              <w:rPr>
                <w:sz w:val="16"/>
              </w:rPr>
              <w:t>Costes futuros de la EPOC: cifras de Boers et al. mal transcritas y sin contexto</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EXA-15</w:t>
            </w:r>
          </w:p>
        </w:tc>
        <w:tc>
          <w:tcPr>
            <w:tcW w:type="dxa" w:w="663"/>
          </w:tcPr>
          <w:p>
            <w:r/>
            <w:r>
              <w:rPr>
                <w:sz w:val="16"/>
              </w:rPr>
              <w:t>T24</w:t>
            </w:r>
          </w:p>
        </w:tc>
        <w:tc>
          <w:tcPr>
            <w:tcW w:type="dxa" w:w="1134"/>
          </w:tcPr>
          <w:p>
            <w:r/>
            <w:r>
              <w:rPr>
                <w:sz w:val="16"/>
              </w:rPr>
              <w:t>119</w:t>
            </w:r>
          </w:p>
        </w:tc>
        <w:tc>
          <w:tcPr>
            <w:tcW w:type="dxa" w:w="4167"/>
          </w:tcPr>
          <w:p>
            <w:r/>
            <w:r>
              <w:rPr>
                <w:sz w:val="16"/>
              </w:rPr>
              <w:t>Mortalidad hospitalaria "17 %-49 %" atribuida a un estudio que no la reporta</w:t>
            </w:r>
          </w:p>
        </w:tc>
        <w:tc>
          <w:tcPr>
            <w:tcW w:type="dxa" w:w="765"/>
          </w:tcPr>
          <w:p>
            <w:r/>
            <w:r>
              <w:rPr>
                <w:sz w:val="16"/>
              </w:rPr>
              <w:t>5</w:t>
            </w:r>
          </w:p>
        </w:tc>
        <w:tc>
          <w:tcPr>
            <w:tcW w:type="dxa" w:w="663"/>
          </w:tcPr>
          <w:p>
            <w:r/>
            <w:r>
              <w:rPr>
                <w:sz w:val="16"/>
              </w:rPr>
              <w:t>✔</w:t>
            </w:r>
          </w:p>
        </w:tc>
        <w:tc>
          <w:tcPr>
            <w:tcW w:type="dxa" w:w="1276"/>
          </w:tcPr>
          <w:p>
            <w:r/>
            <w:r>
              <w:rPr>
                <w:sz w:val="16"/>
              </w:rPr>
              <w:t>Confirmado</w:t>
            </w:r>
          </w:p>
        </w:tc>
      </w:tr>
      <w:tr>
        <w:tc>
          <w:tcPr>
            <w:tcW w:type="dxa" w:w="969"/>
          </w:tcPr>
          <w:p>
            <w:r/>
            <w:r>
              <w:rPr>
                <w:sz w:val="16"/>
              </w:rPr>
              <w:t>MUL-14</w:t>
            </w:r>
          </w:p>
        </w:tc>
        <w:tc>
          <w:tcPr>
            <w:tcW w:type="dxa" w:w="663"/>
          </w:tcPr>
          <w:p>
            <w:r/>
            <w:r>
              <w:rPr>
                <w:sz w:val="16"/>
              </w:rPr>
              <w:t>T24</w:t>
            </w:r>
          </w:p>
        </w:tc>
        <w:tc>
          <w:tcPr>
            <w:tcW w:type="dxa" w:w="1134"/>
          </w:tcPr>
          <w:p>
            <w:r/>
            <w:r>
              <w:rPr>
                <w:sz w:val="16"/>
              </w:rPr>
              <w:t>133</w:t>
            </w:r>
          </w:p>
        </w:tc>
        <w:tc>
          <w:tcPr>
            <w:tcW w:type="dxa" w:w="4167"/>
          </w:tcPr>
          <w:p>
            <w:r/>
            <w:r>
              <w:rPr>
                <w:sz w:val="16"/>
              </w:rPr>
              <w:t>Depresión por sexo: dato contrario a la fuente citada</w:t>
            </w:r>
          </w:p>
        </w:tc>
        <w:tc>
          <w:tcPr>
            <w:tcW w:type="dxa" w:w="765"/>
          </w:tcPr>
          <w:p>
            <w:r/>
            <w:r>
              <w:rPr>
                <w:sz w:val="16"/>
              </w:rPr>
              <w:t>4</w:t>
            </w:r>
          </w:p>
        </w:tc>
        <w:tc>
          <w:tcPr>
            <w:tcW w:type="dxa" w:w="663"/>
          </w:tcPr>
          <w:p>
            <w:r/>
            <w:r>
              <w:rPr>
                <w:sz w:val="16"/>
              </w:rPr>
              <w:t>✔</w:t>
            </w:r>
          </w:p>
        </w:tc>
        <w:tc>
          <w:tcPr>
            <w:tcW w:type="dxa" w:w="1276"/>
          </w:tcPr>
          <w:p>
            <w:r/>
            <w:r>
              <w:rPr>
                <w:sz w:val="16"/>
              </w:rPr>
              <w:t>Confirmado</w:t>
            </w:r>
          </w:p>
        </w:tc>
      </w:tr>
      <w:tr>
        <w:tc>
          <w:tcPr>
            <w:tcW w:type="dxa" w:w="969"/>
          </w:tcPr>
          <w:p>
            <w:r/>
            <w:r>
              <w:rPr>
                <w:sz w:val="16"/>
              </w:rPr>
              <w:t>EPI-18</w:t>
            </w:r>
          </w:p>
        </w:tc>
        <w:tc>
          <w:tcPr>
            <w:tcW w:type="dxa" w:w="663"/>
          </w:tcPr>
          <w:p>
            <w:r/>
            <w:r>
              <w:rPr>
                <w:sz w:val="16"/>
              </w:rPr>
              <w:t>T25</w:t>
            </w:r>
          </w:p>
        </w:tc>
        <w:tc>
          <w:tcPr>
            <w:tcW w:type="dxa" w:w="1134"/>
          </w:tcPr>
          <w:p>
            <w:r/>
            <w:r>
              <w:rPr>
                <w:sz w:val="16"/>
              </w:rPr>
              <w:t>27</w:t>
            </w:r>
          </w:p>
        </w:tc>
        <w:tc>
          <w:tcPr>
            <w:tcW w:type="dxa" w:w="4167"/>
          </w:tcPr>
          <w:p>
            <w:r/>
            <w:r>
              <w:rPr>
                <w:sz w:val="16"/>
              </w:rPr>
              <w:t>Raza/etnia y nivel socioeconómico: tratamiento mínimo y etiqueta incorrecta de la fuente</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EQ-06</w:t>
            </w:r>
          </w:p>
        </w:tc>
        <w:tc>
          <w:tcPr>
            <w:tcW w:type="dxa" w:w="663"/>
          </w:tcPr>
          <w:p>
            <w:r/>
            <w:r>
              <w:rPr>
                <w:sz w:val="16"/>
              </w:rPr>
              <w:t>T25</w:t>
            </w:r>
          </w:p>
        </w:tc>
        <w:tc>
          <w:tcPr>
            <w:tcW w:type="dxa" w:w="1134"/>
          </w:tcPr>
          <w:p>
            <w:r/>
            <w:r>
              <w:rPr>
                <w:sz w:val="16"/>
              </w:rPr>
              <w:t>77, 79, 158</w:t>
            </w:r>
          </w:p>
        </w:tc>
        <w:tc>
          <w:tcPr>
            <w:tcW w:type="dxa" w:w="4167"/>
          </w:tcPr>
          <w:p>
            <w:r/>
            <w:r>
              <w:rPr>
                <w:sz w:val="16"/>
              </w:rPr>
              <w:t>Tratamientos de alto coste presentados sin consideraciones de coste-efectividad y con un marco regulatorio estadounidense</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EQ-10</w:t>
            </w:r>
          </w:p>
        </w:tc>
        <w:tc>
          <w:tcPr>
            <w:tcW w:type="dxa" w:w="663"/>
          </w:tcPr>
          <w:p>
            <w:r/>
            <w:r>
              <w:rPr>
                <w:sz w:val="16"/>
              </w:rPr>
              <w:t>T25</w:t>
            </w:r>
          </w:p>
        </w:tc>
        <w:tc>
          <w:tcPr>
            <w:tcW w:type="dxa" w:w="1134"/>
          </w:tcPr>
          <w:p>
            <w:r/>
            <w:r>
              <w:rPr>
                <w:sz w:val="16"/>
              </w:rPr>
              <w:t>19, 121, 133</w:t>
            </w:r>
          </w:p>
        </w:tc>
        <w:tc>
          <w:tcPr>
            <w:tcW w:type="dxa" w:w="4167"/>
          </w:tcPr>
          <w:p>
            <w:r/>
            <w:r>
              <w:rPr>
                <w:sz w:val="16"/>
              </w:rPr>
              <w:t>Lenguaje no centrado en la persona y potencialmente estigmatizante</w:t>
            </w:r>
          </w:p>
        </w:tc>
        <w:tc>
          <w:tcPr>
            <w:tcW w:type="dxa" w:w="765"/>
          </w:tcPr>
          <w:p>
            <w:r/>
            <w:r>
              <w:rPr>
                <w:sz w:val="16"/>
              </w:rPr>
              <w:t>5</w:t>
            </w:r>
          </w:p>
        </w:tc>
        <w:tc>
          <w:tcPr>
            <w:tcW w:type="dxa" w:w="663"/>
          </w:tcPr>
          <w:p>
            <w:r/>
            <w:r>
              <w:rPr>
                <w:sz w:val="16"/>
              </w:rPr>
              <w:t>✔</w:t>
            </w:r>
          </w:p>
        </w:tc>
        <w:tc>
          <w:tcPr>
            <w:tcW w:type="dxa" w:w="1276"/>
          </w:tcPr>
          <w:p>
            <w:r/>
          </w:p>
        </w:tc>
      </w:tr>
      <w:tr>
        <w:tc>
          <w:tcPr>
            <w:tcW w:type="dxa" w:w="969"/>
          </w:tcPr>
          <w:p>
            <w:r/>
            <w:r>
              <w:rPr>
                <w:sz w:val="16"/>
              </w:rPr>
              <w:t>EQ-11</w:t>
            </w:r>
          </w:p>
        </w:tc>
        <w:tc>
          <w:tcPr>
            <w:tcW w:type="dxa" w:w="663"/>
          </w:tcPr>
          <w:p>
            <w:r/>
            <w:r>
              <w:rPr>
                <w:sz w:val="16"/>
              </w:rPr>
              <w:t>T25</w:t>
            </w:r>
          </w:p>
        </w:tc>
        <w:tc>
          <w:tcPr>
            <w:tcW w:type="dxa" w:w="1134"/>
          </w:tcPr>
          <w:p>
            <w:r/>
            <w:r>
              <w:rPr>
                <w:sz w:val="16"/>
              </w:rPr>
              <w:t>82, 170</w:t>
            </w:r>
          </w:p>
        </w:tc>
        <w:tc>
          <w:tcPr>
            <w:tcW w:type="dxa" w:w="4167"/>
          </w:tcPr>
          <w:p>
            <w:r/>
            <w:r>
              <w:rPr>
                <w:sz w:val="16"/>
              </w:rPr>
              <w:t>Escasa atención a la alfabetización en salud y a la perspectiva del paciente</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EQ-15</w:t>
            </w:r>
          </w:p>
        </w:tc>
        <w:tc>
          <w:tcPr>
            <w:tcW w:type="dxa" w:w="663"/>
          </w:tcPr>
          <w:p>
            <w:r/>
            <w:r>
              <w:rPr>
                <w:sz w:val="16"/>
              </w:rPr>
              <w:t>T25</w:t>
            </w:r>
          </w:p>
        </w:tc>
        <w:tc>
          <w:tcPr>
            <w:tcW w:type="dxa" w:w="1134"/>
          </w:tcPr>
          <w:p>
            <w:r/>
            <w:r>
              <w:rPr>
                <w:sz w:val="16"/>
              </w:rPr>
              <w:t>73, 78, 131</w:t>
            </w:r>
          </w:p>
        </w:tc>
        <w:tc>
          <w:tcPr>
            <w:tcW w:type="dxa" w:w="4167"/>
          </w:tcPr>
          <w:p>
            <w:r/>
            <w:r>
              <w:rPr>
                <w:sz w:val="16"/>
              </w:rPr>
              <w:t>EPOC post-TB: se reconoce, pero sin estándares de seguimiento y con la precaución sobre los ICS ausente de los algoritmos</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EQ-16</w:t>
            </w:r>
          </w:p>
        </w:tc>
        <w:tc>
          <w:tcPr>
            <w:tcW w:type="dxa" w:w="663"/>
          </w:tcPr>
          <w:p>
            <w:r/>
            <w:r>
              <w:rPr>
                <w:sz w:val="16"/>
              </w:rPr>
              <w:t>T25</w:t>
            </w:r>
          </w:p>
        </w:tc>
        <w:tc>
          <w:tcPr>
            <w:tcW w:type="dxa" w:w="1134"/>
          </w:tcPr>
          <w:p>
            <w:r/>
            <w:r>
              <w:rPr>
                <w:sz w:val="16"/>
              </w:rPr>
              <w:t>16, 66</w:t>
            </w:r>
          </w:p>
        </w:tc>
        <w:tc>
          <w:tcPr>
            <w:tcW w:type="dxa" w:w="4167"/>
          </w:tcPr>
          <w:p>
            <w:r/>
            <w:r>
              <w:rPr>
                <w:sz w:val="16"/>
              </w:rPr>
              <w:t>Biomasa: recomendación genérica, no accionable y sin reflejar los ensayos de intervención</w:t>
            </w:r>
          </w:p>
        </w:tc>
        <w:tc>
          <w:tcPr>
            <w:tcW w:type="dxa" w:w="765"/>
          </w:tcPr>
          <w:p>
            <w:r/>
            <w:r>
              <w:rPr>
                <w:sz w:val="16"/>
              </w:rPr>
              <w:t>3</w:t>
            </w:r>
          </w:p>
        </w:tc>
        <w:tc>
          <w:tcPr>
            <w:tcW w:type="dxa" w:w="663"/>
          </w:tcPr>
          <w:p>
            <w:r/>
            <w:r>
              <w:rPr>
                <w:sz w:val="16"/>
              </w:rPr>
              <w:t>✔</w:t>
            </w:r>
          </w:p>
        </w:tc>
        <w:tc>
          <w:tcPr>
            <w:tcW w:type="dxa" w:w="1276"/>
          </w:tcPr>
          <w:p>
            <w:r/>
          </w:p>
        </w:tc>
      </w:tr>
      <w:tr>
        <w:tc>
          <w:tcPr>
            <w:tcW w:type="dxa" w:w="969"/>
          </w:tcPr>
          <w:p>
            <w:r/>
            <w:r>
              <w:rPr>
                <w:sz w:val="16"/>
              </w:rPr>
              <w:t>EQ-17</w:t>
            </w:r>
          </w:p>
        </w:tc>
        <w:tc>
          <w:tcPr>
            <w:tcW w:type="dxa" w:w="663"/>
          </w:tcPr>
          <w:p>
            <w:r/>
            <w:r>
              <w:rPr>
                <w:sz w:val="16"/>
              </w:rPr>
              <w:t>T25</w:t>
            </w:r>
          </w:p>
        </w:tc>
        <w:tc>
          <w:tcPr>
            <w:tcW w:type="dxa" w:w="1134"/>
          </w:tcPr>
          <w:p>
            <w:r/>
            <w:r>
              <w:rPr>
                <w:sz w:val="16"/>
              </w:rPr>
              <w:t>17, 36, 66</w:t>
            </w:r>
          </w:p>
        </w:tc>
        <w:tc>
          <w:tcPr>
            <w:tcW w:type="dxa" w:w="4167"/>
          </w:tcPr>
          <w:p>
            <w:r/>
            <w:r>
              <w:rPr>
                <w:sz w:val="16"/>
              </w:rPr>
              <w:t>Exposición ocupacional: referencias desactualizadas, ausente en la anamnesis y con un mensaje débil</w:t>
            </w:r>
          </w:p>
        </w:tc>
        <w:tc>
          <w:tcPr>
            <w:tcW w:type="dxa" w:w="765"/>
          </w:tcPr>
          <w:p>
            <w:r/>
            <w:r>
              <w:rPr>
                <w:sz w:val="16"/>
              </w:rPr>
              <w:t>5</w:t>
            </w:r>
          </w:p>
        </w:tc>
        <w:tc>
          <w:tcPr>
            <w:tcW w:type="dxa" w:w="663"/>
          </w:tcPr>
          <w:p>
            <w:r/>
            <w:r>
              <w:rPr>
                <w:sz w:val="16"/>
              </w:rPr>
              <w:t>✔</w:t>
            </w:r>
          </w:p>
        </w:tc>
        <w:tc>
          <w:tcPr>
            <w:tcW w:type="dxa" w:w="1276"/>
          </w:tcPr>
          <w:p>
            <w:r/>
          </w:p>
        </w:tc>
      </w:tr>
      <w:tr>
        <w:tc>
          <w:tcPr>
            <w:tcW w:type="dxa" w:w="969"/>
          </w:tcPr>
          <w:p>
            <w:r/>
            <w:r>
              <w:rPr>
                <w:sz w:val="16"/>
              </w:rPr>
              <w:t>EQ-21</w:t>
            </w:r>
          </w:p>
        </w:tc>
        <w:tc>
          <w:tcPr>
            <w:tcW w:type="dxa" w:w="663"/>
          </w:tcPr>
          <w:p>
            <w:r/>
            <w:r>
              <w:rPr>
                <w:sz w:val="16"/>
              </w:rPr>
              <w:t>T26</w:t>
            </w:r>
          </w:p>
        </w:tc>
        <w:tc>
          <w:tcPr>
            <w:tcW w:type="dxa" w:w="1134"/>
          </w:tcPr>
          <w:p>
            <w:r/>
            <w:r>
              <w:rPr>
                <w:sz w:val="16"/>
              </w:rPr>
              <w:t>82</w:t>
            </w:r>
          </w:p>
        </w:tc>
        <w:tc>
          <w:tcPr>
            <w:tcW w:type="dxa" w:w="4167"/>
          </w:tcPr>
          <w:p>
            <w:r/>
            <w:r>
              <w:rPr>
                <w:sz w:val="16"/>
              </w:rPr>
              <w:t>La advertencia contra el cambio de dispositivo por motivos ambientales se basa en un único estudio observacional con factores de confusión</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FARM-22</w:t>
            </w:r>
          </w:p>
        </w:tc>
        <w:tc>
          <w:tcPr>
            <w:tcW w:type="dxa" w:w="663"/>
          </w:tcPr>
          <w:p>
            <w:r/>
            <w:r>
              <w:rPr>
                <w:sz w:val="16"/>
              </w:rPr>
              <w:t>T26</w:t>
            </w:r>
          </w:p>
        </w:tc>
        <w:tc>
          <w:tcPr>
            <w:tcW w:type="dxa" w:w="1134"/>
          </w:tcPr>
          <w:p>
            <w:r/>
            <w:r>
              <w:rPr>
                <w:sz w:val="16"/>
              </w:rPr>
              <w:t>64, 66, 81</w:t>
            </w:r>
          </w:p>
        </w:tc>
        <w:tc>
          <w:tcPr>
            <w:tcW w:type="dxa" w:w="4167"/>
          </w:tcPr>
          <w:p>
            <w:r/>
            <w:r>
              <w:rPr>
                <w:sz w:val="16"/>
              </w:rPr>
              <w:t>Contaminación y exposiciones: medidas individuales omitidas y huella de los inhaladores incompleta</w:t>
            </w:r>
          </w:p>
        </w:tc>
        <w:tc>
          <w:tcPr>
            <w:tcW w:type="dxa" w:w="765"/>
          </w:tcPr>
          <w:p>
            <w:r/>
            <w:r>
              <w:rPr>
                <w:sz w:val="16"/>
              </w:rPr>
              <w:t>3</w:t>
            </w:r>
          </w:p>
        </w:tc>
        <w:tc>
          <w:tcPr>
            <w:tcW w:type="dxa" w:w="663"/>
          </w:tcPr>
          <w:p>
            <w:r/>
            <w:r>
              <w:rPr>
                <w:sz w:val="16"/>
              </w:rPr>
              <w:t>✔</w:t>
            </w:r>
          </w:p>
        </w:tc>
        <w:tc>
          <w:tcPr>
            <w:tcW w:type="dxa" w:w="1276"/>
          </w:tcPr>
          <w:p>
            <w:r/>
          </w:p>
        </w:tc>
      </w:tr>
      <w:tr>
        <w:tc>
          <w:tcPr>
            <w:tcW w:type="dxa" w:w="969"/>
          </w:tcPr>
          <w:p>
            <w:r/>
            <w:r>
              <w:rPr>
                <w:sz w:val="16"/>
              </w:rPr>
              <w:t>COH-12</w:t>
            </w:r>
          </w:p>
        </w:tc>
        <w:tc>
          <w:tcPr>
            <w:tcW w:type="dxa" w:w="663"/>
          </w:tcPr>
          <w:p>
            <w:r/>
            <w:r>
              <w:rPr>
                <w:sz w:val="16"/>
              </w:rPr>
              <w:t>T27</w:t>
            </w:r>
          </w:p>
        </w:tc>
        <w:tc>
          <w:tcPr>
            <w:tcW w:type="dxa" w:w="1134"/>
          </w:tcPr>
          <w:p>
            <w:r/>
            <w:r>
              <w:rPr>
                <w:sz w:val="16"/>
              </w:rPr>
              <w:t>103, 120</w:t>
            </w:r>
          </w:p>
        </w:tc>
        <w:tc>
          <w:tcPr>
            <w:tcW w:type="dxa" w:w="4167"/>
          </w:tcPr>
          <w:p>
            <w:r/>
            <w:r>
              <w:rPr>
                <w:sz w:val="16"/>
              </w:rPr>
              <w:t>ICS al alta: "should" frente a "should be considered", sin umbral de eosinófilos</w:t>
            </w:r>
          </w:p>
        </w:tc>
        <w:tc>
          <w:tcPr>
            <w:tcW w:type="dxa" w:w="765"/>
          </w:tcPr>
          <w:p>
            <w:r/>
            <w:r>
              <w:rPr>
                <w:sz w:val="16"/>
              </w:rPr>
              <w:t>—</w:t>
            </w:r>
          </w:p>
        </w:tc>
        <w:tc>
          <w:tcPr>
            <w:tcW w:type="dxa" w:w="663"/>
          </w:tcPr>
          <w:p>
            <w:r/>
            <w:r>
              <w:rPr>
                <w:sz w:val="16"/>
              </w:rPr>
              <w:t>≈</w:t>
            </w:r>
          </w:p>
        </w:tc>
        <w:tc>
          <w:tcPr>
            <w:tcW w:type="dxa" w:w="1276"/>
          </w:tcPr>
          <w:p>
            <w:r/>
          </w:p>
        </w:tc>
      </w:tr>
      <w:tr>
        <w:tc>
          <w:tcPr>
            <w:tcW w:type="dxa" w:w="969"/>
          </w:tcPr>
          <w:p>
            <w:r/>
            <w:r>
              <w:rPr>
                <w:sz w:val="16"/>
              </w:rPr>
              <w:t>EXA-21</w:t>
            </w:r>
          </w:p>
        </w:tc>
        <w:tc>
          <w:tcPr>
            <w:tcW w:type="dxa" w:w="663"/>
          </w:tcPr>
          <w:p>
            <w:r/>
            <w:r>
              <w:rPr>
                <w:sz w:val="16"/>
              </w:rPr>
              <w:t>T27</w:t>
            </w:r>
          </w:p>
        </w:tc>
        <w:tc>
          <w:tcPr>
            <w:tcW w:type="dxa" w:w="1134"/>
          </w:tcPr>
          <w:p>
            <w:r/>
            <w:r>
              <w:rPr>
                <w:sz w:val="16"/>
              </w:rPr>
              <w:t>120, 121</w:t>
            </w:r>
          </w:p>
        </w:tc>
        <w:tc>
          <w:tcPr>
            <w:tcW w:type="dxa" w:w="4167"/>
          </w:tcPr>
          <w:p>
            <w:r/>
            <w:r>
              <w:rPr>
                <w:sz w:val="16"/>
              </w:rPr>
              <w:t>Alta: eosinófilos sin umbral, ausencia de criterios objetivos de alta y de VNI domiciliaria, y evidencia observacional sesgada</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EXA-22</w:t>
            </w:r>
          </w:p>
        </w:tc>
        <w:tc>
          <w:tcPr>
            <w:tcW w:type="dxa" w:w="663"/>
          </w:tcPr>
          <w:p>
            <w:r/>
            <w:r>
              <w:rPr>
                <w:sz w:val="16"/>
              </w:rPr>
              <w:t>T27</w:t>
            </w:r>
          </w:p>
        </w:tc>
        <w:tc>
          <w:tcPr>
            <w:tcW w:type="dxa" w:w="1134"/>
          </w:tcPr>
          <w:p>
            <w:r/>
            <w:r>
              <w:rPr>
                <w:sz w:val="16"/>
              </w:rPr>
              <w:t>111, 122, 138</w:t>
            </w:r>
          </w:p>
        </w:tc>
        <w:tc>
          <w:tcPr>
            <w:tcW w:type="dxa" w:w="4167"/>
          </w:tcPr>
          <w:p>
            <w:r/>
            <w:r>
              <w:rPr>
                <w:sz w:val="16"/>
              </w:rPr>
              <w:t>Vitamina D: efecto sobrestimado e incoherente con el cap. 5</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FARM-18</w:t>
            </w:r>
          </w:p>
        </w:tc>
        <w:tc>
          <w:tcPr>
            <w:tcW w:type="dxa" w:w="663"/>
          </w:tcPr>
          <w:p>
            <w:r/>
            <w:r>
              <w:rPr>
                <w:sz w:val="16"/>
              </w:rPr>
              <w:t>T27</w:t>
            </w:r>
          </w:p>
        </w:tc>
        <w:tc>
          <w:tcPr>
            <w:tcW w:type="dxa" w:w="1134"/>
          </w:tcPr>
          <w:p>
            <w:r/>
            <w:r>
              <w:rPr>
                <w:sz w:val="16"/>
              </w:rPr>
              <w:t>122, 138, 164</w:t>
            </w:r>
          </w:p>
        </w:tc>
        <w:tc>
          <w:tcPr>
            <w:tcW w:type="dxa" w:w="4167"/>
          </w:tcPr>
          <w:p>
            <w:r/>
            <w:r>
              <w:rPr>
                <w:sz w:val="16"/>
              </w:rPr>
              <w:t>Vitamina D: la Fig 4.11 la presenta como intervención eficaz frente al Apéndice 3</w:t>
            </w:r>
          </w:p>
        </w:tc>
        <w:tc>
          <w:tcPr>
            <w:tcW w:type="dxa" w:w="765"/>
          </w:tcPr>
          <w:p>
            <w:r/>
            <w:r>
              <w:rPr>
                <w:sz w:val="16"/>
              </w:rPr>
              <w:t>4</w:t>
            </w:r>
          </w:p>
        </w:tc>
        <w:tc>
          <w:tcPr>
            <w:tcW w:type="dxa" w:w="663"/>
          </w:tcPr>
          <w:p>
            <w:r/>
            <w:r>
              <w:rPr>
                <w:sz w:val="16"/>
              </w:rPr>
              <w:t>✖</w:t>
            </w:r>
          </w:p>
        </w:tc>
        <w:tc>
          <w:tcPr>
            <w:tcW w:type="dxa" w:w="1276"/>
          </w:tcPr>
          <w:p>
            <w:r/>
            <w:r>
              <w:rPr>
                <w:sz w:val="16"/>
              </w:rPr>
              <w:t>Confirmado</w:t>
            </w:r>
          </w:p>
        </w:tc>
      </w:tr>
      <w:tr>
        <w:tc>
          <w:tcPr>
            <w:tcW w:type="dxa" w:w="969"/>
          </w:tcPr>
          <w:p>
            <w:r/>
            <w:r>
              <w:rPr>
                <w:sz w:val="16"/>
              </w:rPr>
              <w:t>NOV-16</w:t>
            </w:r>
          </w:p>
        </w:tc>
        <w:tc>
          <w:tcPr>
            <w:tcW w:type="dxa" w:w="663"/>
          </w:tcPr>
          <w:p>
            <w:r/>
            <w:r>
              <w:rPr>
                <w:sz w:val="16"/>
              </w:rPr>
              <w:t>T27</w:t>
            </w:r>
          </w:p>
        </w:tc>
        <w:tc>
          <w:tcPr>
            <w:tcW w:type="dxa" w:w="1134"/>
          </w:tcPr>
          <w:p>
            <w:r/>
            <w:r>
              <w:rPr>
                <w:sz w:val="16"/>
              </w:rPr>
              <w:t>111, 122, 164</w:t>
            </w:r>
          </w:p>
        </w:tc>
        <w:tc>
          <w:tcPr>
            <w:tcW w:type="dxa" w:w="4167"/>
          </w:tcPr>
          <w:p>
            <w:r/>
            <w:r>
              <w:rPr>
                <w:sz w:val="16"/>
              </w:rPr>
              <w:t>Vitamina D: listada sin restricción en la Fig. 4.11 y cita de apoyo contradictoria en el cap. 4</w:t>
            </w:r>
          </w:p>
        </w:tc>
        <w:tc>
          <w:tcPr>
            <w:tcW w:type="dxa" w:w="765"/>
          </w:tcPr>
          <w:p>
            <w:r/>
            <w:r>
              <w:rPr>
                <w:sz w:val="16"/>
              </w:rPr>
              <w:t>4</w:t>
            </w:r>
          </w:p>
        </w:tc>
        <w:tc>
          <w:tcPr>
            <w:tcW w:type="dxa" w:w="663"/>
          </w:tcPr>
          <w:p>
            <w:r/>
            <w:r>
              <w:rPr>
                <w:sz w:val="16"/>
              </w:rPr>
              <w:t>✔</w:t>
            </w:r>
          </w:p>
        </w:tc>
        <w:tc>
          <w:tcPr>
            <w:tcW w:type="dxa" w:w="1276"/>
          </w:tcPr>
          <w:p>
            <w:r/>
            <w:r>
              <w:rPr>
                <w:sz w:val="16"/>
              </w:rPr>
              <w:t>Confirmado</w:t>
            </w:r>
          </w:p>
        </w:tc>
      </w:tr>
      <w:tr>
        <w:tc>
          <w:tcPr>
            <w:tcW w:type="dxa" w:w="969"/>
          </w:tcPr>
          <w:p>
            <w:r/>
            <w:r>
              <w:rPr>
                <w:sz w:val="16"/>
              </w:rPr>
              <w:t>REH-19</w:t>
            </w:r>
          </w:p>
        </w:tc>
        <w:tc>
          <w:tcPr>
            <w:tcW w:type="dxa" w:w="663"/>
          </w:tcPr>
          <w:p>
            <w:r/>
            <w:r>
              <w:rPr>
                <w:sz w:val="16"/>
              </w:rPr>
              <w:t>T28</w:t>
            </w:r>
          </w:p>
        </w:tc>
        <w:tc>
          <w:tcPr>
            <w:tcW w:type="dxa" w:w="1134"/>
          </w:tcPr>
          <w:p>
            <w:r/>
            <w:r>
              <w:rPr>
                <w:sz w:val="16"/>
              </w:rPr>
              <w:t>170, 171</w:t>
            </w:r>
          </w:p>
        </w:tc>
        <w:tc>
          <w:tcPr>
            <w:tcW w:type="dxa" w:w="4167"/>
          </w:tcPr>
          <w:p>
            <w:r/>
            <w:r>
              <w:rPr>
                <w:sz w:val="16"/>
              </w:rPr>
              <w:t>Componentes del entrenamiento: contradicción entre fuerza y resistencia, y sobreinterpretación de técnicas respiratorias</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REH-20</w:t>
            </w:r>
          </w:p>
        </w:tc>
        <w:tc>
          <w:tcPr>
            <w:tcW w:type="dxa" w:w="663"/>
          </w:tcPr>
          <w:p>
            <w:r/>
            <w:r>
              <w:rPr>
                <w:sz w:val="16"/>
              </w:rPr>
              <w:t>T28</w:t>
            </w:r>
          </w:p>
        </w:tc>
        <w:tc>
          <w:tcPr>
            <w:tcW w:type="dxa" w:w="1134"/>
          </w:tcPr>
          <w:p>
            <w:r/>
            <w:r>
              <w:rPr>
                <w:sz w:val="16"/>
              </w:rPr>
              <w:t>86, 171</w:t>
            </w:r>
          </w:p>
        </w:tc>
        <w:tc>
          <w:tcPr>
            <w:tcW w:type="dxa" w:w="4167"/>
          </w:tcPr>
          <w:p>
            <w:r/>
            <w:r>
              <w:rPr>
                <w:sz w:val="16"/>
              </w:rPr>
              <w:t>Evaluación en RR incompleta: faltan la desaturación de esfuerzo, el estado nutricional y la fragilidad</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REH-21</w:t>
            </w:r>
          </w:p>
        </w:tc>
        <w:tc>
          <w:tcPr>
            <w:tcW w:type="dxa" w:w="663"/>
          </w:tcPr>
          <w:p>
            <w:r/>
            <w:r>
              <w:rPr>
                <w:sz w:val="16"/>
              </w:rPr>
              <w:t>T28</w:t>
            </w:r>
          </w:p>
        </w:tc>
        <w:tc>
          <w:tcPr>
            <w:tcW w:type="dxa" w:w="1134"/>
          </w:tcPr>
          <w:p>
            <w:r/>
            <w:r>
              <w:rPr>
                <w:sz w:val="16"/>
              </w:rPr>
              <w:t>84, 85, 172</w:t>
            </w:r>
          </w:p>
        </w:tc>
        <w:tc>
          <w:tcPr>
            <w:tcW w:type="dxa" w:w="4167"/>
          </w:tcPr>
          <w:p>
            <w:r/>
            <w:r>
              <w:rPr>
                <w:sz w:val="16"/>
              </w:rPr>
              <w:t>Algoritmos no farmacológicos (Figuras 3.15 y 3.16): falta el rasgo de insuficiencia respiratoria y hay criterios de derivación dispares</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REH-22</w:t>
            </w:r>
          </w:p>
        </w:tc>
        <w:tc>
          <w:tcPr>
            <w:tcW w:type="dxa" w:w="663"/>
          </w:tcPr>
          <w:p>
            <w:r/>
            <w:r>
              <w:rPr>
                <w:sz w:val="16"/>
              </w:rPr>
              <w:t>T28</w:t>
            </w:r>
          </w:p>
        </w:tc>
        <w:tc>
          <w:tcPr>
            <w:tcW w:type="dxa" w:w="1134"/>
          </w:tcPr>
          <w:p>
            <w:r/>
            <w:r>
              <w:rPr>
                <w:sz w:val="16"/>
              </w:rPr>
              <w:t>94, 174</w:t>
            </w:r>
          </w:p>
        </w:tc>
        <w:tc>
          <w:tcPr>
            <w:tcW w:type="dxa" w:w="4167"/>
          </w:tcPr>
          <w:p>
            <w:r/>
            <w:r>
              <w:rPr>
                <w:sz w:val="16"/>
              </w:rPr>
              <w:t>Nutrición: métricas desactualizadas, sin criterios diagnósticos ni objetivos, y un subgrupo post hoc presentado como concluyente</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COH-16</w:t>
            </w:r>
          </w:p>
        </w:tc>
        <w:tc>
          <w:tcPr>
            <w:tcW w:type="dxa" w:w="663"/>
          </w:tcPr>
          <w:p>
            <w:r/>
            <w:r>
              <w:rPr>
                <w:sz w:val="16"/>
              </w:rPr>
              <w:t>T29</w:t>
            </w:r>
          </w:p>
        </w:tc>
        <w:tc>
          <w:tcPr>
            <w:tcW w:type="dxa" w:w="1134"/>
          </w:tcPr>
          <w:p>
            <w:r/>
            <w:r>
              <w:rPr>
                <w:sz w:val="16"/>
              </w:rPr>
              <w:t>151</w:t>
            </w:r>
          </w:p>
        </w:tc>
        <w:tc>
          <w:tcPr>
            <w:tcW w:type="dxa" w:w="4167"/>
          </w:tcPr>
          <w:p>
            <w:r/>
            <w:r>
              <w:rPr>
                <w:sz w:val="16"/>
              </w:rPr>
              <w:t>El checklist del Apéndice 2 está desalineado con los capítulos 2-4</w:t>
            </w:r>
          </w:p>
        </w:tc>
        <w:tc>
          <w:tcPr>
            <w:tcW w:type="dxa" w:w="765"/>
          </w:tcPr>
          <w:p>
            <w:r/>
            <w:r>
              <w:rPr>
                <w:sz w:val="16"/>
              </w:rPr>
              <w:t>—</w:t>
            </w:r>
          </w:p>
        </w:tc>
        <w:tc>
          <w:tcPr>
            <w:tcW w:type="dxa" w:w="663"/>
          </w:tcPr>
          <w:p>
            <w:r/>
            <w:r>
              <w:rPr>
                <w:sz w:val="16"/>
              </w:rPr>
              <w:t>✔</w:t>
            </w:r>
          </w:p>
        </w:tc>
        <w:tc>
          <w:tcPr>
            <w:tcW w:type="dxa" w:w="1276"/>
          </w:tcPr>
          <w:p>
            <w:r/>
          </w:p>
        </w:tc>
      </w:tr>
      <w:tr>
        <w:tc>
          <w:tcPr>
            <w:tcW w:type="dxa" w:w="969"/>
          </w:tcPr>
          <w:p>
            <w:r/>
            <w:r>
              <w:rPr>
                <w:sz w:val="16"/>
              </w:rPr>
              <w:t>COH-17</w:t>
            </w:r>
          </w:p>
        </w:tc>
        <w:tc>
          <w:tcPr>
            <w:tcW w:type="dxa" w:w="663"/>
          </w:tcPr>
          <w:p>
            <w:r/>
            <w:r>
              <w:rPr>
                <w:sz w:val="16"/>
              </w:rPr>
              <w:t>T30</w:t>
            </w:r>
          </w:p>
        </w:tc>
        <w:tc>
          <w:tcPr>
            <w:tcW w:type="dxa" w:w="1134"/>
          </w:tcPr>
          <w:p>
            <w:r/>
            <w:r>
              <w:rPr>
                <w:sz w:val="16"/>
              </w:rPr>
              <w:t>166</w:t>
            </w:r>
          </w:p>
        </w:tc>
        <w:tc>
          <w:tcPr>
            <w:tcW w:type="dxa" w:w="4167"/>
          </w:tcPr>
          <w:p>
            <w:r/>
            <w:r>
              <w:rPr>
                <w:sz w:val="16"/>
              </w:rPr>
              <w:t>Umbrales de FEV1 mezclados para la terapia de aumento en el DAAT</w:t>
            </w:r>
          </w:p>
        </w:tc>
        <w:tc>
          <w:tcPr>
            <w:tcW w:type="dxa" w:w="765"/>
          </w:tcPr>
          <w:p>
            <w:r/>
            <w:r>
              <w:rPr>
                <w:sz w:val="16"/>
              </w:rPr>
              <w:t>—</w:t>
            </w:r>
          </w:p>
        </w:tc>
        <w:tc>
          <w:tcPr>
            <w:tcW w:type="dxa" w:w="663"/>
          </w:tcPr>
          <w:p>
            <w:r/>
            <w:r>
              <w:rPr>
                <w:sz w:val="16"/>
              </w:rPr>
              <w:t>✔</w:t>
            </w:r>
          </w:p>
        </w:tc>
        <w:tc>
          <w:tcPr>
            <w:tcW w:type="dxa" w:w="1276"/>
          </w:tcPr>
          <w:p>
            <w:r/>
          </w:p>
        </w:tc>
      </w:tr>
      <w:tr>
        <w:tc>
          <w:tcPr>
            <w:tcW w:type="dxa" w:w="969"/>
          </w:tcPr>
          <w:p>
            <w:r/>
            <w:r>
              <w:rPr>
                <w:sz w:val="16"/>
              </w:rPr>
              <w:t>DX-21</w:t>
            </w:r>
          </w:p>
        </w:tc>
        <w:tc>
          <w:tcPr>
            <w:tcW w:type="dxa" w:w="663"/>
          </w:tcPr>
          <w:p>
            <w:r/>
            <w:r>
              <w:rPr>
                <w:sz w:val="16"/>
              </w:rPr>
              <w:t>T30</w:t>
            </w:r>
          </w:p>
        </w:tc>
        <w:tc>
          <w:tcPr>
            <w:tcW w:type="dxa" w:w="1134"/>
          </w:tcPr>
          <w:p>
            <w:r/>
            <w:r>
              <w:rPr>
                <w:sz w:val="16"/>
              </w:rPr>
              <w:t>18, 59, 166</w:t>
            </w:r>
          </w:p>
        </w:tc>
        <w:tc>
          <w:tcPr>
            <w:tcW w:type="dxa" w:w="4167"/>
          </w:tcPr>
          <w:p>
            <w:r/>
            <w:r>
              <w:rPr>
                <w:sz w:val="16"/>
              </w:rPr>
              <w:t>Déficit de alfa-1 antitripsina: buena recomendación universal, pero sin método ni umbrales y con remisión errónea</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EPI-14</w:t>
            </w:r>
          </w:p>
        </w:tc>
        <w:tc>
          <w:tcPr>
            <w:tcW w:type="dxa" w:w="663"/>
          </w:tcPr>
          <w:p>
            <w:r/>
            <w:r>
              <w:rPr>
                <w:sz w:val="16"/>
              </w:rPr>
              <w:t>T30</w:t>
            </w:r>
          </w:p>
        </w:tc>
        <w:tc>
          <w:tcPr>
            <w:tcW w:type="dxa" w:w="1134"/>
          </w:tcPr>
          <w:p>
            <w:r/>
            <w:r>
              <w:rPr>
                <w:sz w:val="16"/>
              </w:rPr>
              <w:t>17</w:t>
            </w:r>
          </w:p>
        </w:tc>
        <w:tc>
          <w:tcPr>
            <w:tcW w:type="dxa" w:w="4167"/>
          </w:tcPr>
          <w:p>
            <w:r/>
            <w:r>
              <w:rPr>
                <w:sz w:val="16"/>
              </w:rPr>
              <w:t>Genética/AATD: errores conceptuales, duplicación y remisión obsoleta</w:t>
            </w:r>
          </w:p>
        </w:tc>
        <w:tc>
          <w:tcPr>
            <w:tcW w:type="dxa" w:w="765"/>
          </w:tcPr>
          <w:p>
            <w:r/>
            <w:r>
              <w:rPr>
                <w:sz w:val="16"/>
              </w:rPr>
              <w:t>4</w:t>
            </w:r>
          </w:p>
        </w:tc>
        <w:tc>
          <w:tcPr>
            <w:tcW w:type="dxa" w:w="663"/>
          </w:tcPr>
          <w:p>
            <w:r/>
            <w:r>
              <w:rPr>
                <w:sz w:val="16"/>
              </w:rPr>
              <w:t>✔</w:t>
            </w:r>
          </w:p>
        </w:tc>
        <w:tc>
          <w:tcPr>
            <w:tcW w:type="dxa" w:w="1276"/>
          </w:tcPr>
          <w:p>
            <w:r/>
          </w:p>
        </w:tc>
      </w:tr>
    </w:tbl>
    <w:p/>
    <w:p>
      <w:pPr>
        <w:pStyle w:val="Heading3"/>
      </w:pPr>
      <w:r>
        <w:rPr>
          <w:color w:val="A6A6A6"/>
        </w:rPr>
        <w:t>⚪</w:t>
      </w:r>
      <w:r>
        <w:t xml:space="preserve"> Hallazgos de severidad baja (37)</w:t>
      </w:r>
    </w:p>
    <w:tbl>
      <w:tblPr>
        <w:tblStyle w:val="TableGrid"/>
        <w:tblW w:type="auto" w:w="0"/>
        <w:tblLayout w:type="fixed"/>
        <w:tblLook w:firstColumn="1" w:firstRow="1" w:lastColumn="0" w:lastRow="0" w:noHBand="0" w:noVBand="1" w:val="04A0"/>
      </w:tblPr>
      <w:tblGrid>
        <w:gridCol w:w="969"/>
        <w:gridCol w:w="663"/>
        <w:gridCol w:w="1134"/>
        <w:gridCol w:w="4167"/>
        <w:gridCol w:w="765"/>
        <w:gridCol w:w="663"/>
        <w:gridCol w:w="1276"/>
      </w:tblGrid>
      <w:tr>
        <w:trPr>
          <w:tblHeader w:val="true"/>
        </w:trPr>
        <w:tc>
          <w:tcPr>
            <w:tcW w:type="dxa" w:w="969"/>
            <w:shd w:val="clear" w:color="auto" w:fill="D9E2F3"/>
          </w:tcPr>
          <w:p>
            <w:r/>
            <w:r>
              <w:rPr>
                <w:b/>
                <w:sz w:val="16"/>
              </w:rPr>
              <w:t>ID</w:t>
            </w:r>
          </w:p>
        </w:tc>
        <w:tc>
          <w:tcPr>
            <w:tcW w:type="dxa" w:w="663"/>
            <w:shd w:val="clear" w:color="auto" w:fill="D9E2F3"/>
          </w:tcPr>
          <w:p>
            <w:r/>
            <w:r>
              <w:rPr>
                <w:b/>
                <w:sz w:val="16"/>
              </w:rPr>
              <w:t>Tema</w:t>
            </w:r>
          </w:p>
        </w:tc>
        <w:tc>
          <w:tcPr>
            <w:tcW w:type="dxa" w:w="1134"/>
            <w:shd w:val="clear" w:color="auto" w:fill="D9E2F3"/>
          </w:tcPr>
          <w:p>
            <w:r/>
            <w:r>
              <w:rPr>
                <w:b/>
                <w:sz w:val="16"/>
              </w:rPr>
              <w:t>Págs. PDF</w:t>
            </w:r>
          </w:p>
        </w:tc>
        <w:tc>
          <w:tcPr>
            <w:tcW w:type="dxa" w:w="4167"/>
            <w:shd w:val="clear" w:color="auto" w:fill="D9E2F3"/>
          </w:tcPr>
          <w:p>
            <w:r/>
            <w:r>
              <w:rPr>
                <w:b/>
                <w:sz w:val="16"/>
              </w:rPr>
              <w:t>Hallazgo</w:t>
            </w:r>
          </w:p>
        </w:tc>
        <w:tc>
          <w:tcPr>
            <w:tcW w:type="dxa" w:w="765"/>
            <w:shd w:val="clear" w:color="auto" w:fill="D9E2F3"/>
          </w:tcPr>
          <w:p>
            <w:r/>
            <w:r>
              <w:rPr>
                <w:b/>
                <w:sz w:val="16"/>
              </w:rPr>
              <w:t>Conf.</w:t>
            </w:r>
          </w:p>
        </w:tc>
        <w:tc>
          <w:tcPr>
            <w:tcW w:type="dxa" w:w="663"/>
            <w:shd w:val="clear" w:color="auto" w:fill="D9E2F3"/>
          </w:tcPr>
          <w:p>
            <w:r/>
            <w:r>
              <w:rPr>
                <w:b/>
                <w:sz w:val="16"/>
              </w:rPr>
              <w:t>Cita</w:t>
            </w:r>
          </w:p>
        </w:tc>
        <w:tc>
          <w:tcPr>
            <w:tcW w:type="dxa" w:w="1276"/>
            <w:shd w:val="clear" w:color="auto" w:fill="D9E2F3"/>
          </w:tcPr>
          <w:p>
            <w:r/>
            <w:r>
              <w:rPr>
                <w:b/>
                <w:sz w:val="16"/>
              </w:rPr>
              <w:t>Verif.</w:t>
            </w:r>
          </w:p>
        </w:tc>
      </w:tr>
      <w:tr>
        <w:tc>
          <w:tcPr>
            <w:tcW w:type="dxa" w:w="969"/>
          </w:tcPr>
          <w:p>
            <w:r/>
            <w:r>
              <w:rPr>
                <w:sz w:val="16"/>
              </w:rPr>
              <w:t>FARM-19</w:t>
            </w:r>
          </w:p>
        </w:tc>
        <w:tc>
          <w:tcPr>
            <w:tcW w:type="dxa" w:w="663"/>
          </w:tcPr>
          <w:p>
            <w:r/>
            <w:r>
              <w:rPr>
                <w:sz w:val="16"/>
              </w:rPr>
              <w:t>T07</w:t>
            </w:r>
          </w:p>
        </w:tc>
        <w:tc>
          <w:tcPr>
            <w:tcW w:type="dxa" w:w="1134"/>
          </w:tcPr>
          <w:p>
            <w:r/>
            <w:r>
              <w:rPr>
                <w:sz w:val="16"/>
              </w:rPr>
              <w:t>73, 74, 82, 157</w:t>
            </w:r>
          </w:p>
        </w:tc>
        <w:tc>
          <w:tcPr>
            <w:tcW w:type="dxa" w:w="4167"/>
          </w:tcPr>
          <w:p>
            <w:r/>
            <w:r>
              <w:rPr>
                <w:sz w:val="16"/>
              </w:rPr>
              <w:t>"Single inhaler… more… effective… improve adherence": afirmación sobredimensionada</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FARM-21</w:t>
            </w:r>
          </w:p>
        </w:tc>
        <w:tc>
          <w:tcPr>
            <w:tcW w:type="dxa" w:w="663"/>
          </w:tcPr>
          <w:p>
            <w:r/>
            <w:r>
              <w:rPr>
                <w:sz w:val="16"/>
              </w:rPr>
              <w:t>T07</w:t>
            </w:r>
          </w:p>
        </w:tc>
        <w:tc>
          <w:tcPr>
            <w:tcW w:type="dxa" w:w="1134"/>
          </w:tcPr>
          <w:p>
            <w:r/>
            <w:r>
              <w:rPr>
                <w:sz w:val="16"/>
              </w:rPr>
              <w:t>63, 73</w:t>
            </w:r>
          </w:p>
        </w:tc>
        <w:tc>
          <w:tcPr>
            <w:tcW w:type="dxa" w:w="4167"/>
          </w:tcPr>
          <w:p>
            <w:r/>
            <w:r>
              <w:rPr>
                <w:sz w:val="16"/>
              </w:rPr>
              <w:t>Nomenclatura CAT/CAAT y umbrales ambiguos en las Figs 3.2 y 3.8</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FARM-23</w:t>
            </w:r>
          </w:p>
        </w:tc>
        <w:tc>
          <w:tcPr>
            <w:tcW w:type="dxa" w:w="663"/>
          </w:tcPr>
          <w:p>
            <w:r/>
            <w:r>
              <w:rPr>
                <w:sz w:val="16"/>
              </w:rPr>
              <w:t>T07</w:t>
            </w:r>
          </w:p>
        </w:tc>
        <w:tc>
          <w:tcPr>
            <w:tcW w:type="dxa" w:w="1134"/>
          </w:tcPr>
          <w:p>
            <w:r/>
            <w:r>
              <w:rPr>
                <w:sz w:val="16"/>
              </w:rPr>
              <w:t>78</w:t>
            </w:r>
          </w:p>
        </w:tc>
        <w:tc>
          <w:tcPr>
            <w:tcW w:type="dxa" w:w="4167"/>
          </w:tcPr>
          <w:p>
            <w:r/>
            <w:r>
              <w:rPr>
                <w:sz w:val="16"/>
              </w:rPr>
              <w:t>Referencia cruzada errónea en la Fig 3.10</w:t>
            </w:r>
          </w:p>
        </w:tc>
        <w:tc>
          <w:tcPr>
            <w:tcW w:type="dxa" w:w="765"/>
          </w:tcPr>
          <w:p>
            <w:r/>
            <w:r>
              <w:rPr>
                <w:sz w:val="16"/>
              </w:rPr>
              <w:t>5</w:t>
            </w:r>
          </w:p>
        </w:tc>
        <w:tc>
          <w:tcPr>
            <w:tcW w:type="dxa" w:w="663"/>
          </w:tcPr>
          <w:p>
            <w:r/>
            <w:r>
              <w:rPr>
                <w:sz w:val="16"/>
              </w:rPr>
              <w:t>✖</w:t>
            </w:r>
          </w:p>
        </w:tc>
        <w:tc>
          <w:tcPr>
            <w:tcW w:type="dxa" w:w="1276"/>
          </w:tcPr>
          <w:p>
            <w:r/>
          </w:p>
        </w:tc>
      </w:tr>
      <w:tr>
        <w:tc>
          <w:tcPr>
            <w:tcW w:type="dxa" w:w="969"/>
          </w:tcPr>
          <w:p>
            <w:r/>
            <w:r>
              <w:rPr>
                <w:sz w:val="16"/>
              </w:rPr>
              <w:t>NOV-05</w:t>
            </w:r>
          </w:p>
        </w:tc>
        <w:tc>
          <w:tcPr>
            <w:tcW w:type="dxa" w:w="663"/>
          </w:tcPr>
          <w:p>
            <w:r/>
            <w:r>
              <w:rPr>
                <w:sz w:val="16"/>
              </w:rPr>
              <w:t>T08</w:t>
            </w:r>
          </w:p>
        </w:tc>
        <w:tc>
          <w:tcPr>
            <w:tcW w:type="dxa" w:w="1134"/>
          </w:tcPr>
          <w:p>
            <w:r/>
            <w:r>
              <w:rPr>
                <w:sz w:val="16"/>
              </w:rPr>
              <w:t>91, 92, 160</w:t>
            </w:r>
          </w:p>
        </w:tc>
        <w:tc>
          <w:tcPr>
            <w:tcW w:type="dxa" w:w="4167"/>
          </w:tcPr>
          <w:p>
            <w:r/>
            <w:r>
              <w:rPr>
                <w:sz w:val="16"/>
              </w:rPr>
              <w:t>Fig. 3.19 y referencias de ETHOS: cita inexistente, referencias duplicadas y erratas</w:t>
            </w:r>
          </w:p>
        </w:tc>
        <w:tc>
          <w:tcPr>
            <w:tcW w:type="dxa" w:w="765"/>
          </w:tcPr>
          <w:p>
            <w:r/>
            <w:r>
              <w:rPr>
                <w:sz w:val="16"/>
              </w:rPr>
              <w:t>4</w:t>
            </w:r>
          </w:p>
        </w:tc>
        <w:tc>
          <w:tcPr>
            <w:tcW w:type="dxa" w:w="663"/>
          </w:tcPr>
          <w:p>
            <w:r/>
            <w:r>
              <w:rPr>
                <w:sz w:val="16"/>
              </w:rPr>
              <w:t>✖</w:t>
            </w:r>
          </w:p>
        </w:tc>
        <w:tc>
          <w:tcPr>
            <w:tcW w:type="dxa" w:w="1276"/>
          </w:tcPr>
          <w:p>
            <w:r/>
            <w:r>
              <w:rPr>
                <w:sz w:val="16"/>
              </w:rPr>
              <w:t>Parcial</w:t>
            </w:r>
          </w:p>
        </w:tc>
      </w:tr>
      <w:tr>
        <w:tc>
          <w:tcPr>
            <w:tcW w:type="dxa" w:w="969"/>
          </w:tcPr>
          <w:p>
            <w:r/>
            <w:r>
              <w:rPr>
                <w:sz w:val="16"/>
              </w:rPr>
              <w:t>COH-18</w:t>
            </w:r>
          </w:p>
        </w:tc>
        <w:tc>
          <w:tcPr>
            <w:tcW w:type="dxa" w:w="663"/>
          </w:tcPr>
          <w:p>
            <w:r/>
            <w:r>
              <w:rPr>
                <w:sz w:val="16"/>
              </w:rPr>
              <w:t>T09</w:t>
            </w:r>
          </w:p>
        </w:tc>
        <w:tc>
          <w:tcPr>
            <w:tcW w:type="dxa" w:w="1134"/>
          </w:tcPr>
          <w:p>
            <w:r/>
            <w:r>
              <w:rPr>
                <w:sz w:val="16"/>
              </w:rPr>
              <w:t>79, 160, 163</w:t>
            </w:r>
          </w:p>
        </w:tc>
        <w:tc>
          <w:tcPr>
            <w:tcW w:type="dxa" w:w="4167"/>
          </w:tcPr>
          <w:p>
            <w:r/>
            <w:r>
              <w:rPr>
                <w:sz w:val="16"/>
              </w:rPr>
              <w:t>Biológicos: imprecisiones en la Fig. 3.11 y la Fig. A3.3</w:t>
            </w:r>
          </w:p>
        </w:tc>
        <w:tc>
          <w:tcPr>
            <w:tcW w:type="dxa" w:w="765"/>
          </w:tcPr>
          <w:p>
            <w:r/>
            <w:r>
              <w:rPr>
                <w:sz w:val="16"/>
              </w:rPr>
              <w:t>—</w:t>
            </w:r>
          </w:p>
        </w:tc>
        <w:tc>
          <w:tcPr>
            <w:tcW w:type="dxa" w:w="663"/>
          </w:tcPr>
          <w:p>
            <w:r/>
            <w:r>
              <w:rPr>
                <w:sz w:val="16"/>
              </w:rPr>
              <w:t>✖</w:t>
            </w:r>
          </w:p>
        </w:tc>
        <w:tc>
          <w:tcPr>
            <w:tcW w:type="dxa" w:w="1276"/>
          </w:tcPr>
          <w:p>
            <w:r/>
          </w:p>
        </w:tc>
      </w:tr>
      <w:tr>
        <w:tc>
          <w:tcPr>
            <w:tcW w:type="dxa" w:w="969"/>
          </w:tcPr>
          <w:p>
            <w:r/>
            <w:r>
              <w:rPr>
                <w:sz w:val="16"/>
              </w:rPr>
              <w:t>NOV-10</w:t>
            </w:r>
          </w:p>
        </w:tc>
        <w:tc>
          <w:tcPr>
            <w:tcW w:type="dxa" w:w="663"/>
          </w:tcPr>
          <w:p>
            <w:r/>
            <w:r>
              <w:rPr>
                <w:sz w:val="16"/>
              </w:rPr>
              <w:t>T09</w:t>
            </w:r>
          </w:p>
        </w:tc>
        <w:tc>
          <w:tcPr>
            <w:tcW w:type="dxa" w:w="1134"/>
          </w:tcPr>
          <w:p>
            <w:r/>
            <w:r>
              <w:rPr>
                <w:sz w:val="16"/>
              </w:rPr>
              <w:t>157, 163</w:t>
            </w:r>
          </w:p>
        </w:tc>
        <w:tc>
          <w:tcPr>
            <w:tcW w:type="dxa" w:w="4167"/>
          </w:tcPr>
          <w:p>
            <w:r/>
            <w:r>
              <w:rPr>
                <w:sz w:val="16"/>
              </w:rPr>
              <w:t>Ensifentrina: grado de evidencia sobre estado de salud inconsistente entre la Fig. A3.2 y el texto</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NOV-18</w:t>
            </w:r>
          </w:p>
        </w:tc>
        <w:tc>
          <w:tcPr>
            <w:tcW w:type="dxa" w:w="663"/>
          </w:tcPr>
          <w:p>
            <w:r/>
            <w:r>
              <w:rPr>
                <w:sz w:val="16"/>
              </w:rPr>
              <w:t>T09</w:t>
            </w:r>
          </w:p>
        </w:tc>
        <w:tc>
          <w:tcPr>
            <w:tcW w:type="dxa" w:w="1134"/>
          </w:tcPr>
          <w:p>
            <w:r/>
            <w:r>
              <w:rPr>
                <w:sz w:val="16"/>
              </w:rPr>
              <w:t>160</w:t>
            </w:r>
          </w:p>
        </w:tc>
        <w:tc>
          <w:tcPr>
            <w:tcW w:type="dxa" w:w="4167"/>
          </w:tcPr>
          <w:p>
            <w:r/>
            <w:r>
              <w:rPr>
                <w:sz w:val="16"/>
              </w:rPr>
              <w:t>Umbral de eosinófilos en porcentaje en la Fig. A3.3 frente a valores absolutos en el resto</w:t>
            </w:r>
          </w:p>
        </w:tc>
        <w:tc>
          <w:tcPr>
            <w:tcW w:type="dxa" w:w="765"/>
          </w:tcPr>
          <w:p>
            <w:r/>
            <w:r>
              <w:rPr>
                <w:sz w:val="16"/>
              </w:rPr>
              <w:t>3</w:t>
            </w:r>
          </w:p>
        </w:tc>
        <w:tc>
          <w:tcPr>
            <w:tcW w:type="dxa" w:w="663"/>
          </w:tcPr>
          <w:p>
            <w:r/>
            <w:r>
              <w:rPr>
                <w:sz w:val="16"/>
              </w:rPr>
              <w:t>✔</w:t>
            </w:r>
          </w:p>
        </w:tc>
        <w:tc>
          <w:tcPr>
            <w:tcW w:type="dxa" w:w="1276"/>
          </w:tcPr>
          <w:p>
            <w:r/>
            <w:r>
              <w:rPr>
                <w:sz w:val="16"/>
              </w:rPr>
              <w:t>Confirmado</w:t>
            </w:r>
          </w:p>
        </w:tc>
      </w:tr>
      <w:tr>
        <w:tc>
          <w:tcPr>
            <w:tcW w:type="dxa" w:w="969"/>
          </w:tcPr>
          <w:p>
            <w:r/>
            <w:r>
              <w:rPr>
                <w:sz w:val="16"/>
              </w:rPr>
              <w:t>EXA-12</w:t>
            </w:r>
          </w:p>
        </w:tc>
        <w:tc>
          <w:tcPr>
            <w:tcW w:type="dxa" w:w="663"/>
          </w:tcPr>
          <w:p>
            <w:r/>
            <w:r>
              <w:rPr>
                <w:sz w:val="16"/>
              </w:rPr>
              <w:t>T11</w:t>
            </w:r>
          </w:p>
        </w:tc>
        <w:tc>
          <w:tcPr>
            <w:tcW w:type="dxa" w:w="1134"/>
          </w:tcPr>
          <w:p>
            <w:r/>
            <w:r>
              <w:rPr>
                <w:sz w:val="16"/>
              </w:rPr>
              <w:t>115</w:t>
            </w:r>
          </w:p>
        </w:tc>
        <w:tc>
          <w:tcPr>
            <w:tcW w:type="dxa" w:w="4167"/>
          </w:tcPr>
          <w:p>
            <w:r/>
            <w:r>
              <w:rPr>
                <w:sz w:val="16"/>
              </w:rPr>
              <w:t>Especificidad del esputo purulento mal transcrita</w:t>
            </w:r>
          </w:p>
        </w:tc>
        <w:tc>
          <w:tcPr>
            <w:tcW w:type="dxa" w:w="765"/>
          </w:tcPr>
          <w:p>
            <w:r/>
            <w:r>
              <w:rPr>
                <w:sz w:val="16"/>
              </w:rPr>
              <w:t>5</w:t>
            </w:r>
          </w:p>
        </w:tc>
        <w:tc>
          <w:tcPr>
            <w:tcW w:type="dxa" w:w="663"/>
          </w:tcPr>
          <w:p>
            <w:r/>
            <w:r>
              <w:rPr>
                <w:sz w:val="16"/>
              </w:rPr>
              <w:t>✔</w:t>
            </w:r>
          </w:p>
        </w:tc>
        <w:tc>
          <w:tcPr>
            <w:tcW w:type="dxa" w:w="1276"/>
          </w:tcPr>
          <w:p>
            <w:r/>
          </w:p>
        </w:tc>
      </w:tr>
      <w:tr>
        <w:tc>
          <w:tcPr>
            <w:tcW w:type="dxa" w:w="969"/>
          </w:tcPr>
          <w:p>
            <w:r/>
            <w:r>
              <w:rPr>
                <w:sz w:val="16"/>
              </w:rPr>
              <w:t>EXA-24</w:t>
            </w:r>
          </w:p>
        </w:tc>
        <w:tc>
          <w:tcPr>
            <w:tcW w:type="dxa" w:w="663"/>
          </w:tcPr>
          <w:p>
            <w:r/>
            <w:r>
              <w:rPr>
                <w:sz w:val="16"/>
              </w:rPr>
              <w:t>T11</w:t>
            </w:r>
          </w:p>
        </w:tc>
        <w:tc>
          <w:tcPr>
            <w:tcW w:type="dxa" w:w="1134"/>
          </w:tcPr>
          <w:p>
            <w:r/>
            <w:r>
              <w:rPr>
                <w:sz w:val="16"/>
              </w:rPr>
              <w:t>53, 108, 112, 123</w:t>
            </w:r>
          </w:p>
        </w:tc>
        <w:tc>
          <w:tcPr>
            <w:tcW w:type="dxa" w:w="4167"/>
          </w:tcPr>
          <w:p>
            <w:r/>
            <w:r>
              <w:rPr>
                <w:sz w:val="16"/>
              </w:rPr>
              <w:t>Duración del exceso de riesgo cardiovascular tras la exacerbación: cifras distintas en el mismo capítulo</w:t>
            </w:r>
          </w:p>
        </w:tc>
        <w:tc>
          <w:tcPr>
            <w:tcW w:type="dxa" w:w="765"/>
          </w:tcPr>
          <w:p>
            <w:r/>
            <w:r>
              <w:rPr>
                <w:sz w:val="16"/>
              </w:rPr>
              <w:t>5</w:t>
            </w:r>
          </w:p>
        </w:tc>
        <w:tc>
          <w:tcPr>
            <w:tcW w:type="dxa" w:w="663"/>
          </w:tcPr>
          <w:p>
            <w:r/>
            <w:r>
              <w:rPr>
                <w:sz w:val="16"/>
              </w:rPr>
              <w:t>✔</w:t>
            </w:r>
          </w:p>
        </w:tc>
        <w:tc>
          <w:tcPr>
            <w:tcW w:type="dxa" w:w="1276"/>
          </w:tcPr>
          <w:p>
            <w:r/>
          </w:p>
        </w:tc>
      </w:tr>
      <w:tr>
        <w:tc>
          <w:tcPr>
            <w:tcW w:type="dxa" w:w="969"/>
          </w:tcPr>
          <w:p>
            <w:r/>
            <w:r>
              <w:rPr>
                <w:sz w:val="16"/>
              </w:rPr>
              <w:t>REH-23</w:t>
            </w:r>
          </w:p>
        </w:tc>
        <w:tc>
          <w:tcPr>
            <w:tcW w:type="dxa" w:w="663"/>
          </w:tcPr>
          <w:p>
            <w:r/>
            <w:r>
              <w:rPr>
                <w:sz w:val="16"/>
              </w:rPr>
              <w:t>T12</w:t>
            </w:r>
          </w:p>
        </w:tc>
        <w:tc>
          <w:tcPr>
            <w:tcW w:type="dxa" w:w="1134"/>
          </w:tcPr>
          <w:p>
            <w:r/>
            <w:r>
              <w:rPr>
                <w:sz w:val="16"/>
              </w:rPr>
              <w:t>91, 92</w:t>
            </w:r>
          </w:p>
        </w:tc>
        <w:tc>
          <w:tcPr>
            <w:tcW w:type="dxa" w:w="4167"/>
          </w:tcPr>
          <w:p>
            <w:r/>
            <w:r>
              <w:rPr>
                <w:sz w:val="16"/>
              </w:rPr>
              <w:t>Datos de NOTT y MRC simplificados de forma imprecisa (Figura 3.19 y PDF 92)</w:t>
            </w:r>
          </w:p>
        </w:tc>
        <w:tc>
          <w:tcPr>
            <w:tcW w:type="dxa" w:w="765"/>
          </w:tcPr>
          <w:p>
            <w:r/>
            <w:r>
              <w:rPr>
                <w:sz w:val="16"/>
              </w:rPr>
              <w:t>3</w:t>
            </w:r>
          </w:p>
        </w:tc>
        <w:tc>
          <w:tcPr>
            <w:tcW w:type="dxa" w:w="663"/>
          </w:tcPr>
          <w:p>
            <w:r/>
            <w:r>
              <w:rPr>
                <w:sz w:val="16"/>
              </w:rPr>
              <w:t>✖</w:t>
            </w:r>
          </w:p>
        </w:tc>
        <w:tc>
          <w:tcPr>
            <w:tcW w:type="dxa" w:w="1276"/>
          </w:tcPr>
          <w:p>
            <w:r/>
          </w:p>
        </w:tc>
      </w:tr>
      <w:tr>
        <w:tc>
          <w:tcPr>
            <w:tcW w:type="dxa" w:w="969"/>
          </w:tcPr>
          <w:p>
            <w:r/>
            <w:r>
              <w:rPr>
                <w:sz w:val="16"/>
              </w:rPr>
              <w:t>INT-19</w:t>
            </w:r>
          </w:p>
        </w:tc>
        <w:tc>
          <w:tcPr>
            <w:tcW w:type="dxa" w:w="663"/>
          </w:tcPr>
          <w:p>
            <w:r/>
            <w:r>
              <w:rPr>
                <w:sz w:val="16"/>
              </w:rPr>
              <w:t>T14</w:t>
            </w:r>
          </w:p>
        </w:tc>
        <w:tc>
          <w:tcPr>
            <w:tcW w:type="dxa" w:w="1134"/>
          </w:tcPr>
          <w:p>
            <w:r/>
            <w:r>
              <w:rPr>
                <w:sz w:val="16"/>
              </w:rPr>
              <w:t>93</w:t>
            </w:r>
          </w:p>
        </w:tc>
        <w:tc>
          <w:tcPr>
            <w:tcW w:type="dxa" w:w="4167"/>
          </w:tcPr>
          <w:p>
            <w:r/>
            <w:r>
              <w:rPr>
                <w:sz w:val="16"/>
              </w:rPr>
              <w:t>La afirmación sobre morfina de liberación inmediata y resistencia al ejercicio cita el estudio equivocado (309 en vez de 806)</w:t>
            </w:r>
          </w:p>
        </w:tc>
        <w:tc>
          <w:tcPr>
            <w:tcW w:type="dxa" w:w="765"/>
          </w:tcPr>
          <w:p>
            <w:r/>
            <w:r>
              <w:rPr>
                <w:sz w:val="16"/>
              </w:rPr>
              <w:t>5</w:t>
            </w:r>
          </w:p>
        </w:tc>
        <w:tc>
          <w:tcPr>
            <w:tcW w:type="dxa" w:w="663"/>
          </w:tcPr>
          <w:p>
            <w:r/>
            <w:r>
              <w:rPr>
                <w:sz w:val="16"/>
              </w:rPr>
              <w:t>✔</w:t>
            </w:r>
          </w:p>
        </w:tc>
        <w:tc>
          <w:tcPr>
            <w:tcW w:type="dxa" w:w="1276"/>
          </w:tcPr>
          <w:p>
            <w:r/>
          </w:p>
        </w:tc>
      </w:tr>
      <w:tr>
        <w:tc>
          <w:tcPr>
            <w:tcW w:type="dxa" w:w="969"/>
          </w:tcPr>
          <w:p>
            <w:r/>
            <w:r>
              <w:rPr>
                <w:sz w:val="16"/>
              </w:rPr>
              <w:t>INT-20</w:t>
            </w:r>
          </w:p>
        </w:tc>
        <w:tc>
          <w:tcPr>
            <w:tcW w:type="dxa" w:w="663"/>
          </w:tcPr>
          <w:p>
            <w:r/>
            <w:r>
              <w:rPr>
                <w:sz w:val="16"/>
              </w:rPr>
              <w:t>T14</w:t>
            </w:r>
          </w:p>
        </w:tc>
        <w:tc>
          <w:tcPr>
            <w:tcW w:type="dxa" w:w="1134"/>
          </w:tcPr>
          <w:p>
            <w:r/>
            <w:r>
              <w:rPr>
                <w:sz w:val="16"/>
              </w:rPr>
              <w:t>93</w:t>
            </w:r>
          </w:p>
        </w:tc>
        <w:tc>
          <w:tcPr>
            <w:tcW w:type="dxa" w:w="4167"/>
          </w:tcPr>
          <w:p>
            <w:r/>
            <w:r>
              <w:rPr>
                <w:sz w:val="16"/>
              </w:rPr>
              <w:t>Citas erróneas o inadecuadas que respaldan afirmaciones clave</w:t>
            </w:r>
          </w:p>
        </w:tc>
        <w:tc>
          <w:tcPr>
            <w:tcW w:type="dxa" w:w="765"/>
          </w:tcPr>
          <w:p>
            <w:r/>
            <w:r>
              <w:rPr>
                <w:sz w:val="16"/>
              </w:rPr>
              <w:t>5</w:t>
            </w:r>
          </w:p>
        </w:tc>
        <w:tc>
          <w:tcPr>
            <w:tcW w:type="dxa" w:w="663"/>
          </w:tcPr>
          <w:p>
            <w:r/>
            <w:r>
              <w:rPr>
                <w:sz w:val="16"/>
              </w:rPr>
              <w:t>✔</w:t>
            </w:r>
          </w:p>
        </w:tc>
        <w:tc>
          <w:tcPr>
            <w:tcW w:type="dxa" w:w="1276"/>
          </w:tcPr>
          <w:p>
            <w:r/>
          </w:p>
        </w:tc>
      </w:tr>
      <w:tr>
        <w:tc>
          <w:tcPr>
            <w:tcW w:type="dxa" w:w="969"/>
          </w:tcPr>
          <w:p>
            <w:r/>
            <w:r>
              <w:rPr>
                <w:sz w:val="16"/>
              </w:rPr>
              <w:t>INT-21</w:t>
            </w:r>
          </w:p>
        </w:tc>
        <w:tc>
          <w:tcPr>
            <w:tcW w:type="dxa" w:w="663"/>
          </w:tcPr>
          <w:p>
            <w:r/>
            <w:r>
              <w:rPr>
                <w:sz w:val="16"/>
              </w:rPr>
              <w:t>T15</w:t>
            </w:r>
          </w:p>
        </w:tc>
        <w:tc>
          <w:tcPr>
            <w:tcW w:type="dxa" w:w="1134"/>
          </w:tcPr>
          <w:p>
            <w:r/>
            <w:r>
              <w:rPr>
                <w:sz w:val="16"/>
              </w:rPr>
              <w:t>99</w:t>
            </w:r>
          </w:p>
        </w:tc>
        <w:tc>
          <w:tcPr>
            <w:tcW w:type="dxa" w:w="4167"/>
          </w:tcPr>
          <w:p>
            <w:r/>
            <w:r>
              <w:rPr>
                <w:sz w:val="16"/>
              </w:rPr>
              <w:t>Frase confusa sobre las EBV en enfisema heterogéneo y homogéneo</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INT-22</w:t>
            </w:r>
          </w:p>
        </w:tc>
        <w:tc>
          <w:tcPr>
            <w:tcW w:type="dxa" w:w="663"/>
          </w:tcPr>
          <w:p>
            <w:r/>
            <w:r>
              <w:rPr>
                <w:sz w:val="16"/>
              </w:rPr>
              <w:t>T15</w:t>
            </w:r>
          </w:p>
        </w:tc>
        <w:tc>
          <w:tcPr>
            <w:tcW w:type="dxa" w:w="1134"/>
          </w:tcPr>
          <w:p>
            <w:r/>
            <w:r>
              <w:rPr>
                <w:sz w:val="16"/>
              </w:rPr>
              <w:t>101</w:t>
            </w:r>
          </w:p>
        </w:tc>
        <w:tc>
          <w:tcPr>
            <w:tcW w:type="dxa" w:w="4167"/>
          </w:tcPr>
          <w:p>
            <w:r/>
            <w:r>
              <w:rPr>
                <w:sz w:val="16"/>
              </w:rPr>
              <w:t>Se equiparan colapso dinámico excesivo de la vía aérea (EDAC) y traqueobroncomalacia</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INT-23</w:t>
            </w:r>
          </w:p>
        </w:tc>
        <w:tc>
          <w:tcPr>
            <w:tcW w:type="dxa" w:w="663"/>
          </w:tcPr>
          <w:p>
            <w:r/>
            <w:r>
              <w:rPr>
                <w:sz w:val="16"/>
              </w:rPr>
              <w:t>T15</w:t>
            </w:r>
          </w:p>
        </w:tc>
        <w:tc>
          <w:tcPr>
            <w:tcW w:type="dxa" w:w="1134"/>
          </w:tcPr>
          <w:p>
            <w:r/>
            <w:r>
              <w:rPr>
                <w:sz w:val="16"/>
              </w:rPr>
              <w:t>98</w:t>
            </w:r>
          </w:p>
        </w:tc>
        <w:tc>
          <w:tcPr>
            <w:tcW w:type="dxa" w:w="4167"/>
          </w:tcPr>
          <w:p>
            <w:r/>
            <w:r>
              <w:rPr>
                <w:sz w:val="16"/>
              </w:rPr>
              <w:t>Coste de la LVRS presentado de forma sesgada</w:t>
            </w:r>
          </w:p>
        </w:tc>
        <w:tc>
          <w:tcPr>
            <w:tcW w:type="dxa" w:w="765"/>
          </w:tcPr>
          <w:p>
            <w:r/>
            <w:r>
              <w:rPr>
                <w:sz w:val="16"/>
              </w:rPr>
              <w:t>3</w:t>
            </w:r>
          </w:p>
        </w:tc>
        <w:tc>
          <w:tcPr>
            <w:tcW w:type="dxa" w:w="663"/>
          </w:tcPr>
          <w:p>
            <w:r/>
            <w:r>
              <w:rPr>
                <w:sz w:val="16"/>
              </w:rPr>
              <w:t>✔</w:t>
            </w:r>
          </w:p>
        </w:tc>
        <w:tc>
          <w:tcPr>
            <w:tcW w:type="dxa" w:w="1276"/>
          </w:tcPr>
          <w:p>
            <w:r/>
          </w:p>
        </w:tc>
      </w:tr>
      <w:tr>
        <w:tc>
          <w:tcPr>
            <w:tcW w:type="dxa" w:w="969"/>
          </w:tcPr>
          <w:p>
            <w:r/>
            <w:r>
              <w:rPr>
                <w:sz w:val="16"/>
              </w:rPr>
              <w:t>DX-06</w:t>
            </w:r>
          </w:p>
        </w:tc>
        <w:tc>
          <w:tcPr>
            <w:tcW w:type="dxa" w:w="663"/>
          </w:tcPr>
          <w:p>
            <w:r/>
            <w:r>
              <w:rPr>
                <w:sz w:val="16"/>
              </w:rPr>
              <w:t>T18</w:t>
            </w:r>
          </w:p>
        </w:tc>
        <w:tc>
          <w:tcPr>
            <w:tcW w:type="dxa" w:w="1134"/>
          </w:tcPr>
          <w:p>
            <w:r/>
            <w:r>
              <w:rPr>
                <w:sz w:val="16"/>
              </w:rPr>
              <w:t>42</w:t>
            </w:r>
          </w:p>
        </w:tc>
        <w:tc>
          <w:tcPr>
            <w:tcW w:type="dxa" w:w="4167"/>
          </w:tcPr>
          <w:p>
            <w:r/>
            <w:r>
              <w:rPr>
                <w:sz w:val="16"/>
              </w:rPr>
              <w:t>PURE: cifra de población sana errónea y confusión región/raza</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DX-23</w:t>
            </w:r>
          </w:p>
        </w:tc>
        <w:tc>
          <w:tcPr>
            <w:tcW w:type="dxa" w:w="663"/>
          </w:tcPr>
          <w:p>
            <w:r/>
            <w:r>
              <w:rPr>
                <w:sz w:val="16"/>
              </w:rPr>
              <w:t>T18</w:t>
            </w:r>
          </w:p>
        </w:tc>
        <w:tc>
          <w:tcPr>
            <w:tcW w:type="dxa" w:w="1134"/>
          </w:tcPr>
          <w:p>
            <w:r/>
            <w:r>
              <w:rPr>
                <w:sz w:val="16"/>
              </w:rPr>
              <w:t>39</w:t>
            </w:r>
          </w:p>
        </w:tc>
        <w:tc>
          <w:tcPr>
            <w:tcW w:type="dxa" w:w="4167"/>
          </w:tcPr>
          <w:p>
            <w:r/>
            <w:r>
              <w:rPr>
                <w:sz w:val="16"/>
              </w:rPr>
              <w:t>Fig. 2.5B: los valores rotulados no corresponden a la curva dibujada</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DX-24</w:t>
            </w:r>
          </w:p>
        </w:tc>
        <w:tc>
          <w:tcPr>
            <w:tcW w:type="dxa" w:w="663"/>
          </w:tcPr>
          <w:p>
            <w:r/>
            <w:r>
              <w:rPr>
                <w:sz w:val="16"/>
              </w:rPr>
              <w:t>T18</w:t>
            </w:r>
          </w:p>
        </w:tc>
        <w:tc>
          <w:tcPr>
            <w:tcW w:type="dxa" w:w="1134"/>
          </w:tcPr>
          <w:p>
            <w:r/>
            <w:r>
              <w:rPr>
                <w:sz w:val="16"/>
              </w:rPr>
              <w:t>36</w:t>
            </w:r>
          </w:p>
        </w:tc>
        <w:tc>
          <w:tcPr>
            <w:tcW w:type="dxa" w:w="4167"/>
          </w:tcPr>
          <w:p>
            <w:r/>
            <w:r>
              <w:rPr>
                <w:sz w:val="16"/>
              </w:rPr>
              <w:t>Fig. 2.3: insuficiencia cardiaca descrita como «restricción, no obstrucción»</w:t>
            </w:r>
          </w:p>
        </w:tc>
        <w:tc>
          <w:tcPr>
            <w:tcW w:type="dxa" w:w="765"/>
          </w:tcPr>
          <w:p>
            <w:r/>
            <w:r>
              <w:rPr>
                <w:sz w:val="16"/>
              </w:rPr>
              <w:t>3</w:t>
            </w:r>
          </w:p>
        </w:tc>
        <w:tc>
          <w:tcPr>
            <w:tcW w:type="dxa" w:w="663"/>
          </w:tcPr>
          <w:p>
            <w:r/>
            <w:r>
              <w:rPr>
                <w:sz w:val="16"/>
              </w:rPr>
              <w:t>✖</w:t>
            </w:r>
          </w:p>
        </w:tc>
        <w:tc>
          <w:tcPr>
            <w:tcW w:type="dxa" w:w="1276"/>
          </w:tcPr>
          <w:p>
            <w:r/>
          </w:p>
        </w:tc>
      </w:tr>
      <w:tr>
        <w:tc>
          <w:tcPr>
            <w:tcW w:type="dxa" w:w="969"/>
          </w:tcPr>
          <w:p>
            <w:r/>
            <w:r>
              <w:rPr>
                <w:sz w:val="16"/>
              </w:rPr>
              <w:t>EPI-21</w:t>
            </w:r>
          </w:p>
        </w:tc>
        <w:tc>
          <w:tcPr>
            <w:tcW w:type="dxa" w:w="663"/>
          </w:tcPr>
          <w:p>
            <w:r/>
            <w:r>
              <w:rPr>
                <w:sz w:val="16"/>
              </w:rPr>
              <w:t>T19</w:t>
            </w:r>
          </w:p>
        </w:tc>
        <w:tc>
          <w:tcPr>
            <w:tcW w:type="dxa" w:w="1134"/>
          </w:tcPr>
          <w:p>
            <w:r/>
            <w:r>
              <w:rPr>
                <w:sz w:val="16"/>
              </w:rPr>
              <w:t>26</w:t>
            </w:r>
          </w:p>
        </w:tc>
        <w:tc>
          <w:tcPr>
            <w:tcW w:type="dxa" w:w="4167"/>
          </w:tcPr>
          <w:p>
            <w:r/>
            <w:r>
              <w:rPr>
                <w:sz w:val="16"/>
              </w:rPr>
              <w:t>VIH y EPOC: inferencia causal no respaldada</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IA-24</w:t>
            </w:r>
          </w:p>
        </w:tc>
        <w:tc>
          <w:tcPr>
            <w:tcW w:type="dxa" w:w="663"/>
          </w:tcPr>
          <w:p>
            <w:r/>
            <w:r>
              <w:rPr>
                <w:sz w:val="16"/>
              </w:rPr>
              <w:t>T20</w:t>
            </w:r>
          </w:p>
        </w:tc>
        <w:tc>
          <w:tcPr>
            <w:tcW w:type="dxa" w:w="1134"/>
          </w:tcPr>
          <w:p>
            <w:r/>
            <w:r>
              <w:rPr>
                <w:sz w:val="16"/>
              </w:rPr>
              <w:t>142, 143</w:t>
            </w:r>
          </w:p>
        </w:tc>
        <w:tc>
          <w:tcPr>
            <w:tcW w:type="dxa" w:w="4167"/>
          </w:tcPr>
          <w:p>
            <w:r/>
            <w:r>
              <w:rPr>
                <w:sz w:val="16"/>
              </w:rPr>
              <w:t>Definición de IA y taxonomía de la Figura 6.1, imprecisas</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MET-21</w:t>
            </w:r>
          </w:p>
        </w:tc>
        <w:tc>
          <w:tcPr>
            <w:tcW w:type="dxa" w:w="663"/>
          </w:tcPr>
          <w:p>
            <w:r/>
            <w:r>
              <w:rPr>
                <w:sz w:val="16"/>
              </w:rPr>
              <w:t>T21</w:t>
            </w:r>
          </w:p>
        </w:tc>
        <w:tc>
          <w:tcPr>
            <w:tcW w:type="dxa" w:w="1134"/>
          </w:tcPr>
          <w:p>
            <w:r/>
            <w:r>
              <w:rPr>
                <w:sz w:val="16"/>
              </w:rPr>
              <w:t>88, 91, 93, 97, 117, 160</w:t>
            </w:r>
          </w:p>
        </w:tc>
        <w:tc>
          <w:tcPr>
            <w:tcW w:type="dxa" w:w="4167"/>
          </w:tcPr>
          <w:p>
            <w:r/>
            <w:r>
              <w:rPr>
                <w:sz w:val="16"/>
              </w:rPr>
              <w:t>Erratas y redundancias en las figuras con niveles de evidencia</w:t>
            </w:r>
          </w:p>
        </w:tc>
        <w:tc>
          <w:tcPr>
            <w:tcW w:type="dxa" w:w="765"/>
          </w:tcPr>
          <w:p>
            <w:r/>
            <w:r>
              <w:rPr>
                <w:sz w:val="16"/>
              </w:rPr>
              <w:t>—</w:t>
            </w:r>
          </w:p>
        </w:tc>
        <w:tc>
          <w:tcPr>
            <w:tcW w:type="dxa" w:w="663"/>
          </w:tcPr>
          <w:p>
            <w:r/>
            <w:r>
              <w:rPr>
                <w:sz w:val="16"/>
              </w:rPr>
              <w:t>✖</w:t>
            </w:r>
          </w:p>
        </w:tc>
        <w:tc>
          <w:tcPr>
            <w:tcW w:type="dxa" w:w="1276"/>
          </w:tcPr>
          <w:p>
            <w:r/>
          </w:p>
        </w:tc>
      </w:tr>
      <w:tr>
        <w:tc>
          <w:tcPr>
            <w:tcW w:type="dxa" w:w="969"/>
          </w:tcPr>
          <w:p>
            <w:r/>
            <w:r>
              <w:rPr>
                <w:sz w:val="16"/>
              </w:rPr>
              <w:t>MET-19</w:t>
            </w:r>
          </w:p>
        </w:tc>
        <w:tc>
          <w:tcPr>
            <w:tcW w:type="dxa" w:w="663"/>
          </w:tcPr>
          <w:p>
            <w:r/>
            <w:r>
              <w:rPr>
                <w:sz w:val="16"/>
              </w:rPr>
              <w:t>T23</w:t>
            </w:r>
          </w:p>
        </w:tc>
        <w:tc>
          <w:tcPr>
            <w:tcW w:type="dxa" w:w="1134"/>
          </w:tcPr>
          <w:p>
            <w:r/>
            <w:r>
              <w:rPr>
                <w:sz w:val="16"/>
              </w:rPr>
              <w:t>175, 230</w:t>
            </w:r>
          </w:p>
        </w:tc>
        <w:tc>
          <w:tcPr>
            <w:tcW w:type="dxa" w:w="4167"/>
          </w:tcPr>
          <w:p>
            <w:r/>
            <w:r>
              <w:rPr>
                <w:sz w:val="16"/>
              </w:rPr>
              <w:t>Referencias duplicadas y versiones Cochrane superadas</w:t>
            </w:r>
          </w:p>
        </w:tc>
        <w:tc>
          <w:tcPr>
            <w:tcW w:type="dxa" w:w="765"/>
          </w:tcPr>
          <w:p>
            <w:r/>
            <w:r>
              <w:rPr>
                <w:sz w:val="16"/>
              </w:rPr>
              <w:t>—</w:t>
            </w:r>
          </w:p>
        </w:tc>
        <w:tc>
          <w:tcPr>
            <w:tcW w:type="dxa" w:w="663"/>
          </w:tcPr>
          <w:p>
            <w:r/>
            <w:r>
              <w:rPr>
                <w:sz w:val="16"/>
              </w:rPr>
              <w:t>✔</w:t>
            </w:r>
          </w:p>
        </w:tc>
        <w:tc>
          <w:tcPr>
            <w:tcW w:type="dxa" w:w="1276"/>
          </w:tcPr>
          <w:p>
            <w:r/>
          </w:p>
        </w:tc>
      </w:tr>
      <w:tr>
        <w:tc>
          <w:tcPr>
            <w:tcW w:type="dxa" w:w="969"/>
          </w:tcPr>
          <w:p>
            <w:r/>
            <w:r>
              <w:rPr>
                <w:sz w:val="16"/>
              </w:rPr>
              <w:t>MET-20</w:t>
            </w:r>
          </w:p>
        </w:tc>
        <w:tc>
          <w:tcPr>
            <w:tcW w:type="dxa" w:w="663"/>
          </w:tcPr>
          <w:p>
            <w:r/>
            <w:r>
              <w:rPr>
                <w:sz w:val="16"/>
              </w:rPr>
              <w:t>T23</w:t>
            </w:r>
          </w:p>
        </w:tc>
        <w:tc>
          <w:tcPr>
            <w:tcW w:type="dxa" w:w="1134"/>
          </w:tcPr>
          <w:p>
            <w:r/>
            <w:r>
              <w:rPr>
                <w:sz w:val="16"/>
              </w:rPr>
              <w:t>186, 208, 220, 227, 232</w:t>
            </w:r>
          </w:p>
        </w:tc>
        <w:tc>
          <w:tcPr>
            <w:tcW w:type="dxa" w:w="4167"/>
          </w:tcPr>
          <w:p>
            <w:r/>
            <w:r>
              <w:rPr>
                <w:sz w:val="16"/>
              </w:rPr>
              <w:t>Referencias nunca citadas, fuentes no verificables y accesos web caducados</w:t>
            </w:r>
          </w:p>
        </w:tc>
        <w:tc>
          <w:tcPr>
            <w:tcW w:type="dxa" w:w="765"/>
          </w:tcPr>
          <w:p>
            <w:r/>
            <w:r>
              <w:rPr>
                <w:sz w:val="16"/>
              </w:rPr>
              <w:t>—</w:t>
            </w:r>
          </w:p>
        </w:tc>
        <w:tc>
          <w:tcPr>
            <w:tcW w:type="dxa" w:w="663"/>
          </w:tcPr>
          <w:p>
            <w:r/>
            <w:r>
              <w:rPr>
                <w:sz w:val="16"/>
              </w:rPr>
              <w:t>✔</w:t>
            </w:r>
          </w:p>
        </w:tc>
        <w:tc>
          <w:tcPr>
            <w:tcW w:type="dxa" w:w="1276"/>
          </w:tcPr>
          <w:p>
            <w:r/>
          </w:p>
        </w:tc>
      </w:tr>
      <w:tr>
        <w:tc>
          <w:tcPr>
            <w:tcW w:type="dxa" w:w="969"/>
          </w:tcPr>
          <w:p>
            <w:r/>
            <w:r>
              <w:rPr>
                <w:sz w:val="16"/>
              </w:rPr>
              <w:t>EPI-19</w:t>
            </w:r>
          </w:p>
        </w:tc>
        <w:tc>
          <w:tcPr>
            <w:tcW w:type="dxa" w:w="663"/>
          </w:tcPr>
          <w:p>
            <w:r/>
            <w:r>
              <w:rPr>
                <w:sz w:val="16"/>
              </w:rPr>
              <w:t>T24</w:t>
            </w:r>
          </w:p>
        </w:tc>
        <w:tc>
          <w:tcPr>
            <w:tcW w:type="dxa" w:w="1134"/>
          </w:tcPr>
          <w:p>
            <w:r/>
            <w:r>
              <w:rPr>
                <w:sz w:val="16"/>
              </w:rPr>
              <w:t>22</w:t>
            </w:r>
          </w:p>
        </w:tc>
        <w:tc>
          <w:tcPr>
            <w:tcW w:type="dxa" w:w="4167"/>
          </w:tcPr>
          <w:p>
            <w:r/>
            <w:r>
              <w:rPr>
                <w:sz w:val="16"/>
              </w:rPr>
              <w:t>DALY: mezcla de rondas del GBD, tiempo verbal y orden regional incoherentes</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EQ-24</w:t>
            </w:r>
          </w:p>
        </w:tc>
        <w:tc>
          <w:tcPr>
            <w:tcW w:type="dxa" w:w="663"/>
          </w:tcPr>
          <w:p>
            <w:r/>
            <w:r>
              <w:rPr>
                <w:sz w:val="16"/>
              </w:rPr>
              <w:t>T24</w:t>
            </w:r>
          </w:p>
        </w:tc>
        <w:tc>
          <w:tcPr>
            <w:tcW w:type="dxa" w:w="1134"/>
          </w:tcPr>
          <w:p>
            <w:r/>
            <w:r>
              <w:rPr>
                <w:sz w:val="16"/>
              </w:rPr>
              <w:t>17</w:t>
            </w:r>
          </w:p>
        </w:tc>
        <w:tc>
          <w:tcPr>
            <w:tcW w:type="dxa" w:w="4167"/>
          </w:tcPr>
          <w:p>
            <w:r/>
            <w:r>
              <w:rPr>
                <w:sz w:val="16"/>
              </w:rPr>
              <w:t>Error factual: la materia particulada y los óxidos de nitrógeno y azufre se clasifican como "otros gases de efecto invernadero"</w:t>
            </w:r>
          </w:p>
        </w:tc>
        <w:tc>
          <w:tcPr>
            <w:tcW w:type="dxa" w:w="765"/>
          </w:tcPr>
          <w:p>
            <w:r/>
            <w:r>
              <w:rPr>
                <w:sz w:val="16"/>
              </w:rPr>
              <w:t>5</w:t>
            </w:r>
          </w:p>
        </w:tc>
        <w:tc>
          <w:tcPr>
            <w:tcW w:type="dxa" w:w="663"/>
          </w:tcPr>
          <w:p>
            <w:r/>
            <w:r>
              <w:rPr>
                <w:sz w:val="16"/>
              </w:rPr>
              <w:t>✔</w:t>
            </w:r>
          </w:p>
        </w:tc>
        <w:tc>
          <w:tcPr>
            <w:tcW w:type="dxa" w:w="1276"/>
          </w:tcPr>
          <w:p>
            <w:r/>
          </w:p>
        </w:tc>
      </w:tr>
      <w:tr>
        <w:tc>
          <w:tcPr>
            <w:tcW w:type="dxa" w:w="969"/>
          </w:tcPr>
          <w:p>
            <w:r/>
            <w:r>
              <w:rPr>
                <w:sz w:val="16"/>
              </w:rPr>
              <w:t>COH-19</w:t>
            </w:r>
          </w:p>
        </w:tc>
        <w:tc>
          <w:tcPr>
            <w:tcW w:type="dxa" w:w="663"/>
          </w:tcPr>
          <w:p>
            <w:r/>
            <w:r>
              <w:rPr>
                <w:sz w:val="16"/>
              </w:rPr>
              <w:t>T29</w:t>
            </w:r>
          </w:p>
        </w:tc>
        <w:tc>
          <w:tcPr>
            <w:tcW w:type="dxa" w:w="1134"/>
          </w:tcPr>
          <w:p>
            <w:r/>
            <w:r>
              <w:rPr>
                <w:sz w:val="16"/>
              </w:rPr>
              <w:t>21, 149</w:t>
            </w:r>
          </w:p>
        </w:tc>
        <w:tc>
          <w:tcPr>
            <w:tcW w:type="dxa" w:w="4167"/>
          </w:tcPr>
          <w:p>
            <w:r/>
            <w:r>
              <w:rPr>
                <w:sz w:val="16"/>
              </w:rPr>
              <w:t>La lista de abreviaturas (Apéndice 1) tiene expansiones erróneas, omisiones y sobrantes</w:t>
            </w:r>
          </w:p>
        </w:tc>
        <w:tc>
          <w:tcPr>
            <w:tcW w:type="dxa" w:w="765"/>
          </w:tcPr>
          <w:p>
            <w:r/>
            <w:r>
              <w:rPr>
                <w:sz w:val="16"/>
              </w:rPr>
              <w:t>—</w:t>
            </w:r>
          </w:p>
        </w:tc>
        <w:tc>
          <w:tcPr>
            <w:tcW w:type="dxa" w:w="663"/>
          </w:tcPr>
          <w:p>
            <w:r/>
            <w:r>
              <w:rPr>
                <w:sz w:val="16"/>
              </w:rPr>
              <w:t>✔</w:t>
            </w:r>
          </w:p>
        </w:tc>
        <w:tc>
          <w:tcPr>
            <w:tcW w:type="dxa" w:w="1276"/>
          </w:tcPr>
          <w:p>
            <w:r/>
          </w:p>
        </w:tc>
      </w:tr>
      <w:tr>
        <w:tc>
          <w:tcPr>
            <w:tcW w:type="dxa" w:w="969"/>
          </w:tcPr>
          <w:p>
            <w:r/>
            <w:r>
              <w:rPr>
                <w:sz w:val="16"/>
              </w:rPr>
              <w:t>COH-20</w:t>
            </w:r>
          </w:p>
        </w:tc>
        <w:tc>
          <w:tcPr>
            <w:tcW w:type="dxa" w:w="663"/>
          </w:tcPr>
          <w:p>
            <w:r/>
            <w:r>
              <w:rPr>
                <w:sz w:val="16"/>
              </w:rPr>
              <w:t>T29</w:t>
            </w:r>
          </w:p>
        </w:tc>
        <w:tc>
          <w:tcPr>
            <w:tcW w:type="dxa" w:w="1134"/>
          </w:tcPr>
          <w:p>
            <w:r/>
            <w:r>
              <w:rPr>
                <w:sz w:val="16"/>
              </w:rPr>
              <w:t>5, 7, 142</w:t>
            </w:r>
          </w:p>
        </w:tc>
        <w:tc>
          <w:tcPr>
            <w:tcW w:type="dxa" w:w="4167"/>
          </w:tcPr>
          <w:p>
            <w:r/>
            <w:r>
              <w:rPr>
                <w:sz w:val="16"/>
              </w:rPr>
              <w:t>Índice, Highlights y numeración: estructura correcta pero incompleta</w:t>
            </w:r>
          </w:p>
        </w:tc>
        <w:tc>
          <w:tcPr>
            <w:tcW w:type="dxa" w:w="765"/>
          </w:tcPr>
          <w:p>
            <w:r/>
            <w:r>
              <w:rPr>
                <w:sz w:val="16"/>
              </w:rPr>
              <w:t>—</w:t>
            </w:r>
          </w:p>
        </w:tc>
        <w:tc>
          <w:tcPr>
            <w:tcW w:type="dxa" w:w="663"/>
          </w:tcPr>
          <w:p>
            <w:r/>
            <w:r>
              <w:rPr>
                <w:sz w:val="16"/>
              </w:rPr>
              <w:t>✔</w:t>
            </w:r>
          </w:p>
        </w:tc>
        <w:tc>
          <w:tcPr>
            <w:tcW w:type="dxa" w:w="1276"/>
          </w:tcPr>
          <w:p>
            <w:r/>
          </w:p>
        </w:tc>
      </w:tr>
      <w:tr>
        <w:tc>
          <w:tcPr>
            <w:tcW w:type="dxa" w:w="969"/>
          </w:tcPr>
          <w:p>
            <w:r/>
            <w:r>
              <w:rPr>
                <w:sz w:val="16"/>
              </w:rPr>
              <w:t>COH-21</w:t>
            </w:r>
          </w:p>
        </w:tc>
        <w:tc>
          <w:tcPr>
            <w:tcW w:type="dxa" w:w="663"/>
          </w:tcPr>
          <w:p>
            <w:r/>
            <w:r>
              <w:rPr>
                <w:sz w:val="16"/>
              </w:rPr>
              <w:t>T29</w:t>
            </w:r>
          </w:p>
        </w:tc>
        <w:tc>
          <w:tcPr>
            <w:tcW w:type="dxa" w:w="1134"/>
          </w:tcPr>
          <w:p>
            <w:r/>
            <w:r>
              <w:rPr>
                <w:sz w:val="16"/>
              </w:rPr>
              <w:t>—</w:t>
            </w:r>
          </w:p>
        </w:tc>
        <w:tc>
          <w:tcPr>
            <w:tcW w:type="dxa" w:w="4167"/>
          </w:tcPr>
          <w:p>
            <w:r/>
            <w:r>
              <w:rPr>
                <w:sz w:val="16"/>
              </w:rPr>
              <w:t>Erratas, codificación y unidades (clúster editorial)</w:t>
            </w:r>
          </w:p>
        </w:tc>
        <w:tc>
          <w:tcPr>
            <w:tcW w:type="dxa" w:w="765"/>
          </w:tcPr>
          <w:p>
            <w:r/>
            <w:r>
              <w:rPr>
                <w:sz w:val="16"/>
              </w:rPr>
              <w:t>—</w:t>
            </w:r>
          </w:p>
        </w:tc>
        <w:tc>
          <w:tcPr>
            <w:tcW w:type="dxa" w:w="663"/>
          </w:tcPr>
          <w:p>
            <w:r/>
            <w:r>
              <w:rPr>
                <w:sz w:val="16"/>
              </w:rPr>
              <w:t>✔</w:t>
            </w:r>
          </w:p>
        </w:tc>
        <w:tc>
          <w:tcPr>
            <w:tcW w:type="dxa" w:w="1276"/>
          </w:tcPr>
          <w:p>
            <w:r/>
          </w:p>
        </w:tc>
      </w:tr>
      <w:tr>
        <w:tc>
          <w:tcPr>
            <w:tcW w:type="dxa" w:w="969"/>
          </w:tcPr>
          <w:p>
            <w:r/>
            <w:r>
              <w:rPr>
                <w:sz w:val="16"/>
              </w:rPr>
              <w:t>COH-22</w:t>
            </w:r>
          </w:p>
        </w:tc>
        <w:tc>
          <w:tcPr>
            <w:tcW w:type="dxa" w:w="663"/>
          </w:tcPr>
          <w:p>
            <w:r/>
            <w:r>
              <w:rPr>
                <w:sz w:val="16"/>
              </w:rPr>
              <w:t>T29</w:t>
            </w:r>
          </w:p>
        </w:tc>
        <w:tc>
          <w:tcPr>
            <w:tcW w:type="dxa" w:w="1134"/>
          </w:tcPr>
          <w:p>
            <w:r/>
            <w:r>
              <w:rPr>
                <w:sz w:val="16"/>
              </w:rPr>
              <w:t>—</w:t>
            </w:r>
          </w:p>
        </w:tc>
        <w:tc>
          <w:tcPr>
            <w:tcW w:type="dxa" w:w="4167"/>
          </w:tcPr>
          <w:p>
            <w:r/>
            <w:r>
              <w:rPr>
                <w:sz w:val="16"/>
              </w:rPr>
              <w:t>Párrafos duplicados o casi duplicados entre capítulos</w:t>
            </w:r>
          </w:p>
        </w:tc>
        <w:tc>
          <w:tcPr>
            <w:tcW w:type="dxa" w:w="765"/>
          </w:tcPr>
          <w:p>
            <w:r/>
            <w:r>
              <w:rPr>
                <w:sz w:val="16"/>
              </w:rPr>
              <w:t>—</w:t>
            </w:r>
          </w:p>
        </w:tc>
        <w:tc>
          <w:tcPr>
            <w:tcW w:type="dxa" w:w="663"/>
          </w:tcPr>
          <w:p>
            <w:r/>
            <w:r>
              <w:rPr>
                <w:sz w:val="16"/>
              </w:rPr>
              <w:t>✔</w:t>
            </w:r>
          </w:p>
        </w:tc>
        <w:tc>
          <w:tcPr>
            <w:tcW w:type="dxa" w:w="1276"/>
          </w:tcPr>
          <w:p>
            <w:r/>
          </w:p>
        </w:tc>
      </w:tr>
      <w:tr>
        <w:tc>
          <w:tcPr>
            <w:tcW w:type="dxa" w:w="969"/>
          </w:tcPr>
          <w:p>
            <w:r/>
            <w:r>
              <w:rPr>
                <w:sz w:val="16"/>
              </w:rPr>
              <w:t>EPI-20</w:t>
            </w:r>
          </w:p>
        </w:tc>
        <w:tc>
          <w:tcPr>
            <w:tcW w:type="dxa" w:w="663"/>
          </w:tcPr>
          <w:p>
            <w:r/>
            <w:r>
              <w:rPr>
                <w:sz w:val="16"/>
              </w:rPr>
              <w:t>T29</w:t>
            </w:r>
          </w:p>
        </w:tc>
        <w:tc>
          <w:tcPr>
            <w:tcW w:type="dxa" w:w="1134"/>
          </w:tcPr>
          <w:p>
            <w:r/>
            <w:r>
              <w:rPr>
                <w:sz w:val="16"/>
              </w:rPr>
              <w:t>5</w:t>
            </w:r>
          </w:p>
        </w:tc>
        <w:tc>
          <w:tcPr>
            <w:tcW w:type="dxa" w:w="4167"/>
          </w:tcPr>
          <w:p>
            <w:r/>
            <w:r>
              <w:rPr>
                <w:sz w:val="16"/>
              </w:rPr>
              <w:t>Highlights: referencias cruzadas imprecisas y promesas no plenamente cumplidas</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EPI-22</w:t>
            </w:r>
          </w:p>
        </w:tc>
        <w:tc>
          <w:tcPr>
            <w:tcW w:type="dxa" w:w="663"/>
          </w:tcPr>
          <w:p>
            <w:r/>
            <w:r>
              <w:rPr>
                <w:sz w:val="16"/>
              </w:rPr>
              <w:t>T29</w:t>
            </w:r>
          </w:p>
        </w:tc>
        <w:tc>
          <w:tcPr>
            <w:tcW w:type="dxa" w:w="1134"/>
          </w:tcPr>
          <w:p>
            <w:r/>
            <w:r>
              <w:rPr>
                <w:sz w:val="16"/>
              </w:rPr>
              <w:t>15, 149</w:t>
            </w:r>
          </w:p>
        </w:tc>
        <w:tc>
          <w:tcPr>
            <w:tcW w:type="dxa" w:w="4167"/>
          </w:tcPr>
          <w:p>
            <w:r/>
            <w:r>
              <w:rPr>
                <w:sz w:val="16"/>
              </w:rPr>
              <w:t>Erratas, terminología y claridad conceptual</w:t>
            </w:r>
          </w:p>
        </w:tc>
        <w:tc>
          <w:tcPr>
            <w:tcW w:type="dxa" w:w="765"/>
          </w:tcPr>
          <w:p>
            <w:r/>
            <w:r>
              <w:rPr>
                <w:sz w:val="16"/>
              </w:rPr>
              <w:t>5</w:t>
            </w:r>
          </w:p>
        </w:tc>
        <w:tc>
          <w:tcPr>
            <w:tcW w:type="dxa" w:w="663"/>
          </w:tcPr>
          <w:p>
            <w:r/>
            <w:r>
              <w:rPr>
                <w:sz w:val="16"/>
              </w:rPr>
              <w:t>✔</w:t>
            </w:r>
          </w:p>
        </w:tc>
        <w:tc>
          <w:tcPr>
            <w:tcW w:type="dxa" w:w="1276"/>
          </w:tcPr>
          <w:p>
            <w:r/>
          </w:p>
        </w:tc>
      </w:tr>
      <w:tr>
        <w:tc>
          <w:tcPr>
            <w:tcW w:type="dxa" w:w="969"/>
          </w:tcPr>
          <w:p>
            <w:r/>
            <w:r>
              <w:rPr>
                <w:sz w:val="16"/>
              </w:rPr>
              <w:t>EQ-25</w:t>
            </w:r>
          </w:p>
        </w:tc>
        <w:tc>
          <w:tcPr>
            <w:tcW w:type="dxa" w:w="663"/>
          </w:tcPr>
          <w:p>
            <w:r/>
            <w:r>
              <w:rPr>
                <w:sz w:val="16"/>
              </w:rPr>
              <w:t>T29</w:t>
            </w:r>
          </w:p>
        </w:tc>
        <w:tc>
          <w:tcPr>
            <w:tcW w:type="dxa" w:w="1134"/>
          </w:tcPr>
          <w:p>
            <w:r/>
            <w:r>
              <w:rPr>
                <w:sz w:val="16"/>
              </w:rPr>
              <w:t>19, 27, 42</w:t>
            </w:r>
          </w:p>
        </w:tc>
        <w:tc>
          <w:tcPr>
            <w:tcW w:type="dxa" w:w="4167"/>
          </w:tcPr>
          <w:p>
            <w:r/>
            <w:r>
              <w:rPr>
                <w:sz w:val="16"/>
              </w:rPr>
              <w:t>Erratas y atribuciones imprecisas con repercusión en la equidad</w:t>
            </w:r>
          </w:p>
        </w:tc>
        <w:tc>
          <w:tcPr>
            <w:tcW w:type="dxa" w:w="765"/>
          </w:tcPr>
          <w:p>
            <w:r/>
            <w:r>
              <w:rPr>
                <w:sz w:val="16"/>
              </w:rPr>
              <w:t>4</w:t>
            </w:r>
          </w:p>
        </w:tc>
        <w:tc>
          <w:tcPr>
            <w:tcW w:type="dxa" w:w="663"/>
          </w:tcPr>
          <w:p>
            <w:r/>
            <w:r>
              <w:rPr>
                <w:sz w:val="16"/>
              </w:rPr>
              <w:t>✔</w:t>
            </w:r>
          </w:p>
        </w:tc>
        <w:tc>
          <w:tcPr>
            <w:tcW w:type="dxa" w:w="1276"/>
          </w:tcPr>
          <w:p>
            <w:r/>
          </w:p>
        </w:tc>
      </w:tr>
      <w:tr>
        <w:tc>
          <w:tcPr>
            <w:tcW w:type="dxa" w:w="969"/>
          </w:tcPr>
          <w:p>
            <w:r/>
            <w:r>
              <w:rPr>
                <w:sz w:val="16"/>
              </w:rPr>
              <w:t>EXA-25</w:t>
            </w:r>
          </w:p>
        </w:tc>
        <w:tc>
          <w:tcPr>
            <w:tcW w:type="dxa" w:w="663"/>
          </w:tcPr>
          <w:p>
            <w:r/>
            <w:r>
              <w:rPr>
                <w:sz w:val="16"/>
              </w:rPr>
              <w:t>T29</w:t>
            </w:r>
          </w:p>
        </w:tc>
        <w:tc>
          <w:tcPr>
            <w:tcW w:type="dxa" w:w="1134"/>
          </w:tcPr>
          <w:p>
            <w:r/>
            <w:r>
              <w:rPr>
                <w:sz w:val="16"/>
              </w:rPr>
              <w:t>103, 115, 117</w:t>
            </w:r>
          </w:p>
        </w:tc>
        <w:tc>
          <w:tcPr>
            <w:tcW w:type="dxa" w:w="4167"/>
          </w:tcPr>
          <w:p>
            <w:r/>
            <w:r>
              <w:rPr>
                <w:sz w:val="16"/>
              </w:rPr>
              <w:t>Erratas y terminología</w:t>
            </w:r>
          </w:p>
        </w:tc>
        <w:tc>
          <w:tcPr>
            <w:tcW w:type="dxa" w:w="765"/>
          </w:tcPr>
          <w:p>
            <w:r/>
            <w:r>
              <w:rPr>
                <w:sz w:val="16"/>
              </w:rPr>
              <w:t>5</w:t>
            </w:r>
          </w:p>
        </w:tc>
        <w:tc>
          <w:tcPr>
            <w:tcW w:type="dxa" w:w="663"/>
          </w:tcPr>
          <w:p>
            <w:r/>
            <w:r>
              <w:rPr>
                <w:sz w:val="16"/>
              </w:rPr>
              <w:t>≈</w:t>
            </w:r>
          </w:p>
        </w:tc>
        <w:tc>
          <w:tcPr>
            <w:tcW w:type="dxa" w:w="1276"/>
          </w:tcPr>
          <w:p>
            <w:r/>
          </w:p>
        </w:tc>
      </w:tr>
      <w:tr>
        <w:tc>
          <w:tcPr>
            <w:tcW w:type="dxa" w:w="969"/>
          </w:tcPr>
          <w:p>
            <w:r/>
            <w:r>
              <w:rPr>
                <w:sz w:val="16"/>
              </w:rPr>
              <w:t>FARM-24</w:t>
            </w:r>
          </w:p>
        </w:tc>
        <w:tc>
          <w:tcPr>
            <w:tcW w:type="dxa" w:w="663"/>
          </w:tcPr>
          <w:p>
            <w:r/>
            <w:r>
              <w:rPr>
                <w:sz w:val="16"/>
              </w:rPr>
              <w:t>T29</w:t>
            </w:r>
          </w:p>
        </w:tc>
        <w:tc>
          <w:tcPr>
            <w:tcW w:type="dxa" w:w="1134"/>
          </w:tcPr>
          <w:p>
            <w:r/>
            <w:r>
              <w:rPr>
                <w:sz w:val="16"/>
              </w:rPr>
              <w:t>61, 70, 80, 82</w:t>
            </w:r>
          </w:p>
        </w:tc>
        <w:tc>
          <w:tcPr>
            <w:tcW w:type="dxa" w:w="4167"/>
          </w:tcPr>
          <w:p>
            <w:r/>
            <w:r>
              <w:rPr>
                <w:sz w:val="16"/>
              </w:rPr>
              <w:t>Erratas y referencias duplicadas en el ámbito</w:t>
            </w:r>
          </w:p>
        </w:tc>
        <w:tc>
          <w:tcPr>
            <w:tcW w:type="dxa" w:w="765"/>
          </w:tcPr>
          <w:p>
            <w:r/>
            <w:r>
              <w:rPr>
                <w:sz w:val="16"/>
              </w:rPr>
              <w:t>5</w:t>
            </w:r>
          </w:p>
        </w:tc>
        <w:tc>
          <w:tcPr>
            <w:tcW w:type="dxa" w:w="663"/>
          </w:tcPr>
          <w:p>
            <w:r/>
            <w:r>
              <w:rPr>
                <w:sz w:val="16"/>
              </w:rPr>
              <w:t>—</w:t>
            </w:r>
          </w:p>
        </w:tc>
        <w:tc>
          <w:tcPr>
            <w:tcW w:type="dxa" w:w="1276"/>
          </w:tcPr>
          <w:p>
            <w:r/>
          </w:p>
        </w:tc>
      </w:tr>
      <w:tr>
        <w:tc>
          <w:tcPr>
            <w:tcW w:type="dxa" w:w="969"/>
          </w:tcPr>
          <w:p>
            <w:r/>
            <w:r>
              <w:rPr>
                <w:sz w:val="16"/>
              </w:rPr>
              <w:t>IA-25</w:t>
            </w:r>
          </w:p>
        </w:tc>
        <w:tc>
          <w:tcPr>
            <w:tcW w:type="dxa" w:w="663"/>
          </w:tcPr>
          <w:p>
            <w:r/>
            <w:r>
              <w:rPr>
                <w:sz w:val="16"/>
              </w:rPr>
              <w:t>T29</w:t>
            </w:r>
          </w:p>
        </w:tc>
        <w:tc>
          <w:tcPr>
            <w:tcW w:type="dxa" w:w="1134"/>
          </w:tcPr>
          <w:p>
            <w:r/>
            <w:r>
              <w:rPr>
                <w:sz w:val="16"/>
              </w:rPr>
              <w:t>142, 145, 146, 149</w:t>
            </w:r>
          </w:p>
        </w:tc>
        <w:tc>
          <w:tcPr>
            <w:tcW w:type="dxa" w:w="4167"/>
          </w:tcPr>
          <w:p>
            <w:r/>
            <w:r>
              <w:rPr>
                <w:sz w:val="16"/>
              </w:rPr>
              <w:t>Erratas y problemas editoriales</w:t>
            </w:r>
          </w:p>
        </w:tc>
        <w:tc>
          <w:tcPr>
            <w:tcW w:type="dxa" w:w="765"/>
          </w:tcPr>
          <w:p>
            <w:r/>
            <w:r>
              <w:rPr>
                <w:sz w:val="16"/>
              </w:rPr>
              <w:t>5</w:t>
            </w:r>
          </w:p>
        </w:tc>
        <w:tc>
          <w:tcPr>
            <w:tcW w:type="dxa" w:w="663"/>
          </w:tcPr>
          <w:p>
            <w:r/>
            <w:r>
              <w:rPr>
                <w:sz w:val="16"/>
              </w:rPr>
              <w:t>✔</w:t>
            </w:r>
          </w:p>
        </w:tc>
        <w:tc>
          <w:tcPr>
            <w:tcW w:type="dxa" w:w="1276"/>
          </w:tcPr>
          <w:p>
            <w:r/>
          </w:p>
        </w:tc>
      </w:tr>
      <w:tr>
        <w:tc>
          <w:tcPr>
            <w:tcW w:type="dxa" w:w="969"/>
          </w:tcPr>
          <w:p>
            <w:r/>
            <w:r>
              <w:rPr>
                <w:sz w:val="16"/>
              </w:rPr>
              <w:t>INT-24</w:t>
            </w:r>
          </w:p>
        </w:tc>
        <w:tc>
          <w:tcPr>
            <w:tcW w:type="dxa" w:w="663"/>
          </w:tcPr>
          <w:p>
            <w:r/>
            <w:r>
              <w:rPr>
                <w:sz w:val="16"/>
              </w:rPr>
              <w:t>T29</w:t>
            </w:r>
          </w:p>
        </w:tc>
        <w:tc>
          <w:tcPr>
            <w:tcW w:type="dxa" w:w="1134"/>
          </w:tcPr>
          <w:p>
            <w:r/>
            <w:r>
              <w:rPr>
                <w:sz w:val="16"/>
              </w:rPr>
              <w:t>90</w:t>
            </w:r>
          </w:p>
        </w:tc>
        <w:tc>
          <w:tcPr>
            <w:tcW w:type="dxa" w:w="4167"/>
          </w:tcPr>
          <w:p>
            <w:r/>
            <w:r>
              <w:rPr>
                <w:sz w:val="16"/>
              </w:rPr>
              <w:t>Erratas y problemas editoriales en el ámbito revisado</w:t>
            </w:r>
          </w:p>
        </w:tc>
        <w:tc>
          <w:tcPr>
            <w:tcW w:type="dxa" w:w="765"/>
          </w:tcPr>
          <w:p>
            <w:r/>
            <w:r>
              <w:rPr>
                <w:sz w:val="16"/>
              </w:rPr>
              <w:t>5</w:t>
            </w:r>
          </w:p>
        </w:tc>
        <w:tc>
          <w:tcPr>
            <w:tcW w:type="dxa" w:w="663"/>
          </w:tcPr>
          <w:p>
            <w:r/>
            <w:r>
              <w:rPr>
                <w:sz w:val="16"/>
              </w:rPr>
              <w:t>✔</w:t>
            </w:r>
          </w:p>
        </w:tc>
        <w:tc>
          <w:tcPr>
            <w:tcW w:type="dxa" w:w="1276"/>
          </w:tcPr>
          <w:p>
            <w:r/>
          </w:p>
        </w:tc>
      </w:tr>
      <w:tr>
        <w:tc>
          <w:tcPr>
            <w:tcW w:type="dxa" w:w="969"/>
          </w:tcPr>
          <w:p>
            <w:r/>
            <w:r>
              <w:rPr>
                <w:sz w:val="16"/>
              </w:rPr>
              <w:t>REH-24</w:t>
            </w:r>
          </w:p>
        </w:tc>
        <w:tc>
          <w:tcPr>
            <w:tcW w:type="dxa" w:w="663"/>
          </w:tcPr>
          <w:p>
            <w:r/>
            <w:r>
              <w:rPr>
                <w:sz w:val="16"/>
              </w:rPr>
              <w:t>T29</w:t>
            </w:r>
          </w:p>
        </w:tc>
        <w:tc>
          <w:tcPr>
            <w:tcW w:type="dxa" w:w="1134"/>
          </w:tcPr>
          <w:p>
            <w:r/>
            <w:r>
              <w:rPr>
                <w:sz w:val="16"/>
              </w:rPr>
              <w:t>86</w:t>
            </w:r>
          </w:p>
        </w:tc>
        <w:tc>
          <w:tcPr>
            <w:tcW w:type="dxa" w:w="4167"/>
          </w:tcPr>
          <w:p>
            <w:r/>
            <w:r>
              <w:rPr>
                <w:sz w:val="16"/>
              </w:rPr>
              <w:t>Erratas y duplicaciones en el ámbito revisado</w:t>
            </w:r>
          </w:p>
        </w:tc>
        <w:tc>
          <w:tcPr>
            <w:tcW w:type="dxa" w:w="765"/>
          </w:tcPr>
          <w:p>
            <w:r/>
            <w:r>
              <w:rPr>
                <w:sz w:val="16"/>
              </w:rPr>
              <w:t>5</w:t>
            </w:r>
          </w:p>
        </w:tc>
        <w:tc>
          <w:tcPr>
            <w:tcW w:type="dxa" w:w="663"/>
          </w:tcPr>
          <w:p>
            <w:r/>
            <w:r>
              <w:rPr>
                <w:sz w:val="16"/>
              </w:rPr>
              <w:t>✔</w:t>
            </w:r>
          </w:p>
        </w:tc>
        <w:tc>
          <w:tcPr>
            <w:tcW w:type="dxa" w:w="1276"/>
          </w:tcPr>
          <w:p>
            <w:r/>
          </w:p>
        </w:tc>
      </w:tr>
    </w:tbl>
    <w:p/>
    <w:p>
      <w:pPr>
        <w:pStyle w:val="Heading2"/>
      </w:pPr>
      <w:r>
        <w:t>Anexo B. Fichas detalladas de los hallazgos, de mayor a menor gravedad</w:t>
      </w:r>
    </w:p>
    <w:p>
      <w:r>
        <w:t>Texto de cada ficha tal como la redactó el agente especialista. Las fichas se agrupan por severidad final (críticos → altos → medios → bajos) y, dentro de cada nivel, por tema. Cuando la verificación independiente corrigió o matizó un hallazgo, la nota aparece al principio de la ficha.</w:t>
      </w:r>
    </w:p>
    <w:p>
      <w:pPr>
        <w:pStyle w:val="Heading3"/>
      </w:pPr>
      <w:r>
        <w:rPr>
          <w:color w:val="C00000"/>
        </w:rPr>
        <w:t>🔴</w:t>
      </w:r>
      <w:r>
        <w:t xml:space="preserve"> Hallazgos críticos (2)</w:t>
      </w:r>
    </w:p>
    <w:p>
      <w:pPr>
        <w:pStyle w:val="Heading4"/>
      </w:pPr>
      <w:r>
        <w:t>EXA-01 · Ausencia de objetivo de saturación (88-92 %) y de pautas de oxigenoterapia controlada</w:t>
      </w:r>
    </w:p>
    <w:p>
      <w:r>
        <w:rPr>
          <w:i/>
        </w:rPr>
        <w:t xml:space="preserve">Severidad final: </w:t>
      </w:r>
      <w:r>
        <w:rPr>
          <w:i/>
          <w:color w:val="C00000"/>
        </w:rPr>
        <w:t>🔴</w:t>
      </w:r>
      <w:r>
        <w:rPr>
          <w:i/>
        </w:rPr>
        <w:t xml:space="preserve"> CRÍTICA · Tema T01: Oxigenoterapia en la exacerbación y umbrales de SpO2</w:t>
      </w:r>
    </w:p>
    <w:p>
      <w:pPr>
        <w:pStyle w:val="IntenseQuote"/>
      </w:pPr>
      <w:r>
        <w:rPr>
          <w:b/>
        </w:rPr>
        <w:t>Verificación independiente (CONFIRMADO):</w:t>
      </w:r>
      <w:r>
        <w:t xml:space="preserve"> Verificado por el coordinador: no hay ninguna mención a «88-92 %» ni a un objetivo de SpO2 en el cap. 4 (búsqueda en el texto completo), y la Fig 4.5 (imagen, PDF 113) no contiene ninguna línea de O2 controlado.</w:t>
      </w:r>
    </w:p>
    <w:p>
      <w:pPr>
        <w:pStyle w:val="ListBullet"/>
      </w:pPr>
      <w:r>
        <w:rPr>
          <w:b/>
        </w:rPr>
        <w:t>Tipo:</w:t>
      </w:r>
      <w:r>
        <w:t xml:space="preserve"> Omisión</w:t>
      </w:r>
    </w:p>
    <w:p>
      <w:pPr>
        <w:pStyle w:val="ListBullet"/>
      </w:pPr>
      <w:r>
        <w:rPr>
          <w:b/>
        </w:rPr>
        <w:t>Severidad:</w:t>
      </w:r>
      <w:r>
        <w:t xml:space="preserve"> CRÍTICA</w:t>
      </w:r>
    </w:p>
    <w:p>
      <w:pPr>
        <w:pStyle w:val="ListBullet"/>
      </w:pPr>
      <w:r>
        <w:rPr>
          <w:b/>
        </w:rPr>
        <w:t>Ubicación:</w:t>
      </w:r>
    </w:p>
    <w:p>
      <w:pPr>
        <w:pStyle w:val="ListBullet2"/>
      </w:pPr>
      <w:r>
        <w:t>PDF 112 / impr. 101 — "Hospitalization", texto.</w:t>
      </w:r>
    </w:p>
    <w:p>
      <w:pPr>
        <w:pStyle w:val="ListBullet2"/>
      </w:pPr>
      <w:r>
        <w:t>PDF 113 / impr. 102 — Fig. 4.5.</w:t>
      </w:r>
    </w:p>
    <w:p>
      <w:pPr>
        <w:pStyle w:val="ListBullet2"/>
      </w:pPr>
      <w:r>
        <w:t>PDF 116-117 / impr. 105-106 — epígrafe "Oxygen therapy".</w:t>
      </w:r>
    </w:p>
    <w:p>
      <w:pPr>
        <w:pStyle w:val="ListBullet"/>
      </w:pPr>
      <w:r>
        <w:rPr>
          <w:b/>
        </w:rPr>
        <w:t>Cita:</w:t>
      </w:r>
      <w:r>
        <w:t xml:space="preserve"> "if hypoxemic they should be started on controlled oxygen therapy" (PDF 112). En la Fig. 4.5, la única línea sobre oxígeno es: "Consider high flow oxygen (HFNT) or noninvasive ventilation (NIV)".</w:t>
      </w:r>
    </w:p>
    <w:p>
      <w:pPr>
        <w:pStyle w:val="ListBullet"/>
      </w:pPr>
      <w:r>
        <w:rPr>
          <w:b/>
        </w:rPr>
        <w:t>Problema:</w:t>
      </w:r>
    </w:p>
    <w:p>
      <w:pPr>
        <w:pStyle w:val="ListBullet2"/>
      </w:pPr>
      <w:r>
        <w:t>En todo el documento no figura ningún objetivo de SpO2/SaO2 (88-92 %) para la exacerbación, ni el dispositivo de titulación (Venturi o cánulas a bajo flujo), ni la gasometría de control a los 30-60 min tras iniciar el O2.</w:t>
      </w:r>
    </w:p>
    <w:p>
      <w:pPr>
        <w:pStyle w:val="ListBullet2"/>
      </w:pPr>
      <w:r>
        <w:t>El epígrafe "Oxygen therapy" se dedica íntegramente a la HFNT. La Fig. 4.5 ("Management of Severe but not Life-threatening Exacerbations") no tiene ninguna línea de oxigenoterapia convencional.</w:t>
      </w:r>
    </w:p>
    <w:p>
      <w:pPr>
        <w:pStyle w:val="ListBullet2"/>
      </w:pPr>
      <w:r>
        <w:t>Un clínico de urgencias o de ambulancia que use esta guía no tiene ninguna salvaguarda frente a la hiperoxia.</w:t>
      </w:r>
    </w:p>
    <w:p>
      <w:pPr>
        <w:pStyle w:val="ListBullet"/>
      </w:pPr>
      <w:r>
        <w:rPr>
          <w:b/>
        </w:rPr>
        <w:t>Evidencia/justificación:</w:t>
      </w:r>
    </w:p>
    <w:p>
      <w:pPr>
        <w:pStyle w:val="ListBullet2"/>
      </w:pPr>
      <w:r>
        <w:t>En el ensayo aleatorizado prehospitalario de Austin et al. (BMJ 2010;341:c5462, doi:10.1136/bmj.c5462), la oxigenoterapia titulada a 88-92 % frente a O2 a alto flujo redujo la mortalidad (RR 0,42; RR 0,22 en EPOC confirmada).</w:t>
      </w:r>
    </w:p>
    <w:p>
      <w:pPr>
        <w:pStyle w:val="ListBullet2"/>
      </w:pPr>
      <w:r>
        <w:t>Recomiendan ese objetivo, entre otras:</w:t>
      </w:r>
    </w:p>
    <w:p>
      <w:pPr>
        <w:pStyle w:val="ListBullet2"/>
      </w:pPr>
      <w:r>
        <w:t>BTS 2017 (O'Driscoll, Thorax 2017;72 Suppl 1:ii1-90).</w:t>
      </w:r>
    </w:p>
    <w:p>
      <w:pPr>
        <w:pStyle w:val="ListBullet2"/>
      </w:pPr>
      <w:r>
        <w:t>TSANZ 2015 (Beasley, Respirology 2015;20:1182-91).</w:t>
      </w:r>
    </w:p>
    <w:p>
      <w:pPr>
        <w:pStyle w:val="ListBullet2"/>
      </w:pPr>
      <w:r>
        <w:t>BTS/ICS 2016 sobre insuficiencia respiratoria hipercápnica (Davidson, Thorax 2016;71 Suppl 2:ii1-35).</w:t>
      </w:r>
    </w:p>
    <w:p>
      <w:pPr>
        <w:pStyle w:val="ListBullet2"/>
      </w:pPr>
      <w:r>
        <w:t>Ediciones previas de GOLD incluían "target saturation of 88-92 %" (recuerdo de ediciones anteriores; no verificado en este documento).</w:t>
      </w:r>
    </w:p>
    <w:p>
      <w:pPr>
        <w:pStyle w:val="ListBullet"/>
      </w:pPr>
      <w:r>
        <w:rPr>
          <w:b/>
        </w:rPr>
        <w:t>Recomendación:</w:t>
      </w:r>
    </w:p>
    <w:p>
      <w:pPr>
        <w:pStyle w:val="ListBullet2"/>
      </w:pPr>
      <w:r>
        <w:t>Añadir al texto (PDF 112 y 116) y a las Fig. 4.5 y 4.6 una línea explícita: "Oxígeno controlado titulado a SpO2 88-92 % (Venturi 24-28 % o cánulas nasales 1-2 L/min); gasometría arterial o venosa a los 30-60 min; evitar la hiperoxia, también en el traslado".</w:t>
      </w:r>
    </w:p>
    <w:p>
      <w:pPr>
        <w:pStyle w:val="ListBullet2"/>
      </w:pPr>
      <w:r>
        <w:t>Asignarle nivel de evidencia (B según el ensayo de Austin).</w:t>
      </w:r>
    </w:p>
    <w:p>
      <w:pPr>
        <w:pStyle w:val="ListBullet"/>
      </w:pPr>
      <w:r>
        <w:rPr>
          <w:b/>
        </w:rPr>
        <w:t>Confianza:</w:t>
      </w:r>
      <w:r>
        <w:t xml:space="preserve"> 5/5</w:t>
      </w:r>
    </w:p>
    <w:p>
      <w:pPr>
        <w:pStyle w:val="Heading4"/>
      </w:pPr>
      <w:r>
        <w:t>MUL-02 · FA: afirmar que «no hay contraindicación» para ningún antiarrítmico ni betabloqueante es peligroso</w:t>
      </w:r>
    </w:p>
    <w:p>
      <w:r>
        <w:rPr>
          <w:i/>
        </w:rPr>
        <w:t xml:space="preserve">Severidad final: </w:t>
      </w:r>
      <w:r>
        <w:rPr>
          <w:i/>
          <w:color w:val="C00000"/>
        </w:rPr>
        <w:t>🔴</w:t>
      </w:r>
      <w:r>
        <w:rPr>
          <w:i/>
        </w:rPr>
        <w:t xml:space="preserve"> CRÍTICA · Tema T04: Fibrilación auricular y fármacos antiarrítmicos</w:t>
      </w:r>
    </w:p>
    <w:p>
      <w:pPr>
        <w:pStyle w:val="IntenseQuote"/>
      </w:pPr>
      <w:r>
        <w:rPr>
          <w:b/>
        </w:rPr>
        <w:t>Verificación independiente (CONFIRMADO):</w:t>
      </w:r>
      <w:r>
        <w:t xml:space="preserve"> Sustituir la frase por: "Preferir β1-selectivos (bisoprolol, metoprolol, nebivolol) o diltiazem/verapamilo si FEVI &gt;40 %. Evitar betabloqueantes no selectivos y sotalol si hay broncoespasmo. Propafenona contraindicada en EPOC grave/broncoespasmo. Adenosina contraindicada en enfermedad broncoespástica. Vigilar la toxicidad pulmonar de la amiodarona." Citar la ESC 2024 y la §10.12 de ACC/AHA 2023. | Decisión del coordinador: se mantiene CRÍTICA (el verificador propuso ALTA pero considera CRÍTICA «defendible» en urgencias): la afirmación puede inducir el uso de adenosina, sotalol, propafenona o betabloqueantes no selectivos en broncoespasmo, contraindicados en ficha técnica.</w:t>
      </w:r>
    </w:p>
    <w:p>
      <w:pPr>
        <w:pStyle w:val="ListBullet"/>
      </w:pPr>
      <w:r>
        <w:rPr>
          <w:b/>
        </w:rPr>
        <w:t>Tipo:</w:t>
      </w:r>
      <w:r>
        <w:t xml:space="preserve"> Error factual</w:t>
      </w:r>
    </w:p>
    <w:p>
      <w:pPr>
        <w:pStyle w:val="ListBullet"/>
      </w:pPr>
      <w:r>
        <w:rPr>
          <w:b/>
        </w:rPr>
        <w:t>Severidad:</w:t>
      </w:r>
      <w:r>
        <w:t xml:space="preserve"> CRÍTICA</w:t>
      </w:r>
    </w:p>
    <w:p>
      <w:pPr>
        <w:pStyle w:val="ListBullet"/>
      </w:pPr>
      <w:r>
        <w:rPr>
          <w:b/>
        </w:rPr>
        <w:t>Ubicación:</w:t>
      </w:r>
      <w:r>
        <w:t xml:space="preserve"> PDF 128 / impr. 117 — Cardiovascular, Arrhythmias</w:t>
      </w:r>
    </w:p>
    <w:p>
      <w:pPr>
        <w:pStyle w:val="ListBullet"/>
      </w:pPr>
      <w:r>
        <w:rPr>
          <w:b/>
        </w:rPr>
        <w:t>Cita:</w:t>
      </w:r>
      <w:r>
        <w:t xml:space="preserve"> "There is no contraindication to any specific rate or rhythm control medication or strategy in patients with COPD, including beta-blockers."</w:t>
      </w:r>
    </w:p>
    <w:p>
      <w:pPr>
        <w:pStyle w:val="ListBullet"/>
      </w:pPr>
      <w:r>
        <w:rPr>
          <w:b/>
        </w:rPr>
        <w:t>Problema:</w:t>
      </w:r>
      <w:r>
        <w:t xml:space="preserve"> La afirmación es categórica e incorrecta. Puede llevar a usar betabloqueantes no selectivos (propranolol, sotalol), propafenona o adenosina en pacientes con broncoespasmo. Tampoco advierte de la toxicidad pulmonar de la amiodarona, que es relevante en un pulmón con reserva reducida. Además, se presenta la anticoagulación como «cornerstone» universal, sin estratificar el riesgo.</w:t>
      </w:r>
    </w:p>
    <w:p>
      <w:pPr>
        <w:pStyle w:val="ListBullet"/>
      </w:pPr>
      <w:r>
        <w:rPr>
          <w:b/>
        </w:rPr>
        <w:t>Evidencia/justificación:</w:t>
      </w:r>
    </w:p>
    <w:p>
      <w:pPr>
        <w:pStyle w:val="ListBullet2"/>
      </w:pPr>
      <w:r>
        <w:t>La guía ESC 2020 de FA (Hindricks G, Eur Heart J 2021;42:373) aconseja en la EPOC betabloqueantes β1-selectivos (o antagonistas del calcio no dihidropiridínicos) y evitar los betabloqueantes no selectivos, el sotalol, la propafenona y la adenosina si hay broncoespasmo significativo.</w:t>
      </w:r>
    </w:p>
    <w:p>
      <w:pPr>
        <w:pStyle w:val="ListBullet2"/>
      </w:pPr>
      <w:r>
        <w:t>La ESC 2024 de FA (Van Gelder IC, Eur Heart J 2024;45:3314; doi:10.1093/eurheartj/ehae176), que no se cita, introduce el enfoque AF-CARE y la escala CHA₂DS₂-VA: la anticoagulación se decide según el riesgo tromboembólico, no en todos los pacientes.</w:t>
      </w:r>
    </w:p>
    <w:p>
      <w:pPr>
        <w:pStyle w:val="ListBullet2"/>
      </w:pPr>
      <w:r>
        <w:t>El Apéndice 3 (PDF 164 / impr. 153) solo respalda los β1-selectivos (metoprolol y bisoprolol).</w:t>
      </w:r>
    </w:p>
    <w:p>
      <w:pPr>
        <w:pStyle w:val="ListBullet2"/>
      </w:pPr>
      <w:r>
        <w:t>El texto solo cita la guía ACC/AHA/ACCP/HRS 2023 (ref. 1171).</w:t>
      </w:r>
    </w:p>
    <w:p>
      <w:pPr>
        <w:pStyle w:val="ListBullet"/>
      </w:pPr>
      <w:r>
        <w:rPr>
          <w:b/>
        </w:rPr>
        <w:t>Recomendación:</w:t>
      </w:r>
    </w:p>
    <w:p>
      <w:pPr>
        <w:pStyle w:val="ListBullet2"/>
      </w:pPr>
      <w:r>
        <w:t>Reescribir así: «Preferir betabloqueantes β1-selectivos (bisoprolol, metoprolol, nebivolol) o antagonistas del calcio no dihidropiridínicos para el control de frecuencia. Evitar betabloqueantes no selectivos, sotalol, propafenona y adenosina si hay broncoespasmo. Vigilar la toxicidad pulmonar de la amiodarona. Indicar anticoagulación según CHA₂DS₂-VA (ESC 2024) o CHA₂DS₂-VASc (ACC/AHA 2023)».</w:t>
      </w:r>
    </w:p>
    <w:p>
      <w:pPr>
        <w:pStyle w:val="ListBullet2"/>
      </w:pPr>
      <w:r>
        <w:t>Añadir «palpitaciones» como indicación de Holter.</w:t>
      </w:r>
    </w:p>
    <w:p>
      <w:pPr>
        <w:pStyle w:val="ListBullet"/>
      </w:pPr>
      <w:r>
        <w:rPr>
          <w:b/>
        </w:rPr>
        <w:t>Confianza:</w:t>
      </w:r>
      <w:r>
        <w:t xml:space="preserve"> 4/5</w:t>
      </w:r>
    </w:p>
    <w:p>
      <w:pPr>
        <w:pStyle w:val="Heading3"/>
      </w:pPr>
      <w:r>
        <w:rPr>
          <w:color w:val="ED7D31"/>
        </w:rPr>
        <w:t>🟠</w:t>
      </w:r>
      <w:r>
        <w:t xml:space="preserve"> Hallazgos de severidad alta (78)</w:t>
      </w:r>
    </w:p>
    <w:p>
      <w:pPr>
        <w:pStyle w:val="Heading4"/>
      </w:pPr>
      <w:r>
        <w:t>COH-06 · Desaparece el objetivo de SpO2 88-92 % en la exacerbación y los umbrales de saturación están dispersos</w:t>
      </w:r>
    </w:p>
    <w:p>
      <w:r>
        <w:rPr>
          <w:i/>
        </w:rPr>
        <w:t xml:space="preserve">Severidad final: </w:t>
      </w:r>
      <w:r>
        <w:rPr>
          <w:i/>
          <w:color w:val="ED7D31"/>
        </w:rPr>
        <w:t>🟠</w:t>
      </w:r>
      <w:r>
        <w:rPr>
          <w:i/>
        </w:rPr>
        <w:t xml:space="preserve"> ALTA · Tema T01: Oxigenoterapia en la exacerbación y umbrales de SpO2</w:t>
      </w:r>
    </w:p>
    <w:p>
      <w:pPr>
        <w:pStyle w:val="IntenseQuote"/>
      </w:pPr>
      <w:r>
        <w:rPr>
          <w:b/>
        </w:rPr>
        <w:t>Verificación independiente (CONFIRMADO):</w:t>
      </w:r>
      <w:r>
        <w:t xml:space="preserve"> Verificado por el coordinador (véase EXA-01).</w:t>
      </w:r>
    </w:p>
    <w:p>
      <w:pPr>
        <w:pStyle w:val="ListBullet"/>
      </w:pPr>
      <w:r>
        <w:rPr>
          <w:b/>
        </w:rPr>
        <w:t>Tipo:</w:t>
      </w:r>
      <w:r>
        <w:t xml:space="preserve"> Omisión / incoherencia de parámetros</w:t>
      </w:r>
    </w:p>
    <w:p>
      <w:pPr>
        <w:pStyle w:val="ListBullet"/>
      </w:pPr>
      <w:r>
        <w:rPr>
          <w:b/>
        </w:rPr>
        <w:t>Severidad:</w:t>
      </w:r>
      <w:r>
        <w:t xml:space="preserve"> ALTA</w:t>
      </w:r>
    </w:p>
    <w:p>
      <w:pPr>
        <w:pStyle w:val="ListBullet"/>
      </w:pPr>
      <w:r>
        <w:rPr>
          <w:b/>
        </w:rPr>
        <w:t>Ubicación:</w:t>
      </w:r>
      <w:r>
        <w:t xml:space="preserve"> PDF 112 / impr. 101; PDF 116 / impr. 105; PDF 56 / impr. 45; Fig 3.18 (PDF 89 / impr. 78); PDF 94 / impr. 83; Fig 4.2 (PDF 107)</w:t>
      </w:r>
    </w:p>
    <w:p>
      <w:pPr>
        <w:pStyle w:val="ListBullet"/>
      </w:pPr>
      <w:r>
        <w:rPr>
          <w:b/>
        </w:rPr>
        <w:t>Cita:</w:t>
      </w:r>
      <w:r>
        <w:t xml:space="preserve"> "if hypoxemic they should be started on controlled oxygen therapy and undergo assessment to determine whether the exacerbation is life-threatening" (PDF 112).</w:t>
      </w:r>
    </w:p>
    <w:p>
      <w:pPr>
        <w:pStyle w:val="ListBullet"/>
      </w:pPr>
      <w:r>
        <w:rPr>
          <w:b/>
        </w:rPr>
        <w:t>Problema:</w:t>
      </w:r>
    </w:p>
    <w:p>
      <w:pPr>
        <w:pStyle w:val="ListBullet2"/>
      </w:pPr>
      <w:r>
        <w:t>Ninguna búsqueda de "88-92", "target saturation" o "titrated" en el texto devuelve un objetivo de oxigenación en la exacerbación, y las Fig 4.5-4.6 tampoco lo incluyen.</w:t>
      </w:r>
    </w:p>
    <w:p>
      <w:pPr>
        <w:pStyle w:val="ListBullet2"/>
      </w:pPr>
      <w:r>
        <w:t>Mientras tanto, el documento usa seis umbrales distintos:</w:t>
      </w:r>
    </w:p>
    <w:p>
      <w:pPr>
        <w:pStyle w:val="ListBullet2"/>
      </w:pPr>
      <w:r>
        <w:t>≤92 % para indicar gasometría (PDF 56);</w:t>
      </w:r>
    </w:p>
    <w:p>
      <w:pPr>
        <w:pStyle w:val="ListBullet2"/>
      </w:pPr>
      <w:r>
        <w:t>&lt;92 % en Roma;</w:t>
      </w:r>
    </w:p>
    <w:p>
      <w:pPr>
        <w:pStyle w:val="ListBullet2"/>
      </w:pPr>
      <w:r>
        <w:t>≥90 % como objetivo de titulación en la LTOT (Fig 3.18);</w:t>
      </w:r>
    </w:p>
    <w:p>
      <w:pPr>
        <w:pStyle w:val="ListBullet2"/>
      </w:pPr>
      <w:r>
        <w:t>≤88 % en el texto de la LTOT (PDF 87);</w:t>
      </w:r>
    </w:p>
    <w:p>
      <w:pPr>
        <w:pStyle w:val="ListBullet2"/>
      </w:pPr>
      <w:r>
        <w:t>&lt;88 % en la Fig 3.18;</w:t>
      </w:r>
    </w:p>
    <w:p>
      <w:pPr>
        <w:pStyle w:val="ListBullet2"/>
      </w:pPr>
      <w:r>
        <w:t>&gt;92 % como "no hipoxémico" (PDF 94).</w:t>
      </w:r>
    </w:p>
    <w:p>
      <w:pPr>
        <w:pStyle w:val="ListBullet2"/>
      </w:pPr>
      <w:r>
        <w:t>Sin un objetivo explícito existe riesgo de hiperoxia con hipercapnia.</w:t>
      </w:r>
    </w:p>
    <w:p>
      <w:pPr>
        <w:pStyle w:val="ListBullet"/>
      </w:pPr>
      <w:r>
        <w:rPr>
          <w:b/>
        </w:rPr>
        <w:t>Evidencia/justificación:</w:t>
      </w:r>
      <w:r>
        <w:t xml:space="preserve"> el objetivo de 88-92 % figura en NICE QS10 y BTS y en ediciones previas de GOLD (verificado por web).</w:t>
      </w:r>
    </w:p>
    <w:p>
      <w:pPr>
        <w:pStyle w:val="ListBullet"/>
      </w:pPr>
      <w:r>
        <w:rPr>
          <w:b/>
        </w:rPr>
        <w:t>Recomendación:</w:t>
      </w:r>
    </w:p>
    <w:p>
      <w:pPr>
        <w:pStyle w:val="ListBullet2"/>
      </w:pPr>
      <w:r>
        <w:t>Reintroducir "oxígeno controlado con objetivo de SpO2 88-92 % y gasometría a los 30-60 min" en el texto y en la Fig 4.5/4.6.</w:t>
      </w:r>
    </w:p>
    <w:p>
      <w:pPr>
        <w:pStyle w:val="ListBullet2"/>
      </w:pPr>
      <w:r>
        <w:t>Armonizar los umbrales de saturación.</w:t>
      </w:r>
    </w:p>
    <w:p>
      <w:pPr>
        <w:pStyle w:val="ListBullet"/>
      </w:pPr>
      <w:r>
        <w:rPr>
          <w:b/>
        </w:rPr>
        <w:t>Confianza:</w:t>
      </w:r>
      <w:r>
        <w:t xml:space="preserve"> 4 (alguna figura rasterizada no revisada podría contener el objetivo)</w:t>
      </w:r>
    </w:p>
    <w:p>
      <w:pPr>
        <w:pStyle w:val="Heading4"/>
      </w:pPr>
      <w:r>
        <w:t>EQ-13 · Se reconoce que la pulsioximetría es menos precisa en pieles oscuras, pero los umbrales de SpO2 no lo tienen en cuenta</w:t>
      </w:r>
    </w:p>
    <w:p>
      <w:r>
        <w:rPr>
          <w:i/>
        </w:rPr>
        <w:t xml:space="preserve">Severidad final: </w:t>
      </w:r>
      <w:r>
        <w:rPr>
          <w:i/>
          <w:color w:val="ED7D31"/>
        </w:rPr>
        <w:t>🟠</w:t>
      </w:r>
      <w:r>
        <w:rPr>
          <w:i/>
        </w:rPr>
        <w:t xml:space="preserve"> ALTA · Tema T01: Oxigenoterapia en la exacerbación y umbrales de SpO2</w:t>
      </w:r>
    </w:p>
    <w:p>
      <w:pPr>
        <w:pStyle w:val="ListBullet"/>
      </w:pPr>
      <w:r>
        <w:rPr>
          <w:b/>
        </w:rPr>
        <w:t>Tipo:</w:t>
      </w:r>
      <w:r>
        <w:t xml:space="preserve"> Incongruencia interna / Sesgo-Equidad</w:t>
      </w:r>
    </w:p>
    <w:p>
      <w:pPr>
        <w:pStyle w:val="ListBullet"/>
      </w:pPr>
      <w:r>
        <w:rPr>
          <w:b/>
        </w:rPr>
        <w:t>Severidad:</w:t>
      </w:r>
      <w:r>
        <w:t xml:space="preserve"> ALTA</w:t>
      </w:r>
    </w:p>
    <w:p>
      <w:pPr>
        <w:pStyle w:val="ListBullet"/>
      </w:pPr>
      <w:r>
        <w:rPr>
          <w:b/>
        </w:rPr>
        <w:t>Ubicación:</w:t>
      </w:r>
    </w:p>
    <w:p>
      <w:pPr>
        <w:pStyle w:val="ListBullet2"/>
      </w:pPr>
      <w:r>
        <w:t>PDF 110 / impr. 99 (reconocimiento del sesgo).</w:t>
      </w:r>
    </w:p>
    <w:p>
      <w:pPr>
        <w:pStyle w:val="ListBullet2"/>
      </w:pPr>
      <w:r>
        <w:t>PDF 105 / impr. 94: clasificación de la exacerbación, "Resting SaO2 ≥ 92%" / "&lt; 92%".</w:t>
      </w:r>
    </w:p>
    <w:p>
      <w:pPr>
        <w:pStyle w:val="ListBullet2"/>
      </w:pPr>
      <w:r>
        <w:t>PDF 56 / impr. 45: gasometría si la SpO2 es ≤ 92 %.</w:t>
      </w:r>
    </w:p>
    <w:p>
      <w:pPr>
        <w:pStyle w:val="ListBullet2"/>
      </w:pPr>
      <w:r>
        <w:t>PDF 87 / impr. 76: oxigenoterapia crónica domiciliaria (OCD) con "SaO2 at or below 88%".</w:t>
      </w:r>
    </w:p>
    <w:p>
      <w:pPr>
        <w:pStyle w:val="ListBullet"/>
      </w:pPr>
      <w:r>
        <w:rPr>
          <w:b/>
        </w:rPr>
        <w:t>Cita:</w:t>
      </w:r>
      <w:r>
        <w:t xml:space="preserve"> "oxygen saturation… has been shown to be less accurate in individuals with darker skin tone.(958)" (PDF 110)</w:t>
      </w:r>
    </w:p>
    <w:p>
      <w:pPr>
        <w:pStyle w:val="ListBullet"/>
      </w:pPr>
      <w:r>
        <w:rPr>
          <w:b/>
        </w:rPr>
        <w:t>Problema:</w:t>
      </w:r>
      <w:r>
        <w:t xml:space="preserve"> El sesgo se reconoce en una sola frase aislada, pero no se traslada a los umbrales de pulsioximetría que deciden:</w:t>
      </w:r>
    </w:p>
    <w:p>
      <w:pPr>
        <w:pStyle w:val="ListBullet2"/>
      </w:pPr>
      <w:r>
        <w:t>la gasometría;</w:t>
      </w:r>
    </w:p>
    <w:p>
      <w:pPr>
        <w:pStyle w:val="ListBullet2"/>
      </w:pPr>
      <w:r>
        <w:t>la gravedad de la exacerbación, que determina el ingreso;</w:t>
      </w:r>
    </w:p>
    <w:p>
      <w:pPr>
        <w:pStyle w:val="ListBullet2"/>
      </w:pPr>
      <w:r>
        <w:t>la indicación de OCD;</w:t>
      </w:r>
    </w:p>
    <w:p>
      <w:pPr>
        <w:pStyle w:val="ListBullet2"/>
      </w:pPr>
      <w:r>
        <w:t>los objetivos de oxigenación.</w:t>
      </w:r>
    </w:p>
    <w:p>
      <w:r>
        <w:t>El pulsioxímetro tiende a sobrestimar la saturación en personas con piel oscura, de modo que la hipoxemia oculta puede dejar sin gasometría, sin ingreso o sin OCD a quien lo necesita. Además, el documento escribe "SaO2" (saturación arterial) donde se refiere a la SpO2 medida por pulsioximetría.</w:t>
      </w:r>
    </w:p>
    <w:p>
      <w:pPr>
        <w:pStyle w:val="ListBullet"/>
      </w:pPr>
      <w:r>
        <w:rPr>
          <w:b/>
        </w:rPr>
        <w:t>Evidencia/justificación:</w:t>
      </w:r>
    </w:p>
    <w:p>
      <w:pPr>
        <w:pStyle w:val="ListBullet2"/>
      </w:pPr>
      <w:r>
        <w:t>Sjoding MW et al., N Engl J Med 2020;383:2477-8, PMID 33326721: hipoxemia oculta (SaO2 &lt; 88 % con SpO2 del 92-96 %) con una frecuencia unas 3 veces mayor en pacientes negros.</w:t>
      </w:r>
    </w:p>
    <w:p>
      <w:pPr>
        <w:pStyle w:val="ListBullet2"/>
      </w:pPr>
      <w:r>
        <w:t>Hallazgos similares en BMJ 2022;378:e069775 (VA) y en otras cohortes.</w:t>
      </w:r>
    </w:p>
    <w:p>
      <w:pPr>
        <w:pStyle w:val="ListBullet2"/>
      </w:pPr>
      <w:r>
        <w:t>La FDA publicó en 2025 un borrador de guía para mejorar la validación de los pulsioxímetros según la pigmentación cutánea.</w:t>
      </w:r>
    </w:p>
    <w:p>
      <w:pPr>
        <w:pStyle w:val="ListBullet"/>
      </w:pPr>
      <w:r>
        <w:rPr>
          <w:b/>
        </w:rPr>
        <w:t>Recomendación:</w:t>
      </w:r>
    </w:p>
    <w:p>
      <w:pPr>
        <w:pStyle w:val="ListBullet2"/>
      </w:pPr>
      <w:r>
        <w:t>Añadir junto a cada umbral de SpO2 una nota: en personas con piel oscura o con pulsioxímetros no validados, usar un umbral más alto para pedir gasometría o confirmar con gasometría antes de descartar hipoxemia o una indicación de OCD.</w:t>
      </w:r>
    </w:p>
    <w:p>
      <w:pPr>
        <w:pStyle w:val="ListBullet2"/>
      </w:pPr>
      <w:r>
        <w:t>Recomendar el uso de dispositivos validados en distintos tonos de piel.</w:t>
      </w:r>
    </w:p>
    <w:p>
      <w:pPr>
        <w:pStyle w:val="ListBullet2"/>
      </w:pPr>
      <w:r>
        <w:t>Corregir "SaO2" por "SpO2" donde corresponda.</w:t>
      </w:r>
    </w:p>
    <w:p>
      <w:pPr>
        <w:pStyle w:val="ListBullet"/>
      </w:pPr>
      <w:r>
        <w:rPr>
          <w:b/>
        </w:rPr>
        <w:t>Confianza:</w:t>
      </w:r>
      <w:r>
        <w:t xml:space="preserve"> 4/5</w:t>
      </w:r>
    </w:p>
    <w:p>
      <w:pPr>
        <w:pStyle w:val="Heading4"/>
      </w:pPr>
      <w:r>
        <w:t>COH-01 · La Fig. 4.2 altera los criterios gasométricos de la propuesta de Roma y deja huecos de clasificación</w:t>
      </w:r>
    </w:p>
    <w:p>
      <w:r>
        <w:rPr>
          <w:i/>
        </w:rPr>
        <w:t xml:space="preserve">Severidad final: </w:t>
      </w:r>
      <w:r>
        <w:rPr>
          <w:i/>
          <w:color w:val="ED7D31"/>
        </w:rPr>
        <w:t>🟠</w:t>
      </w:r>
      <w:r>
        <w:rPr>
          <w:i/>
        </w:rPr>
        <w:t xml:space="preserve"> ALTA · Tema T02: Clasificación de gravedad de la exacerbación (Roma) y sistemas incompatibles</w:t>
      </w:r>
    </w:p>
    <w:p>
      <w:pPr>
        <w:pStyle w:val="IntenseQuote"/>
      </w:pPr>
      <w:r>
        <w:rPr>
          <w:b/>
        </w:rPr>
        <w:t>Verificación independiente (CONFIRMADO):</w:t>
      </w:r>
      <w:r>
        <w:t xml:space="preserve"> Ninguna sustantiva. Conviene precisar dos consecuencias. (1) La hipoxemia aislada ≤ 60 pasa de moderada (Roma) a grave (GOLD). (2) Una PaO2 de 61-69 mmHg queda sin clasificar.</w:t>
      </w:r>
    </w:p>
    <w:p>
      <w:pPr>
        <w:pStyle w:val="ListBullet"/>
      </w:pPr>
      <w:r>
        <w:rPr>
          <w:b/>
        </w:rPr>
        <w:t>Tipo:</w:t>
      </w:r>
      <w:r>
        <w:t xml:space="preserve"> Incoherencia clínica / fidelidad a la fuente</w:t>
      </w:r>
    </w:p>
    <w:p>
      <w:pPr>
        <w:pStyle w:val="ListBullet"/>
      </w:pPr>
      <w:r>
        <w:rPr>
          <w:b/>
        </w:rPr>
        <w:t>Severidad:</w:t>
      </w:r>
      <w:r>
        <w:t xml:space="preserve"> ALTA</w:t>
      </w:r>
    </w:p>
    <w:p>
      <w:pPr>
        <w:pStyle w:val="ListBullet"/>
      </w:pPr>
      <w:r>
        <w:rPr>
          <w:b/>
        </w:rPr>
        <w:t>Ubicación:</w:t>
      </w:r>
      <w:r>
        <w:t xml:space="preserve"> texto en PDF 105 / impr. 94; Fig 4.2 en PDF 107 / impr. 96</w:t>
      </w:r>
    </w:p>
    <w:p>
      <w:pPr>
        <w:pStyle w:val="ListBullet"/>
      </w:pPr>
      <w:r>
        <w:rPr>
          <w:b/>
        </w:rPr>
        <w:t>Cita:</w:t>
      </w:r>
    </w:p>
    <w:p>
      <w:pPr>
        <w:pStyle w:val="ListBullet2"/>
      </w:pPr>
      <w:r>
        <w:t>Moderada: "*If obtained, ABG may show hypoxemia (PaO2 70-80 mmHg)".</w:t>
      </w:r>
    </w:p>
    <w:p>
      <w:pPr>
        <w:pStyle w:val="ListBullet2"/>
      </w:pPr>
      <w:r>
        <w:t>Grave: "If obtained, ABG may show hypoxemia (PaO2 ≤ 60 mmHg) and/or hypercapnia and acidosis (PaCO2 &gt; 45 mmHg and pH &lt; 7.35)".</w:t>
      </w:r>
    </w:p>
    <w:p>
      <w:pPr>
        <w:pStyle w:val="ListBullet"/>
      </w:pPr>
      <w:r>
        <w:rPr>
          <w:b/>
        </w:rPr>
        <w:t>Problema:</w:t>
      </w:r>
    </w:p>
    <w:p>
      <w:pPr>
        <w:pStyle w:val="ListBullet2"/>
      </w:pPr>
      <w:r>
        <w:t xml:space="preserve">La figura declara "Adapted from Rome Proposal", pero en Roma la exacerbación </w:t>
      </w:r>
      <w:r>
        <w:rPr>
          <w:b/>
        </w:rPr>
        <w:t>moderada</w:t>
      </w:r>
      <w:r>
        <w:t xml:space="preserve"> es PaO2 ≤60 y/o PaCO2 &gt;45 </w:t>
      </w:r>
      <w:r>
        <w:rPr>
          <w:b/>
        </w:rPr>
        <w:t>sin acidosis</w:t>
      </w:r>
      <w:r>
        <w:t xml:space="preserve">, y la </w:t>
      </w:r>
      <w:r>
        <w:rPr>
          <w:b/>
        </w:rPr>
        <w:t>grave</w:t>
      </w:r>
      <w:r>
        <w:t xml:space="preserve"> es hipercapnia nueva o que empeora </w:t>
      </w:r>
      <w:r>
        <w:rPr>
          <w:b/>
        </w:rPr>
        <w:t>con acidosis</w:t>
      </w:r>
      <w:r>
        <w:t>.</w:t>
      </w:r>
    </w:p>
    <w:p>
      <w:pPr>
        <w:pStyle w:val="ListBullet2"/>
      </w:pPr>
      <w:r>
        <w:t>GOLD traslada la hipoxemia ≤60 a "grave" y, con el "and/or", basta la hipoxemia sin acidosis para clasificarla así.</w:t>
      </w:r>
    </w:p>
    <w:p>
      <w:pPr>
        <w:pStyle w:val="ListBullet2"/>
      </w:pPr>
      <w:r>
        <w:t>A la moderada le asigna PaO2 70-80 mmHg, que equivale a SaO2 ≈94-96 %. Esto contradice su propio criterio moderado ("SaO2 &lt; 92%") y encaja en el leve ("≥ 92%").</w:t>
      </w:r>
    </w:p>
    <w:p>
      <w:pPr>
        <w:pStyle w:val="ListBullet2"/>
      </w:pPr>
      <w:r>
        <w:t>Una PaO2 de 61-69 mmHg queda sin categoría.</w:t>
      </w:r>
    </w:p>
    <w:p>
      <w:pPr>
        <w:pStyle w:val="ListBullet"/>
      </w:pPr>
      <w:r>
        <w:rPr>
          <w:b/>
        </w:rPr>
        <w:t>Evidencia/justificación:</w:t>
      </w:r>
      <w:r>
        <w:t xml:space="preserve"> Celli BR et al., </w:t>
      </w:r>
      <w:r>
        <w:rPr>
          <w:i/>
        </w:rPr>
        <w:t>Am J Respir Crit Care Med</w:t>
      </w:r>
      <w:r>
        <w:t xml:space="preserve"> 2021;204:1251-58 (verificado por web); curva de disociación de la oxihemoglobina.</w:t>
      </w:r>
    </w:p>
    <w:p>
      <w:pPr>
        <w:pStyle w:val="ListBullet"/>
      </w:pPr>
      <w:r>
        <w:rPr>
          <w:b/>
        </w:rPr>
        <w:t>Recomendación:</w:t>
      </w:r>
    </w:p>
    <w:p>
      <w:pPr>
        <w:pStyle w:val="ListBullet2"/>
      </w:pPr>
      <w:r>
        <w:t>Reproducir literalmente los umbrales de Roma en el texto y en la Fig 4.2 (moderada: PaO2 ≤60 y/o PaCO2 &gt;45 sin acidosis; grave: PaCO2 &gt;45 y pH &lt;7,35).</w:t>
      </w:r>
    </w:p>
    <w:p>
      <w:pPr>
        <w:pStyle w:val="ListBullet2"/>
      </w:pPr>
      <w:r>
        <w:t>Eliminar "70-80 mmHg".</w:t>
      </w:r>
    </w:p>
    <w:p>
      <w:pPr>
        <w:pStyle w:val="ListBullet"/>
      </w:pPr>
      <w:r>
        <w:rPr>
          <w:b/>
        </w:rPr>
        <w:t>Confianza:</w:t>
      </w:r>
      <w:r>
        <w:t xml:space="preserve"> 5</w:t>
      </w:r>
    </w:p>
    <w:p>
      <w:pPr>
        <w:pStyle w:val="Heading4"/>
      </w:pPr>
      <w:r>
        <w:t>COH-05 · Dos sistemas incompatibles de gravedad de la exacerbación, sin regla de transición</w:t>
      </w:r>
    </w:p>
    <w:p>
      <w:r>
        <w:rPr>
          <w:i/>
        </w:rPr>
        <w:t xml:space="preserve">Severidad final: </w:t>
      </w:r>
      <w:r>
        <w:rPr>
          <w:i/>
          <w:color w:val="ED7D31"/>
        </w:rPr>
        <w:t>🟠</w:t>
      </w:r>
      <w:r>
        <w:rPr>
          <w:i/>
        </w:rPr>
        <w:t xml:space="preserve"> ALTA · Tema T02: Clasificación de gravedad de la exacerbación (Roma) y sistemas incompatibles</w:t>
      </w:r>
    </w:p>
    <w:p>
      <w:pPr>
        <w:pStyle w:val="ListBullet"/>
      </w:pPr>
      <w:r>
        <w:rPr>
          <w:b/>
        </w:rPr>
        <w:t>Tipo:</w:t>
      </w:r>
      <w:r>
        <w:t xml:space="preserve"> Incoherencia conceptual entre capítulos</w:t>
      </w:r>
    </w:p>
    <w:p>
      <w:pPr>
        <w:pStyle w:val="ListBullet"/>
      </w:pPr>
      <w:r>
        <w:rPr>
          <w:b/>
        </w:rPr>
        <w:t>Severidad:</w:t>
      </w:r>
      <w:r>
        <w:t xml:space="preserve"> ALTA</w:t>
      </w:r>
    </w:p>
    <w:p>
      <w:pPr>
        <w:pStyle w:val="ListBullet"/>
      </w:pPr>
      <w:r>
        <w:rPr>
          <w:b/>
        </w:rPr>
        <w:t>Ubicación:</w:t>
      </w:r>
      <w:r>
        <w:t xml:space="preserve"> PDF 51 / impr. 40 (gravedad por uso de recursos); Fig 2.13 (PDF 54 / impr. 43); Fig 3.9 (PDF 74 / impr. 63); PDF 104-105 / impr. 93-94 (Roma)</w:t>
      </w:r>
    </w:p>
    <w:p>
      <w:pPr>
        <w:pStyle w:val="ListBullet"/>
      </w:pPr>
      <w:r>
        <w:rPr>
          <w:b/>
        </w:rPr>
        <w:t>Cita:</w:t>
      </w:r>
      <w:r>
        <w:t xml:space="preserve"> "This is probably adequate in clinical trials but useless at the point of care. We are NOW proposing that the severity of an exacerbation…" (PDF 104).</w:t>
      </w:r>
    </w:p>
    <w:p>
      <w:pPr>
        <w:pStyle w:val="ListBullet"/>
      </w:pPr>
      <w:r>
        <w:rPr>
          <w:b/>
        </w:rPr>
        <w:t>Problema:</w:t>
      </w:r>
    </w:p>
    <w:p>
      <w:pPr>
        <w:pStyle w:val="ListBullet2"/>
      </w:pPr>
      <w:r>
        <w:t>El grupo E y todos los umbrales de escalada (1 moderada; 2 moderadas o 1 grave; "hospitalization") se basan en la gravedad por recursos: moderada = esteroides y/o antibióticos; grave = ingreso.</w:t>
      </w:r>
    </w:p>
    <w:p>
      <w:pPr>
        <w:pStyle w:val="ListBullet2"/>
      </w:pPr>
      <w:r>
        <w:t>El cap. 4 declara esa clasificación "useless" y adopta Roma, según la cual parte de los ingresados son "leves".</w:t>
      </w:r>
    </w:p>
    <w:p>
      <w:pPr>
        <w:pStyle w:val="ListBullet2"/>
      </w:pPr>
      <w:r>
        <w:t>Queda sin respuesta si un ingreso "leve" según Roma cuenta como exacerbación grave para el grupo E, el roflumilast o los biológicos.</w:t>
      </w:r>
    </w:p>
    <w:p>
      <w:pPr>
        <w:pStyle w:val="ListBullet"/>
      </w:pPr>
      <w:r>
        <w:rPr>
          <w:b/>
        </w:rPr>
        <w:t>Evidencia/justificación:</w:t>
      </w:r>
      <w:r>
        <w:t xml:space="preserve"> contraste directo entre PDF 51, 54 y 74 y PDF 104-105.</w:t>
      </w:r>
    </w:p>
    <w:p>
      <w:pPr>
        <w:pStyle w:val="ListBullet"/>
      </w:pPr>
      <w:r>
        <w:rPr>
          <w:b/>
        </w:rPr>
        <w:t>Recomendación:</w:t>
      </w:r>
    </w:p>
    <w:p>
      <w:pPr>
        <w:pStyle w:val="ListBullet2"/>
      </w:pPr>
      <w:r>
        <w:t>Declarar explícitamente que, para estratificar el riesgo y escalar el tratamiento, "moderada/grave" se define por uso de recursos, y que Roma se reserva para el manejo agudo.</w:t>
      </w:r>
    </w:p>
    <w:p>
      <w:pPr>
        <w:pStyle w:val="ListBullet2"/>
      </w:pPr>
      <w:r>
        <w:t>Añadir una nota en Fig 2.13, 3.9 y el cap. 4.</w:t>
      </w:r>
    </w:p>
    <w:p>
      <w:pPr>
        <w:pStyle w:val="ListBullet"/>
      </w:pPr>
      <w:r>
        <w:rPr>
          <w:b/>
        </w:rPr>
        <w:t>Confianza:</w:t>
      </w:r>
      <w:r>
        <w:t xml:space="preserve"> 4</w:t>
      </w:r>
    </w:p>
    <w:p>
      <w:pPr>
        <w:pStyle w:val="Heading4"/>
      </w:pPr>
      <w:r>
        <w:t>EXA-03 · Los umbrales gasométricos de la Fig. 4.2 y del texto no corresponden a la propuesta de Roma y son internamente incoherentes</w:t>
      </w:r>
    </w:p>
    <w:p>
      <w:r>
        <w:rPr>
          <w:i/>
        </w:rPr>
        <w:t xml:space="preserve">Severidad final: </w:t>
      </w:r>
      <w:r>
        <w:rPr>
          <w:i/>
          <w:color w:val="ED7D31"/>
        </w:rPr>
        <w:t>🟠</w:t>
      </w:r>
      <w:r>
        <w:rPr>
          <w:i/>
        </w:rPr>
        <w:t xml:space="preserve"> ALTA · Tema T02: Clasificación de gravedad de la exacerbación (Roma) y sistemas incompatibles</w:t>
      </w:r>
    </w:p>
    <w:p>
      <w:pPr>
        <w:pStyle w:val="IntenseQuote"/>
      </w:pPr>
      <w:r>
        <w:rPr>
          <w:b/>
        </w:rPr>
        <w:t>Verificación independiente (CONFIRMADO):</w:t>
      </w:r>
      <w:r>
        <w:t xml:space="preserve"> Ninguna sustantiva. Conviene precisar dos consecuencias. (1) La hipoxemia aislada ≤ 60 pasa de moderada (Roma) a grave (GOLD). (2) Una PaO2 de 61-69 mmHg queda sin clasificar.</w:t>
      </w:r>
    </w:p>
    <w:p>
      <w:pPr>
        <w:pStyle w:val="ListBullet"/>
      </w:pPr>
      <w:r>
        <w:rPr>
          <w:b/>
        </w:rPr>
        <w:t>Tipo:</w:t>
      </w:r>
      <w:r>
        <w:t xml:space="preserve"> Error factual / Incongruencia interna</w:t>
      </w:r>
    </w:p>
    <w:p>
      <w:pPr>
        <w:pStyle w:val="ListBullet"/>
      </w:pPr>
      <w:r>
        <w:rPr>
          <w:b/>
        </w:rPr>
        <w:t>Severidad:</w:t>
      </w:r>
      <w:r>
        <w:t xml:space="preserve"> ALTA</w:t>
      </w:r>
    </w:p>
    <w:p>
      <w:pPr>
        <w:pStyle w:val="ListBullet"/>
      </w:pPr>
      <w:r>
        <w:rPr>
          <w:b/>
        </w:rPr>
        <w:t>Ubicación:</w:t>
      </w:r>
      <w:r>
        <w:t xml:space="preserve"> PDF 105 / impr. 94 (texto) y PDF 107 / impr. 96 (Fig. 4.2).</w:t>
      </w:r>
    </w:p>
    <w:p>
      <w:pPr>
        <w:pStyle w:val="ListBullet"/>
      </w:pPr>
      <w:r>
        <w:rPr>
          <w:b/>
        </w:rPr>
        <w:t>Cita:</w:t>
      </w:r>
      <w:r>
        <w:t xml:space="preserve"> En "moderada": "*If obtained, ABG may show hypoxemia (PaO2 70-80 mmHg)". En "grave": "hypoxemia (PaO2 ≤ 60 mmHg) and/or hypercapnia and acidosis (PaCO2 &gt; 45 mmHg and pH &lt; 7.35)".</w:t>
      </w:r>
    </w:p>
    <w:p>
      <w:pPr>
        <w:pStyle w:val="ListBullet"/>
      </w:pPr>
      <w:r>
        <w:rPr>
          <w:b/>
        </w:rPr>
        <w:t>Problema:</w:t>
      </w:r>
    </w:p>
    <w:p>
      <w:pPr>
        <w:pStyle w:val="ListBullet2"/>
      </w:pPr>
      <w:r>
        <w:rPr>
          <w:b/>
        </w:rPr>
        <w:t>Discrepancia con el original.</w:t>
      </w:r>
      <w:r>
        <w:t xml:space="preserve"> En la propuesta de Roma (Celli et al., AJRCCM 2021;204:1251-58, ref. 291) la categoría moderada incluye "hipoxemia (PaO2 ≤60 mmHg) y/o hipercapnia (PaCO2 &gt;45 mmHg) sin acidosis". La grave se define por hipercapnia con acidosis (PaCO2 &gt;45 y pH &lt;7,35). Las cohortes de validación aplican esta definición (p. ej., Zeng 2024, métodos). GOLD:</w:t>
      </w:r>
    </w:p>
    <w:p>
      <w:pPr>
        <w:pStyle w:val="ListBullet2"/>
      </w:pPr>
      <w:r>
        <w:t>traslada la PaO2 ≤60 a la categoría grave ("and/or"), con lo que una hipoxemia sin acidosis basta para ser "grave";</w:t>
      </w:r>
    </w:p>
    <w:p>
      <w:pPr>
        <w:pStyle w:val="ListBullet2"/>
      </w:pPr>
      <w:r>
        <w:t>inventa un rango "70-80 mmHg" que fisiológicamente corresponde a SaO2 ≈93-96 %, incompatible con el criterio de SaO2 &lt;92 % de esa misma fila;</w:t>
      </w:r>
    </w:p>
    <w:p>
      <w:pPr>
        <w:pStyle w:val="ListBullet2"/>
      </w:pPr>
      <w:r>
        <w:t>deja sin clasificar el tramo de PaO2 60-70 mmHg.</w:t>
      </w:r>
    </w:p>
    <w:p>
      <w:pPr>
        <w:pStyle w:val="ListBullet2"/>
      </w:pPr>
      <w:r>
        <w:rPr>
          <w:b/>
        </w:rPr>
        <w:t>Umbral de pH.</w:t>
      </w:r>
      <w:r>
        <w:t xml:space="preserve"> Hay tres umbrales distintos en el mismo capítulo: "&lt;7.35" (Fig. 4.2), "≤ 7.35" (Fig. 4.8) y "≤ 7.25" (clasificación hospitalaria, PDF 105).</w:t>
      </w:r>
    </w:p>
    <w:p>
      <w:pPr>
        <w:pStyle w:val="ListBullet2"/>
      </w:pPr>
      <w:r>
        <w:rPr>
          <w:b/>
        </w:rPr>
        <w:t>Recuento de criterios.</w:t>
      </w:r>
      <w:r>
        <w:t xml:space="preserve"> "Moderada" exige 3 de 5 criterios, pero en atención primaria se indica clasificar sin PCR (PDF 106) y no se dice si entonces son 3 de 4. La fila "grave" no dice cuántos criterios clínicos se requieren.</w:t>
      </w:r>
    </w:p>
    <w:p>
      <w:pPr>
        <w:pStyle w:val="ListBullet2"/>
      </w:pPr>
      <w:r>
        <w:rPr>
          <w:b/>
        </w:rPr>
        <w:t>Etiqueta de la PCR.</w:t>
      </w:r>
      <w:r>
        <w:t xml:space="preserve"> La PCR aparece como "(if obtained)" en la fila leve de la figura pero no en la moderada; el texto dice "(if available)" en ambas.</w:t>
      </w:r>
    </w:p>
    <w:p>
      <w:pPr>
        <w:pStyle w:val="ListBullet"/>
      </w:pPr>
      <w:r>
        <w:rPr>
          <w:b/>
        </w:rPr>
        <w:t>Evidencia/justificación:</w:t>
      </w:r>
    </w:p>
    <w:p>
      <w:pPr>
        <w:pStyle w:val="ListBullet2"/>
      </w:pPr>
      <w:r>
        <w:t>Celli BR et al., AJRCCM 2021;204:1251-8 (doi:10.1164/rccm.202108-1819PP), tabla de clasificación.</w:t>
      </w:r>
    </w:p>
    <w:p>
      <w:pPr>
        <w:pStyle w:val="ListBullet2"/>
      </w:pPr>
      <w:r>
        <w:t>Curva de disociación de la Hb: PaO2 60 mmHg ≈ SaO2 90 %; PaO2 70-80 ≈ 93-96 %.</w:t>
      </w:r>
    </w:p>
    <w:p>
      <w:pPr>
        <w:pStyle w:val="ListBullet"/>
      </w:pPr>
      <w:r>
        <w:rPr>
          <w:b/>
        </w:rPr>
        <w:t>Recomendación:</w:t>
      </w:r>
    </w:p>
    <w:p>
      <w:pPr>
        <w:pStyle w:val="ListBullet2"/>
      </w:pPr>
      <w:r>
        <w:t>Reproducir fielmente los umbrales de Roma:</w:t>
      </w:r>
    </w:p>
    <w:p>
      <w:pPr>
        <w:pStyle w:val="ListBullet2"/>
      </w:pPr>
      <w:r>
        <w:t>Moderada: PaO2 ≤60 y/o PaCO2 &gt;45 sin acidosis.</w:t>
      </w:r>
    </w:p>
    <w:p>
      <w:pPr>
        <w:pStyle w:val="ListBullet2"/>
      </w:pPr>
      <w:r>
        <w:t>Grave: PaCO2 &gt;45 con pH &lt;7,35.</w:t>
      </w:r>
    </w:p>
    <w:p>
      <w:pPr>
        <w:pStyle w:val="ListBullet2"/>
      </w:pPr>
      <w:r>
        <w:t>Eliminar "70-80 mmHg".</w:t>
      </w:r>
    </w:p>
    <w:p>
      <w:pPr>
        <w:pStyle w:val="ListBullet2"/>
      </w:pPr>
      <w:r>
        <w:t>Unificar el umbral de pH en todo el capítulo.</w:t>
      </w:r>
    </w:p>
    <w:p>
      <w:pPr>
        <w:pStyle w:val="ListBullet2"/>
      </w:pPr>
      <w:r>
        <w:t>Indicar cómo puntuar cuando falta la PCR.</w:t>
      </w:r>
    </w:p>
    <w:p>
      <w:pPr>
        <w:pStyle w:val="ListBullet"/>
      </w:pPr>
      <w:r>
        <w:rPr>
          <w:b/>
        </w:rPr>
        <w:t>Confianza:</w:t>
      </w:r>
      <w:r>
        <w:t xml:space="preserve"> 5/5</w:t>
      </w:r>
    </w:p>
    <w:p>
      <w:pPr>
        <w:pStyle w:val="Heading4"/>
      </w:pPr>
      <w:r>
        <w:t>EXA-04 · Clasificación "para pacientes hospitalizados" atribuida a la ref. 932 que no coincide con la fuente, tiene huecos y se solapa con Roma</w:t>
      </w:r>
    </w:p>
    <w:p>
      <w:r>
        <w:rPr>
          <w:i/>
        </w:rPr>
        <w:t xml:space="preserve">Severidad final: </w:t>
      </w:r>
      <w:r>
        <w:rPr>
          <w:i/>
          <w:color w:val="ED7D31"/>
        </w:rPr>
        <w:t>🟠</w:t>
      </w:r>
      <w:r>
        <w:rPr>
          <w:i/>
        </w:rPr>
        <w:t xml:space="preserve"> ALTA · Tema T02: Clasificación de gravedad de la exacerbación (Roma) y sistemas incompatibles</w:t>
      </w:r>
    </w:p>
    <w:p>
      <w:pPr>
        <w:pStyle w:val="IntenseQuote"/>
      </w:pPr>
      <w:r>
        <w:rPr>
          <w:b/>
        </w:rPr>
        <w:t>Verificación independiente (CONFIRMADO):</w:t>
      </w:r>
      <w:r>
        <w:t xml:space="preserve"> La discrepancia con la ref. 932 (Celli-Barnes 2007) y el «or» de ediciones previas son [externo, no verificable con figuras]. Los huecos y solapes internos quedan confirmados.</w:t>
      </w:r>
    </w:p>
    <w:p>
      <w:pPr>
        <w:pStyle w:val="ListBullet"/>
      </w:pPr>
      <w:r>
        <w:rPr>
          <w:b/>
        </w:rPr>
        <w:t>Tipo:</w:t>
      </w:r>
      <w:r>
        <w:t xml:space="preserve"> Incongruencia interna / Evidencia mal representada</w:t>
      </w:r>
    </w:p>
    <w:p>
      <w:pPr>
        <w:pStyle w:val="ListBullet"/>
      </w:pPr>
      <w:r>
        <w:rPr>
          <w:b/>
        </w:rPr>
        <w:t>Severidad:</w:t>
      </w:r>
      <w:r>
        <w:t xml:space="preserve"> ALTA</w:t>
      </w:r>
    </w:p>
    <w:p>
      <w:pPr>
        <w:pStyle w:val="ListBullet"/>
      </w:pPr>
      <w:r>
        <w:rPr>
          <w:b/>
        </w:rPr>
        <w:t>Ubicación:</w:t>
      </w:r>
      <w:r>
        <w:t xml:space="preserve"> PDF 105 / impr. 94 — "In hospitalized patients… we recommend the following classification:(932)".</w:t>
      </w:r>
    </w:p>
    <w:p>
      <w:pPr>
        <w:pStyle w:val="ListBullet"/>
      </w:pPr>
      <w:r>
        <w:rPr>
          <w:b/>
        </w:rPr>
        <w:t>Cita:</w:t>
      </w:r>
      <w:r>
        <w:t xml:space="preserve"> "Ventilatory Failure: Respiratory rate: &gt; 24 breaths per minute; heart rate &gt; 95 bpm… elevated &gt; 60 mmHg and the presence of acidosis (pH ≤ 7.25)".</w:t>
      </w:r>
    </w:p>
    <w:p>
      <w:pPr>
        <w:pStyle w:val="ListBullet"/>
      </w:pPr>
      <w:r>
        <w:rPr>
          <w:b/>
        </w:rPr>
        <w:t>Problema:</w:t>
      </w:r>
    </w:p>
    <w:p>
      <w:pPr>
        <w:pStyle w:val="ListBullet2"/>
      </w:pPr>
      <w:r>
        <w:rPr>
          <w:b/>
        </w:rPr>
        <w:t>Discrepancia con la fuente.</w:t>
      </w:r>
      <w:r>
        <w:t xml:space="preserve"> La ref. 932 (Celli y Barnes, Eur Respir J 2007;29:1224-38) clasifica con FR 20-30 / &gt;30 rpm y sin frecuencia cardiaca. GOLD usa "&gt;24" y "&gt;95 lpm", umbrales de Roma que en Roma son "≥24" y "≥95": un paciente con FR exactamente 24 es "moderado" en Roma y "sin insuficiencia respiratoria" aquí.</w:t>
      </w:r>
    </w:p>
    <w:p>
      <w:pPr>
        <w:pStyle w:val="ListBullet2"/>
      </w:pPr>
      <w:r>
        <w:rPr>
          <w:b/>
        </w:rPr>
        <w:t>"And" en lugar de "or".</w:t>
      </w:r>
      <w:r>
        <w:t xml:space="preserve"> El fallo ventilatorio exige ahora hipercapnia &gt;60 "and" acidosis con pH ≤7,25; versiones previas de GOLD decían "or" (recuerdo, confianza 4). Un paciente con pH 7,30 y PaCO2 65 queda sin categoría, aunque es candidato claro a VNI.</w:t>
      </w:r>
    </w:p>
    <w:p>
      <w:pPr>
        <w:pStyle w:val="ListBullet2"/>
      </w:pPr>
      <w:r>
        <w:rPr>
          <w:b/>
        </w:rPr>
        <w:t>Otros huecos y solapes:</w:t>
      </w:r>
    </w:p>
    <w:p>
      <w:pPr>
        <w:pStyle w:val="ListBullet2"/>
      </w:pPr>
      <w:r>
        <w:t>El tramo de pH 7,26-7,35 no aparece en ninguna categoría.</w:t>
      </w:r>
    </w:p>
    <w:p>
      <w:pPr>
        <w:pStyle w:val="ListBullet2"/>
      </w:pPr>
      <w:r>
        <w:t>"No respiratory failure" incluye pacientes con hipoxemia corregida con FiO2 del 24-35 %, es decir, con insuficiencia respiratoria hipoxémica.</w:t>
      </w:r>
    </w:p>
    <w:p>
      <w:pPr>
        <w:pStyle w:val="ListBullet2"/>
      </w:pPr>
      <w:r>
        <w:t>Las FiO2 "&gt;35 %" (insuficiencia respiratoria) y "&gt;40 %" (fallo ventilatorio) se solapan.</w:t>
      </w:r>
    </w:p>
    <w:p>
      <w:pPr>
        <w:pStyle w:val="ListBullet2"/>
      </w:pPr>
      <w:r>
        <w:rPr>
          <w:b/>
        </w:rPr>
        <w:t>Dos sistemas sin correspondencia.</w:t>
      </w:r>
      <w:r>
        <w:t xml:space="preserve"> Coexisten dos clasificaciones de gravedad (Roma y esta) sin ninguna equivalencia ni indicación de cuándo usar cada una.</w:t>
      </w:r>
    </w:p>
    <w:p>
      <w:pPr>
        <w:pStyle w:val="ListBullet"/>
      </w:pPr>
      <w:r>
        <w:rPr>
          <w:b/>
        </w:rPr>
        <w:t>Evidencia/justificación:</w:t>
      </w:r>
      <w:r>
        <w:t xml:space="preserve"> Comparación directa con la ref. 932 y con la Fig. 4.2. Los criterios de VNI (pH ≤7,35) y de VMI de la propia guía no encajan con estas categorías.</w:t>
      </w:r>
    </w:p>
    <w:p>
      <w:pPr>
        <w:pStyle w:val="ListBullet"/>
      </w:pPr>
      <w:r>
        <w:rPr>
          <w:b/>
        </w:rPr>
        <w:t>Recomendación:</w:t>
      </w:r>
    </w:p>
    <w:p>
      <w:pPr>
        <w:pStyle w:val="ListBullet2"/>
      </w:pPr>
      <w:r>
        <w:t>Suprimir esta segunda clasificación, o reformularla como "fenotipos de insuficiencia respiratoria" (hipoxémica, hipercápnica compensada, hipercápnica acidótica) con umbrales continuos, sin huecos, alineados con las Fig. 4.2 y 4.8.</w:t>
      </w:r>
    </w:p>
    <w:p>
      <w:pPr>
        <w:pStyle w:val="ListBullet2"/>
      </w:pPr>
      <w:r>
        <w:t>Citar la fuente correcta o declarar que es una modificación por consenso.</w:t>
      </w:r>
    </w:p>
    <w:p>
      <w:pPr>
        <w:pStyle w:val="ListBullet"/>
      </w:pPr>
      <w:r>
        <w:rPr>
          <w:b/>
        </w:rPr>
        <w:t>Confianza:</w:t>
      </w:r>
      <w:r>
        <w:t xml:space="preserve"> 4/5</w:t>
      </w:r>
    </w:p>
    <w:p>
      <w:pPr>
        <w:pStyle w:val="Heading4"/>
      </w:pPr>
      <w:r>
        <w:t>EXA-05 · La gravedad por Roma no se traduce a la definición "moderada/grave" por recursos de los caps. 2 y 3 ni al algoritmo ABE</w:t>
      </w:r>
    </w:p>
    <w:p>
      <w:r>
        <w:rPr>
          <w:i/>
        </w:rPr>
        <w:t xml:space="preserve">Severidad final: </w:t>
      </w:r>
      <w:r>
        <w:rPr>
          <w:i/>
          <w:color w:val="ED7D31"/>
        </w:rPr>
        <w:t>🟠</w:t>
      </w:r>
      <w:r>
        <w:rPr>
          <w:i/>
        </w:rPr>
        <w:t xml:space="preserve"> ALTA · Tema T02: Clasificación de gravedad de la exacerbación (Roma) y sistemas incompatibles</w:t>
      </w:r>
    </w:p>
    <w:p>
      <w:pPr>
        <w:pStyle w:val="ListBullet"/>
      </w:pPr>
      <w:r>
        <w:rPr>
          <w:b/>
        </w:rPr>
        <w:t>Tipo:</w:t>
      </w:r>
      <w:r>
        <w:t xml:space="preserve"> Incongruencia interna</w:t>
      </w:r>
    </w:p>
    <w:p>
      <w:pPr>
        <w:pStyle w:val="ListBullet"/>
      </w:pPr>
      <w:r>
        <w:rPr>
          <w:b/>
        </w:rPr>
        <w:t>Severidad:</w:t>
      </w:r>
      <w:r>
        <w:t xml:space="preserve"> ALTA</w:t>
      </w:r>
    </w:p>
    <w:p>
      <w:pPr>
        <w:pStyle w:val="ListBullet"/>
      </w:pPr>
      <w:r>
        <w:rPr>
          <w:b/>
        </w:rPr>
        <w:t>Ubicación:</w:t>
      </w:r>
    </w:p>
    <w:p>
      <w:pPr>
        <w:pStyle w:val="ListBullet2"/>
      </w:pPr>
      <w:r>
        <w:t>PDF 103-104 / impr. 92-93 (puntos clave y texto).</w:t>
      </w:r>
    </w:p>
    <w:p>
      <w:pPr>
        <w:pStyle w:val="ListBullet2"/>
      </w:pPr>
      <w:r>
        <w:t>PDF 109 / impr. 98 (Fig. 4.4).</w:t>
      </w:r>
    </w:p>
    <w:p>
      <w:pPr>
        <w:pStyle w:val="ListBullet2"/>
      </w:pPr>
      <w:r>
        <w:t>PDF 51 / impr. 40 (cap. 2).</w:t>
      </w:r>
    </w:p>
    <w:p>
      <w:pPr>
        <w:pStyle w:val="ListBullet2"/>
      </w:pPr>
      <w:r>
        <w:t>PDF 73-74 / impr. 62-63 (Fig. 3.8 y 3.9).</w:t>
      </w:r>
    </w:p>
    <w:p>
      <w:pPr>
        <w:pStyle w:val="ListBullet2"/>
      </w:pPr>
      <w:r>
        <w:t>PDF 92 / impr. 81 (cap. 3).</w:t>
      </w:r>
    </w:p>
    <w:p>
      <w:pPr>
        <w:pStyle w:val="ListBullet"/>
      </w:pPr>
      <w:r>
        <w:rPr>
          <w:b/>
        </w:rPr>
        <w:t>Cita:</w:t>
      </w:r>
      <w:r>
        <w:t xml:space="preserve"> "This is probably adequate in clinical trials but useless at the point of care" (PDF 104). En el cap. 2: "Even one moderate or severe exacerbation treated with steroids and/or antibiotics" (PDF 51).</w:t>
      </w:r>
    </w:p>
    <w:p>
      <w:pPr>
        <w:pStyle w:val="ListBullet"/>
      </w:pPr>
      <w:r>
        <w:rPr>
          <w:b/>
        </w:rPr>
        <w:t>Problema:</w:t>
      </w:r>
    </w:p>
    <w:p>
      <w:pPr>
        <w:pStyle w:val="ListBullet2"/>
      </w:pPr>
      <w:r>
        <w:rPr>
          <w:b/>
        </w:rPr>
        <w:t>Dos definiciones de gravedad en la misma guía.</w:t>
      </w:r>
      <w:r>
        <w:t xml:space="preserve"> El cap. 4 declara "inútil" la gravedad por uso de recursos, pero:</w:t>
      </w:r>
    </w:p>
    <w:p>
      <w:pPr>
        <w:pStyle w:val="ListBullet2"/>
      </w:pPr>
      <w:r>
        <w:t>la asignación al grupo E (Fig. 3.8: "≥1 moderate or severe"), la escalada en el seguimiento (Fig. 3.9: "two moderate or one severe") y las indicaciones del cap. 3 ("≥ 1 exacerbation requiring a hospital admission") se basan en esa definición;</w:t>
      </w:r>
    </w:p>
    <w:p>
      <w:pPr>
        <w:pStyle w:val="ListBullet2"/>
      </w:pPr>
      <w:r>
        <w:t>los propios puntos clave del cap. 4 la usan ("moderate/severe exacerbations" para corticoides y SABA, PDF 103).</w:t>
      </w:r>
    </w:p>
    <w:p>
      <w:pPr>
        <w:pStyle w:val="ListBullet2"/>
      </w:pPr>
      <w:r>
        <w:rPr>
          <w:b/>
        </w:rPr>
        <w:t>Ingresos "leves".</w:t>
      </w:r>
      <w:r>
        <w:t xml:space="preserve"> La Fig. 4.4 solo deriva a manejo ambulatorio un "Mild exacerbation event". Sin embargo, el propio texto reconoce que el 15-30 % de los ingresados son leves por Roma (en las cohortes, 14-42 %; véase EXA-16). Esos ingresos, ¿cuentan como "graves" para el ABE?</w:t>
      </w:r>
    </w:p>
    <w:p>
      <w:pPr>
        <w:pStyle w:val="ListBullet2"/>
      </w:pPr>
      <w:r>
        <w:rPr>
          <w:b/>
        </w:rPr>
        <w:t>Fig. 4.6 sin estratificar.</w:t>
      </w:r>
      <w:r>
        <w:t xml:space="preserve"> La Fig. 4.6 se presenta como válida "for all exacerbations" sin estratificar por gravedad de Roma.</w:t>
      </w:r>
    </w:p>
    <w:p>
      <w:pPr>
        <w:pStyle w:val="ListBullet"/>
      </w:pPr>
      <w:r>
        <w:rPr>
          <w:b/>
        </w:rPr>
        <w:t>Evidencia/justificación:</w:t>
      </w:r>
      <w:r>
        <w:t xml:space="preserve"> Lectura cruzada de las páginas citadas. No existe ninguna tabla de equivalencias.</w:t>
      </w:r>
    </w:p>
    <w:p>
      <w:pPr>
        <w:pStyle w:val="ListBullet"/>
      </w:pPr>
      <w:r>
        <w:rPr>
          <w:b/>
        </w:rPr>
        <w:t>Recomendación:</w:t>
      </w:r>
    </w:p>
    <w:p>
      <w:pPr>
        <w:pStyle w:val="ListBullet2"/>
      </w:pPr>
      <w:r>
        <w:t>Incluir una tabla puente: gravedad de Roma (para el tratamiento agudo y el lugar de atención) frente a la categoría por recursos (para el historial de riesgo y el ABE).</w:t>
      </w:r>
    </w:p>
    <w:p>
      <w:pPr>
        <w:pStyle w:val="ListBullet2"/>
      </w:pPr>
      <w:r>
        <w:t>Indicar explícitamente que, para las Fig. 3.8 y 3.9, se sigue contando "hospitalización = grave" con independencia de la gravedad de Roma, o justificar el cambio.</w:t>
      </w:r>
    </w:p>
    <w:p>
      <w:pPr>
        <w:pStyle w:val="ListBullet2"/>
      </w:pPr>
      <w:r>
        <w:t>Sustituir "moderate/severe" en los puntos clave por los criterios clínicos correspondientes.</w:t>
      </w:r>
    </w:p>
    <w:p>
      <w:pPr>
        <w:pStyle w:val="ListBullet"/>
      </w:pPr>
      <w:r>
        <w:rPr>
          <w:b/>
        </w:rPr>
        <w:t>Confianza:</w:t>
      </w:r>
      <w:r>
        <w:t xml:space="preserve"> 5/5</w:t>
      </w:r>
    </w:p>
    <w:p>
      <w:pPr>
        <w:pStyle w:val="Heading4"/>
      </w:pPr>
      <w:r>
        <w:t>COH-04 · La Fig. 5.6 propone una TC "HRCT" anual de cribado oncológico para todos los pacientes con EPOC</w:t>
      </w:r>
    </w:p>
    <w:p>
      <w:r>
        <w:rPr>
          <w:i/>
        </w:rPr>
        <w:t xml:space="preserve">Severidad final: </w:t>
      </w:r>
      <w:r>
        <w:rPr>
          <w:i/>
          <w:color w:val="ED7D31"/>
        </w:rPr>
        <w:t>🟠</w:t>
      </w:r>
      <w:r>
        <w:rPr>
          <w:i/>
        </w:rPr>
        <w:t xml:space="preserve"> ALTA · Tema T03: Cribado de cáncer de pulmón</w:t>
      </w:r>
    </w:p>
    <w:p>
      <w:pPr>
        <w:pStyle w:val="IntenseQuote"/>
      </w:pPr>
      <w:r>
        <w:rPr>
          <w:b/>
        </w:rPr>
        <w:t>Verificación independiente (CONFIRMADO):</w:t>
      </w:r>
      <w:r>
        <w:t xml:space="preserve"> Matizar que las figuras se presentan como «enfoque complementario potencial», no como recomendación formal. Rebajar MUL-01 de CRÍTICA a ALTA.</w:t>
      </w:r>
    </w:p>
    <w:p>
      <w:pPr>
        <w:pStyle w:val="ListBullet"/>
      </w:pPr>
      <w:r>
        <w:rPr>
          <w:b/>
        </w:rPr>
        <w:t>Tipo:</w:t>
      </w:r>
      <w:r>
        <w:t xml:space="preserve"> Incoherencia figura-texto con riesgo clínico (sobrecribado e irradiación)</w:t>
      </w:r>
    </w:p>
    <w:p>
      <w:pPr>
        <w:pStyle w:val="ListBullet"/>
      </w:pPr>
      <w:r>
        <w:rPr>
          <w:b/>
        </w:rPr>
        <w:t>Severidad:</w:t>
      </w:r>
      <w:r>
        <w:t xml:space="preserve"> ALTA</w:t>
      </w:r>
    </w:p>
    <w:p>
      <w:pPr>
        <w:pStyle w:val="ListBullet"/>
      </w:pPr>
      <w:r>
        <w:rPr>
          <w:b/>
        </w:rPr>
        <w:t>Ubicación:</w:t>
      </w:r>
      <w:r>
        <w:t xml:space="preserve"> Fig 5.6 en PDF 141 / impr. 130; texto en PDF 47 / impr. 36, PDF 130-131 / impr. 119-120; key point en PDF 123 / impr. 112</w:t>
      </w:r>
    </w:p>
    <w:p>
      <w:pPr>
        <w:pStyle w:val="ListBullet"/>
      </w:pPr>
      <w:r>
        <w:rPr>
          <w:b/>
        </w:rPr>
        <w:t>Cita:</w:t>
      </w:r>
    </w:p>
    <w:p>
      <w:pPr>
        <w:pStyle w:val="ListBullet2"/>
      </w:pPr>
      <w:r>
        <w:t>Título de la figura: "…Frequent Morbidities in all Patients with COPD – Regular Follow-up".</w:t>
      </w:r>
    </w:p>
    <w:p>
      <w:pPr>
        <w:pStyle w:val="ListBullet2"/>
      </w:pPr>
      <w:r>
        <w:t>Recuadro: "Yearly … chest HRCT (cancer screening)".</w:t>
      </w:r>
    </w:p>
    <w:p>
      <w:pPr>
        <w:pStyle w:val="ListBullet"/>
      </w:pPr>
      <w:r>
        <w:rPr>
          <w:b/>
        </w:rPr>
        <w:t>Problema:</w:t>
      </w:r>
    </w:p>
    <w:p>
      <w:pPr>
        <w:pStyle w:val="ListBullet2"/>
      </w:pPr>
      <w:r>
        <w:t>El texto limita el cribado a los criterios USPSTF (50-80 años, ≥20 paquetes-año).</w:t>
      </w:r>
    </w:p>
    <w:p>
      <w:pPr>
        <w:pStyle w:val="ListBullet2"/>
      </w:pPr>
      <w:r>
        <w:t>En nunca fumadores dice que "annual LDCT screening is not currently recommended" (PDF 131).</w:t>
      </w:r>
    </w:p>
    <w:p>
      <w:pPr>
        <w:pStyle w:val="ListBullet2"/>
      </w:pPr>
      <w:r>
        <w:t>La figura lo extiende a "all patients" y usa HRCT, que tiene mayor dosis y otra finalidad, en lugar de LDCT.</w:t>
      </w:r>
    </w:p>
    <w:p>
      <w:pPr>
        <w:pStyle w:val="ListBullet2"/>
      </w:pPr>
      <w:r>
        <w:t>El key point de PDF 123 ("in patients with a smoking history") también es más laxo que USPSTF: omite los paquetes-año y los años desde el abandono.</w:t>
      </w:r>
    </w:p>
    <w:p>
      <w:pPr>
        <w:pStyle w:val="ListBullet"/>
      </w:pPr>
      <w:r>
        <w:rPr>
          <w:b/>
        </w:rPr>
        <w:t>Evidencia/justificación:</w:t>
      </w:r>
      <w:r>
        <w:t xml:space="preserve"> USPSTF 2021 (criterios citados por la propia guía en PDF 47 y 130).</w:t>
      </w:r>
    </w:p>
    <w:p>
      <w:pPr>
        <w:pStyle w:val="ListBullet"/>
      </w:pPr>
      <w:r>
        <w:rPr>
          <w:b/>
        </w:rPr>
        <w:t>Recomendación:</w:t>
      </w:r>
      <w:r>
        <w:t xml:space="preserve"> sustituir por "LDCT anual si se cumplen los criterios de cribado (USPSTF o locales)" en la Fig 5.6 y en el key point de PDF 123.</w:t>
      </w:r>
    </w:p>
    <w:p>
      <w:pPr>
        <w:pStyle w:val="ListBullet"/>
      </w:pPr>
      <w:r>
        <w:rPr>
          <w:b/>
        </w:rPr>
        <w:t>Confianza:</w:t>
      </w:r>
      <w:r>
        <w:t xml:space="preserve"> 5</w:t>
      </w:r>
    </w:p>
    <w:p>
      <w:pPr>
        <w:pStyle w:val="Heading4"/>
      </w:pPr>
      <w:r>
        <w:t>MUL-01 · Figuras 5.5 y 5.6: HRCT anual para «cribado de cáncer» en todos los pacientes con EPOC</w:t>
      </w:r>
    </w:p>
    <w:p>
      <w:r>
        <w:rPr>
          <w:i/>
        </w:rPr>
        <w:t xml:space="preserve">Severidad final: </w:t>
      </w:r>
      <w:r>
        <w:rPr>
          <w:i/>
          <w:color w:val="ED7D31"/>
        </w:rPr>
        <w:t>🟠</w:t>
      </w:r>
      <w:r>
        <w:rPr>
          <w:i/>
        </w:rPr>
        <w:t xml:space="preserve"> ALTA · Tema T03: Cribado de cáncer de pulmón</w:t>
      </w:r>
    </w:p>
    <w:p>
      <w:pPr>
        <w:pStyle w:val="IntenseQuote"/>
      </w:pPr>
      <w:r>
        <w:rPr>
          <w:b/>
        </w:rPr>
        <w:t>Verificación independiente (CONFIRMADO):</w:t>
      </w:r>
      <w:r>
        <w:t xml:space="preserve"> Matizar que las figuras se presentan como «enfoque complementario potencial», no como recomendación formal. Rebajar MUL-01 de CRÍTICA a ALTA. | La figura propone una TC de alta resolución anual «de cribado» para todos los pacientes. Eso contradice el texto de la propia guía (PDF 123 y 130-131, que excluye a los no fumadores) y los criterios de la USPSTF. Corrección: «LDCT anual solo si se cumplen los criterios de cribado y el paciente es candidato a tratamiento curativo, tras decisión compartida». En la Fig 5.5: «TC según las indicaciones del cap. 2 (Fig 2.1…</w:t>
      </w:r>
    </w:p>
    <w:p>
      <w:pPr>
        <w:pStyle w:val="IntenseQuote"/>
      </w:pPr>
      <w:r>
        <w:rPr>
          <w:b/>
        </w:rPr>
        <w:t>Severidad ajustada en la consolidación:</w:t>
      </w:r>
      <w:r>
        <w:t xml:space="preserve"> CRÍTICA → ALTA</w:t>
      </w:r>
    </w:p>
    <w:p>
      <w:pPr>
        <w:pStyle w:val="ListBullet"/>
      </w:pPr>
      <w:r>
        <w:rPr>
          <w:b/>
        </w:rPr>
        <w:t>Tipo:</w:t>
      </w:r>
      <w:r>
        <w:t xml:space="preserve"> Incongruencia interna</w:t>
      </w:r>
    </w:p>
    <w:p>
      <w:pPr>
        <w:pStyle w:val="ListBullet"/>
      </w:pPr>
      <w:r>
        <w:rPr>
          <w:b/>
        </w:rPr>
        <w:t>Severidad:</w:t>
      </w:r>
      <w:r>
        <w:t xml:space="preserve"> CRÍTICA</w:t>
      </w:r>
    </w:p>
    <w:p>
      <w:pPr>
        <w:pStyle w:val="ListBullet"/>
      </w:pPr>
      <w:r>
        <w:rPr>
          <w:b/>
        </w:rPr>
        <w:t>Ubicación:</w:t>
      </w:r>
      <w:r>
        <w:t xml:space="preserve"> PDF 141 / impr. 130 — Fig. 5.6 (seguimiento); PDF 140 / impr. 129 — Fig. 5.5 (evaluación inicial)</w:t>
      </w:r>
    </w:p>
    <w:p>
      <w:pPr>
        <w:pStyle w:val="ListBullet"/>
      </w:pPr>
      <w:r>
        <w:rPr>
          <w:b/>
        </w:rPr>
        <w:t>Cita:</w:t>
      </w:r>
      <w:r>
        <w:t xml:space="preserve"> Fig. 5.6, título: "…Morbidities in all Patients with COPD – Regular Follow-up"; recuadro: "Yearly … chest HRCT (cancer screening)". Fig. 5.5: "Spirometry, chest X-ray, chest HRCT, lung volumes, DLco, SpO2".</w:t>
      </w:r>
    </w:p>
    <w:p>
      <w:pPr>
        <w:pStyle w:val="ListBullet"/>
      </w:pPr>
      <w:r>
        <w:rPr>
          <w:b/>
        </w:rPr>
        <w:t>Problema:</w:t>
      </w:r>
      <w:r>
        <w:t xml:space="preserve"> La figura propone una HRCT anual como cribado de cáncer para </w:t>
      </w:r>
      <w:r>
        <w:rPr>
          <w:i/>
        </w:rPr>
        <w:t>todos</w:t>
      </w:r>
      <w:r>
        <w:t xml:space="preserve"> los pacientes con EPOC: también para los nunca fumadores, para los mayores de 80 años, para quienes dejaron de fumar hace más de 15 años y para quienes tienen una esperanza de vida limitada. Además, el cribado oncológico se hace con LDCT, no con HRCT. Esto choca con:</w:t>
      </w:r>
    </w:p>
    <w:p>
      <w:pPr>
        <w:pStyle w:val="ListBullet2"/>
      </w:pPr>
      <w:r>
        <w:t>el punto clave de PDF 123 (cribado anual con LDCT solo con antecedente tabáquico y no en la EPOC no tabáquica);</w:t>
      </w:r>
    </w:p>
    <w:p>
      <w:pPr>
        <w:pStyle w:val="ListBullet2"/>
      </w:pPr>
      <w:r>
        <w:t>el texto de PDF 130-131 (criterios USPSTF; «annual LDCT screening is not currently recommended for these individuals»);</w:t>
      </w:r>
    </w:p>
    <w:p>
      <w:pPr>
        <w:pStyle w:val="ListBullet2"/>
      </w:pPr>
      <w:r>
        <w:t>el cap. 2 (PDF 57 / impr. 46: «chest CT is not required for COPD diagnosis»; PDF 58 / impr. 47: la TC «should be considered» en indicaciones concretas, entre ellas «meet criteria for lung cancer screening»).</w:t>
      </w:r>
    </w:p>
    <w:p>
      <w:pPr>
        <w:pStyle w:val="ListBullet"/>
      </w:pPr>
      <w:r>
        <w:rPr>
          <w:b/>
        </w:rPr>
        <w:t>Evidencia/justificación:</w:t>
      </w:r>
    </w:p>
    <w:p>
      <w:pPr>
        <w:pStyle w:val="ListBullet2"/>
      </w:pPr>
      <w:r>
        <w:t>La USPSTF 2021 (Krist AH, JAMA 2021;325:962) recomienda LDCT anual solo entre los 50 y los 80 años, con ≥20 paquetes-año y habiendo dejado de fumar hace ≤15 años. El NLST (NEJM 2011;365:395) y el NELSON (de Koning, NEJM 2020;382:503) usaron protocolos de baja dosis.</w:t>
      </w:r>
    </w:p>
    <w:p>
      <w:pPr>
        <w:pStyle w:val="ListBullet2"/>
      </w:pPr>
      <w:r>
        <w:t>La HRCT en volumen completo suele implicar más radiación. Aplicarla de forma universal y anual multiplica los falsos positivos, el sobrediagnóstico y los procedimientos invasivos, que el propio texto de PDF 131 advierte que deben evitarse.</w:t>
      </w:r>
    </w:p>
    <w:p>
      <w:pPr>
        <w:pStyle w:val="ListBullet2"/>
      </w:pPr>
      <w:r>
        <w:t>La Fig. 5.5 coloca la HRCT en la evaluación inicial de todos los pacientes, en contra de lo que dice el cap. 2.</w:t>
      </w:r>
    </w:p>
    <w:p>
      <w:pPr>
        <w:pStyle w:val="ListBullet"/>
      </w:pPr>
      <w:r>
        <w:rPr>
          <w:b/>
        </w:rPr>
        <w:t>Recomendación:</w:t>
      </w:r>
    </w:p>
    <w:p>
      <w:pPr>
        <w:pStyle w:val="ListBullet2"/>
      </w:pPr>
      <w:r>
        <w:t xml:space="preserve">En la Fig. 5.6, sustituir por: «LDCT anual </w:t>
      </w:r>
      <w:r>
        <w:rPr>
          <w:i/>
        </w:rPr>
        <w:t>solo</w:t>
      </w:r>
      <w:r>
        <w:t xml:space="preserve"> si se cumplen los criterios de cribado (p. ej., USPSTF 2021 o ACS 2023) y el paciente es candidato a tratamiento curativo».</w:t>
      </w:r>
    </w:p>
    <w:p>
      <w:pPr>
        <w:pStyle w:val="ListBullet2"/>
      </w:pPr>
      <w:r>
        <w:t>En la Fig. 5.5, indicar: «TC de tórax según las indicaciones del cap. 2 (Fig. 2.14)».</w:t>
      </w:r>
    </w:p>
    <w:p>
      <w:pPr>
        <w:pStyle w:val="ListBullet2"/>
      </w:pPr>
      <w:r>
        <w:t>Añadir una nota de toma de decisiones compartida y de cese del cribado.</w:t>
      </w:r>
    </w:p>
    <w:p>
      <w:pPr>
        <w:pStyle w:val="ListBullet"/>
      </w:pPr>
      <w:r>
        <w:rPr>
          <w:b/>
        </w:rPr>
        <w:t>Confianza:</w:t>
      </w:r>
      <w:r>
        <w:t xml:space="preserve"> 5/5</w:t>
      </w:r>
    </w:p>
    <w:p>
      <w:pPr>
        <w:pStyle w:val="Heading4"/>
      </w:pPr>
      <w:r>
        <w:t>INT-04 · Rehabilitación iniciada «durante la hospitalización» presentada como intervención que reduce la mortalidad, en contradicción con el Apéndice 4 y con la propia Fig. 3.19</w:t>
      </w:r>
    </w:p>
    <w:p>
      <w:r>
        <w:rPr>
          <w:i/>
        </w:rPr>
        <w:t xml:space="preserve">Severidad final: </w:t>
      </w:r>
      <w:r>
        <w:rPr>
          <w:i/>
          <w:color w:val="ED7D31"/>
        </w:rPr>
        <w:t>🟠</w:t>
      </w:r>
      <w:r>
        <w:rPr>
          <w:i/>
        </w:rPr>
        <w:t xml:space="preserve"> ALTA · Tema T05: Rehabilitación iniciada en el ingreso y mortalidad</w:t>
      </w:r>
    </w:p>
    <w:p>
      <w:pPr>
        <w:pStyle w:val="IntenseQuote"/>
      </w:pPr>
      <w:r>
        <w:rPr>
          <w:b/>
        </w:rPr>
        <w:t>Verificación independiente (CONFIRMADO):</w:t>
      </w:r>
      <w:r>
        <w:t xml:space="preserve"> Igual precisión de ubicación: Apéndice (texto), no Fig A4.1. | 1. Separar la movilización intrahospitalaria de la rehabilitación estructurada tras el alta. 2. Eliminar "during hospitalization" de la afirmación de mortalidad. 3. Indicar que los metaanálisis más recientes (Lu 2023, Cochrane 2016) no muestran una reducción significativa de la mortalidad. 4. Citar Greening 2014 en el cuerpo principal. 5. Recomendar iniciar la rehabilitación en las 3-4 semanas tras el alta.</w:t>
      </w:r>
    </w:p>
    <w:p>
      <w:pPr>
        <w:pStyle w:val="ListBullet"/>
      </w:pPr>
      <w:r>
        <w:rPr>
          <w:b/>
        </w:rPr>
        <w:t>Tipo:</w:t>
      </w:r>
      <w:r>
        <w:t xml:space="preserve"> Incongruencia interna / Evidencia mal representada</w:t>
      </w:r>
    </w:p>
    <w:p>
      <w:pPr>
        <w:pStyle w:val="ListBullet"/>
      </w:pPr>
      <w:r>
        <w:rPr>
          <w:b/>
        </w:rPr>
        <w:t>Severidad:</w:t>
      </w:r>
      <w:r>
        <w:t xml:space="preserve"> ALTA</w:t>
      </w:r>
    </w:p>
    <w:p>
      <w:pPr>
        <w:pStyle w:val="ListBullet"/>
      </w:pPr>
      <w:r>
        <w:rPr>
          <w:b/>
        </w:rPr>
        <w:t>Ubicación:</w:t>
      </w:r>
      <w:r>
        <w:t xml:space="preserve"> PDF 91 / impr. 80 — Fig. 3.19 (fila «Pulmonary rehabilitation») y texto; PDF 172 / impr. 161 — Apéndice 4; PDF 120 / impr. 109 — cap. 4</w:t>
      </w:r>
    </w:p>
    <w:p>
      <w:pPr>
        <w:pStyle w:val="ListBullet"/>
      </w:pPr>
      <w:r>
        <w:rPr>
          <w:b/>
        </w:rPr>
        <w:t>Cita:</w:t>
      </w:r>
      <w:r>
        <w:t xml:space="preserve"> PDF 91: "reduction in mortality for patients who had pulmonary rehabilitation initiated during hospitalization or 4 weeks after discharge". PDF 172: "initiating pulmonary rehabilitation before the patient's discharge may compromise survival through unknown mechanisms.(1726)"</w:t>
      </w:r>
    </w:p>
    <w:p>
      <w:pPr>
        <w:pStyle w:val="ListBullet"/>
      </w:pPr>
      <w:r>
        <w:rPr>
          <w:b/>
        </w:rPr>
        <w:t>Problema:</w:t>
      </w:r>
    </w:p>
    <w:p>
      <w:pPr>
        <w:pStyle w:val="ListBullet2"/>
      </w:pPr>
      <w:r>
        <w:rPr>
          <w:b/>
        </w:rPr>
        <w:t>La propia Fig. 3.19 no sostiene el efecto.</w:t>
      </w:r>
      <w:r>
        <w:t xml:space="preserve"> Pone «Yes» en «RCT» y describe a la población como «during or ≤ 4 weeks after discharge». Pero su dato más reciente es no significativo (RR 0,68; IC 0,28-1,67) y su nota al pie dice «#Inconclusive». En Cochrane las medidas son OR, no RR.</w:t>
      </w:r>
    </w:p>
    <w:p>
      <w:pPr>
        <w:pStyle w:val="ListBullet2"/>
      </w:pPr>
      <w:r>
        <w:rPr>
          <w:b/>
        </w:rPr>
        <w:t>El Apéndice 4 dice lo contrario.</w:t>
      </w:r>
      <w:r>
        <w:t xml:space="preserve"> Afirma que los efectos a largo plazo sobre la mortalidad «were not statistically significant» y que iniciar la rehabilitación antes del alta puede comprometer la supervivencia (Greening 2014).</w:t>
      </w:r>
    </w:p>
    <w:p>
      <w:pPr>
        <w:pStyle w:val="ListBullet2"/>
      </w:pPr>
      <w:r>
        <w:rPr>
          <w:b/>
        </w:rPr>
        <w:t>El cap. 4 matiza que la evidencia es heterogénea.</w:t>
      </w:r>
    </w:p>
    <w:p>
      <w:pPr>
        <w:pStyle w:val="ListBullet2"/>
      </w:pPr>
      <w:r>
        <w:t>Recomendar rehabilitación intrahospitalaria para reducir la mortalidad no está justificado y puede llevar a una implementación inapropiada.</w:t>
      </w:r>
    </w:p>
    <w:p>
      <w:pPr>
        <w:pStyle w:val="ListBullet"/>
      </w:pPr>
      <w:r>
        <w:rPr>
          <w:b/>
        </w:rPr>
        <w:t>Evidencia/justificación:</w:t>
      </w:r>
    </w:p>
    <w:p>
      <w:pPr>
        <w:pStyle w:val="ListBullet2"/>
      </w:pPr>
      <w:r>
        <w:t>Puhan MA et al., Cochrane 2016;CD005305 (ref. 781): mortalidad OR 0,68 (0,28-1,67), «inconclusive». La OR 0,28 procede de la versión de 2011, con pocos ensayos.</w:t>
      </w:r>
    </w:p>
    <w:p>
      <w:pPr>
        <w:pStyle w:val="ListBullet2"/>
      </w:pPr>
      <w:r>
        <w:t xml:space="preserve">Greening NJ et al., </w:t>
      </w:r>
      <w:r>
        <w:rPr>
          <w:i/>
        </w:rPr>
        <w:t>BMJ</w:t>
      </w:r>
      <w:r>
        <w:t xml:space="preserve"> 2014;349:g4315: rehabilitación precoz iniciada en el hospital sin beneficio en reingresos y con mayor mortalidad a 12 meses.</w:t>
      </w:r>
    </w:p>
    <w:p>
      <w:pPr>
        <w:pStyle w:val="ListBullet2"/>
      </w:pPr>
      <w:r>
        <w:t xml:space="preserve">Lindenauer PK et al., </w:t>
      </w:r>
      <w:r>
        <w:rPr>
          <w:i/>
        </w:rPr>
        <w:t>JAMA</w:t>
      </w:r>
      <w:r>
        <w:t xml:space="preserve"> 2020 (ref. 782): estudio observacional, inicio ≤ 90 días </w:t>
      </w:r>
      <w:r>
        <w:rPr>
          <w:b/>
        </w:rPr>
        <w:t>tras el alta</w:t>
      </w:r>
      <w:r>
        <w:t>.</w:t>
      </w:r>
    </w:p>
    <w:p>
      <w:pPr>
        <w:pStyle w:val="ListBullet"/>
      </w:pPr>
      <w:r>
        <w:rPr>
          <w:b/>
        </w:rPr>
        <w:t>Recomendación:</w:t>
      </w:r>
    </w:p>
    <w:p>
      <w:pPr>
        <w:pStyle w:val="ListBullet2"/>
      </w:pPr>
      <w:r>
        <w:t>Mover la rehabilitación de la Fig. 3.19 a una categoría de «posible beneficio; evidencia inconsistente», o eliminarla de la tabla de intervenciones que reducen la mortalidad.</w:t>
      </w:r>
    </w:p>
    <w:p>
      <w:pPr>
        <w:pStyle w:val="ListBullet2"/>
      </w:pPr>
      <w:r>
        <w:t>En el texto, especificar «iniciada tras el alta (≤ 4 semanas)» y advertir que iniciarla durante el ingreso no ha demostrado reducir la mortalidad (Greening 2014).</w:t>
      </w:r>
    </w:p>
    <w:p>
      <w:pPr>
        <w:pStyle w:val="ListBullet2"/>
      </w:pPr>
      <w:r>
        <w:t>Armonizar la redacción del cap. 3, el cap. 4 y el Apéndice 4.</w:t>
      </w:r>
    </w:p>
    <w:p>
      <w:pPr>
        <w:pStyle w:val="ListBullet"/>
      </w:pPr>
      <w:r>
        <w:rPr>
          <w:b/>
        </w:rPr>
        <w:t>Confianza:</w:t>
      </w:r>
      <w:r>
        <w:t xml:space="preserve"> 5/5</w:t>
      </w:r>
    </w:p>
    <w:p>
      <w:pPr>
        <w:pStyle w:val="Heading4"/>
      </w:pPr>
      <w:r>
        <w:t>REH-01 · Inicio de la RR «durante la hospitalización» presentado como reductor de mortalidad pese a la señal de daño</w:t>
      </w:r>
    </w:p>
    <w:p>
      <w:r>
        <w:rPr>
          <w:i/>
        </w:rPr>
        <w:t xml:space="preserve">Severidad final: </w:t>
      </w:r>
      <w:r>
        <w:rPr>
          <w:i/>
          <w:color w:val="ED7D31"/>
        </w:rPr>
        <w:t>🟠</w:t>
      </w:r>
      <w:r>
        <w:rPr>
          <w:i/>
        </w:rPr>
        <w:t xml:space="preserve"> ALTA · Tema T05: Rehabilitación iniciada en el ingreso y mortalidad</w:t>
      </w:r>
    </w:p>
    <w:p>
      <w:pPr>
        <w:pStyle w:val="IntenseQuote"/>
      </w:pPr>
      <w:r>
        <w:rPr>
          <w:b/>
        </w:rPr>
        <w:t>Verificación independiente (CONFIRMADO):</w:t>
      </w:r>
      <w:r>
        <w:t xml:space="preserve"> La señal de daño está en el texto del Apéndice 4, no en la Fig A4.1. Esa figura solo afirma reducción de hospitalización (≤ 4 semanas, Evidence B) y no menciona la mortalidad. El Apéndice también cita la ref. 1725 (Chen 2025), favorable al inicio precoz, y el hallazgo debería mencionarla. Rebajar de CRÍTICA a ALTA. | 1. Separar la movilización intrahospitalaria de la rehabilitación estructurada tras el alta. 2. Eliminar "during hospitalization" de la afirmación de mortalidad. 3. Indicar que los metaanálisis más recientes (Lu 2023, Cochrane 2016) no muestran una reducción significativa de la mortalidad. 4. Citar Greening 2014 en el cuerpo principal. 5. Recomendar iniciar la rehabilitación en las 3-4 semanas tras el alta.</w:t>
      </w:r>
    </w:p>
    <w:p>
      <w:pPr>
        <w:pStyle w:val="IntenseQuote"/>
      </w:pPr>
      <w:r>
        <w:rPr>
          <w:b/>
        </w:rPr>
        <w:t>Severidad ajustada en la consolidación:</w:t>
      </w:r>
      <w:r>
        <w:t xml:space="preserve"> CRÍTICA → ALTA</w:t>
      </w:r>
    </w:p>
    <w:p>
      <w:pPr>
        <w:pStyle w:val="ListBullet"/>
      </w:pPr>
      <w:r>
        <w:rPr>
          <w:b/>
        </w:rPr>
        <w:t>Tipo:</w:t>
      </w:r>
      <w:r>
        <w:t xml:space="preserve"> Evidencia mal representada / Incongruencia interna</w:t>
      </w:r>
    </w:p>
    <w:p>
      <w:pPr>
        <w:pStyle w:val="ListBullet"/>
      </w:pPr>
      <w:r>
        <w:rPr>
          <w:b/>
        </w:rPr>
        <w:t>Severidad:</w:t>
      </w:r>
      <w:r>
        <w:t xml:space="preserve"> CRÍTICA</w:t>
      </w:r>
    </w:p>
    <w:p>
      <w:pPr>
        <w:pStyle w:val="ListBullet"/>
      </w:pPr>
      <w:r>
        <w:rPr>
          <w:b/>
        </w:rPr>
        <w:t>Ubicación:</w:t>
      </w:r>
      <w:r>
        <w:t xml:space="preserve"> PDF 91 / impr. 80 — cap. 3, «Therapeutic interventions that reduce COPD mortality» y Figura 3.19 (fila «Pulmonary rehabilitation»); PDF 172 / impr. 161 — Apéndice 4 y Figura A4.1; PDF 120 / impr. 109 — cap. 4.</w:t>
      </w:r>
    </w:p>
    <w:p>
      <w:pPr>
        <w:pStyle w:val="ListBullet"/>
      </w:pPr>
      <w:r>
        <w:rPr>
          <w:b/>
        </w:rPr>
        <w:t>Cita:</w:t>
      </w:r>
      <w:r>
        <w:t xml:space="preserve"> Cap. 3: «reported a reduction in mortality for patients who had pulmonary rehabilitation initiated during hospitalization or 4 weeks after discharge». Figura 3.19: «Hospitalized for exacerbations of COPD (during or ≤ 4 weeks after discharge)». Apéndice: «initiating pulmonary rehabilitation before the patient's discharge may compromise survival through unknown mechanisms.(1726)»</w:t>
      </w:r>
    </w:p>
    <w:p>
      <w:pPr>
        <w:pStyle w:val="ListBullet"/>
      </w:pPr>
      <w:r>
        <w:rPr>
          <w:b/>
        </w:rPr>
        <w:t>Problema:</w:t>
      </w:r>
      <w:r>
        <w:t xml:space="preserve"> El capítulo principal y la figura de intervenciones que reducen la mortalidad equiparan el inicio intrahospitalario con el inicio precoz tras el alta, y les atribuyen beneficio de supervivencia. La única señal de daño (ensayo aleatorizado de Greening) solo aparece en el Apéndice, en una frase aislada y sin traducirse en recomendación. Ningún capítulo formula una recomendación explícita sobre cuándo iniciar la RR (no antes del alta; en las 3 semanas posteriores). El Apéndice también cita un metaanálisis de RR intrahospitalaria (ref. 1715, Moecke 2023) para una afirmación distinta («chronic hypercapnic failure show benefit», PDF 171), sin conciliarlo con Greening. Un clínico podría iniciar entrenamiento progresivo en las primeras 48 h del ingreso creyendo que reduce la mortalidad.</w:t>
      </w:r>
    </w:p>
    <w:p>
      <w:pPr>
        <w:pStyle w:val="ListBullet"/>
      </w:pPr>
      <w:r>
        <w:rPr>
          <w:b/>
        </w:rPr>
        <w:t>Evidencia/justificación:</w:t>
      </w:r>
    </w:p>
    <w:p>
      <w:pPr>
        <w:pStyle w:val="ListBullet2"/>
      </w:pPr>
      <w:r>
        <w:t>Greening NJ et al., BMJ 2014;349:g4315 (doi:10.1136/bmj.g4315): RR precoz iniciada en las primeras 48 h del ingreso. Sin reducción de reingresos y con mayor mortalidad a 12 meses (OR ≈ 1,74; IC 95 % 1,05-2,88).</w:t>
      </w:r>
    </w:p>
    <w:p>
      <w:pPr>
        <w:pStyle w:val="ListBullet2"/>
      </w:pPr>
      <w:r>
        <w:t xml:space="preserve">Wedzicha JA et al., guía ERS/ATS 2017 (Eur Respir J 2017;49:1600791): sugiere </w:t>
      </w:r>
      <w:r>
        <w:rPr>
          <w:b/>
        </w:rPr>
        <w:t>no</w:t>
      </w:r>
      <w:r>
        <w:t xml:space="preserve"> iniciar RR durante la hospitalización e iniciarla en las 3 semanas posteriores al alta.</w:t>
      </w:r>
    </w:p>
    <w:p>
      <w:pPr>
        <w:pStyle w:val="ListBullet2"/>
      </w:pPr>
      <w:r>
        <w:t>Rochester CL et al., guía ATS 2023 (Am J Respir Crit Care Med 2023;208:e7-e26; PMID 37581410; ref. 736 del propio GOLD): recomendación fuerte de RR tras hospitalización, iniciada en las 3 semanas posteriores al alta.</w:t>
      </w:r>
    </w:p>
    <w:p>
      <w:pPr>
        <w:pStyle w:val="ListBullet2"/>
      </w:pPr>
      <w:r>
        <w:t>Moecke 2023 (Ann Am Thorac Soc) concluye que la RR intrahospitalaria es segura y mejora la capacidad funcional (certeza baja, alto riesgo de sesgo). Hay, por tanto, evidencia discordante que debe explicarse y no mezclarse con la evidencia posterior al alta.</w:t>
      </w:r>
    </w:p>
    <w:p>
      <w:pPr>
        <w:pStyle w:val="ListBullet"/>
      </w:pPr>
      <w:r>
        <w:rPr>
          <w:b/>
        </w:rPr>
        <w:t>Recomendación:</w:t>
      </w:r>
    </w:p>
    <w:p>
      <w:pPr>
        <w:pStyle w:val="ListBullet2"/>
      </w:pPr>
      <w:r>
        <w:t>Separar en texto y figura «movilización/fisioterapia intrahospitalaria» y «RR estructurada tras el alta».</w:t>
      </w:r>
    </w:p>
    <w:p>
      <w:pPr>
        <w:pStyle w:val="ListBullet2"/>
      </w:pPr>
      <w:r>
        <w:t>Retirar «during» de la Figura 3.19 y del texto de PDF 91.</w:t>
      </w:r>
    </w:p>
    <w:p>
      <w:pPr>
        <w:pStyle w:val="ListBullet2"/>
      </w:pPr>
      <w:r>
        <w:t>Añadir una recomendación explícita en cap. 3 y cap. 4: iniciar la RR estructurada en las 3-4 semanas posteriores al alta y no iniciar entrenamiento progresivo antes del alta, salvo protocolos supervisados de movilización. Citar Greening 2014 y ERS/ATS 2017 en el cuerpo principal.</w:t>
      </w:r>
    </w:p>
    <w:p>
      <w:pPr>
        <w:pStyle w:val="ListBullet"/>
      </w:pPr>
      <w:r>
        <w:rPr>
          <w:b/>
        </w:rPr>
        <w:t>Confianza:</w:t>
      </w:r>
      <w:r>
        <w:t xml:space="preserve"> 4/5</w:t>
      </w:r>
    </w:p>
    <w:p>
      <w:pPr>
        <w:pStyle w:val="Heading4"/>
      </w:pPr>
      <w:r>
        <w:t>REH-02 · La evidencia de mortalidad de la RR tras exacerbación se sobrestima (texto frente a datos de la propia Figura 3.19)</w:t>
      </w:r>
    </w:p>
    <w:p>
      <w:r>
        <w:rPr>
          <w:i/>
        </w:rPr>
        <w:t xml:space="preserve">Severidad final: </w:t>
      </w:r>
      <w:r>
        <w:rPr>
          <w:i/>
          <w:color w:val="ED7D31"/>
        </w:rPr>
        <w:t>🟠</w:t>
      </w:r>
      <w:r>
        <w:rPr>
          <w:i/>
        </w:rPr>
        <w:t xml:space="preserve"> ALTA · Tema T05: Rehabilitación iniciada en el ingreso y mortalidad</w:t>
      </w:r>
    </w:p>
    <w:p>
      <w:pPr>
        <w:pStyle w:val="IntenseQuote"/>
      </w:pPr>
      <w:r>
        <w:rPr>
          <w:b/>
        </w:rPr>
        <w:t>Verificación independiente (CONFIRMADO):</w:t>
      </w:r>
      <w:r>
        <w:t xml:space="preserve"> Que Puhan 2011/2016 expresen el efecto como OR y no como RR es [externo, no verificable con figuras].</w:t>
      </w:r>
    </w:p>
    <w:p>
      <w:pPr>
        <w:pStyle w:val="ListBullet"/>
      </w:pPr>
      <w:r>
        <w:rPr>
          <w:b/>
        </w:rPr>
        <w:t>Tipo:</w:t>
      </w:r>
      <w:r>
        <w:t xml:space="preserve"> Evidencia mal representada / Incongruencia interna</w:t>
      </w:r>
    </w:p>
    <w:p>
      <w:pPr>
        <w:pStyle w:val="ListBullet"/>
      </w:pPr>
      <w:r>
        <w:rPr>
          <w:b/>
        </w:rPr>
        <w:t>Severidad:</w:t>
      </w:r>
      <w:r>
        <w:t xml:space="preserve"> ALTA</w:t>
      </w:r>
    </w:p>
    <w:p>
      <w:pPr>
        <w:pStyle w:val="ListBullet"/>
      </w:pPr>
      <w:r>
        <w:rPr>
          <w:b/>
        </w:rPr>
        <w:t>Ubicación:</w:t>
      </w:r>
      <w:r>
        <w:t xml:space="preserve"> PDF 91 / impr. 80 — texto y Figura 3.19; PDF 172 / impr. 161 — Apéndice 4.</w:t>
      </w:r>
    </w:p>
    <w:p>
      <w:pPr>
        <w:pStyle w:val="ListBullet"/>
      </w:pPr>
      <w:r>
        <w:rPr>
          <w:b/>
        </w:rPr>
        <w:t>Cita:</w:t>
      </w:r>
      <w:r>
        <w:t xml:space="preserve"> Figura 3.19, fila de RR: «New trials: RR 0.68 (95% CI 0.28, 1.67)»; nota al pie: «#Inconclusive results likely due to differences in pulmonary rehabilitation…». Apéndice: «Long-term effects on mortality were not statistically significant».</w:t>
      </w:r>
    </w:p>
    <w:p>
      <w:pPr>
        <w:pStyle w:val="ListBullet"/>
      </w:pPr>
      <w:r>
        <w:rPr>
          <w:b/>
        </w:rPr>
        <w:t>Problema:</w:t>
      </w:r>
      <w:r>
        <w:t xml:space="preserve"> La figura se titula «Evidence Supporting a Reduction in Mortality», pero el dato más reciente que muestra para la RR no es significativo y se califica de «inconcluso». El texto de PDF 91 afirma sin matices una «reducción de mortalidad» (refs. 778-781), aunque la ref. 781 (Cochrane 2016) no la demuestra. Además, Puhan 2011 y Puhan 2016 expresan el efecto como odds ratio, no como RR.</w:t>
      </w:r>
    </w:p>
    <w:p>
      <w:pPr>
        <w:pStyle w:val="ListBullet"/>
      </w:pPr>
      <w:r>
        <w:rPr>
          <w:b/>
        </w:rPr>
        <w:t>Evidencia/justificación:</w:t>
      </w:r>
    </w:p>
    <w:p>
      <w:pPr>
        <w:pStyle w:val="ListBullet2"/>
      </w:pPr>
      <w:r>
        <w:t>Puhan MA et al., Cochrane 2016;CD005305 (ref. 781): mortalidad OR 0,68 (0,28-1,67), no significativa.</w:t>
      </w:r>
    </w:p>
    <w:p>
      <w:pPr>
        <w:pStyle w:val="ListBullet2"/>
      </w:pPr>
      <w:r>
        <w:t xml:space="preserve">Ryrsø CK et al., BMC Pulm Med 2018;18:154 (ref. 779): reducción de la mortalidad a corto plazo (RR 0,58; 0,35-0,98), pero </w:t>
      </w:r>
      <w:r>
        <w:rPr>
          <w:b/>
        </w:rPr>
        <w:t>no</w:t>
      </w:r>
      <w:r>
        <w:t xml:space="preserve"> a largo plazo (RR 0,55; 0,12-2,57).</w:t>
      </w:r>
    </w:p>
    <w:p>
      <w:pPr>
        <w:pStyle w:val="ListBullet2"/>
      </w:pPr>
      <w:r>
        <w:t>Jenkins AR et al., Thorax 2024 (ref. 1723; PMID 38350731), con RR iniciada ≤ 3 semanas tras el alta: menos reingresos (OR ≈ 0,48), sin efecto concluyente sobre la mortalidad.</w:t>
      </w:r>
    </w:p>
    <w:p>
      <w:pPr>
        <w:pStyle w:val="ListBullet2"/>
      </w:pPr>
      <w:r>
        <w:t>El apoyo observacional (Lindenauer, JAMA 2020; ref. 782) es nivel C según la Tabla A (PDF 14).</w:t>
      </w:r>
    </w:p>
    <w:p>
      <w:pPr>
        <w:pStyle w:val="ListBullet"/>
      </w:pPr>
      <w:r>
        <w:rPr>
          <w:b/>
        </w:rPr>
        <w:t>Recomendación:</w:t>
      </w:r>
      <w:r>
        <w:t xml:space="preserve"> Reformular así: «la RR iniciada tras el alta reduce reingresos y mejora la calidad de vida y la capacidad de ejercicio; la reducción de mortalidad se limita al corto plazo en metaanálisis pequeños y a datos observacionales». Corregir RR→OR en la figura. Valorar trasladar la RR a una categoría de «evidencia sugestiva/inconclusa» dentro de la Figura 3.19.</w:t>
      </w:r>
    </w:p>
    <w:p>
      <w:pPr>
        <w:pStyle w:val="ListBullet"/>
      </w:pPr>
      <w:r>
        <w:rPr>
          <w:b/>
        </w:rPr>
        <w:t>Confianza:</w:t>
      </w:r>
      <w:r>
        <w:t xml:space="preserve"> 5/5</w:t>
      </w:r>
    </w:p>
    <w:p>
      <w:pPr>
        <w:pStyle w:val="Heading4"/>
      </w:pPr>
      <w:r>
        <w:t>INT-01 · Criterios de derivación y listado para trasplante: la Fig. 3.22 contradice el texto y ambos están desactualizados</w:t>
      </w:r>
    </w:p>
    <w:p>
      <w:r>
        <w:rPr>
          <w:i/>
        </w:rPr>
        <w:t xml:space="preserve">Severidad final: </w:t>
      </w:r>
      <w:r>
        <w:rPr>
          <w:i/>
          <w:color w:val="ED7D31"/>
        </w:rPr>
        <w:t>🟠</w:t>
      </w:r>
      <w:r>
        <w:rPr>
          <w:i/>
        </w:rPr>
        <w:t xml:space="preserve"> ALTA · Tema T06: Trasplante pulmonar</w:t>
      </w:r>
    </w:p>
    <w:p>
      <w:pPr>
        <w:pStyle w:val="IntenseQuote"/>
      </w:pPr>
      <w:r>
        <w:rPr>
          <w:b/>
        </w:rPr>
        <w:t>Verificación independiente (CONFIRMADO PARCIAL):</w:t>
      </w:r>
      <w:r>
        <w:t xml:space="preserve"> La contradicción entre figura y texto se confirma. «Ambos desactualizados» es exagerado: según el propio hallazgo, los criterios de derivación del texto coinciden en contenido con ISHLT 2021. Solo faltan la cita de 2021 y la derivación concurrente. Lo desactualizado es la figura (ISHLT 2006). Rebajar de CRÍTICA a ALTA. | 1. Retitular la Fig. 3.22 como criterios de inclusión en lista, o sustituirla por los criterios de derivación de ISHLT 2021. 2. Actualizar el texto a Leard 2021, que debe citarse. 3. Eliminar "no candidato a LVRS" como requisito previo y recoger la derivación simultánea.</w:t>
      </w:r>
    </w:p>
    <w:p>
      <w:pPr>
        <w:pStyle w:val="IntenseQuote"/>
      </w:pPr>
      <w:r>
        <w:rPr>
          <w:b/>
        </w:rPr>
        <w:t>Severidad ajustada en la consolidación:</w:t>
      </w:r>
      <w:r>
        <w:t xml:space="preserve"> CRÍTICA → ALTA</w:t>
      </w:r>
    </w:p>
    <w:p>
      <w:pPr>
        <w:pStyle w:val="ListBullet"/>
      </w:pPr>
      <w:r>
        <w:rPr>
          <w:b/>
        </w:rPr>
        <w:t>Tipo:</w:t>
      </w:r>
      <w:r>
        <w:t xml:space="preserve"> Incongruencia interna / Desactualización</w:t>
      </w:r>
    </w:p>
    <w:p>
      <w:pPr>
        <w:pStyle w:val="ListBullet"/>
      </w:pPr>
      <w:r>
        <w:rPr>
          <w:b/>
        </w:rPr>
        <w:t>Severidad:</w:t>
      </w:r>
      <w:r>
        <w:t xml:space="preserve"> CRÍTICA</w:t>
      </w:r>
    </w:p>
    <w:p>
      <w:pPr>
        <w:pStyle w:val="ListBullet"/>
      </w:pPr>
      <w:r>
        <w:rPr>
          <w:b/>
        </w:rPr>
        <w:t>Ubicación:</w:t>
      </w:r>
      <w:r>
        <w:t xml:space="preserve"> PDF 97 / impr. 86 — Fig. 3.22, fila «Transplantation»; PDF 102 / impr. 91 — «Lung transplantation»</w:t>
      </w:r>
    </w:p>
    <w:p>
      <w:pPr>
        <w:pStyle w:val="ListBullet"/>
      </w:pPr>
      <w:r>
        <w:rPr>
          <w:b/>
        </w:rPr>
        <w:t>Cita:</w:t>
      </w:r>
      <w:r>
        <w:t xml:space="preserve"> Fig. 3.22: "BODE score of 7 to 10, and not candidates for lung volume reduction) lung transplantation may be considered for referral". Texto: "have a BODE index of 5 to 6, a PaCO2 &gt; 50 mmHg (6.6 kPa) and/or PaO2 &lt; 60 mmHg (8 kPa) and FEV1 &lt; 25%.(908)"</w:t>
      </w:r>
    </w:p>
    <w:p>
      <w:pPr>
        <w:pStyle w:val="ListBullet"/>
      </w:pPr>
      <w:r>
        <w:rPr>
          <w:b/>
        </w:rPr>
        <w:t>Problema:</w:t>
      </w:r>
    </w:p>
    <w:p>
      <w:pPr>
        <w:pStyle w:val="ListNumber"/>
        <w:numPr>
          <w:ilvl w:val="0"/>
          <w:numId w:val="15"/>
        </w:numPr>
      </w:pPr>
      <w:r>
        <w:t xml:space="preserve">La figura llama «criterios de derivación» a los criterios ISHLT 2006 </w:t>
      </w:r>
      <w:r>
        <w:rPr>
          <w:b/>
        </w:rPr>
        <w:t>de trasplante/listado</w:t>
      </w:r>
      <w:r>
        <w:t>: BODE 7-10 más al menos uno de estos tres: hospitalización con PaCO2 &gt; 50 mmHg; hipertensión pulmonar o cor pulmonale pese a O2; FEV1 &lt; 20 % con DLCO &lt; 20 % o enfisema homogéneo. El texto de la PDF 102, en cambio, usa los criterios ISHLT 2014: derivación con BODE 5-6 y listado con BODE ≥ 7. Hay, por tanto, dos umbrales de derivación incompatibles en dos páginas del mismo capítulo.</w:t>
      </w:r>
    </w:p>
    <w:p>
      <w:pPr>
        <w:pStyle w:val="ListNumber"/>
        <w:numPr>
          <w:ilvl w:val="0"/>
          <w:numId w:val="15"/>
        </w:numPr>
      </w:pPr>
      <w:r>
        <w:t>Ambos exigen ser «no candidato» a reducción de volumen. Eso contradice la propia sección sobre la secuencia LVRS/ELVR → trasplante (PDF 100-101).</w:t>
      </w:r>
    </w:p>
    <w:p>
      <w:pPr>
        <w:pStyle w:val="ListNumber"/>
        <w:numPr>
          <w:ilvl w:val="0"/>
          <w:numId w:val="15"/>
        </w:numPr>
      </w:pPr>
      <w:r>
        <w:t xml:space="preserve">No se cita el consenso vigente </w:t>
      </w:r>
      <w:r>
        <w:rPr>
          <w:b/>
        </w:rPr>
        <w:t>ISHLT 2021</w:t>
      </w:r>
      <w:r>
        <w:t>.</w:t>
      </w:r>
    </w:p>
    <w:p>
      <w:pPr>
        <w:pStyle w:val="ListNumber"/>
        <w:numPr>
          <w:ilvl w:val="0"/>
          <w:numId w:val="15"/>
        </w:numPr>
      </w:pPr>
      <w:r>
        <w:t>El uso de «and» entre PaCO2/PaO2 y FEV1 sugiere que hacen falta todos los criterios a la vez. En el documento ISHLT, la lista se entiende como criterios alternativos.</w:t>
      </w:r>
    </w:p>
    <w:p>
      <w:pPr>
        <w:pStyle w:val="ListBullet"/>
      </w:pPr>
      <w:r>
        <w:rPr>
          <w:b/>
        </w:rPr>
        <w:t>Evidencia/justificación:</w:t>
      </w:r>
    </w:p>
    <w:p>
      <w:pPr>
        <w:pStyle w:val="ListBullet2"/>
      </w:pPr>
      <w:r>
        <w:t xml:space="preserve">Orens JB et al., </w:t>
      </w:r>
      <w:r>
        <w:rPr>
          <w:i/>
        </w:rPr>
        <w:t>J Heart Lung Transplant</w:t>
      </w:r>
      <w:r>
        <w:t xml:space="preserve"> 2006;25:745-55 (criterios de trasplante BODE 7-10 + 1 de 3 = los de la figura).</w:t>
      </w:r>
    </w:p>
    <w:p>
      <w:pPr>
        <w:pStyle w:val="ListBullet2"/>
      </w:pPr>
      <w:r>
        <w:t xml:space="preserve">Weill D et al., </w:t>
      </w:r>
      <w:r>
        <w:rPr>
          <w:i/>
        </w:rPr>
        <w:t>JHLT</w:t>
      </w:r>
      <w:r>
        <w:t xml:space="preserve"> 2014;34:1-15 (ref. 908).</w:t>
      </w:r>
    </w:p>
    <w:p>
      <w:pPr>
        <w:pStyle w:val="ListBullet2"/>
      </w:pPr>
      <w:r>
        <w:t xml:space="preserve">Leard LE et al., </w:t>
      </w:r>
      <w:r>
        <w:rPr>
          <w:i/>
        </w:rPr>
        <w:t>JHLT</w:t>
      </w:r>
      <w:r>
        <w:t xml:space="preserve"> 2021;40:1349-79 (ISHLT 2021). Para la EPOC mantiene derivación con BODE 5-6, PaCO2 &gt; 50 y/o PaO2 &lt; 60 mmHg, FEV1 &lt; 25 % y progresión pese a tratamiento máximo. Recomienda </w:t>
      </w:r>
      <w:r>
        <w:rPr>
          <w:b/>
        </w:rPr>
        <w:t>derivación concurrente</w:t>
      </w:r>
      <w:r>
        <w:t xml:space="preserve"> a valoración de reducción de volumen (endoscópica o quirúrgica) y trasplante. Para el listado mantiene BODE ≥ 7, FEV1 &lt; 15-20 %, ≥ 3 exacerbaciones graves en el último año, 1 exacerbación con insuficiencia respiratoria hipercápnica e hipertensión pulmonar moderada-grave.</w:t>
      </w:r>
    </w:p>
    <w:p>
      <w:pPr>
        <w:pStyle w:val="ListBullet2"/>
      </w:pPr>
      <w:r>
        <w:t>Un clínico que use la figura (más visible que el texto) derivará cuando el paciente ya cumple criterios de listado. Eso aumenta el riesgo de muerte en lista o de perder la ventana de candidatura.</w:t>
      </w:r>
    </w:p>
    <w:p>
      <w:pPr>
        <w:pStyle w:val="ListBullet"/>
      </w:pPr>
      <w:r>
        <w:rPr>
          <w:b/>
        </w:rPr>
        <w:t>Recomendación:</w:t>
      </w:r>
    </w:p>
    <w:p>
      <w:pPr>
        <w:pStyle w:val="ListBullet2"/>
      </w:pPr>
      <w:r>
        <w:t>Sustituir la fila de la Fig. 3.22 por dos bloques diferenciados, «Derivar» y «Listar», con los criterios ISHLT 2021 explícitamente alternativos («cualquiera de»).</w:t>
      </w:r>
    </w:p>
    <w:p>
      <w:pPr>
        <w:pStyle w:val="ListBullet2"/>
      </w:pPr>
      <w:r>
        <w:t>Añadir: «considerar derivación simultánea a programa de reducción de volumen y a centro de trasplante».</w:t>
      </w:r>
    </w:p>
    <w:p>
      <w:pPr>
        <w:pStyle w:val="ListBullet2"/>
      </w:pPr>
      <w:r>
        <w:t>Citar Leard 2021 en lugar de (o además de) Weill 2014.</w:t>
      </w:r>
    </w:p>
    <w:p>
      <w:pPr>
        <w:pStyle w:val="ListBullet2"/>
      </w:pPr>
      <w:r>
        <w:t>Cambiar «are not candidates for lung volume reduction surgery» por «no candidatos o con respuesta insuficiente/agotada a LVR endoscópica o quirúrgica».</w:t>
      </w:r>
    </w:p>
    <w:p>
      <w:pPr>
        <w:pStyle w:val="ListBullet"/>
      </w:pPr>
      <w:r>
        <w:rPr>
          <w:b/>
        </w:rPr>
        <w:t>Confianza:</w:t>
      </w:r>
      <w:r>
        <w:t xml:space="preserve"> 5/5 en la incongruencia y la procedencia de los criterios; 4/5 en el detalle literal de ISHLT 2021.</w:t>
      </w:r>
    </w:p>
    <w:p>
      <w:pPr>
        <w:pStyle w:val="Heading4"/>
      </w:pPr>
      <w:r>
        <w:t>COH-02 · La Fig. 3.9 y el texto (impr. 66) dan algoritmos distintos de seguimiento por exacerbaciones</w:t>
      </w:r>
    </w:p>
    <w:p>
      <w:r>
        <w:rPr>
          <w:i/>
        </w:rPr>
        <w:t xml:space="preserve">Severidad final: </w:t>
      </w:r>
      <w:r>
        <w:rPr>
          <w:i/>
          <w:color w:val="ED7D31"/>
        </w:rPr>
        <w:t>🟠</w:t>
      </w:r>
      <w:r>
        <w:rPr>
          <w:i/>
        </w:rPr>
        <w:t xml:space="preserve"> ALTA · Tema T07: Algoritmo farmacológico inicial/seguimiento (ABE, Fig 3.8-3.9, ICS, roflumilast)</w:t>
      </w:r>
    </w:p>
    <w:p>
      <w:pPr>
        <w:pStyle w:val="ListBullet"/>
      </w:pPr>
      <w:r>
        <w:rPr>
          <w:b/>
        </w:rPr>
        <w:t>Tipo:</w:t>
      </w:r>
      <w:r>
        <w:t xml:space="preserve"> Incoherencia figura-texto</w:t>
      </w:r>
    </w:p>
    <w:p>
      <w:pPr>
        <w:pStyle w:val="ListBullet"/>
      </w:pPr>
      <w:r>
        <w:rPr>
          <w:b/>
        </w:rPr>
        <w:t>Severidad:</w:t>
      </w:r>
      <w:r>
        <w:t xml:space="preserve"> ALTA</w:t>
      </w:r>
    </w:p>
    <w:p>
      <w:pPr>
        <w:pStyle w:val="ListBullet"/>
      </w:pPr>
      <w:r>
        <w:rPr>
          <w:b/>
        </w:rPr>
        <w:t>Ubicación:</w:t>
      </w:r>
      <w:r>
        <w:t xml:space="preserve"> Fig 3.9 en PDF 74 / impr. 63; texto en PDF 77 / impr. 66; Highlights iv en PDF 5</w:t>
      </w:r>
    </w:p>
    <w:p>
      <w:pPr>
        <w:pStyle w:val="ListBullet"/>
      </w:pPr>
      <w:r>
        <w:rPr>
          <w:b/>
        </w:rPr>
        <w:t>Cita:</w:t>
      </w:r>
    </w:p>
    <w:p>
      <w:pPr>
        <w:pStyle w:val="ListBullet2"/>
      </w:pPr>
      <w:r>
        <w:t>Texto: "For patients who have an exacerbation on bronchodilator monotherapy, escalation to LABA+LAMA is recommended."</w:t>
      </w:r>
    </w:p>
    <w:p>
      <w:pPr>
        <w:pStyle w:val="ListBullet2"/>
      </w:pPr>
      <w:r>
        <w:t>Texto: "If patients treated with LABA+LAMA+ICS (or those with eosinophil counts &lt; 100 cells/µL) still have exacerbations".</w:t>
      </w:r>
    </w:p>
    <w:p>
      <w:pPr>
        <w:pStyle w:val="ListBullet"/>
      </w:pPr>
      <w:r>
        <w:rPr>
          <w:b/>
        </w:rPr>
        <w:t>Problema:</w:t>
      </w:r>
    </w:p>
    <w:p>
      <w:pPr>
        <w:pStyle w:val="ListNumber"/>
        <w:numPr>
          <w:ilvl w:val="0"/>
          <w:numId w:val="16"/>
        </w:numPr>
      </w:pPr>
      <w:r>
        <w:t>Desde la monoterapia, la figura permite escalar directamente a LABA+LAMA+ICS si eos ≥300; el texto solo contempla LABA+LAMA.</w:t>
      </w:r>
    </w:p>
    <w:p>
      <w:pPr>
        <w:pStyle w:val="ListNumber"/>
        <w:numPr>
          <w:ilvl w:val="0"/>
          <w:numId w:val="16"/>
        </w:numPr>
      </w:pPr>
      <w:r>
        <w:t>Para los biológicos, la figura exige "two moderate or one severe exacerbation AND if blood eos ≥ 300". El texto no fija un número de exacerbaciones, y Highlights iv afirma que "the threshold of one moderate exacerbation" debe usarse para escalar.</w:t>
      </w:r>
    </w:p>
    <w:p>
      <w:pPr>
        <w:pStyle w:val="ListNumber"/>
        <w:numPr>
          <w:ilvl w:val="0"/>
          <w:numId w:val="16"/>
        </w:numPr>
      </w:pPr>
      <w:r>
        <w:t>El paréntesis "(or those with eosinophil counts &lt; 100)" mete en la rama de biológicos a pacientes a los que luego se exige eos ≥300. Es una contradicción interna, y además la figura envía a los pacientes con eos &lt;100 hacia roflumilast o azitromicina, no hacia biológicos.</w:t>
      </w:r>
    </w:p>
    <w:p>
      <w:pPr>
        <w:pStyle w:val="ListBullet"/>
      </w:pPr>
      <w:r>
        <w:rPr>
          <w:b/>
        </w:rPr>
        <w:t>Evidencia/justificación:</w:t>
      </w:r>
      <w:r>
        <w:t xml:space="preserve"> lectura directa de la figura (PNG de PDF 74) frente al texto de PDF 77.</w:t>
      </w:r>
    </w:p>
    <w:p>
      <w:pPr>
        <w:pStyle w:val="ListBullet"/>
      </w:pPr>
      <w:r>
        <w:rPr>
          <w:b/>
        </w:rPr>
        <w:t>Recomendación:</w:t>
      </w:r>
    </w:p>
    <w:p>
      <w:pPr>
        <w:pStyle w:val="ListBullet2"/>
      </w:pPr>
      <w:r>
        <w:t>Decidir si la escalada a triple terapia desde la monoterapia es una opción y reflejarlo en el texto.</w:t>
      </w:r>
    </w:p>
    <w:p>
      <w:pPr>
        <w:pStyle w:val="ListBullet2"/>
      </w:pPr>
      <w:r>
        <w:t>Explicitar el umbral de exacerbaciones para los biológicos y conciliarlo con Highlights iv.</w:t>
      </w:r>
    </w:p>
    <w:p>
      <w:pPr>
        <w:pStyle w:val="ListBullet2"/>
      </w:pPr>
      <w:r>
        <w:t>Suprimir o reubicar el paréntesis de eos &lt;100.</w:t>
      </w:r>
    </w:p>
    <w:p>
      <w:pPr>
        <w:pStyle w:val="ListBullet"/>
      </w:pPr>
      <w:r>
        <w:rPr>
          <w:b/>
        </w:rPr>
        <w:t>Confianza:</w:t>
      </w:r>
      <w:r>
        <w:t xml:space="preserve"> 5</w:t>
      </w:r>
    </w:p>
    <w:p>
      <w:pPr>
        <w:pStyle w:val="Heading4"/>
      </w:pPr>
      <w:r>
        <w:t>COH-03 · Cuatro definiciones distintas del candidato a roflumilast</w:t>
      </w:r>
    </w:p>
    <w:p>
      <w:r>
        <w:rPr>
          <w:i/>
        </w:rPr>
        <w:t xml:space="preserve">Severidad final: </w:t>
      </w:r>
      <w:r>
        <w:rPr>
          <w:i/>
          <w:color w:val="ED7D31"/>
        </w:rPr>
        <w:t>🟠</w:t>
      </w:r>
      <w:r>
        <w:rPr>
          <w:i/>
        </w:rPr>
        <w:t xml:space="preserve"> ALTA · Tema T07: Algoritmo farmacológico inicial/seguimiento (ABE, Fig 3.8-3.9, ICS, roflumilast)</w:t>
      </w:r>
    </w:p>
    <w:p>
      <w:pPr>
        <w:pStyle w:val="ListBullet"/>
      </w:pPr>
      <w:r>
        <w:rPr>
          <w:b/>
        </w:rPr>
        <w:t>Tipo:</w:t>
      </w:r>
      <w:r>
        <w:t xml:space="preserve"> Incoherencia de recomendación</w:t>
      </w:r>
    </w:p>
    <w:p>
      <w:pPr>
        <w:pStyle w:val="ListBullet"/>
      </w:pPr>
      <w:r>
        <w:rPr>
          <w:b/>
        </w:rPr>
        <w:t>Severidad:</w:t>
      </w:r>
      <w:r>
        <w:t xml:space="preserve"> ALTA</w:t>
      </w:r>
    </w:p>
    <w:p>
      <w:pPr>
        <w:pStyle w:val="ListBullet"/>
      </w:pPr>
      <w:r>
        <w:rPr>
          <w:b/>
        </w:rPr>
        <w:t>Ubicación:</w:t>
      </w:r>
      <w:r>
        <w:t xml:space="preserve"> Fig 3.9 (PDF 74 / impr. 63); texto en PDF 77 / impr. 66 (dos ramas); Fig A3.3 (PDF 160 / impr. 149); texto en PDF 162 / impr. 151</w:t>
      </w:r>
    </w:p>
    <w:p>
      <w:pPr>
        <w:pStyle w:val="ListBullet"/>
      </w:pPr>
      <w:r>
        <w:rPr>
          <w:b/>
        </w:rPr>
        <w:t>Cita:</w:t>
      </w:r>
    </w:p>
    <w:p>
      <w:pPr>
        <w:pStyle w:val="ListBullet2"/>
      </w:pPr>
      <w:r>
        <w:t>"history of a prior exacerbation resulting in hospitalization, consider adding roflumilast"</w:t>
      </w:r>
    </w:p>
    <w:p>
      <w:pPr>
        <w:pStyle w:val="ListBullet2"/>
      </w:pPr>
      <w:r>
        <w:t>frente a, dos líneas después, "history of prior severe exacerbation, consider adding roflumilast" (PDF 77).</w:t>
      </w:r>
    </w:p>
    <w:p>
      <w:pPr>
        <w:pStyle w:val="ListBullet"/>
      </w:pPr>
      <w:r>
        <w:rPr>
          <w:b/>
        </w:rPr>
        <w:t>Problema:</w:t>
      </w:r>
      <w:r>
        <w:t xml:space="preserve"> cada sitio define una población distinta.</w:t>
      </w:r>
    </w:p>
    <w:p>
      <w:pPr>
        <w:pStyle w:val="ListBullet2"/>
      </w:pPr>
      <w:r>
        <w:t>Fig 3.9: solo "FEV1 &lt; 50% &amp; chronic bronchitis".</w:t>
      </w:r>
    </w:p>
    <w:p>
      <w:pPr>
        <w:pStyle w:val="ListBullet2"/>
      </w:pPr>
      <w:r>
        <w:t>Texto, rama LABA+LAMA: exige hospitalización.</w:t>
      </w:r>
    </w:p>
    <w:p>
      <w:pPr>
        <w:pStyle w:val="ListBullet2"/>
      </w:pPr>
      <w:r>
        <w:t>Texto, rama de triple terapia: exige "severe exacerbation", que en el marco de Roma ya no equivale a hospitalización (ver COH-05).</w:t>
      </w:r>
    </w:p>
    <w:p>
      <w:pPr>
        <w:pStyle w:val="ListBullet2"/>
      </w:pPr>
      <w:r>
        <w:t>Fig A3.3 y PDF 162: "severe to very severe COPD and a history of exacerbations", sin precisar la gravedad.</w:t>
      </w:r>
    </w:p>
    <w:p>
      <w:pPr>
        <w:pStyle w:val="ListBullet"/>
      </w:pPr>
      <w:r>
        <w:rPr>
          <w:b/>
        </w:rPr>
        <w:t>Evidencia/justificación:</w:t>
      </w:r>
      <w:r>
        <w:t xml:space="preserve"> la evidencia de los ensayos pivotales que cita GOLD (refs 687-689) se basa en pacientes con exacerbaciones previas, FEV1 &lt;50 % y bronquitis crónica; la figura y A3.3 son más laxas que esa evidencia.</w:t>
      </w:r>
    </w:p>
    <w:p>
      <w:pPr>
        <w:pStyle w:val="ListBullet"/>
      </w:pPr>
      <w:r>
        <w:rPr>
          <w:b/>
        </w:rPr>
        <w:t>Recomendación:</w:t>
      </w:r>
      <w:r>
        <w:t xml:space="preserve"> fijar un criterio único (p. ej., FEV1 &lt;50 %, bronquitis crónica y ≥1 exacerbación con hospitalización en el año previo) y repetirlo idéntico en Fig 3.9, el texto, A3.3 y el Apéndice 3.</w:t>
      </w:r>
    </w:p>
    <w:p>
      <w:pPr>
        <w:pStyle w:val="ListBullet"/>
      </w:pPr>
      <w:r>
        <w:rPr>
          <w:b/>
        </w:rPr>
        <w:t>Confianza:</w:t>
      </w:r>
      <w:r>
        <w:t xml:space="preserve"> 5</w:t>
      </w:r>
    </w:p>
    <w:p>
      <w:pPr>
        <w:pStyle w:val="Heading4"/>
      </w:pPr>
      <w:r>
        <w:t>DX-15 · Grupo E con ≥1 exacerbación moderada: cambio sin validar e incongruente con los umbrales de otras partes del informe</w:t>
      </w:r>
    </w:p>
    <w:p>
      <w:r>
        <w:rPr>
          <w:i/>
        </w:rPr>
        <w:t xml:space="preserve">Severidad final: </w:t>
      </w:r>
      <w:r>
        <w:rPr>
          <w:i/>
          <w:color w:val="ED7D31"/>
        </w:rPr>
        <w:t>🟠</w:t>
      </w:r>
      <w:r>
        <w:rPr>
          <w:i/>
        </w:rPr>
        <w:t xml:space="preserve"> ALTA · Tema T07: Algoritmo farmacológico inicial/seguimiento (ABE, Fig 3.8-3.9, ICS, roflumilast)</w:t>
      </w:r>
    </w:p>
    <w:p>
      <w:pPr>
        <w:pStyle w:val="ListBullet"/>
      </w:pPr>
      <w:r>
        <w:rPr>
          <w:b/>
        </w:rPr>
        <w:t>Tipo:</w:t>
      </w:r>
      <w:r>
        <w:t xml:space="preserve"> Evidencia mal representada / Incongruencia entre capítulos</w:t>
      </w:r>
    </w:p>
    <w:p>
      <w:pPr>
        <w:pStyle w:val="ListBullet"/>
      </w:pPr>
      <w:r>
        <w:rPr>
          <w:b/>
        </w:rPr>
        <w:t>Severidad:</w:t>
      </w:r>
      <w:r>
        <w:t xml:space="preserve"> ALTA</w:t>
      </w:r>
    </w:p>
    <w:p>
      <w:pPr>
        <w:pStyle w:val="ListBullet"/>
      </w:pPr>
      <w:r>
        <w:rPr>
          <w:b/>
        </w:rPr>
        <w:t>Ubicación:</w:t>
      </w:r>
    </w:p>
    <w:p>
      <w:pPr>
        <w:pStyle w:val="ListBullet2"/>
      </w:pPr>
      <w:r>
        <w:t>PDF 54 / impr. 43 (texto y Fig. 2.13).</w:t>
      </w:r>
    </w:p>
    <w:p>
      <w:pPr>
        <w:pStyle w:val="ListBullet2"/>
      </w:pPr>
      <w:r>
        <w:t>Highlights (PDF 5).</w:t>
      </w:r>
    </w:p>
    <w:p>
      <w:pPr>
        <w:pStyle w:val="ListBullet2"/>
      </w:pPr>
      <w:r>
        <w:t>Fig. 3.8 (PDF 73 / impr. 62) y Fig. 3.9 (PDF 74 / impr. 63).</w:t>
      </w:r>
    </w:p>
    <w:p>
      <w:pPr>
        <w:pStyle w:val="ListBullet2"/>
      </w:pPr>
      <w:r>
        <w:t>Cap. 3: PDF 75 / impr. 64 (grupos B y E) y PDF 92 / impr. 81 (mortalidad).</w:t>
      </w:r>
    </w:p>
    <w:p>
      <w:pPr>
        <w:pStyle w:val="ListBullet2"/>
      </w:pPr>
      <w:r>
        <w:t>Apéndice 3: PDF 159 / impr. 148 y PDF 161 / impr. 150.</w:t>
      </w:r>
    </w:p>
    <w:p>
      <w:pPr>
        <w:pStyle w:val="ListBullet"/>
      </w:pPr>
      <w:r>
        <w:rPr>
          <w:b/>
        </w:rPr>
        <w:t>Cita:</w:t>
      </w:r>
      <w:r>
        <w:t xml:space="preserve"> «It was acknowledged that this proposal needs to be validated by appropriate clinical research. Observational studies(490,491)… Consequently, Group E has been modified to include individuals with one moderate exacerbation in the previous year.»</w:t>
      </w:r>
    </w:p>
    <w:p>
      <w:pPr>
        <w:pStyle w:val="ListBullet"/>
      </w:pPr>
      <w:r>
        <w:rPr>
          <w:b/>
        </w:rPr>
        <w:t>Problema:</w:t>
      </w:r>
    </w:p>
    <w:p>
      <w:pPr>
        <w:pStyle w:val="ListNumber"/>
        <w:numPr>
          <w:ilvl w:val="0"/>
          <w:numId w:val="17"/>
        </w:numPr>
      </w:pPr>
      <w:r>
        <w:rPr>
          <w:b/>
        </w:rPr>
        <w:t>Cambio sin validar.</w:t>
      </w:r>
      <w:r>
        <w:t xml:space="preserve"> Se amplía el grupo E (pacientes sin tratamiento previo) a partir de dos estudios observacionales de riesgo (Halpin 2024; Sadatsafavi 2021), sin evidencia de que tratar de otro modo a ese subgrupo mejore los resultados. El propio párrafo admite que el esquema está pendiente de validación.</w:t>
      </w:r>
    </w:p>
    <w:p>
      <w:pPr>
        <w:pStyle w:val="ListNumber"/>
        <w:numPr>
          <w:ilvl w:val="0"/>
          <w:numId w:val="17"/>
        </w:numPr>
      </w:pPr>
      <w:r>
        <w:rPr>
          <w:b/>
        </w:rPr>
        <w:t>Solapamiento con el grupo B.</w:t>
      </w:r>
      <w:r>
        <w:t xml:space="preserve"> La evidencia que justifica LABA+LAMA en el grupo B (ref. 677, EMAX) se obtuvo en pacientes con ≤1 exacerbación moderada (PDF 75). Esos pacientes caen ahora en el grupo E.</w:t>
      </w:r>
    </w:p>
    <w:p>
      <w:pPr>
        <w:pStyle w:val="ListNumber"/>
        <w:numPr>
          <w:ilvl w:val="0"/>
          <w:numId w:val="17"/>
        </w:numPr>
      </w:pPr>
      <w:r>
        <w:rPr>
          <w:b/>
        </w:rPr>
        <w:t>Triple terapia extrapolada.</w:t>
      </w:r>
      <w:r>
        <w:t xml:space="preserve"> Para el grupo E se propone considerar LABA+LAMA+ICS si los eosinófilos son ≥300. IMPACT y ETHOS solo admitían 1 exacerbación moderada si el FEV1 era &lt;50%, exigían ≥2 moderadas o ≥1 grave con FEV1 más alto y siempre en pacientes ya tratados. El cap. 3 reconoce que «There are no direct data… concerning initiation of triple therapy».</w:t>
      </w:r>
    </w:p>
    <w:p>
      <w:pPr>
        <w:pStyle w:val="ListNumber"/>
        <w:numPr>
          <w:ilvl w:val="0"/>
          <w:numId w:val="17"/>
        </w:numPr>
      </w:pPr>
      <w:r>
        <w:rPr>
          <w:b/>
        </w:rPr>
        <w:t>Umbrales incongruentes en el informe:</w:t>
      </w:r>
    </w:p>
    <w:p>
      <w:pPr>
        <w:pStyle w:val="ListBullet2"/>
      </w:pPr>
      <w:r>
        <w:t>el apéndice 3 (PDF 161) dice que el efecto de los ICS es mayor con «≥ 2 exacerbations and / or 1 hospitalization»;</w:t>
      </w:r>
    </w:p>
    <w:p>
      <w:pPr>
        <w:pStyle w:val="ListBullet2"/>
      </w:pPr>
      <w:r>
        <w:t>la Fig. 3.9 exige ≥2 moderadas o ≥1 grave para biológicos;</w:t>
      </w:r>
    </w:p>
    <w:p>
      <w:pPr>
        <w:pStyle w:val="ListBullet2"/>
      </w:pPr>
      <w:r>
        <w:t>el cap. 3 (PDF 92) describe con «≥ 2 moderate» la población con beneficio en mortalidad.</w:t>
      </w:r>
    </w:p>
    <w:p>
      <w:pPr>
        <w:pStyle w:val="ListBullet2"/>
      </w:pPr>
      <w:r>
        <w:rPr>
          <w:b/>
        </w:rPr>
        <w:t>Riesgo:</w:t>
      </w:r>
      <w:r>
        <w:t xml:space="preserve"> sobretratamiento con ICS (neumonía) en pacientes con un único episodio moderado, cuya definición (antibiótico y/o corticoide) es heterogénea.</w:t>
      </w:r>
    </w:p>
    <w:p>
      <w:pPr>
        <w:pStyle w:val="ListBullet"/>
      </w:pPr>
      <w:r>
        <w:rPr>
          <w:b/>
        </w:rPr>
        <w:t>Evidencia/justificación:</w:t>
      </w:r>
    </w:p>
    <w:p>
      <w:pPr>
        <w:pStyle w:val="ListBullet2"/>
      </w:pPr>
      <w:r>
        <w:t>Lipson DA et al. NEJM 2018;378:1671-80 (IMPACT).</w:t>
      </w:r>
    </w:p>
    <w:p>
      <w:pPr>
        <w:pStyle w:val="ListBullet2"/>
      </w:pPr>
      <w:r>
        <w:t>Rabe KF et al. NEJM 2020;383:35-48 (ETHOS).</w:t>
      </w:r>
    </w:p>
    <w:p>
      <w:pPr>
        <w:pStyle w:val="ListBullet2"/>
      </w:pPr>
      <w:r>
        <w:t>Maltais F et al. (EMAX, ref. 677).</w:t>
      </w:r>
    </w:p>
    <w:p>
      <w:pPr>
        <w:pStyle w:val="ListBullet2"/>
      </w:pPr>
      <w:r>
        <w:t>Refs. 490-491 (observacionales).</w:t>
      </w:r>
    </w:p>
    <w:p>
      <w:pPr>
        <w:pStyle w:val="ListBullet"/>
      </w:pPr>
      <w:r>
        <w:rPr>
          <w:b/>
        </w:rPr>
        <w:t>Recomendación:</w:t>
      </w:r>
    </w:p>
    <w:p>
      <w:pPr>
        <w:pStyle w:val="ListBullet2"/>
      </w:pPr>
      <w:r>
        <w:t>Graduar la recomendación: nivel de evidencia D / consenso.</w:t>
      </w:r>
    </w:p>
    <w:p>
      <w:pPr>
        <w:pStyle w:val="ListBullet2"/>
      </w:pPr>
      <w:r>
        <w:t xml:space="preserve">Para el grupo E con una sola exacerbación moderada, mantener LABA+LAMA y reservar los ICS para eosinófilos ≥300 </w:t>
      </w:r>
      <w:r>
        <w:rPr>
          <w:b/>
        </w:rPr>
        <w:t>y</w:t>
      </w:r>
      <w:r>
        <w:t xml:space="preserve"> ≥2 moderadas o ≥1 hospitalización, o bien al seguimiento.</w:t>
      </w:r>
    </w:p>
    <w:p>
      <w:pPr>
        <w:pStyle w:val="ListBullet2"/>
      </w:pPr>
      <w:r>
        <w:t>Armonizar los umbrales entre las Figs. 2.13, 3.8 y 3.9 y el apéndice 3.</w:t>
      </w:r>
    </w:p>
    <w:p>
      <w:pPr>
        <w:pStyle w:val="ListBullet2"/>
      </w:pPr>
      <w:r>
        <w:t>Exigir que la exacerbación esté documentada.</w:t>
      </w:r>
    </w:p>
    <w:p>
      <w:pPr>
        <w:pStyle w:val="ListBullet"/>
      </w:pPr>
      <w:r>
        <w:rPr>
          <w:b/>
        </w:rPr>
        <w:t>Confianza:</w:t>
      </w:r>
      <w:r>
        <w:t xml:space="preserve"> 4/5</w:t>
      </w:r>
    </w:p>
    <w:p>
      <w:pPr>
        <w:pStyle w:val="Heading4"/>
      </w:pPr>
      <w:r>
        <w:t>FARM-11 · Umbral de "1 exacerbación" para ICS: el cap. 3 lo atribuye a RCT, los Highlights y el cap. 2 a estudios observacionales</w:t>
      </w:r>
    </w:p>
    <w:p>
      <w:r>
        <w:rPr>
          <w:i/>
        </w:rPr>
        <w:t xml:space="preserve">Severidad final: </w:t>
      </w:r>
      <w:r>
        <w:rPr>
          <w:i/>
          <w:color w:val="ED7D31"/>
        </w:rPr>
        <w:t>🟠</w:t>
      </w:r>
      <w:r>
        <w:rPr>
          <w:i/>
        </w:rPr>
        <w:t xml:space="preserve"> ALTA · Tema T07: Algoritmo farmacológico inicial/seguimiento (ABE, Fig 3.8-3.9, ICS, roflumilast)</w:t>
      </w:r>
    </w:p>
    <w:p>
      <w:pPr>
        <w:pStyle w:val="ListBullet"/>
      </w:pPr>
      <w:r>
        <w:rPr>
          <w:b/>
        </w:rPr>
        <w:t>Tipo:</w:t>
      </w:r>
      <w:r>
        <w:t xml:space="preserve"> Incongruencia interna / Evidencia mal representada</w:t>
      </w:r>
    </w:p>
    <w:p>
      <w:pPr>
        <w:pStyle w:val="ListBullet"/>
      </w:pPr>
      <w:r>
        <w:rPr>
          <w:b/>
        </w:rPr>
        <w:t>Severidad:</w:t>
      </w:r>
      <w:r>
        <w:t xml:space="preserve"> ALTA</w:t>
      </w:r>
    </w:p>
    <w:p>
      <w:pPr>
        <w:pStyle w:val="ListBullet"/>
      </w:pPr>
      <w:r>
        <w:rPr>
          <w:b/>
        </w:rPr>
        <w:t>Ubicación:</w:t>
      </w:r>
      <w:r>
        <w:t xml:space="preserve"> PDF 71 / impr. 60 vs PDF 5 (Highlights iv) y PDF 54 / impr. 43 (cap. 2); PDF 161 / impr. 150 (Apéndice 3); Fig 3.8 (PDF 73) y Fig 3.10 (PDF 78)</w:t>
      </w:r>
    </w:p>
    <w:p>
      <w:pPr>
        <w:pStyle w:val="ListBullet"/>
      </w:pPr>
      <w:r>
        <w:rPr>
          <w:b/>
        </w:rPr>
        <w:t>Cita:</w:t>
      </w:r>
    </w:p>
    <w:p>
      <w:pPr>
        <w:pStyle w:val="ListBullet2"/>
      </w:pPr>
      <w:r>
        <w:t>Cap. 3: "confirmed a significant decrease in exacerbation rate with the addition of an ICS in patients who experienced one moderate or severe exacerbation in the prior year. This recommendation is derived from evidence generated by RCTs."</w:t>
      </w:r>
    </w:p>
    <w:p>
      <w:pPr>
        <w:pStyle w:val="ListBullet2"/>
      </w:pPr>
      <w:r>
        <w:t>Highlights: "due to emerging evidence from observational studies".</w:t>
      </w:r>
    </w:p>
    <w:p>
      <w:pPr>
        <w:pStyle w:val="ListBullet"/>
      </w:pPr>
      <w:r>
        <w:rPr>
          <w:b/>
        </w:rPr>
        <w:t>Problema:</w:t>
      </w:r>
    </w:p>
    <w:p>
      <w:pPr>
        <w:pStyle w:val="ListBullet2"/>
      </w:pPr>
      <w:r>
        <w:t>Hay contradicción sobre el origen de la evidencia.</w:t>
      </w:r>
    </w:p>
    <w:p>
      <w:pPr>
        <w:pStyle w:val="ListBullet2"/>
      </w:pPr>
      <w:r>
        <w:t>El Apéndice 3 (PDF 161) dice que el efecto de los ICS "is higher in patients with high exacerbation risk (≥ 2 exacerbations and / or 1 hospitalization)".</w:t>
      </w:r>
    </w:p>
    <w:p>
      <w:pPr>
        <w:pStyle w:val="ListBullet2"/>
      </w:pPr>
      <w:r>
        <w:t>En IMPACT y ETHOS, los pacientes con 1 sola exacerbación moderada solo eran elegibles si tenían FEV1 &lt;50%, y el beneficio en ese subgrupo es menor, sobre todo con eosinófilos bajos.</w:t>
      </w:r>
    </w:p>
    <w:p>
      <w:pPr>
        <w:pStyle w:val="ListBullet2"/>
      </w:pPr>
      <w:r>
        <w:t>La Fig 3.8 permite iniciar la triple terapia en un paciente sin tratamiento previo del grupo E con eos ≥300 aunque haya tenido una única exacerbación moderada. No hay RCT en pacientes sin tratamiento previo, y la Fig 3.10 clasifica "1 moderate exacerbation" solo como "favors use".</w:t>
      </w:r>
    </w:p>
    <w:p>
      <w:pPr>
        <w:pStyle w:val="ListBullet2"/>
      </w:pPr>
      <w:r>
        <w:t>La redacción ampliará el uso de ICS, con riesgo de neumonía, sobre una base menos sólida de lo que se afirma.</w:t>
      </w:r>
    </w:p>
    <w:p>
      <w:pPr>
        <w:pStyle w:val="ListBullet"/>
      </w:pPr>
      <w:r>
        <w:rPr>
          <w:b/>
        </w:rPr>
        <w:t>Evidencia/justificación:</w:t>
      </w:r>
    </w:p>
    <w:p>
      <w:pPr>
        <w:pStyle w:val="ListBullet2"/>
      </w:pPr>
      <w:r>
        <w:t>IMPACT: Lipson DA et al., NEJM 2018;378:1671-80 (ref 467).</w:t>
      </w:r>
    </w:p>
    <w:p>
      <w:pPr>
        <w:pStyle w:val="ListBullet2"/>
      </w:pPr>
      <w:r>
        <w:t>ETHOS: Rabe KF et al., NEJM 2020;383:35-48 (refs 492/694).</w:t>
      </w:r>
    </w:p>
    <w:p>
      <w:pPr>
        <w:pStyle w:val="ListBullet2"/>
      </w:pPr>
      <w:r>
        <w:t>Criterios de inclusión: ≥2 moderadas o ≥1 grave, o 1 moderada si FEV1 &lt;50%.</w:t>
      </w:r>
    </w:p>
    <w:p>
      <w:pPr>
        <w:pStyle w:val="ListBullet"/>
      </w:pPr>
      <w:r>
        <w:rPr>
          <w:b/>
        </w:rPr>
        <w:t>Recomendación:</w:t>
      </w:r>
    </w:p>
    <w:p>
      <w:pPr>
        <w:pStyle w:val="ListBullet2"/>
      </w:pPr>
      <w:r>
        <w:t>Armonizar: "el riesgo tras 1 exacerbación procede de estudios observacionales; el beneficio de añadir ICS con 1 exacerbación moderada procede de subgrupos de RCT (con FEV1 &lt;50%) y es mayor con eos ≥300 y/o ≥2 exacerbaciones u hospitalización".</w:t>
      </w:r>
    </w:p>
    <w:p>
      <w:pPr>
        <w:pStyle w:val="ListBullet2"/>
      </w:pPr>
      <w:r>
        <w:t>Calificar el nivel de evidencia de la triple terapia inicial en el grupo E.</w:t>
      </w:r>
    </w:p>
    <w:p>
      <w:pPr>
        <w:pStyle w:val="ListBullet"/>
      </w:pPr>
      <w:r>
        <w:rPr>
          <w:b/>
        </w:rPr>
        <w:t>Confianza:</w:t>
      </w:r>
      <w:r>
        <w:t xml:space="preserve"> 4/5</w:t>
      </w:r>
    </w:p>
    <w:p>
      <w:pPr>
        <w:pStyle w:val="Heading4"/>
      </w:pPr>
      <w:r>
        <w:t>FARM-12 · Fig 3.9 frente al texto de seguimiento: pasos, umbrales y criterios distintos</w:t>
      </w:r>
    </w:p>
    <w:p>
      <w:r>
        <w:rPr>
          <w:i/>
        </w:rPr>
        <w:t xml:space="preserve">Severidad final: </w:t>
      </w:r>
      <w:r>
        <w:rPr>
          <w:i/>
          <w:color w:val="ED7D31"/>
        </w:rPr>
        <w:t>🟠</w:t>
      </w:r>
      <w:r>
        <w:rPr>
          <w:i/>
        </w:rPr>
        <w:t xml:space="preserve"> ALTA · Tema T07: Algoritmo farmacológico inicial/seguimiento (ABE, Fig 3.8-3.9, ICS, roflumilast)</w:t>
      </w:r>
    </w:p>
    <w:p>
      <w:pPr>
        <w:pStyle w:val="ListBullet"/>
      </w:pPr>
      <w:r>
        <w:rPr>
          <w:b/>
        </w:rPr>
        <w:t>Tipo:</w:t>
      </w:r>
      <w:r>
        <w:t xml:space="preserve"> Incongruencia interna</w:t>
      </w:r>
    </w:p>
    <w:p>
      <w:pPr>
        <w:pStyle w:val="ListBullet"/>
      </w:pPr>
      <w:r>
        <w:rPr>
          <w:b/>
        </w:rPr>
        <w:t>Severidad:</w:t>
      </w:r>
      <w:r>
        <w:t xml:space="preserve"> ALTA</w:t>
      </w:r>
    </w:p>
    <w:p>
      <w:pPr>
        <w:pStyle w:val="ListBullet"/>
      </w:pPr>
      <w:r>
        <w:rPr>
          <w:b/>
        </w:rPr>
        <w:t>Ubicación:</w:t>
      </w:r>
      <w:r>
        <w:t xml:space="preserve"> PDF 74 / impr. 63 (Fig 3.9) vs PDF 77 / impr. 66 (texto); Fig A3.3 (PDF 160 / impr. 149); PDF 162 / impr. 151 (roflumilast)</w:t>
      </w:r>
    </w:p>
    <w:p>
      <w:pPr>
        <w:pStyle w:val="ListBullet"/>
      </w:pPr>
      <w:r>
        <w:rPr>
          <w:b/>
        </w:rPr>
        <w:t>Cita:</w:t>
      </w:r>
    </w:p>
    <w:p>
      <w:pPr>
        <w:pStyle w:val="ListBullet2"/>
      </w:pPr>
      <w:r>
        <w:t>Texto: "For patients who have an exacerbation on bronchodilator monotherapy, escalation to LABA+LAMA is recommended."</w:t>
      </w:r>
    </w:p>
    <w:p>
      <w:pPr>
        <w:pStyle w:val="ListBullet2"/>
      </w:pPr>
      <w:r>
        <w:t>Texto: "If patients treated with LABA+LAMA+ICS (or those with eosinophil counts &lt; 100 cells/µL) still have exacerbations… Among patients with blood eosinophils ≥ 300…"</w:t>
      </w:r>
    </w:p>
    <w:p>
      <w:pPr>
        <w:pStyle w:val="ListBullet"/>
      </w:pPr>
      <w:r>
        <w:rPr>
          <w:b/>
        </w:rPr>
        <w:t>Problema:</w:t>
      </w:r>
    </w:p>
    <w:p>
      <w:pPr>
        <w:pStyle w:val="ListNumber"/>
        <w:numPr>
          <w:ilvl w:val="0"/>
          <w:numId w:val="18"/>
        </w:numPr>
      </w:pPr>
      <w:r>
        <w:rPr>
          <w:b/>
        </w:rPr>
        <w:t>Monoterapia con eos ≥300:</w:t>
      </w:r>
      <w:r>
        <w:t xml:space="preserve"> en la figura se pasa directamente a LABA+LAMA+ICS ("if blood eos ≥ 300"); el texto solo contempla LABA+LAMA.</w:t>
      </w:r>
    </w:p>
    <w:p>
      <w:pPr>
        <w:pStyle w:val="ListNumber"/>
        <w:numPr>
          <w:ilvl w:val="0"/>
          <w:numId w:val="18"/>
        </w:numPr>
      </w:pPr>
      <w:r>
        <w:rPr>
          <w:b/>
        </w:rPr>
        <w:t>Biológicos:</w:t>
      </w:r>
      <w:r>
        <w:t xml:space="preserve"> la figura exige "two moderate or one severe exacerbation AND… eos ≥ 300"; el texto no da umbral de exacerbaciones. Además, la frase del texto mezcla a los pacientes con eos &lt;100 con la condición de eos ≥300, lo que es lógicamente imposible.</w:t>
      </w:r>
    </w:p>
    <w:p>
      <w:pPr>
        <w:pStyle w:val="ListNumber"/>
        <w:numPr>
          <w:ilvl w:val="0"/>
          <w:numId w:val="18"/>
        </w:numPr>
      </w:pPr>
      <w:r>
        <w:rPr>
          <w:b/>
        </w:rPr>
        <w:t>Roflumilast:</w:t>
      </w:r>
      <w:r>
        <w:t xml:space="preserve"> la figura dice "FEV1 &lt; 50% &amp; chronic bronchitis"; el texto exige además "a prior exacerbation resulting in hospitalization" en una rama y "prior severe exacerbation" en la otra. La ficha técnica (EMA/FDA) y la Fig A3.3 hablan de "history of (frequent) exacerbations", no de hospitalización.</w:t>
      </w:r>
    </w:p>
    <w:p>
      <w:pPr>
        <w:pStyle w:val="ListNumber"/>
        <w:numPr>
          <w:ilvl w:val="0"/>
          <w:numId w:val="18"/>
        </w:numPr>
      </w:pPr>
      <w:r>
        <w:rPr>
          <w:b/>
        </w:rPr>
        <w:t>Azitromicina:</w:t>
      </w:r>
      <w:r>
        <w:t xml:space="preserve"> "preferentially in former smokers" (figura) frente a "not currently smoking" (texto). Los no fumadores nunca quedan en zona gris.</w:t>
      </w:r>
    </w:p>
    <w:p>
      <w:pPr>
        <w:pStyle w:val="ListNumber"/>
        <w:numPr>
          <w:ilvl w:val="0"/>
          <w:numId w:val="18"/>
        </w:numPr>
      </w:pPr>
      <w:r>
        <w:rPr>
          <w:b/>
        </w:rPr>
        <w:t>Biológicos con ICS contraindicado:</w:t>
      </w:r>
      <w:r>
        <w:t xml:space="preserve"> BOREAS y NOTUS admitían LABA+LAMA si el ICS estaba contraindicado, pero el algoritmo solo ofrece biológicos desde la triple terapia.</w:t>
      </w:r>
    </w:p>
    <w:p>
      <w:pPr>
        <w:pStyle w:val="ListBullet"/>
      </w:pPr>
      <w:r>
        <w:rPr>
          <w:b/>
        </w:rPr>
        <w:t>Evidencia/justificación:</w:t>
      </w:r>
    </w:p>
    <w:p>
      <w:pPr>
        <w:pStyle w:val="ListBullet2"/>
      </w:pPr>
      <w:r>
        <w:t>Ficha técnica de Daxas (EMA): EPOC grave (FEV1 &lt;50%) con bronquitis crónica e historia de exacerbaciones frecuentes.</w:t>
      </w:r>
    </w:p>
    <w:p>
      <w:pPr>
        <w:pStyle w:val="ListBullet2"/>
      </w:pPr>
      <w:r>
        <w:t>REACT (Martinez FJ et al., Lancet 2015;385:857-66): mayor efecto si hubo hospitalización previa (subgrupo), no como criterio de indicación.</w:t>
      </w:r>
    </w:p>
    <w:p>
      <w:pPr>
        <w:pStyle w:val="ListBullet2"/>
      </w:pPr>
      <w:r>
        <w:t>Bhatt SP et al., NEJM 2023;389:205-214.</w:t>
      </w:r>
    </w:p>
    <w:p>
      <w:pPr>
        <w:pStyle w:val="ListBullet"/>
      </w:pPr>
      <w:r>
        <w:rPr>
          <w:b/>
        </w:rPr>
        <w:t>Recomendación:</w:t>
      </w:r>
    </w:p>
    <w:p>
      <w:pPr>
        <w:pStyle w:val="ListBullet2"/>
      </w:pPr>
      <w:r>
        <w:t>Hacer que texto y figura coincidan punto por punto: añadir al texto la rama "eos ≥300 → triple" y el umbral de exacerbaciones para biológicos, y corregir la frase de eos &lt;100/≥300.</w:t>
      </w:r>
    </w:p>
    <w:p>
      <w:pPr>
        <w:pStyle w:val="ListBullet2"/>
      </w:pPr>
      <w:r>
        <w:t>Unificar el criterio de roflumilast con la ficha técnica (hospitalización como factor de mayor beneficio, no como requisito).</w:t>
      </w:r>
    </w:p>
    <w:p>
      <w:pPr>
        <w:pStyle w:val="ListBullet2"/>
      </w:pPr>
      <w:r>
        <w:t>Unificar el de azitromicina como "no fumadores actuales".</w:t>
      </w:r>
    </w:p>
    <w:p>
      <w:pPr>
        <w:pStyle w:val="ListBullet"/>
      </w:pPr>
      <w:r>
        <w:rPr>
          <w:b/>
        </w:rPr>
        <w:t>Confianza:</w:t>
      </w:r>
      <w:r>
        <w:t xml:space="preserve"> 5/5</w:t>
      </w:r>
    </w:p>
    <w:p>
      <w:pPr>
        <w:pStyle w:val="Heading4"/>
      </w:pPr>
      <w:r>
        <w:t>NOV-06 · Criterios para iniciar un biológico: contradicción lógica en el texto y desajuste con figura y Highlights</w:t>
      </w:r>
    </w:p>
    <w:p>
      <w:r>
        <w:rPr>
          <w:i/>
        </w:rPr>
        <w:t xml:space="preserve">Severidad final: </w:t>
      </w:r>
      <w:r>
        <w:rPr>
          <w:i/>
          <w:color w:val="ED7D31"/>
        </w:rPr>
        <w:t>🟠</w:t>
      </w:r>
      <w:r>
        <w:rPr>
          <w:i/>
        </w:rPr>
        <w:t xml:space="preserve"> ALTA · Tema T07: Algoritmo farmacológico inicial/seguimiento (ABE, Fig 3.8-3.9, ICS, roflumilast)</w:t>
      </w:r>
    </w:p>
    <w:p>
      <w:pPr>
        <w:pStyle w:val="ListBullet"/>
      </w:pPr>
      <w:r>
        <w:rPr>
          <w:b/>
        </w:rPr>
        <w:t>Tipo:</w:t>
      </w:r>
      <w:r>
        <w:t xml:space="preserve"> Incongruencia interna / Ambigüedad</w:t>
      </w:r>
    </w:p>
    <w:p>
      <w:pPr>
        <w:pStyle w:val="ListBullet"/>
      </w:pPr>
      <w:r>
        <w:rPr>
          <w:b/>
        </w:rPr>
        <w:t>Severidad:</w:t>
      </w:r>
      <w:r>
        <w:t xml:space="preserve"> ALTA</w:t>
      </w:r>
    </w:p>
    <w:p>
      <w:pPr>
        <w:pStyle w:val="ListBullet"/>
      </w:pPr>
      <w:r>
        <w:rPr>
          <w:b/>
        </w:rPr>
        <w:t>Ubicación:</w:t>
      </w:r>
    </w:p>
    <w:p>
      <w:pPr>
        <w:pStyle w:val="ListBullet2"/>
      </w:pPr>
      <w:r>
        <w:t>PDF 77 / impr. 66 — texto del algoritmo de seguimiento.</w:t>
      </w:r>
    </w:p>
    <w:p>
      <w:pPr>
        <w:pStyle w:val="ListBullet2"/>
      </w:pPr>
      <w:r>
        <w:t>PDF 74 / impr. 63 — Fig. 3.9.</w:t>
      </w:r>
    </w:p>
    <w:p>
      <w:pPr>
        <w:pStyle w:val="ListBullet2"/>
      </w:pPr>
      <w:r>
        <w:t>PDF 5 — Highlights, punto iv.</w:t>
      </w:r>
    </w:p>
    <w:p>
      <w:pPr>
        <w:pStyle w:val="ListBullet"/>
      </w:pPr>
      <w:r>
        <w:rPr>
          <w:b/>
        </w:rPr>
        <w:t>Cita:</w:t>
      </w:r>
      <w:r>
        <w:t xml:space="preserve"> "If patients treated with LABA+LAMA+ICS (or those with eosinophil counts &lt; 100 cells/µL) still have exacerbations … Among patients with blood eosinophils ≥ 300 cells/µL, consider adding dupilumab… or mepolizumab"</w:t>
      </w:r>
    </w:p>
    <w:p>
      <w:pPr>
        <w:pStyle w:val="ListBullet"/>
      </w:pPr>
      <w:r>
        <w:rPr>
          <w:b/>
        </w:rPr>
        <w:t>Problema:</w:t>
      </w:r>
    </w:p>
    <w:p>
      <w:pPr>
        <w:pStyle w:val="ListNumber"/>
        <w:numPr>
          <w:ilvl w:val="0"/>
          <w:numId w:val="19"/>
        </w:numPr>
      </w:pPr>
      <w:r>
        <w:rPr>
          <w:b/>
        </w:rPr>
        <w:t>Contradicción lógica:</w:t>
      </w:r>
      <w:r>
        <w:t xml:space="preserve"> el paréntesis abre la rama de biológicos a pacientes con eosinófilos &lt;100, mientras la viñeta exige ≥300. Esto puede llevar a interpretar que un paciente con LABA+LAMA, sin ICS, es candidato a biológico.</w:t>
      </w:r>
    </w:p>
    <w:p>
      <w:pPr>
        <w:pStyle w:val="ListNumber"/>
        <w:numPr>
          <w:ilvl w:val="0"/>
          <w:numId w:val="19"/>
        </w:numPr>
      </w:pPr>
      <w:r>
        <w:rPr>
          <w:b/>
        </w:rPr>
        <w:t>Umbral de exacerbaciones:</w:t>
      </w:r>
    </w:p>
    <w:p>
      <w:pPr>
        <w:pStyle w:val="ListBullet2"/>
      </w:pPr>
      <w:r>
        <w:t>El texto no fija número de exacerbaciones.</w:t>
      </w:r>
    </w:p>
    <w:p>
      <w:pPr>
        <w:pStyle w:val="ListBullet2"/>
      </w:pPr>
      <w:r>
        <w:t>La Fig. 3.9 exige "two moderate or one severe exacerbation AND if blood eos ≥ 300", en línea con BOREAS, NOTUS y MATINEE.</w:t>
      </w:r>
    </w:p>
    <w:p>
      <w:pPr>
        <w:pStyle w:val="ListBullet2"/>
      </w:pPr>
      <w:r>
        <w:t>Los Highlights afirman que "the threshold of one moderate exacerbation should now be used to consider treatment escalation".</w:t>
      </w:r>
    </w:p>
    <w:p>
      <w:pPr>
        <w:pStyle w:val="ListBullet2"/>
      </w:pPr>
      <w:r>
        <w:t>Un lector puede aplicar el umbral de 1 exacerbación moderada también a los biológicos, fuera de los criterios de inclusión de los ensayos pivotales.</w:t>
      </w:r>
    </w:p>
    <w:p>
      <w:pPr>
        <w:pStyle w:val="ListNumber"/>
        <w:numPr>
          <w:ilvl w:val="0"/>
          <w:numId w:val="19"/>
        </w:numPr>
      </w:pPr>
      <w:r>
        <w:rPr>
          <w:b/>
        </w:rPr>
        <w:t>Tratamiento de fondo:</w:t>
      </w:r>
      <w:r>
        <w:t xml:space="preserve"> no se aclara que todos los ensayos exigían tratamiento triple (la ficha técnica de la UE de dupilumab admite LABA+LAMA si el ICS no es apropiado).</w:t>
      </w:r>
    </w:p>
    <w:p>
      <w:pPr>
        <w:pStyle w:val="ListBullet"/>
      </w:pPr>
      <w:r>
        <w:rPr>
          <w:b/>
        </w:rPr>
        <w:t>Evidencia/justificación:</w:t>
      </w:r>
    </w:p>
    <w:p>
      <w:pPr>
        <w:pStyle w:val="ListBullet2"/>
      </w:pPr>
      <w:r>
        <w:t>Inclusión en BOREAS, NOTUS y MATINEE: ≥2 exacerbaciones moderadas o ≥1 grave en el año previo, con tratamiento triple (o doble con ICS en METREX/METREO).</w:t>
      </w:r>
    </w:p>
    <w:p>
      <w:pPr>
        <w:pStyle w:val="ListBullet2"/>
      </w:pPr>
      <w:r>
        <w:t>Ficha técnica de la UE de Dupixent (2024): pacientes con LABA+LAMA+ICS, o LABA+LAMA si el ICS no es apropiado.</w:t>
      </w:r>
    </w:p>
    <w:p>
      <w:pPr>
        <w:pStyle w:val="ListBullet"/>
      </w:pPr>
      <w:r>
        <w:rPr>
          <w:b/>
        </w:rPr>
        <w:t>Recomendación:</w:t>
      </w:r>
    </w:p>
    <w:p>
      <w:pPr>
        <w:pStyle w:val="ListBullet2"/>
      </w:pPr>
      <w:r>
        <w:t>Suprimir el paréntesis "(or those with eosinophil counts &lt; 100 cells/µL)" de la viñeta de biológicos, o reubicarlo solo en azitromicina y roflumilast.</w:t>
      </w:r>
    </w:p>
    <w:p>
      <w:pPr>
        <w:pStyle w:val="ListBullet2"/>
      </w:pPr>
      <w:r>
        <w:t>Añadir al texto el umbral "≥2 moderadas o ≥1 grave en el año previo, pese a LABA+LAMA+ICS".</w:t>
      </w:r>
    </w:p>
    <w:p>
      <w:pPr>
        <w:pStyle w:val="ListBullet2"/>
      </w:pPr>
      <w:r>
        <w:t>Precisar en los Highlights que el umbral de 1 exacerbación moderada se aplica a la escalada inhalada, no a los biológicos.</w:t>
      </w:r>
    </w:p>
    <w:p>
      <w:pPr>
        <w:pStyle w:val="ListBullet"/>
      </w:pPr>
      <w:r>
        <w:rPr>
          <w:b/>
        </w:rPr>
        <w:t>Confianza:</w:t>
      </w:r>
      <w:r>
        <w:t xml:space="preserve"> 4/5</w:t>
      </w:r>
    </w:p>
    <w:p>
      <w:pPr>
        <w:pStyle w:val="Heading4"/>
      </w:pPr>
      <w:r>
        <w:t>NOV-04 · Reducción de mortalidad con terapia triple presentada como efecto demostrado, sin las limitaciones de IMPACT y ETHOS</w:t>
      </w:r>
    </w:p>
    <w:p>
      <w:r>
        <w:rPr>
          <w:i/>
        </w:rPr>
        <w:t xml:space="preserve">Severidad final: </w:t>
      </w:r>
      <w:r>
        <w:rPr>
          <w:i/>
          <w:color w:val="ED7D31"/>
        </w:rPr>
        <w:t>🟠</w:t>
      </w:r>
      <w:r>
        <w:rPr>
          <w:i/>
        </w:rPr>
        <w:t xml:space="preserve"> ALTA · Tema T08: Terapia triple y mortalidad</w:t>
      </w:r>
    </w:p>
    <w:p>
      <w:pPr>
        <w:pStyle w:val="IntenseQuote"/>
      </w:pPr>
      <w:r>
        <w:rPr>
          <w:b/>
        </w:rPr>
        <w:t>Verificación independiente (CONFIRMADO PARCIAL):</w:t>
      </w:r>
      <w:r>
        <w:t xml:space="preserve"> 1. Presentar el efecto sobre la mortalidad como señal procedente de objetivos secundarios o análisis adicionales, no como efecto establecido. 2. En la Fig. 3.19, especificar "BGF 320 µg vs LAMA/LABA" y "vs ICS/LABA no significativo", y añadir que BGF 160 no fue significativo. 3. Mencionar el debate sobre la retirada de ICS. 4. Corregir los criterios de inclusión.</w:t>
      </w:r>
    </w:p>
    <w:p>
      <w:pPr>
        <w:pStyle w:val="ListBullet"/>
      </w:pPr>
      <w:r>
        <w:rPr>
          <w:b/>
        </w:rPr>
        <w:t>Tipo:</w:t>
      </w:r>
      <w:r>
        <w:t xml:space="preserve"> Evidencia mal representada</w:t>
      </w:r>
    </w:p>
    <w:p>
      <w:pPr>
        <w:pStyle w:val="ListBullet"/>
      </w:pPr>
      <w:r>
        <w:rPr>
          <w:b/>
        </w:rPr>
        <w:t>Severidad:</w:t>
      </w:r>
      <w:r>
        <w:t xml:space="preserve"> ALTA</w:t>
      </w:r>
    </w:p>
    <w:p>
      <w:pPr>
        <w:pStyle w:val="ListBullet"/>
      </w:pPr>
      <w:r>
        <w:rPr>
          <w:b/>
        </w:rPr>
        <w:t>Ubicación:</w:t>
      </w:r>
    </w:p>
    <w:p>
      <w:pPr>
        <w:pStyle w:val="ListBullet2"/>
      </w:pPr>
      <w:r>
        <w:t>PDF 92 / impr. 81 — cap. 3, "Therapeutic interventions that reduce COPD mortality".</w:t>
      </w:r>
    </w:p>
    <w:p>
      <w:pPr>
        <w:pStyle w:val="ListBullet2"/>
      </w:pPr>
      <w:r>
        <w:t>PDF 91 / impr. 80 — Fig. 3.19.</w:t>
      </w:r>
    </w:p>
    <w:p>
      <w:pPr>
        <w:pStyle w:val="ListBullet2"/>
      </w:pPr>
      <w:r>
        <w:t>PDF 162 / impr. 151 — Apéndice 3.</w:t>
      </w:r>
    </w:p>
    <w:p>
      <w:pPr>
        <w:pStyle w:val="ListBullet"/>
      </w:pPr>
      <w:r>
        <w:rPr>
          <w:b/>
        </w:rPr>
        <w:t>Cita:</w:t>
      </w:r>
      <w:r>
        <w:t xml:space="preserve"> "Evidence has emerged from two large randomized clinical trials, IMPACT(467) and ETHOS,(492) that fixed-dose inhaled triple combinations (LABA+LAMA+ICS) reduce all-cause mortality compared to dual inhaled LABD therapy"</w:t>
      </w:r>
    </w:p>
    <w:p>
      <w:pPr>
        <w:pStyle w:val="ListBullet"/>
      </w:pPr>
      <w:r>
        <w:rPr>
          <w:b/>
        </w:rPr>
        <w:t>Problema:</w:t>
      </w:r>
      <w:r>
        <w:t xml:space="preserve"> La mortalidad se presenta como un efecto establecido. La Fig. 3.19 la etiqueta como "relative risk reduction" y la nota "*" la describe como un "RCT with pre-specified analysis of the mortality outcome (primary or secondary outcome)". Se omiten estas limitaciones:</w:t>
      </w:r>
    </w:p>
    <w:p>
      <w:pPr>
        <w:pStyle w:val="ListNumber"/>
        <w:numPr>
          <w:ilvl w:val="0"/>
          <w:numId w:val="20"/>
        </w:numPr>
      </w:pPr>
      <w:r>
        <w:rPr>
          <w:b/>
        </w:rPr>
        <w:t>IMPACT, naturaleza del análisis:</w:t>
      </w:r>
      <w:r>
        <w:t xml:space="preserve"> la mortalidad no era un objetivo primario ni secundario clave. La cifra HR 0,72 (0,53-0,99) procede de un análisis posterior con recogida adicional del estado vital (Lipson 2020, ref. 1581). El valor de P es limítrofe.</w:t>
      </w:r>
    </w:p>
    <w:p>
      <w:pPr>
        <w:pStyle w:val="ListNumber"/>
        <w:numPr>
          <w:ilvl w:val="0"/>
          <w:numId w:val="20"/>
        </w:numPr>
      </w:pPr>
      <w:r>
        <w:rPr>
          <w:b/>
        </w:rPr>
        <w:t>IMPACT, comparador ICS/LABA:</w:t>
      </w:r>
      <w:r>
        <w:t xml:space="preserve"> la comparación triple frente a FF/VI no fue significativa (HR 0,89; 0,67-1,16).</w:t>
      </w:r>
    </w:p>
    <w:p>
      <w:pPr>
        <w:pStyle w:val="ListNumber"/>
        <w:numPr>
          <w:ilvl w:val="0"/>
          <w:numId w:val="20"/>
        </w:numPr>
      </w:pPr>
      <w:r>
        <w:rPr>
          <w:b/>
        </w:rPr>
        <w:t>IMPACT, retirada de ICS:</w:t>
      </w:r>
      <w:r>
        <w:t xml:space="preserve"> alrededor del 70 % de los pacientes usaba ICS al entrar y lo suspendió bruscamente si se aleatorizó a UMEC/VI. Esto puede explicar el exceso de eventos precoces en ese brazo.</w:t>
      </w:r>
    </w:p>
    <w:p>
      <w:pPr>
        <w:pStyle w:val="ListNumber"/>
        <w:numPr>
          <w:ilvl w:val="0"/>
          <w:numId w:val="20"/>
        </w:numPr>
      </w:pPr>
      <w:r>
        <w:rPr>
          <w:b/>
        </w:rPr>
        <w:t>ETHOS:</w:t>
      </w:r>
    </w:p>
    <w:p>
      <w:pPr>
        <w:pStyle w:val="ListBullet2"/>
      </w:pPr>
      <w:r>
        <w:t>La mortalidad era un objetivo secundario sin control de multiplicidad (P nominal 0,0035).</w:t>
      </w:r>
    </w:p>
    <w:p>
      <w:pPr>
        <w:pStyle w:val="ListBullet2"/>
      </w:pPr>
      <w:r>
        <w:t>HR 0,51 corresponde solo a BGF con 320 µg de budesonida frente a GFF.</w:t>
      </w:r>
    </w:p>
    <w:p>
      <w:pPr>
        <w:pStyle w:val="ListBullet2"/>
      </w:pPr>
      <w:r>
        <w:t>Con 160 µg de budesonida no hubo diferencia significativa.</w:t>
      </w:r>
    </w:p>
    <w:p>
      <w:pPr>
        <w:pStyle w:val="ListBullet2"/>
      </w:pPr>
      <w:r>
        <w:t>Frente a BFF (ICS/LABA), el HR fue 0,72 (0,44-1,16), no significativo.</w:t>
      </w:r>
    </w:p>
    <w:p>
      <w:pPr>
        <w:pStyle w:val="ListNumber"/>
        <w:numPr>
          <w:ilvl w:val="0"/>
          <w:numId w:val="20"/>
        </w:numPr>
      </w:pPr>
      <w:r>
        <w:rPr>
          <w:b/>
        </w:rPr>
        <w:t>Inclusión:</w:t>
      </w:r>
      <w:r>
        <w:t xml:space="preserve"> la descripción de la población es imprecisa. Tanto en IMPACT como en ETHOS bastaba 1 exacerbación moderada si el FEV1 era &lt;50 %.</w:t>
      </w:r>
    </w:p>
    <w:p>
      <w:r>
        <w:t>En contraste, la Fig. A3.3 (PDF 160) es más prudente ("Recent data suggest[s]…", sin nivel de evidencia). Esto genera una incongruencia interna en el grado de certeza.</w:t>
      </w:r>
    </w:p>
    <w:p>
      <w:pPr>
        <w:pStyle w:val="ListBullet"/>
      </w:pPr>
      <w:r>
        <w:rPr>
          <w:b/>
        </w:rPr>
        <w:t>Evidencia/justificación:</w:t>
      </w:r>
    </w:p>
    <w:p>
      <w:pPr>
        <w:pStyle w:val="ListBullet2"/>
      </w:pPr>
      <w:r>
        <w:t>IMPACT: Lipson DA et al., NEJM 2018;378:1671-80 (PMID 29668352).</w:t>
      </w:r>
    </w:p>
    <w:p>
      <w:pPr>
        <w:pStyle w:val="ListBullet2"/>
      </w:pPr>
      <w:r>
        <w:t>IMPACT, mortalidad: Lipson DA et al., AJRCCM 2020;201:1508-16 (PMID 32162970).</w:t>
      </w:r>
    </w:p>
    <w:p>
      <w:pPr>
        <w:pStyle w:val="ListBullet2"/>
      </w:pPr>
      <w:r>
        <w:t>Retirada de ICS: Suissa S, Drazen JM, editorial NEJM 2018;378:1723-4.</w:t>
      </w:r>
    </w:p>
    <w:p>
      <w:pPr>
        <w:pStyle w:val="ListBullet2"/>
      </w:pPr>
      <w:r>
        <w:t>ETHOS: Rabe KF et al., NEJM 2020;383:35-48 (PMID 32579807).</w:t>
      </w:r>
    </w:p>
    <w:p>
      <w:pPr>
        <w:pStyle w:val="ListBullet2"/>
      </w:pPr>
      <w:r>
        <w:t>ETHOS, mortalidad: Martinez FJ et al., AJRCCM 2021;203:553-64 (PMID 33252985).</w:t>
      </w:r>
    </w:p>
    <w:p>
      <w:pPr>
        <w:pStyle w:val="ListBullet"/>
      </w:pPr>
      <w:r>
        <w:rPr>
          <w:b/>
        </w:rPr>
        <w:t>Recomendación:</w:t>
      </w:r>
    </w:p>
    <w:p>
      <w:pPr>
        <w:pStyle w:val="ListBullet2"/>
      </w:pPr>
      <w:r>
        <w:t xml:space="preserve">Reformular como "datos de dos ECA (análisis secundario/post hoc) </w:t>
      </w:r>
      <w:r>
        <w:rPr>
          <w:b/>
        </w:rPr>
        <w:t>sugieren</w:t>
      </w:r>
      <w:r>
        <w:t xml:space="preserve"> una menor mortalidad frente a LABA+LAMA, no frente a LABA+ICS".</w:t>
      </w:r>
    </w:p>
    <w:p>
      <w:pPr>
        <w:pStyle w:val="ListBullet2"/>
      </w:pPr>
      <w:r>
        <w:t>Explicitar las limitaciones: retirada de ICS en IMPACT, efecto dependiente de la dosis de ICS en ETHOS y ausencia de un ECA con mortalidad como objetivo primario.</w:t>
      </w:r>
    </w:p>
    <w:p>
      <w:pPr>
        <w:pStyle w:val="ListBullet2"/>
      </w:pPr>
      <w:r>
        <w:t>Corregir la nota "*" y la etiqueta "relative risk reduction" (son HR) en la Fig. 3.19.</w:t>
      </w:r>
    </w:p>
    <w:p>
      <w:pPr>
        <w:pStyle w:val="ListBullet2"/>
      </w:pPr>
      <w:r>
        <w:t>Asignar un nivel de evidencia explícito (B) coherente en el cap. 3, la Fig. 3.19 y la Fig. A3.3.</w:t>
      </w:r>
    </w:p>
    <w:p>
      <w:pPr>
        <w:pStyle w:val="ListBullet"/>
      </w:pPr>
      <w:r>
        <w:rPr>
          <w:b/>
        </w:rPr>
        <w:t>Confianza:</w:t>
      </w:r>
      <w:r>
        <w:t xml:space="preserve"> 5/5</w:t>
      </w:r>
    </w:p>
    <w:p>
      <w:pPr>
        <w:pStyle w:val="Heading4"/>
      </w:pPr>
      <w:r>
        <w:t>MET-11 · El texto sobre biológicos sobrerrepresenta los resultados de los ensayos</w:t>
      </w:r>
    </w:p>
    <w:p>
      <w:r>
        <w:rPr>
          <w:i/>
        </w:rPr>
        <w:t xml:space="preserve">Severidad final: </w:t>
      </w:r>
      <w:r>
        <w:rPr>
          <w:i/>
          <w:color w:val="ED7D31"/>
        </w:rPr>
        <w:t>🟠</w:t>
      </w:r>
      <w:r>
        <w:rPr>
          <w:i/>
        </w:rPr>
        <w:t xml:space="preserve"> ALTA · Tema T09: Biológicos, ensifentrina y nuevas terapias</w:t>
      </w:r>
    </w:p>
    <w:p>
      <w:pPr>
        <w:pStyle w:val="IntenseQuote"/>
      </w:pPr>
      <w:r>
        <w:rPr>
          <w:b/>
        </w:rPr>
        <w:t>Verificación independiente (CONFIRMADO):</w:t>
      </w:r>
      <w:r>
        <w:t xml:space="preserve"> Reescribir el párrafo ensayo por ensayo: • METREX: positivo solo en el estrato eosinofílico. • METREO: no significativo. • MATINEE: positivo en el objetivo primario, con eosinófilos ≥300 y de 52 a 104 semanas. • Eliminar la reducción de urgencias u hospitalizaciones, o marcarla como "no testable por jerarquía".</w:t>
      </w:r>
    </w:p>
    <w:p>
      <w:pPr>
        <w:pStyle w:val="ListBullet"/>
      </w:pPr>
      <w:r>
        <w:rPr>
          <w:b/>
        </w:rPr>
        <w:t>Tipo:</w:t>
      </w:r>
      <w:r>
        <w:t xml:space="preserve"> Evidencia mal representada</w:t>
      </w:r>
    </w:p>
    <w:p>
      <w:pPr>
        <w:pStyle w:val="ListBullet"/>
      </w:pPr>
      <w:r>
        <w:rPr>
          <w:b/>
        </w:rPr>
        <w:t>Severidad:</w:t>
      </w:r>
      <w:r>
        <w:t xml:space="preserve"> ALTA</w:t>
      </w:r>
    </w:p>
    <w:p>
      <w:pPr>
        <w:pStyle w:val="ListBullet"/>
      </w:pPr>
      <w:r>
        <w:rPr>
          <w:b/>
        </w:rPr>
        <w:t>Ubicación:</w:t>
      </w:r>
      <w:r>
        <w:t xml:space="preserve"> PDF 163 / impr. 152 (refs 681, 682, 690, 691)</w:t>
      </w:r>
    </w:p>
    <w:p>
      <w:pPr>
        <w:pStyle w:val="ListBullet"/>
      </w:pPr>
      <w:r>
        <w:rPr>
          <w:b/>
        </w:rPr>
        <w:t>Cita:</w:t>
      </w:r>
      <w:r>
        <w:t xml:space="preserve"> «Across three phase III… blood eosinophil count of ≥ 300 cells/μL who received mepolizumab… had fewer moderate or severe exacerbations and a reduction in exacerbations leading to ED visits or hospitalizations (690,691)»</w:t>
      </w:r>
    </w:p>
    <w:p>
      <w:pPr>
        <w:pStyle w:val="ListBullet"/>
      </w:pPr>
      <w:r>
        <w:rPr>
          <w:b/>
        </w:rPr>
        <w:t>Problema:</w:t>
      </w:r>
    </w:p>
    <w:p>
      <w:pPr>
        <w:pStyle w:val="ListBullet2"/>
      </w:pPr>
      <w:r>
        <w:rPr>
          <w:b/>
        </w:rPr>
        <w:t>Umbrales de eosinófilos.</w:t>
      </w:r>
      <w:r>
        <w:t xml:space="preserve"> METREX y METREO incluyeron pacientes con ≥150 células/μL en el cribado o ≥300 en el año previo; solo MATINEE exigió ≥300. La propia Fig 3.11 lo recoge.</w:t>
      </w:r>
    </w:p>
    <w:p>
      <w:pPr>
        <w:pStyle w:val="ListBullet2"/>
      </w:pPr>
      <w:r>
        <w:rPr>
          <w:b/>
        </w:rPr>
        <w:t>Resultados de los tres ensayos.</w:t>
      </w:r>
    </w:p>
    <w:p>
      <w:pPr>
        <w:pStyle w:val="ListBullet2"/>
      </w:pPr>
      <w:r>
        <w:t>METREO no fue significativo (RR 0,80; NS).</w:t>
      </w:r>
    </w:p>
    <w:p>
      <w:pPr>
        <w:pStyle w:val="ListBullet2"/>
      </w:pPr>
      <w:r>
        <w:t>METREX solo fue positivo en el estrato eosinofílico predefinido.</w:t>
      </w:r>
    </w:p>
    <w:p>
      <w:pPr>
        <w:pStyle w:val="ListBullet2"/>
      </w:pPr>
      <w:r>
        <w:rPr>
          <w:b/>
        </w:rPr>
        <w:t>Desenlaces secundarios de MATINEE.</w:t>
      </w:r>
      <w:r>
        <w:t xml:space="preserve"> La jerarquía de pruebas se detuvo al fracasar el SGRQ y los síntomas: «no statistical inferences regarding subsequent secondary end points». Por tanto, la reducción de exacerbaciones con visita a urgencias u hospitalización no es inferible.</w:t>
      </w:r>
    </w:p>
    <w:p>
      <w:pPr>
        <w:pStyle w:val="ListBullet2"/>
      </w:pPr>
      <w:r>
        <w:rPr>
          <w:b/>
        </w:rPr>
        <w:t>Dupilumab.</w:t>
      </w:r>
      <w:r>
        <w:t xml:space="preserve"> El texto afirma «improved health status over 52 weeks» (681, 682), pero en NOTUS el SGRQ no fue confirmatorio; la propia Fig 3.11 lo marca como «significance not tested».</w:t>
      </w:r>
    </w:p>
    <w:p>
      <w:pPr>
        <w:pStyle w:val="ListBullet"/>
      </w:pPr>
      <w:r>
        <w:rPr>
          <w:b/>
        </w:rPr>
        <w:t>Evidencia/justificación:</w:t>
      </w:r>
      <w:r>
        <w:t xml:space="preserve"> Abstracts en PubMed de MATINEE (PMID 40305712), NOTUS (PMID 38767614), BOREAS (PMID 37272521) y METREX/METREO (NEJM 2017;377:1613); Fig 3.11 (PDF 79 / impr. 68).</w:t>
      </w:r>
    </w:p>
    <w:p>
      <w:pPr>
        <w:pStyle w:val="ListBullet"/>
      </w:pPr>
      <w:r>
        <w:rPr>
          <w:b/>
        </w:rPr>
        <w:t>Recomendación:</w:t>
      </w:r>
      <w:r>
        <w:t xml:space="preserve"> Reescribir el párrafo ensayo por ensayo, con los umbrales reales, señalando los desenlaces no significativos y los no inferibles por la jerarquía de pruebas.</w:t>
      </w:r>
    </w:p>
    <w:p>
      <w:pPr>
        <w:pStyle w:val="ListBullet"/>
      </w:pPr>
      <w:r>
        <w:rPr>
          <w:b/>
        </w:rPr>
        <w:t>Confianza:</w:t>
      </w:r>
      <w:r>
        <w:t xml:space="preserve"> 4</w:t>
      </w:r>
    </w:p>
    <w:p>
      <w:pPr>
        <w:pStyle w:val="Heading4"/>
      </w:pPr>
      <w:r>
        <w:t>NOV-01 · Apéndice 3 describe erróneamente la evidencia de mepolizumab (población, duración, resultados)</w:t>
      </w:r>
    </w:p>
    <w:p>
      <w:r>
        <w:rPr>
          <w:i/>
        </w:rPr>
        <w:t xml:space="preserve">Severidad final: </w:t>
      </w:r>
      <w:r>
        <w:rPr>
          <w:i/>
          <w:color w:val="ED7D31"/>
        </w:rPr>
        <w:t>🟠</w:t>
      </w:r>
      <w:r>
        <w:rPr>
          <w:i/>
        </w:rPr>
        <w:t xml:space="preserve"> ALTA · Tema T09: Biológicos, ensifentrina y nuevas terapias</w:t>
      </w:r>
    </w:p>
    <w:p>
      <w:pPr>
        <w:pStyle w:val="IntenseQuote"/>
      </w:pPr>
      <w:r>
        <w:rPr>
          <w:b/>
        </w:rPr>
        <w:t>Verificación independiente (CONFIRMADO):</w:t>
      </w:r>
      <w:r>
        <w:t xml:space="preserve"> Reescribir el párrafo ensayo por ensayo: • METREX: positivo solo en el estrato eosinofílico. • METREO: no significativo. • MATINEE: positivo en el objetivo primario, con eosinófilos ≥300 y de 52 a 104 semanas. • Eliminar la reducción de urgencias u hospitalizaciones, o marcarla como "no testable por jerarquía".</w:t>
      </w:r>
    </w:p>
    <w:p>
      <w:pPr>
        <w:pStyle w:val="ListBullet"/>
      </w:pPr>
      <w:r>
        <w:rPr>
          <w:b/>
        </w:rPr>
        <w:t>Tipo:</w:t>
      </w:r>
      <w:r>
        <w:t xml:space="preserve"> Evidencia mal representada / Error factual</w:t>
      </w:r>
    </w:p>
    <w:p>
      <w:pPr>
        <w:pStyle w:val="ListBullet"/>
      </w:pPr>
      <w:r>
        <w:rPr>
          <w:b/>
        </w:rPr>
        <w:t>Severidad:</w:t>
      </w:r>
      <w:r>
        <w:t xml:space="preserve"> ALTA</w:t>
      </w:r>
    </w:p>
    <w:p>
      <w:pPr>
        <w:pStyle w:val="ListBullet"/>
      </w:pPr>
      <w:r>
        <w:rPr>
          <w:b/>
        </w:rPr>
        <w:t>Ubicación:</w:t>
      </w:r>
      <w:r>
        <w:t xml:space="preserve"> PDF 163 / impr. 152 — Apéndice 3, "Biologic therapy", párrafo de mepolizumab (refs. 690, 691).</w:t>
      </w:r>
    </w:p>
    <w:p>
      <w:pPr>
        <w:pStyle w:val="ListBullet"/>
      </w:pPr>
      <w:r>
        <w:rPr>
          <w:b/>
        </w:rPr>
        <w:t>Cita:</w:t>
      </w:r>
      <w:r>
        <w:t xml:space="preserve"> "Across three phase III… blood eosinophil count of ≥ 300 cells/μL who received mepolizumab for 52 to 104 weeks and had fewer moderate or severe exacerbations and a reduction in exacerbations leading to ED visits or hospitalizations"</w:t>
      </w:r>
    </w:p>
    <w:p>
      <w:pPr>
        <w:pStyle w:val="ListBullet"/>
      </w:pPr>
      <w:r>
        <w:rPr>
          <w:b/>
        </w:rPr>
        <w:t>Problema:</w:t>
      </w:r>
      <w:r>
        <w:t xml:space="preserve"> La frase atribuye a los tres ensayos (METREX, METREO y MATINEE) un umbral común de eosinófilos ≥300, una duración de 52-104 semanas y un beneficio homogéneo, incluida una reducción de urgencias/hospitalizaciones. Hay cuatro errores:</w:t>
      </w:r>
    </w:p>
    <w:p>
      <w:pPr>
        <w:pStyle w:val="ListNumber"/>
        <w:numPr>
          <w:ilvl w:val="0"/>
          <w:numId w:val="21"/>
        </w:numPr>
      </w:pPr>
      <w:r>
        <w:rPr>
          <w:b/>
        </w:rPr>
        <w:t>Resultados:</w:t>
      </w:r>
      <w:r>
        <w:t xml:space="preserve"> METREO fue negativo y METREX solo fue positivo en el estrato eosinofílico.</w:t>
      </w:r>
    </w:p>
    <w:p>
      <w:pPr>
        <w:pStyle w:val="ListNumber"/>
        <w:numPr>
          <w:ilvl w:val="0"/>
          <w:numId w:val="21"/>
        </w:numPr>
      </w:pPr>
      <w:r>
        <w:rPr>
          <w:b/>
        </w:rPr>
        <w:t>Umbral:</w:t>
      </w:r>
      <w:r>
        <w:t xml:space="preserve"> METREX/METREO no usaron ≥300 como criterio único.</w:t>
      </w:r>
    </w:p>
    <w:p>
      <w:pPr>
        <w:pStyle w:val="ListNumber"/>
        <w:numPr>
          <w:ilvl w:val="0"/>
          <w:numId w:val="21"/>
        </w:numPr>
      </w:pPr>
      <w:r>
        <w:rPr>
          <w:b/>
        </w:rPr>
        <w:t>Duración:</w:t>
      </w:r>
      <w:r>
        <w:t xml:space="preserve"> METREX y METREO duraron 52 semanas. MATINEE tuvo un tratamiento de 52 a 104 semanas, por lo que el rango solo es aplicable a este ensayo.</w:t>
      </w:r>
    </w:p>
    <w:p>
      <w:pPr>
        <w:pStyle w:val="ListNumber"/>
        <w:numPr>
          <w:ilvl w:val="0"/>
          <w:numId w:val="21"/>
        </w:numPr>
      </w:pPr>
      <w:r>
        <w:rPr>
          <w:b/>
        </w:rPr>
        <w:t>Urgencias/hospitalización:</w:t>
      </w:r>
      <w:r>
        <w:t xml:space="preserve"> este beneficio no está demostrado en ningún ensayo con contraste confirmatorio.</w:t>
      </w:r>
    </w:p>
    <w:p>
      <w:pPr>
        <w:pStyle w:val="ListBullet"/>
      </w:pPr>
      <w:r>
        <w:rPr>
          <w:b/>
        </w:rPr>
        <w:t>Evidencia/justificación:</w:t>
      </w:r>
    </w:p>
    <w:p>
      <w:pPr>
        <w:pStyle w:val="ListBullet2"/>
      </w:pPr>
      <w:r>
        <w:rPr>
          <w:b/>
        </w:rPr>
        <w:t>METREX/METREO</w:t>
      </w:r>
      <w:r>
        <w:t xml:space="preserve"> (Pavord ID et al., NEJM 2017;377:1613-29; PMID 28893134):</w:t>
      </w:r>
    </w:p>
    <w:p>
      <w:pPr>
        <w:pStyle w:val="ListBullet2"/>
      </w:pPr>
      <w:r>
        <w:t>Criterio de eosinófilos: ≥150/µL en el cribado o ≥300/µL en los 12 meses previos.</w:t>
      </w:r>
    </w:p>
    <w:p>
      <w:pPr>
        <w:pStyle w:val="ListBullet2"/>
      </w:pPr>
      <w:r>
        <w:t>METREO: RR 0,80 con 100 mg y 0,86 con 300 mg; P ajustada 0,07 y 0,14 (no significativo).</w:t>
      </w:r>
    </w:p>
    <w:p>
      <w:pPr>
        <w:pStyle w:val="ListBullet2"/>
      </w:pPr>
      <w:r>
        <w:t>METREX, estrato eosinofílico (n=462): RR 0,82, P=0,04.</w:t>
      </w:r>
    </w:p>
    <w:p>
      <w:pPr>
        <w:pStyle w:val="ListBullet2"/>
      </w:pPr>
      <w:r>
        <w:t>METREX, población mITT global (n=836): sin efecto (RR ≈0,98).</w:t>
      </w:r>
    </w:p>
    <w:p>
      <w:pPr>
        <w:pStyle w:val="ListBullet2"/>
      </w:pPr>
      <w:r>
        <w:rPr>
          <w:b/>
        </w:rPr>
        <w:t>MATINEE</w:t>
      </w:r>
      <w:r>
        <w:t xml:space="preserve"> (Sciurba FC et al., NEJM 2025;392:1710-20; NCT04133909):</w:t>
      </w:r>
    </w:p>
    <w:p>
      <w:pPr>
        <w:pStyle w:val="ListBullet2"/>
      </w:pPr>
      <w:r>
        <w:t>Criterios: eosinófilos ≥300/µL en el cribado Y ≥150/µL en el año previo.</w:t>
      </w:r>
    </w:p>
    <w:p>
      <w:pPr>
        <w:pStyle w:val="ListBullet2"/>
      </w:pPr>
      <w:r>
        <w:t>Resultado primario: RR 0,79 (IC 95 % 0,66-0,94).</w:t>
      </w:r>
    </w:p>
    <w:p>
      <w:pPr>
        <w:pStyle w:val="ListBullet2"/>
      </w:pPr>
      <w:r>
        <w:t>Las exacerbaciones con visita a urgencias u hospitalización (RR ≈0,65) no se contrastaron formalmente por la jerarquía estadística; el valor es solo nominal.</w:t>
      </w:r>
    </w:p>
    <w:p>
      <w:pPr>
        <w:pStyle w:val="ListBullet2"/>
      </w:pPr>
      <w:r>
        <w:t>SGRQ y síntomas no fueron significativos (la propia Fig. 3.11 muestra SGRQ −2,3, NS).</w:t>
      </w:r>
    </w:p>
    <w:p>
      <w:pPr>
        <w:pStyle w:val="ListBullet2"/>
      </w:pPr>
      <w:r>
        <w:rPr>
          <w:b/>
        </w:rPr>
        <w:t>Fig. 3.11 (PDF 79)</w:t>
      </w:r>
      <w:r>
        <w:t xml:space="preserve"> muestra correctamente "RR 0.80; NS" para METREO y un FEV1 no significativo en los tres ensayos. Esto contradice el texto del Apéndice 3.</w:t>
      </w:r>
    </w:p>
    <w:p>
      <w:pPr>
        <w:pStyle w:val="ListBullet"/>
      </w:pPr>
      <w:r>
        <w:rPr>
          <w:b/>
        </w:rPr>
        <w:t>Recomendación:</w:t>
      </w:r>
      <w:r>
        <w:t xml:space="preserve"> Reescribir el párrafo:</w:t>
      </w:r>
    </w:p>
    <w:p>
      <w:pPr>
        <w:pStyle w:val="ListBullet2"/>
      </w:pPr>
      <w:r>
        <w:t>Dos ensayos de 52 semanas (METREX/METREO) con resultados inconsistentes: uno negativo y otro positivo solo en el estrato eosinofílico.</w:t>
      </w:r>
    </w:p>
    <w:p>
      <w:pPr>
        <w:pStyle w:val="ListBullet2"/>
      </w:pPr>
      <w:r>
        <w:t>Un ensayo confirmatorio, MATINEE, con eosinófilos ≥300 (cribado) y ≥150 (histórico), en tratamiento triple, que redujo un 21 % las exacerbaciones moderadas/graves sin mejorar la calidad de vida ni el FEV1.</w:t>
      </w:r>
    </w:p>
    <w:p>
      <w:pPr>
        <w:pStyle w:val="ListBullet2"/>
      </w:pPr>
      <w:r>
        <w:t>Indicar que la reducción de urgencias/hospitalizaciones es un resultado nominal, no confirmatorio.</w:t>
      </w:r>
    </w:p>
    <w:p>
      <w:pPr>
        <w:pStyle w:val="ListBullet"/>
      </w:pPr>
      <w:r>
        <w:rPr>
          <w:b/>
        </w:rPr>
        <w:t>Confianza:</w:t>
      </w:r>
      <w:r>
        <w:t xml:space="preserve"> 5/5</w:t>
      </w:r>
    </w:p>
    <w:p>
      <w:pPr>
        <w:pStyle w:val="Heading4"/>
      </w:pPr>
      <w:r>
        <w:t>NOV-08 · Ensifentrina recomendada tras LABA+LAMA sin evidencia en esa posición</w:t>
      </w:r>
    </w:p>
    <w:p>
      <w:r>
        <w:rPr>
          <w:i/>
        </w:rPr>
        <w:t xml:space="preserve">Severidad final: </w:t>
      </w:r>
      <w:r>
        <w:rPr>
          <w:i/>
          <w:color w:val="ED7D31"/>
        </w:rPr>
        <w:t>🟠</w:t>
      </w:r>
      <w:r>
        <w:rPr>
          <w:i/>
        </w:rPr>
        <w:t xml:space="preserve"> ALTA · Tema T09: Biológicos, ensifentrina y nuevas terapias</w:t>
      </w:r>
    </w:p>
    <w:p>
      <w:pPr>
        <w:pStyle w:val="IntenseQuote"/>
      </w:pPr>
      <w:r>
        <w:rPr>
          <w:b/>
        </w:rPr>
        <w:t>Verificación independiente (CONFIRMADO):</w:t>
      </w:r>
      <w:r>
        <w:t xml:space="preserve"> 1. En la Fig. 3.9 y en el texto, indicar que no hay datos de ensayos aleatorizados con LABA+LAMA de base. 2. Posicionarla como opción basada en extrapolación (evidencia D o "consenso"), o como alternativa al segundo broncodilatador cuando este no se tolera. 3. Añadir "if available" en la figura.</w:t>
      </w:r>
    </w:p>
    <w:p>
      <w:pPr>
        <w:pStyle w:val="ListBullet"/>
      </w:pPr>
      <w:r>
        <w:rPr>
          <w:b/>
        </w:rPr>
        <w:t>Tipo:</w:t>
      </w:r>
      <w:r>
        <w:t xml:space="preserve"> Evidencia mal representada / Incongruencia interna</w:t>
      </w:r>
    </w:p>
    <w:p>
      <w:pPr>
        <w:pStyle w:val="ListBullet"/>
      </w:pPr>
      <w:r>
        <w:rPr>
          <w:b/>
        </w:rPr>
        <w:t>Severidad:</w:t>
      </w:r>
      <w:r>
        <w:t xml:space="preserve"> ALTA</w:t>
      </w:r>
    </w:p>
    <w:p>
      <w:pPr>
        <w:pStyle w:val="ListBullet"/>
      </w:pPr>
      <w:r>
        <w:rPr>
          <w:b/>
        </w:rPr>
        <w:t>Ubicación:</w:t>
      </w:r>
    </w:p>
    <w:p>
      <w:pPr>
        <w:pStyle w:val="ListBullet2"/>
      </w:pPr>
      <w:r>
        <w:t>PDF 74 / impr. 63 — Fig. 3.9, rama de disnea.</w:t>
      </w:r>
    </w:p>
    <w:p>
      <w:pPr>
        <w:pStyle w:val="ListBullet2"/>
      </w:pPr>
      <w:r>
        <w:t>PDF 77 / impr. 66 — texto.</w:t>
      </w:r>
    </w:p>
    <w:p>
      <w:pPr>
        <w:pStyle w:val="ListBullet2"/>
      </w:pPr>
      <w:r>
        <w:t>PDF 163 / impr. 152 — Apéndice 3.</w:t>
      </w:r>
    </w:p>
    <w:p>
      <w:pPr>
        <w:pStyle w:val="ListBullet"/>
      </w:pPr>
      <w:r>
        <w:rPr>
          <w:b/>
        </w:rPr>
        <w:t>Cita:</w:t>
      </w:r>
      <w:r>
        <w:t xml:space="preserve"> "If the addition of a second long-acting bronchodilator does not improve symptoms, we suggest: … Considering adding ensifentrine if available." Frente a App. 3: "the studies were not designed to assess the impact of ensifentrine on top of LABA+LAMA or LABA+LAMA+ICS"</w:t>
      </w:r>
    </w:p>
    <w:p>
      <w:pPr>
        <w:pStyle w:val="ListBullet"/>
      </w:pPr>
      <w:r>
        <w:rPr>
          <w:b/>
        </w:rPr>
        <w:t>Problema:</w:t>
      </w:r>
    </w:p>
    <w:p>
      <w:pPr>
        <w:pStyle w:val="ListBullet2"/>
      </w:pPr>
      <w:r>
        <w:t>El algoritmo sitúa la ensifentrina como tercer escalón para la disnea persistente con LABA+LAMA, pero ENHANCE-1/2 solo admitían como tratamiento de fondo: ninguno, LABA ± ICS o LAMA ± ICS. La doble broncodilatación de acción prolongada no estaba entre los tratamientos admitidos.</w:t>
      </w:r>
    </w:p>
    <w:p>
      <w:pPr>
        <w:pStyle w:val="ListBullet2"/>
      </w:pPr>
      <w:r>
        <w:t>En los ensayos, la mayoría de los pacientes recibía un único broncodilatador de acción prolongada, con o sin ICS.</w:t>
      </w:r>
    </w:p>
    <w:p>
      <w:pPr>
        <w:pStyle w:val="ListBullet2"/>
      </w:pPr>
      <w:r>
        <w:t>No hay ECA de fase III de ensifentrina añadida a LABA+LAMA. La recomendación extrapola sin decirlo.</w:t>
      </w:r>
    </w:p>
    <w:p>
      <w:pPr>
        <w:pStyle w:val="ListBullet2"/>
      </w:pPr>
      <w:r>
        <w:t>Por precio y vía nebulizada, puede generar un uso con beneficio incierto.</w:t>
      </w:r>
    </w:p>
    <w:p>
      <w:pPr>
        <w:pStyle w:val="ListBullet"/>
      </w:pPr>
      <w:r>
        <w:rPr>
          <w:b/>
        </w:rPr>
        <w:t>Evidencia/justificación:</w:t>
      </w:r>
    </w:p>
    <w:p>
      <w:pPr>
        <w:pStyle w:val="ListBullet2"/>
      </w:pPr>
      <w:r>
        <w:t>ENHANCE-1/2: Anzueto A et al., AJRCCM 2023;208:406-16 (PMID 37364283). Métodos: "no long-acting maintenance therapy or … LABA with or without ICS or LAMA with or without ICS"; FEV1 entre 30 % y 70 %.</w:t>
      </w:r>
    </w:p>
    <w:p>
      <w:pPr>
        <w:pStyle w:val="ListBullet2"/>
      </w:pPr>
      <w:r>
        <w:t>Ficha técnica de la FDA (Ohtuvayre, junio de 2024): indicación de mantenimiento sin especificar la línea terapéutica.</w:t>
      </w:r>
    </w:p>
    <w:p>
      <w:pPr>
        <w:pStyle w:val="ListBullet"/>
      </w:pPr>
      <w:r>
        <w:rPr>
          <w:b/>
        </w:rPr>
        <w:t>Recomendación:</w:t>
      </w:r>
    </w:p>
    <w:p>
      <w:pPr>
        <w:pStyle w:val="ListBullet2"/>
      </w:pPr>
      <w:r>
        <w:t>Etiquetar la sugerencia como "basada en extrapolación (opinión de expertos, Evidencia D)".</w:t>
      </w:r>
    </w:p>
    <w:p>
      <w:pPr>
        <w:pStyle w:val="ListBullet2"/>
      </w:pPr>
      <w:r>
        <w:t>Indicar que la evidencia de ECA procede de pacientes con un solo broncodilatador.</w:t>
      </w:r>
    </w:p>
    <w:p>
      <w:pPr>
        <w:pStyle w:val="ListBullet2"/>
      </w:pPr>
      <w:r>
        <w:t>Alternativamente, ofrecerla también como alternativa al segundo broncodilatador cuando este no se tolera.</w:t>
      </w:r>
    </w:p>
    <w:p>
      <w:pPr>
        <w:pStyle w:val="ListBullet"/>
      </w:pPr>
      <w:r>
        <w:rPr>
          <w:b/>
        </w:rPr>
        <w:t>Confianza:</w:t>
      </w:r>
      <w:r>
        <w:t xml:space="preserve"> 4/5</w:t>
      </w:r>
    </w:p>
    <w:p>
      <w:pPr>
        <w:pStyle w:val="Heading4"/>
      </w:pPr>
      <w:r>
        <w:t>EXA-02 · La Fig. 4.9 no incluye el fracaso de la VNI ni la acidosis hipercápnica progresiva como indicación de VMI</w:t>
      </w:r>
    </w:p>
    <w:p>
      <w:r>
        <w:rPr>
          <w:i/>
        </w:rPr>
        <w:t xml:space="preserve">Severidad final: </w:t>
      </w:r>
      <w:r>
        <w:rPr>
          <w:i/>
          <w:color w:val="ED7D31"/>
        </w:rPr>
        <w:t>🟠</w:t>
      </w:r>
      <w:r>
        <w:rPr>
          <w:i/>
        </w:rPr>
        <w:t xml:space="preserve"> ALTA · Tema T10: Soporte ventilatorio en la exacerbación (HFNT, VNI, VMI)</w:t>
      </w:r>
    </w:p>
    <w:p>
      <w:pPr>
        <w:pStyle w:val="ListBullet"/>
      </w:pPr>
      <w:r>
        <w:rPr>
          <w:b/>
        </w:rPr>
        <w:t>Tipo:</w:t>
      </w:r>
      <w:r>
        <w:t xml:space="preserve"> Incongruencia interna</w:t>
      </w:r>
    </w:p>
    <w:p>
      <w:pPr>
        <w:pStyle w:val="ListBullet"/>
      </w:pPr>
      <w:r>
        <w:rPr>
          <w:b/>
        </w:rPr>
        <w:t>Severidad:</w:t>
      </w:r>
      <w:r>
        <w:t xml:space="preserve"> ALTA</w:t>
      </w:r>
    </w:p>
    <w:p>
      <w:pPr>
        <w:pStyle w:val="ListBullet"/>
      </w:pPr>
      <w:r>
        <w:rPr>
          <w:b/>
        </w:rPr>
        <w:t>Ubicación:</w:t>
      </w:r>
      <w:r>
        <w:t xml:space="preserve"> PDF 119 / impr. 108 — texto "Invasive mechanical ventilation" y Fig. 4.9.</w:t>
      </w:r>
    </w:p>
    <w:p>
      <w:pPr>
        <w:pStyle w:val="ListBullet"/>
      </w:pPr>
      <w:r>
        <w:rPr>
          <w:b/>
        </w:rPr>
        <w:t>Cita:</w:t>
      </w:r>
      <w:r>
        <w:t xml:space="preserve"> El texto dice: "and include failure of an initial trial of NIV". La figura dice: "Persistent life-threatening hypoxemia despite high flow oxygen (HFNT) or NIV"; "Unable to tolerate HFNT and/or NIV".</w:t>
      </w:r>
    </w:p>
    <w:p>
      <w:pPr>
        <w:pStyle w:val="ListBullet"/>
      </w:pPr>
      <w:r>
        <w:rPr>
          <w:b/>
        </w:rPr>
        <w:t>Problema:</w:t>
      </w:r>
    </w:p>
    <w:p>
      <w:pPr>
        <w:pStyle w:val="ListBullet2"/>
      </w:pPr>
      <w:r>
        <w:t>El texto afirma que el fracaso de la VNI es indicación de VMI, pero la figura, que es lo que se usa a pie de cama, solo contempla la hipoxemia persistente y la intolerancia.</w:t>
      </w:r>
    </w:p>
    <w:p>
      <w:pPr>
        <w:pStyle w:val="ListBullet2"/>
      </w:pPr>
      <w:r>
        <w:t>Falta la indicación más frecuente en la EPOC: empeoramiento o ausencia de mejora del pH/PaCO2 (acidosis respiratoria progresiva) o del trabajo respiratorio pese a la VNI.</w:t>
      </w:r>
    </w:p>
    <w:p>
      <w:pPr>
        <w:pStyle w:val="ListBullet2"/>
      </w:pPr>
      <w:r>
        <w:t>"Unable to tolerate HFNT" por sí sola no es una indicación de intubación: el paso lógico es la VNI.</w:t>
      </w:r>
    </w:p>
    <w:p>
      <w:pPr>
        <w:pStyle w:val="ListBullet2"/>
      </w:pPr>
      <w:r>
        <w:t>La figura puede retrasar la intubación en el fracaso hipercápnico de la VNI, que es precisamente el escenario de mayor mortalidad que describe el propio texto ("morbidity, hospital length of stay and mortality are greater").</w:t>
      </w:r>
    </w:p>
    <w:p>
      <w:pPr>
        <w:pStyle w:val="ListBullet"/>
      </w:pPr>
      <w:r>
        <w:rPr>
          <w:b/>
        </w:rPr>
        <w:t>Evidencia/justificación:</w:t>
      </w:r>
    </w:p>
    <w:p>
      <w:pPr>
        <w:pStyle w:val="ListBullet2"/>
      </w:pPr>
      <w:r>
        <w:t>BTS/ICS 2016 (Davidson, Thorax 2016;71 Suppl 2) y ERS/ATS 2017 (Rochwerg, Eur Respir J 2017;50:1602426) consideran el fracaso de la VNI (pH o PaCO2 sin mejora o en empeoramiento en 1-4 h) como indicación de VMI.</w:t>
      </w:r>
    </w:p>
    <w:p>
      <w:pPr>
        <w:pStyle w:val="ListBullet2"/>
      </w:pPr>
      <w:r>
        <w:t>Las versiones previas de GOLD decían "Unable to tolerate NIV or NIV failure" (recuerdo de ediciones anteriores, confianza 4).</w:t>
      </w:r>
    </w:p>
    <w:p>
      <w:pPr>
        <w:pStyle w:val="ListBullet"/>
      </w:pPr>
      <w:r>
        <w:rPr>
          <w:b/>
        </w:rPr>
        <w:t>Recomendación:</w:t>
      </w:r>
      <w:r>
        <w:t xml:space="preserve"> Redactar la Fig. 4.9 así:</w:t>
      </w:r>
    </w:p>
    <w:p>
      <w:pPr>
        <w:pStyle w:val="ListBullet2"/>
      </w:pPr>
      <w:r>
        <w:t>"Fracaso de la VNI (pH/PaCO2 en empeoramiento o sin mejora a las 1-4 h, agotamiento)".</w:t>
      </w:r>
    </w:p>
    <w:p>
      <w:pPr>
        <w:pStyle w:val="ListBullet2"/>
      </w:pPr>
      <w:r>
        <w:t>"Intolerancia a la VNI".</w:t>
      </w:r>
    </w:p>
    <w:p>
      <w:pPr>
        <w:pStyle w:val="ListBullet2"/>
      </w:pPr>
      <w:r>
        <w:t>"Hipoxemia que amenaza la vida pese a HFNT/VNI".</w:t>
      </w:r>
    </w:p>
    <w:p>
      <w:pPr>
        <w:pStyle w:val="ListBullet2"/>
      </w:pPr>
      <w:r>
        <w:t>Reservar la HFNT como alternativa, no como paso previo obligatorio.</w:t>
      </w:r>
    </w:p>
    <w:p>
      <w:pPr>
        <w:pStyle w:val="ListBullet"/>
      </w:pPr>
      <w:r>
        <w:rPr>
          <w:b/>
        </w:rPr>
        <w:t>Confianza:</w:t>
      </w:r>
      <w:r>
        <w:t xml:space="preserve"> 5/5</w:t>
      </w:r>
    </w:p>
    <w:p>
      <w:pPr>
        <w:pStyle w:val="Heading4"/>
      </w:pPr>
      <w:r>
        <w:t>EXA-06 · Posicionamiento de la HFNT: se le atribuye la evidencia de la VNI y hay contradicciones entre figuras y texto</w:t>
      </w:r>
    </w:p>
    <w:p>
      <w:r>
        <w:rPr>
          <w:i/>
        </w:rPr>
        <w:t xml:space="preserve">Severidad final: </w:t>
      </w:r>
      <w:r>
        <w:rPr>
          <w:i/>
          <w:color w:val="ED7D31"/>
        </w:rPr>
        <w:t>🟠</w:t>
      </w:r>
      <w:r>
        <w:rPr>
          <w:i/>
        </w:rPr>
        <w:t xml:space="preserve"> ALTA · Tema T10: Soporte ventilatorio en la exacerbación (HFNT, VNI, VMI)</w:t>
      </w:r>
    </w:p>
    <w:p>
      <w:pPr>
        <w:pStyle w:val="IntenseQuote"/>
      </w:pPr>
      <w:r>
        <w:rPr>
          <w:b/>
        </w:rPr>
        <w:t>Verificación independiente (CONFIRMADO):</w:t>
      </w:r>
      <w:r>
        <w:t xml:space="preserve"> Precisar que, dentro de la figura, la supervivencia se atribuye a la VNI. La fusión HFNT-supervivencia aparece en el mensaje clave (p103). La figura limita el «primer modo» a la insuficiencia «hypoxemic».</w:t>
      </w:r>
    </w:p>
    <w:p>
      <w:pPr>
        <w:pStyle w:val="ListBullet"/>
      </w:pPr>
      <w:r>
        <w:rPr>
          <w:b/>
        </w:rPr>
        <w:t>Tipo:</w:t>
      </w:r>
      <w:r>
        <w:t xml:space="preserve"> Evidencia mal representada / Incongruencia interna</w:t>
      </w:r>
    </w:p>
    <w:p>
      <w:pPr>
        <w:pStyle w:val="ListBullet"/>
      </w:pPr>
      <w:r>
        <w:rPr>
          <w:b/>
        </w:rPr>
        <w:t>Severidad:</w:t>
      </w:r>
      <w:r>
        <w:t xml:space="preserve"> ALTA</w:t>
      </w:r>
    </w:p>
    <w:p>
      <w:pPr>
        <w:pStyle w:val="ListBullet"/>
      </w:pPr>
      <w:r>
        <w:rPr>
          <w:b/>
        </w:rPr>
        <w:t>Ubicación:</w:t>
      </w:r>
    </w:p>
    <w:p>
      <w:pPr>
        <w:pStyle w:val="ListBullet2"/>
      </w:pPr>
      <w:r>
        <w:t>PDF 103 / impr. 92 (puntos clave).</w:t>
      </w:r>
    </w:p>
    <w:p>
      <w:pPr>
        <w:pStyle w:val="ListBullet2"/>
      </w:pPr>
      <w:r>
        <w:t>PDF 113 / impr. 102 (Fig. 4.6).</w:t>
      </w:r>
    </w:p>
    <w:p>
      <w:pPr>
        <w:pStyle w:val="ListBullet2"/>
      </w:pPr>
      <w:r>
        <w:t>PDF 117-118 / impr. 106-107 (Fig. 4.7 y texto).</w:t>
      </w:r>
    </w:p>
    <w:p>
      <w:pPr>
        <w:pStyle w:val="ListBullet"/>
      </w:pPr>
      <w:r>
        <w:rPr>
          <w:b/>
        </w:rPr>
        <w:t>Cita:</w:t>
      </w:r>
    </w:p>
    <w:p>
      <w:pPr>
        <w:pStyle w:val="ListBullet2"/>
      </w:pPr>
      <w:r>
        <w:t>Fig. 4.6: "High flow oxygen (HFNT) is the first mode of ventilation used in COPD patients with acute hypoxemic respiratory failure… (Evidence A)".</w:t>
      </w:r>
    </w:p>
    <w:p>
      <w:pPr>
        <w:pStyle w:val="ListBullet2"/>
      </w:pPr>
      <w:r>
        <w:t>Puntos clave: "High flow oxygen systems and mechanical NIV… also decrease hospitalization duration and improve survival".</w:t>
      </w:r>
    </w:p>
    <w:p>
      <w:pPr>
        <w:pStyle w:val="ListBullet"/>
      </w:pPr>
      <w:r>
        <w:rPr>
          <w:b/>
        </w:rPr>
        <w:t>Problema:</w:t>
      </w:r>
    </w:p>
    <w:p>
      <w:pPr>
        <w:pStyle w:val="ListBullet2"/>
      </w:pPr>
      <w:r>
        <w:rPr>
          <w:b/>
        </w:rPr>
        <w:t>Supervivencia y nivel A.</w:t>
      </w:r>
      <w:r>
        <w:t xml:space="preserve"> Ningún ensayo de HFNT en la exacerbación ha demostrado reducir la mortalidad. El beneficio en supervivencia y el nivel A proceden de la VNI (Cochrane, Osadnik 2017). Los puntos clave fusionan ambas terapias.</w:t>
      </w:r>
    </w:p>
    <w:p>
      <w:pPr>
        <w:pStyle w:val="ListBullet2"/>
      </w:pPr>
      <w:r>
        <w:rPr>
          <w:b/>
        </w:rPr>
        <w:t>Terminología.</w:t>
      </w:r>
      <w:r>
        <w:t xml:space="preserve"> La HFNT no es un "modo de ventilación".</w:t>
      </w:r>
    </w:p>
    <w:p>
      <w:pPr>
        <w:pStyle w:val="ListBullet2"/>
      </w:pPr>
      <w:r>
        <w:rPr>
          <w:b/>
        </w:rPr>
        <w:t>Modo inicial contradictorio.</w:t>
      </w:r>
      <w:r>
        <w:t xml:space="preserve"> El texto (PDF 118) afirma "NIV is the initial mode of ventilation to treat acute respiratory failure", y la Fig. 4.6 da ese papel a la HFNT (solo en la hipoxémica, matiz que se pierde en los puntos clave).</w:t>
      </w:r>
    </w:p>
    <w:p>
      <w:pPr>
        <w:pStyle w:val="ListBullet2"/>
      </w:pPr>
      <w:r>
        <w:rPr>
          <w:b/>
        </w:rPr>
        <w:t>Prevención de la reintubación.</w:t>
      </w:r>
      <w:r>
        <w:t xml:space="preserve"> La Fig. 4.7 enumera "Preventing reintubation in patients requiring intubation…" como indicación de HFNT. Pero el texto (PDF 118) recoge que la guía ERS recomienda la VNI sobre la HFNT post-extubación en alto riesgo y en hipercapnia (Oczkowski, Eur Respir J 2022;59:2101574, ref. 1084).</w:t>
      </w:r>
    </w:p>
    <w:p>
      <w:pPr>
        <w:pStyle w:val="ListBullet2"/>
      </w:pPr>
      <w:r>
        <w:rPr>
          <w:b/>
        </w:rPr>
        <w:t>Indicaciones crónicas mezcladas.</w:t>
      </w:r>
      <w:r>
        <w:t xml:space="preserve"> La Fig. 4.7 mezcla indicaciones agudas con "Treatment of patients with stable COPD at risk of exacerbations", una indicación crónica sin evidencia de mortalidad y pendiente de ensayos en curso (el propio texto lo reconoce).</w:t>
      </w:r>
    </w:p>
    <w:p>
      <w:pPr>
        <w:pStyle w:val="ListBullet2"/>
      </w:pPr>
      <w:r>
        <w:rPr>
          <w:b/>
        </w:rPr>
        <w:t>"Persistent hypoxemia" sin umbral</w:t>
      </w:r>
      <w:r>
        <w:t xml:space="preserve"> en la Fig. 4.7.</w:t>
      </w:r>
    </w:p>
    <w:p>
      <w:pPr>
        <w:pStyle w:val="ListBullet"/>
      </w:pPr>
      <w:r>
        <w:rPr>
          <w:b/>
        </w:rPr>
        <w:t>Evidencia/justificación:</w:t>
      </w:r>
    </w:p>
    <w:p>
      <w:pPr>
        <w:pStyle w:val="ListBullet2"/>
      </w:pPr>
      <w:r>
        <w:t>Osadnik CR et al., Cochrane 2017;CD004104 (la VNI reduce la mortalidad y la intubación).</w:t>
      </w:r>
    </w:p>
    <w:p>
      <w:pPr>
        <w:pStyle w:val="ListBullet2"/>
      </w:pPr>
      <w:r>
        <w:t>Guía ERS de HFNC 2022 (ref. 1084): recomendación condicional de probar la VNI antes que la HFNT en la insuficiencia hipercápnica, y de VNI frente a HFNT post-extubación en pacientes de alto riesgo.</w:t>
      </w:r>
    </w:p>
    <w:p>
      <w:pPr>
        <w:pStyle w:val="ListBullet"/>
      </w:pPr>
      <w:r>
        <w:rPr>
          <w:b/>
        </w:rPr>
        <w:t>Recomendación:</w:t>
      </w:r>
    </w:p>
    <w:p>
      <w:pPr>
        <w:pStyle w:val="ListBullet2"/>
      </w:pPr>
      <w:r>
        <w:t>Separar las afirmaciones: la VNI reduce la intubación y la mortalidad (A); la HFNT mejora el confort y la tolerancia y puede considerarse en la insuficiencia hipoxémica sin acidosis o cuando la VNI no se tolera (B/C).</w:t>
      </w:r>
    </w:p>
    <w:p>
      <w:pPr>
        <w:pStyle w:val="ListBullet2"/>
      </w:pPr>
      <w:r>
        <w:t>Retirar "Preventing reintubation" y la indicación crónica de la Fig. 4.7, o subordinarlas a "si la VNI está contraindicada o no se tolera".</w:t>
      </w:r>
    </w:p>
    <w:p>
      <w:pPr>
        <w:pStyle w:val="ListBullet"/>
      </w:pPr>
      <w:r>
        <w:rPr>
          <w:b/>
        </w:rPr>
        <w:t>Confianza:</w:t>
      </w:r>
      <w:r>
        <w:t xml:space="preserve"> 5/5</w:t>
      </w:r>
    </w:p>
    <w:p>
      <w:pPr>
        <w:pStyle w:val="Heading4"/>
      </w:pPr>
      <w:r>
        <w:t>MET-16 · Protocolos citados como resultados y un ECA descrito con resultados opuestos (HFNT, SUMMIT)</w:t>
      </w:r>
    </w:p>
    <w:p>
      <w:r>
        <w:rPr>
          <w:i/>
        </w:rPr>
        <w:t xml:space="preserve">Severidad final: </w:t>
      </w:r>
      <w:r>
        <w:rPr>
          <w:i/>
          <w:color w:val="ED7D31"/>
        </w:rPr>
        <w:t>🟠</w:t>
      </w:r>
      <w:r>
        <w:rPr>
          <w:i/>
        </w:rPr>
        <w:t xml:space="preserve"> ALTA · Tema T10: Soporte ventilatorio en la exacerbación (HFNT, VNI, VMI)</w:t>
      </w:r>
    </w:p>
    <w:p>
      <w:pPr>
        <w:pStyle w:val="ListBullet"/>
      </w:pPr>
      <w:r>
        <w:rPr>
          <w:b/>
        </w:rPr>
        <w:t>Tipo:</w:t>
      </w:r>
      <w:r>
        <w:t xml:space="preserve"> Evidencia mal representada</w:t>
      </w:r>
    </w:p>
    <w:p>
      <w:pPr>
        <w:pStyle w:val="ListBullet"/>
      </w:pPr>
      <w:r>
        <w:rPr>
          <w:b/>
        </w:rPr>
        <w:t>Severidad:</w:t>
      </w:r>
      <w:r>
        <w:t xml:space="preserve"> ALTA</w:t>
      </w:r>
    </w:p>
    <w:p>
      <w:pPr>
        <w:pStyle w:val="ListBullet"/>
      </w:pPr>
      <w:r>
        <w:rPr>
          <w:b/>
        </w:rPr>
        <w:t>Ubicación:</w:t>
      </w:r>
      <w:r>
        <w:t xml:space="preserve"> PDF 117 / impr. 106; PDF 92 / impr. 81; refs 1077-1078 (PDF 219 / impr. 208); ref 791 (PDF 207 / impr. 196)</w:t>
      </w:r>
    </w:p>
    <w:p>
      <w:pPr>
        <w:pStyle w:val="ListBullet"/>
      </w:pPr>
      <w:r>
        <w:rPr>
          <w:b/>
        </w:rPr>
        <w:t>Cita:</w:t>
      </w:r>
      <w:r>
        <w:t xml:space="preserve"> «A multicenter RCT of patients hospitalized with exacerbations reported HFNT to be non-inferior to NIV in lowering PaCO2; however, approximately 30% of patients randomized to HFNT switched to NIV at 6 hours post-randomization…(1077)»</w:t>
      </w:r>
    </w:p>
    <w:p>
      <w:pPr>
        <w:pStyle w:val="ListBullet"/>
      </w:pPr>
      <w:r>
        <w:rPr>
          <w:b/>
        </w:rPr>
        <w:t>Problema:</w:t>
      </w:r>
    </w:p>
    <w:p>
      <w:pPr>
        <w:pStyle w:val="ListBullet2"/>
      </w:pPr>
      <w:r>
        <w:rPr>
          <w:b/>
        </w:rPr>
        <w:t>Ref 1077.</w:t>
      </w:r>
    </w:p>
    <w:p>
      <w:pPr>
        <w:pStyle w:val="ListBullet2"/>
      </w:pPr>
      <w:r>
        <w:t>Es el protocolo de Cortegiani et al. (Trials 2019, PMID 31331372). El artículo de resultados (Crit Care 2020, PMID 33317579) no está en la lista.</w:t>
      </w:r>
    </w:p>
    <w:p>
      <w:pPr>
        <w:pStyle w:val="ListBullet2"/>
      </w:pPr>
      <w:r>
        <w:t>Esa misma ref sustenta además la frase previa («Several prospective RCTs… fewer complications and reported it more comfortable»), presentada como si fuera otro conjunto de estudios.</w:t>
      </w:r>
    </w:p>
    <w:p>
      <w:pPr>
        <w:pStyle w:val="ListBullet2"/>
      </w:pPr>
      <w:r>
        <w:rPr>
          <w:b/>
        </w:rPr>
        <w:t>Ref 1078.</w:t>
      </w:r>
    </w:p>
    <w:p>
      <w:pPr>
        <w:pStyle w:val="ListBullet2"/>
      </w:pPr>
      <w:r>
        <w:t>Es Tan et al. (Crit Care 2020, PMID 32762701), un ECA posextubación con fracaso del 22,7 % con HFNC frente al 28,6 % con VNI (no inferior).</w:t>
      </w:r>
    </w:p>
    <w:p>
      <w:pPr>
        <w:pStyle w:val="ListBullet2"/>
      </w:pPr>
      <w:r>
        <w:t>El texto la describe como un ECA de pacientes hospitalizados por exacerbación en el que «the intubation rate was higher in the HFNT group», lo contrario de lo que informa el abstract. El párrafo siguiente la cita correctamente como estudio posextubación.</w:t>
      </w:r>
    </w:p>
    <w:p>
      <w:pPr>
        <w:pStyle w:val="ListBullet2"/>
      </w:pPr>
      <w:r>
        <w:rPr>
          <w:b/>
        </w:rPr>
        <w:t>Ref 791.</w:t>
      </w:r>
      <w:r>
        <w:t xml:space="preserve"> Es el protocolo de SUMMIT (ERJ 2013) y se cita para los resultados de eficacia («failed to provide evidence»). Los resultados ya están en la lista como ref 1181 (Lancet 2016).</w:t>
      </w:r>
    </w:p>
    <w:p>
      <w:pPr>
        <w:pStyle w:val="ListBullet2"/>
      </w:pPr>
      <w:r>
        <w:t>Este párrafo es la base de la recomendación sobre HFNT de la Fig 4.6 (MET-09).</w:t>
      </w:r>
    </w:p>
    <w:p>
      <w:pPr>
        <w:pStyle w:val="ListBullet"/>
      </w:pPr>
      <w:r>
        <w:rPr>
          <w:b/>
        </w:rPr>
        <w:t>Evidencia/justificación:</w:t>
      </w:r>
      <w:r>
        <w:t xml:space="preserve"> Abstracts en PubMed (efetch) de los PMIDs 31331372, 32762701 y 23018908.</w:t>
      </w:r>
    </w:p>
    <w:p>
      <w:pPr>
        <w:pStyle w:val="ListBullet"/>
      </w:pPr>
      <w:r>
        <w:rPr>
          <w:b/>
        </w:rPr>
        <w:t>Recomendación:</w:t>
      </w:r>
      <w:r>
        <w:t xml:space="preserve"> Sustituir los protocolos por las publicaciones de resultados (Cortegiani 2020; ref 1181), reescribir la descripción de la ref 1078 y revisar la base de la recomendación sobre HFNT.</w:t>
      </w:r>
    </w:p>
    <w:p>
      <w:pPr>
        <w:pStyle w:val="ListBullet"/>
      </w:pPr>
      <w:r>
        <w:rPr>
          <w:b/>
        </w:rPr>
        <w:t>Confianza:</w:t>
      </w:r>
      <w:r>
        <w:t xml:space="preserve"> 5</w:t>
      </w:r>
    </w:p>
    <w:p>
      <w:pPr>
        <w:pStyle w:val="Heading4"/>
      </w:pPr>
      <w:r>
        <w:t>EXA-07 · Criterios de indicación antibiótica mal reproducidos (Anthonisen) e incoherentes entre puntos clave, texto y figuras</w:t>
      </w:r>
    </w:p>
    <w:p>
      <w:r>
        <w:rPr>
          <w:i/>
        </w:rPr>
        <w:t xml:space="preserve">Severidad final: </w:t>
      </w:r>
      <w:r>
        <w:rPr>
          <w:i/>
          <w:color w:val="ED7D31"/>
        </w:rPr>
        <w:t>🟠</w:t>
      </w:r>
      <w:r>
        <w:rPr>
          <w:i/>
        </w:rPr>
        <w:t xml:space="preserve"> ALTA · Tema T11: Tratamiento de la exacerbación: antimicrobianos, corticoides, TEP, riesgo CV</w:t>
      </w:r>
    </w:p>
    <w:p>
      <w:pPr>
        <w:pStyle w:val="ListBullet"/>
      </w:pPr>
      <w:r>
        <w:rPr>
          <w:b/>
        </w:rPr>
        <w:t>Tipo:</w:t>
      </w:r>
      <w:r>
        <w:t xml:space="preserve"> Error factual / Incongruencia interna</w:t>
      </w:r>
    </w:p>
    <w:p>
      <w:pPr>
        <w:pStyle w:val="ListBullet"/>
      </w:pPr>
      <w:r>
        <w:rPr>
          <w:b/>
        </w:rPr>
        <w:t>Severidad:</w:t>
      </w:r>
      <w:r>
        <w:t xml:space="preserve"> ALTA</w:t>
      </w:r>
    </w:p>
    <w:p>
      <w:pPr>
        <w:pStyle w:val="ListBullet"/>
      </w:pPr>
      <w:r>
        <w:rPr>
          <w:b/>
        </w:rPr>
        <w:t>Ubicación:</w:t>
      </w:r>
    </w:p>
    <w:p>
      <w:pPr>
        <w:pStyle w:val="ListBullet2"/>
      </w:pPr>
      <w:r>
        <w:t>PDF 115 / impr. 104 (texto).</w:t>
      </w:r>
    </w:p>
    <w:p>
      <w:pPr>
        <w:pStyle w:val="ListBullet2"/>
      </w:pPr>
      <w:r>
        <w:t>PDF 103 (puntos clave).</w:t>
      </w:r>
    </w:p>
    <w:p>
      <w:pPr>
        <w:pStyle w:val="ListBullet2"/>
      </w:pPr>
      <w:r>
        <w:t>PDF 113 / impr. 102 (Fig. 4.5 y 4.6).</w:t>
      </w:r>
    </w:p>
    <w:p>
      <w:pPr>
        <w:pStyle w:val="ListBullet"/>
      </w:pPr>
      <w:r>
        <w:rPr>
          <w:b/>
        </w:rPr>
        <w:t>Cita:</w:t>
      </w:r>
    </w:p>
    <w:p>
      <w:pPr>
        <w:pStyle w:val="ListBullet2"/>
      </w:pPr>
      <w:r>
        <w:t>Texto: "Have these at least two of these symptoms: increase in dyspnea, fever, sputum volume, and sputum purulence".</w:t>
      </w:r>
    </w:p>
    <w:p>
      <w:pPr>
        <w:pStyle w:val="ListBullet2"/>
      </w:pPr>
      <w:r>
        <w:t>Fig. 4.5: "Consider antibiotics (oral) in patients with purulent oral secretions… or requiring mechanical ventilation".</w:t>
      </w:r>
    </w:p>
    <w:p>
      <w:pPr>
        <w:pStyle w:val="ListBullet2"/>
      </w:pPr>
      <w:r>
        <w:t>Puntos clave: "prior history of lung infections, etc."</w:t>
      </w:r>
    </w:p>
    <w:p>
      <w:pPr>
        <w:pStyle w:val="ListBullet"/>
      </w:pPr>
      <w:r>
        <w:rPr>
          <w:b/>
        </w:rPr>
        <w:t>Problema:</w:t>
      </w:r>
    </w:p>
    <w:p>
      <w:pPr>
        <w:pStyle w:val="ListBullet2"/>
      </w:pPr>
      <w:r>
        <w:rPr>
          <w:b/>
        </w:rPr>
        <w:t>Fiebre.</w:t>
      </w:r>
      <w:r>
        <w:t xml:space="preserve"> En Anthonisen (Ann Intern Med 1987;106:196-204) la fiebre es un criterio menor, no uno cardinal. Con la redacción de GOLD, disnea + fiebre (sin purulencia) justificaría el antibiótico, lo que favorece su sobreuso en exacerbaciones víricas.</w:t>
      </w:r>
    </w:p>
    <w:p>
      <w:pPr>
        <w:pStyle w:val="ListBullet2"/>
      </w:pPr>
      <w:r>
        <w:rPr>
          <w:b/>
        </w:rPr>
        <w:t>Criterios distintos en cada lugar:</w:t>
      </w:r>
    </w:p>
    <w:p>
      <w:pPr>
        <w:pStyle w:val="ListBullet2"/>
      </w:pPr>
      <w:r>
        <w:t>El texto exige dos síntomas con purulencia.</w:t>
      </w:r>
    </w:p>
    <w:p>
      <w:pPr>
        <w:pStyle w:val="ListBullet2"/>
      </w:pPr>
      <w:r>
        <w:t>La Fig. 4.6 dice "purulent sputum, prior positive sputum bacteria culture, or requiring mechanical ventilation".</w:t>
      </w:r>
    </w:p>
    <w:p>
      <w:pPr>
        <w:pStyle w:val="ListBullet2"/>
      </w:pPr>
      <w:r>
        <w:t>Los puntos clave añaden un vago "prior history of lung infections, etc.".</w:t>
      </w:r>
    </w:p>
    <w:p>
      <w:pPr>
        <w:pStyle w:val="ListBullet2"/>
      </w:pPr>
      <w:r>
        <w:rPr>
          <w:b/>
        </w:rPr>
        <w:t>Vía oral en ventilados.</w:t>
      </w:r>
      <w:r>
        <w:t xml:space="preserve"> La Fig. 4.5 indica vía "(oral)" incluso en pacientes con ventilación mecánica invasiva, lo que es clínicamente inadecuado.</w:t>
      </w:r>
    </w:p>
    <w:p>
      <w:pPr>
        <w:pStyle w:val="ListBullet2"/>
      </w:pPr>
      <w:r>
        <w:rPr>
          <w:b/>
        </w:rPr>
        <w:t>Cultivo previo positivo.</w:t>
      </w:r>
      <w:r>
        <w:t xml:space="preserve"> No está validado como criterio de inicio.</w:t>
      </w:r>
    </w:p>
    <w:p>
      <w:pPr>
        <w:pStyle w:val="ListBullet"/>
      </w:pPr>
      <w:r>
        <w:rPr>
          <w:b/>
        </w:rPr>
        <w:t>Evidencia/justificación:</w:t>
      </w:r>
    </w:p>
    <w:p>
      <w:pPr>
        <w:pStyle w:val="ListBullet2"/>
      </w:pPr>
      <w:r>
        <w:t>Anthonisen NR et al., 1987: tipo 1 = disnea + volumen + purulencia; tipo 2 = dos de los tres; tipo 3 = uno más un criterio menor (fiebre, IRA alta, sibilancias, tos, aumento del 20 % de la FR o la FC).</w:t>
      </w:r>
    </w:p>
    <w:p>
      <w:pPr>
        <w:pStyle w:val="ListBullet2"/>
      </w:pPr>
      <w:r>
        <w:t>Woodhead M et al., guía ERS/ESCMID 2011 (Clin Microbiol Infect 2011;17 Suppl 6:E1-59), que actualiza la ref. 964 (2005).</w:t>
      </w:r>
    </w:p>
    <w:p>
      <w:pPr>
        <w:pStyle w:val="ListBullet"/>
      </w:pPr>
      <w:r>
        <w:rPr>
          <w:b/>
        </w:rPr>
        <w:t>Recomendación:</w:t>
      </w:r>
    </w:p>
    <w:p>
      <w:pPr>
        <w:pStyle w:val="ListBullet2"/>
      </w:pPr>
      <w:r>
        <w:t>Reproducir correctamente los criterios: purulencia más aumento de disnea y/o de volumen de esputo, o necesidad de ventilación.</w:t>
      </w:r>
    </w:p>
    <w:p>
      <w:pPr>
        <w:pStyle w:val="ListBullet2"/>
      </w:pPr>
      <w:r>
        <w:t>Unificar el texto en puntos clave, texto y figuras.</w:t>
      </w:r>
    </w:p>
    <w:p>
      <w:pPr>
        <w:pStyle w:val="ListBullet2"/>
      </w:pPr>
      <w:r>
        <w:t>En la Fig. 4.5, escribir "oral o IV según la gravedad y la tolerancia oral".</w:t>
      </w:r>
    </w:p>
    <w:p>
      <w:pPr>
        <w:pStyle w:val="ListBullet2"/>
      </w:pPr>
      <w:r>
        <w:t>Actualizar la ref. 964 a la guía de 2011.</w:t>
      </w:r>
    </w:p>
    <w:p>
      <w:pPr>
        <w:pStyle w:val="ListBullet"/>
      </w:pPr>
      <w:r>
        <w:rPr>
          <w:b/>
        </w:rPr>
        <w:t>Confianza:</w:t>
      </w:r>
      <w:r>
        <w:t xml:space="preserve"> 5/5</w:t>
      </w:r>
    </w:p>
    <w:p>
      <w:pPr>
        <w:pStyle w:val="Heading4"/>
      </w:pPr>
      <w:r>
        <w:t xml:space="preserve">EXA-08 · Elección empírica del antibiótico sin estratificar por riesgo de </w:t>
      </w:r>
      <w:r>
        <w:rPr>
          <w:i/>
        </w:rPr>
        <w:t>Pseudomonas</w:t>
      </w:r>
      <w:r>
        <w:t>, sin resistencias y sin advertencias sobre fluoroquinolonas</w:t>
      </w:r>
    </w:p>
    <w:p>
      <w:r>
        <w:rPr>
          <w:i/>
        </w:rPr>
        <w:t xml:space="preserve">Severidad final: </w:t>
      </w:r>
      <w:r>
        <w:rPr>
          <w:i/>
          <w:color w:val="ED7D31"/>
        </w:rPr>
        <w:t>🟠</w:t>
      </w:r>
      <w:r>
        <w:rPr>
          <w:i/>
        </w:rPr>
        <w:t xml:space="preserve"> ALTA · Tema T11: Tratamiento de la exacerbación: antimicrobianos, corticoides, TEP, riesgo CV</w:t>
      </w:r>
    </w:p>
    <w:p>
      <w:pPr>
        <w:pStyle w:val="ListBullet"/>
      </w:pPr>
      <w:r>
        <w:rPr>
          <w:b/>
        </w:rPr>
        <w:t>Tipo:</w:t>
      </w:r>
      <w:r>
        <w:t xml:space="preserve"> Omisión</w:t>
      </w:r>
    </w:p>
    <w:p>
      <w:pPr>
        <w:pStyle w:val="ListBullet"/>
      </w:pPr>
      <w:r>
        <w:rPr>
          <w:b/>
        </w:rPr>
        <w:t>Severidad:</w:t>
      </w:r>
      <w:r>
        <w:t xml:space="preserve"> ALTA</w:t>
      </w:r>
    </w:p>
    <w:p>
      <w:pPr>
        <w:pStyle w:val="ListBullet"/>
      </w:pPr>
      <w:r>
        <w:rPr>
          <w:b/>
        </w:rPr>
        <w:t>Ubicación:</w:t>
      </w:r>
      <w:r>
        <w:t xml:space="preserve"> PDF 115-116 / impr. 104-105 — "Antibiotics".</w:t>
      </w:r>
    </w:p>
    <w:p>
      <w:pPr>
        <w:pStyle w:val="ListBullet"/>
      </w:pPr>
      <w:r>
        <w:rPr>
          <w:b/>
        </w:rPr>
        <w:t>Cita:</w:t>
      </w:r>
      <w:r>
        <w:t xml:space="preserve"> "aminopenicillin with clavulanic acid, a macrolide, a tetracycline or, in selected patients, a quinolone".</w:t>
      </w:r>
    </w:p>
    <w:p>
      <w:pPr>
        <w:pStyle w:val="ListBullet"/>
      </w:pPr>
      <w:r>
        <w:rPr>
          <w:b/>
        </w:rPr>
        <w:t>Problema:</w:t>
      </w:r>
    </w:p>
    <w:p>
      <w:pPr>
        <w:pStyle w:val="ListBullet2"/>
      </w:pPr>
      <w:r>
        <w:rPr>
          <w:b/>
        </w:rPr>
        <w:t>Pseudomonas.</w:t>
      </w:r>
      <w:r>
        <w:t xml:space="preserve"> No se definen los factores de riesgo de </w:t>
      </w:r>
      <w:r>
        <w:rPr>
          <w:i/>
        </w:rPr>
        <w:t>P. aeruginosa</w:t>
      </w:r>
      <w:r>
        <w:t xml:space="preserve"> ni la alternativa antipseudomónica, a pesar de que el capítulo trata pacientes hospitalizados y de UCI. Los factores son:</w:t>
      </w:r>
    </w:p>
    <w:p>
      <w:pPr>
        <w:pStyle w:val="ListBullet2"/>
      </w:pPr>
      <w:r>
        <w:t>aislamiento previo;</w:t>
      </w:r>
    </w:p>
    <w:p>
      <w:pPr>
        <w:pStyle w:val="ListBullet2"/>
      </w:pPr>
      <w:r>
        <w:t>FEV1 &lt;30 %;</w:t>
      </w:r>
    </w:p>
    <w:p>
      <w:pPr>
        <w:pStyle w:val="ListBullet2"/>
      </w:pPr>
      <w:r>
        <w:t>hospitalización reciente;</w:t>
      </w:r>
    </w:p>
    <w:p>
      <w:pPr>
        <w:pStyle w:val="ListBullet2"/>
      </w:pPr>
      <w:r>
        <w:t>≥4 ciclos de antibiótico en el último año;</w:t>
      </w:r>
    </w:p>
    <w:p>
      <w:pPr>
        <w:pStyle w:val="ListBullet2"/>
      </w:pPr>
      <w:r>
        <w:t>corticoides sistémicos.</w:t>
      </w:r>
    </w:p>
    <w:p>
      <w:r>
        <w:t>Las alternativas son ciprofloxacino o levofloxacino a dosis altas y betalactámicos antipseudomónicos (piperacilina-tazobactam, cefepima).</w:t>
      </w:r>
    </w:p>
    <w:p>
      <w:pPr>
        <w:pStyle w:val="ListBullet2"/>
      </w:pPr>
      <w:r>
        <w:rPr>
          <w:b/>
        </w:rPr>
        <w:t>Resistencias y tratamiento crónico:</w:t>
      </w:r>
    </w:p>
    <w:p>
      <w:pPr>
        <w:pStyle w:val="ListBullet2"/>
      </w:pPr>
      <w:r>
        <w:t>No se comenta la resistencia de neumococo a macrólidos (&gt;20-30 % en muchas regiones).</w:t>
      </w:r>
    </w:p>
    <w:p>
      <w:pPr>
        <w:pStyle w:val="ListBullet2"/>
      </w:pPr>
      <w:r>
        <w:t xml:space="preserve">No se comenta la pobre actividad de los macrólidos frente a </w:t>
      </w:r>
      <w:r>
        <w:rPr>
          <w:i/>
        </w:rPr>
        <w:t>H. influenzae</w:t>
      </w:r>
      <w:r>
        <w:t>.</w:t>
      </w:r>
    </w:p>
    <w:p>
      <w:pPr>
        <w:pStyle w:val="ListBullet2"/>
      </w:pPr>
      <w:r>
        <w:t>No se dice qué hacer en pacientes con azitromicina crónica (recomendada en el cap. 3), en los que el macrólido empírico es inapropiado.</w:t>
      </w:r>
    </w:p>
    <w:p>
      <w:pPr>
        <w:pStyle w:val="ListBullet2"/>
      </w:pPr>
      <w:r>
        <w:rPr>
          <w:b/>
        </w:rPr>
        <w:t>"Selected patients" sin definir</w:t>
      </w:r>
      <w:r>
        <w:t xml:space="preserve"> para las quinolonas, y sin advertencias de seguridad:</w:t>
      </w:r>
    </w:p>
    <w:p>
      <w:pPr>
        <w:pStyle w:val="ListBullet2"/>
      </w:pPr>
      <w:r>
        <w:t>FDA 2016-2018: tendinopatía, neuropatía, disglucemia, aneurisma aórtico.</w:t>
      </w:r>
    </w:p>
    <w:p>
      <w:pPr>
        <w:pStyle w:val="ListBullet2"/>
      </w:pPr>
      <w:r>
        <w:t>EMA/PRAC 2018: no usar en exacerbaciones leves o moderadas de EPOC salvo que no haya alternativa.</w:t>
      </w:r>
    </w:p>
    <w:p>
      <w:pPr>
        <w:pStyle w:val="ListBullet2"/>
      </w:pPr>
      <w:r>
        <w:rPr>
          <w:b/>
        </w:rPr>
        <w:t>Recogida de muestras.</w:t>
      </w:r>
      <w:r>
        <w:t xml:space="preserve"> No se recomienda obtener esputo o aspirado traqueal para cultivo antes de iniciar el antibiótico en el paciente hospitalizado o ventilado.</w:t>
      </w:r>
    </w:p>
    <w:p>
      <w:pPr>
        <w:pStyle w:val="ListBullet"/>
      </w:pPr>
      <w:r>
        <w:rPr>
          <w:b/>
        </w:rPr>
        <w:t>Evidencia/justificación:</w:t>
      </w:r>
    </w:p>
    <w:p>
      <w:pPr>
        <w:pStyle w:val="ListBullet2"/>
      </w:pPr>
      <w:r>
        <w:t>Woodhead et al., Clin Microbiol Infect 2011;17 Suppl 6.</w:t>
      </w:r>
    </w:p>
    <w:p>
      <w:pPr>
        <w:pStyle w:val="ListBullet2"/>
      </w:pPr>
      <w:r>
        <w:t>FDA Drug Safety Communications (12-may-2016; 10-jul-2018; 20-dic-2018).</w:t>
      </w:r>
    </w:p>
    <w:p>
      <w:pPr>
        <w:pStyle w:val="ListBullet2"/>
      </w:pPr>
      <w:r>
        <w:t>EMA, "Disabling and potentially permanent side effects lead to suspension or restrictions of quinolone and fluoroquinolone antibiotics" (EMA/795349/2018, nov-2018).</w:t>
      </w:r>
    </w:p>
    <w:p>
      <w:pPr>
        <w:pStyle w:val="ListBullet"/>
      </w:pPr>
      <w:r>
        <w:rPr>
          <w:b/>
        </w:rPr>
        <w:t>Recomendación:</w:t>
      </w:r>
      <w:r>
        <w:t xml:space="preserve"> Añadir una tabla de elección empírica estratificada:</w:t>
      </w:r>
    </w:p>
    <w:p>
      <w:pPr>
        <w:pStyle w:val="ListBullet2"/>
      </w:pPr>
      <w:r>
        <w:t>Ambulatorio sin factores de riesgo.</w:t>
      </w:r>
    </w:p>
    <w:p>
      <w:pPr>
        <w:pStyle w:val="ListBullet2"/>
      </w:pPr>
      <w:r>
        <w:t xml:space="preserve">Hospitalizado sin riesgo de </w:t>
      </w:r>
      <w:r>
        <w:rPr>
          <w:i/>
        </w:rPr>
        <w:t>Pseudomonas</w:t>
      </w:r>
      <w:r>
        <w:t>.</w:t>
      </w:r>
    </w:p>
    <w:p>
      <w:pPr>
        <w:pStyle w:val="ListBullet2"/>
      </w:pPr>
      <w:r>
        <w:t xml:space="preserve">Hospitalizado con riesgo de </w:t>
      </w:r>
      <w:r>
        <w:rPr>
          <w:i/>
        </w:rPr>
        <w:t>Pseudomonas</w:t>
      </w:r>
      <w:r>
        <w:t xml:space="preserve"> o en UCI.</w:t>
      </w:r>
    </w:p>
    <w:p>
      <w:r>
        <w:t>Incluir además la recomendación de cultivo previo en el hospitalizado, la consideración del tratamiento con macrólido crónico y de la epidemiología local, y advertencias sobre fluoroquinolonas.</w:t>
      </w:r>
    </w:p>
    <w:p>
      <w:pPr>
        <w:pStyle w:val="ListBullet"/>
      </w:pPr>
      <w:r>
        <w:rPr>
          <w:b/>
        </w:rPr>
        <w:t>Confianza:</w:t>
      </w:r>
      <w:r>
        <w:t xml:space="preserve"> 4/5</w:t>
      </w:r>
    </w:p>
    <w:p>
      <w:pPr>
        <w:pStyle w:val="Heading4"/>
      </w:pPr>
      <w:r>
        <w:t>EXA-09 · Omisión completa del tratamiento antiviral (gripe, COVID-19)</w:t>
      </w:r>
    </w:p>
    <w:p>
      <w:r>
        <w:rPr>
          <w:i/>
        </w:rPr>
        <w:t xml:space="preserve">Severidad final: </w:t>
      </w:r>
      <w:r>
        <w:rPr>
          <w:i/>
          <w:color w:val="ED7D31"/>
        </w:rPr>
        <w:t>🟠</w:t>
      </w:r>
      <w:r>
        <w:rPr>
          <w:i/>
        </w:rPr>
        <w:t xml:space="preserve"> ALTA · Tema T11: Tratamiento de la exacerbación: antimicrobianos, corticoides, TEP, riesgo CV</w:t>
      </w:r>
    </w:p>
    <w:p>
      <w:pPr>
        <w:pStyle w:val="IntenseQuote"/>
      </w:pPr>
      <w:r>
        <w:rPr>
          <w:b/>
        </w:rPr>
        <w:t>Verificación independiente (CONFIRMADO):</w:t>
      </w:r>
      <w:r>
        <w:t xml:space="preserve"> La guía afirma que la etiología es mayoritariamente viral y recomienda hacer pruebas virales, pero no dice qué hacer si salen positivas. Es una omisión clínicamente relevante e incoherente. Corrección: añadir un apartado breve de tratamiento antiviral, con oseltamivir ante gripe sospechada o confirmada y antivirales frente al SARS-CoV-2 según las guías vigentes, enlazado con la Fig 4.2.</w:t>
      </w:r>
    </w:p>
    <w:p>
      <w:pPr>
        <w:pStyle w:val="ListBullet"/>
      </w:pPr>
      <w:r>
        <w:rPr>
          <w:b/>
        </w:rPr>
        <w:t>Tipo:</w:t>
      </w:r>
      <w:r>
        <w:t xml:space="preserve"> Omisión</w:t>
      </w:r>
    </w:p>
    <w:p>
      <w:pPr>
        <w:pStyle w:val="ListBullet"/>
      </w:pPr>
      <w:r>
        <w:rPr>
          <w:b/>
        </w:rPr>
        <w:t>Severidad:</w:t>
      </w:r>
      <w:r>
        <w:t xml:space="preserve"> ALTA</w:t>
      </w:r>
    </w:p>
    <w:p>
      <w:pPr>
        <w:pStyle w:val="ListBullet"/>
      </w:pPr>
      <w:r>
        <w:rPr>
          <w:b/>
        </w:rPr>
        <w:t>Ubicación:</w:t>
      </w:r>
      <w:r>
        <w:t xml:space="preserve"> PDF 107 (Fig. 4.2: "viral testing") y PDF 110 / impr. 99. Búsqueda en todo </w:t>
      </w:r>
      <w:r>
        <w:rPr>
          <w:rFonts w:ascii="Consolas" w:hAnsi="Consolas"/>
        </w:rPr>
        <w:t>gold_full.txt</w:t>
      </w:r>
      <w:r>
        <w:t>.</w:t>
      </w:r>
    </w:p>
    <w:p>
      <w:pPr>
        <w:pStyle w:val="ListBullet"/>
      </w:pPr>
      <w:r>
        <w:rPr>
          <w:b/>
        </w:rPr>
        <w:t>Cita:</w:t>
      </w:r>
      <w:r>
        <w:t xml:space="preserve"> "Exacerbations are mainly triggered by respiratory viral infections" (PDF 110). La Fig. 4.2 termina en "Determine etiology: viral testing, sputum culture, other".</w:t>
      </w:r>
    </w:p>
    <w:p>
      <w:pPr>
        <w:pStyle w:val="ListBullet"/>
      </w:pPr>
      <w:r>
        <w:rPr>
          <w:b/>
        </w:rPr>
        <w:t>Problema:</w:t>
      </w:r>
    </w:p>
    <w:p>
      <w:pPr>
        <w:pStyle w:val="ListBullet2"/>
      </w:pPr>
      <w:r>
        <w:t>La guía recomienda hacer pruebas virales, pero en ningún lugar del documento aparecen "oseltamivir", "antiviral", "nirmatrelvir" ni "remdesivir".</w:t>
      </w:r>
    </w:p>
    <w:p>
      <w:pPr>
        <w:pStyle w:val="ListBullet2"/>
      </w:pPr>
      <w:r>
        <w:t>No se dice qué hacer con un resultado positivo para gripe o SARS-CoV-2 en un paciente con EPOC, grupo de alto riesgo en el que el antiviral precoz está indicado.</w:t>
      </w:r>
    </w:p>
    <w:p>
      <w:pPr>
        <w:pStyle w:val="ListBullet2"/>
      </w:pPr>
      <w:r>
        <w:t>Para un infectólogo, recomendar una prueba diagnóstica sin consecuencia terapéutica es una incoherencia.</w:t>
      </w:r>
    </w:p>
    <w:p>
      <w:pPr>
        <w:pStyle w:val="ListBullet"/>
      </w:pPr>
      <w:r>
        <w:rPr>
          <w:b/>
        </w:rPr>
        <w:t>Evidencia/justificación:</w:t>
      </w:r>
    </w:p>
    <w:p>
      <w:pPr>
        <w:pStyle w:val="ListBullet2"/>
      </w:pPr>
      <w:r>
        <w:t>IDSA 2018 (Uyeki TM et al., Clin Infect Dis 2019;68:e1-e47): oseltamivir en todo paciente hospitalizado con gripe, independientemente del tiempo de evolución, y en ambulatorios de alto riesgo (incluye EPOC).</w:t>
      </w:r>
    </w:p>
    <w:p>
      <w:pPr>
        <w:pStyle w:val="ListBullet2"/>
      </w:pPr>
      <w:r>
        <w:t>Guías NIH/IDSA de COVID-19: nirmatrelvir/ritonavir o remdesivir en pacientes de alto riesgo.</w:t>
      </w:r>
    </w:p>
    <w:p>
      <w:pPr>
        <w:pStyle w:val="ListBullet"/>
      </w:pPr>
      <w:r>
        <w:rPr>
          <w:b/>
        </w:rPr>
        <w:t>Recomendación:</w:t>
      </w:r>
      <w:r>
        <w:t xml:space="preserve"> Añadir un apartado "Tratamiento antiviral" (oseltamivir ante sospecha o confirmación de gripe en hospitalizados y ambulatorios de riesgo; antivirales frente a SARS-CoV-2 según las guías vigentes) y enlazarlo con la Fig. 4.2 y con las Fig. 4.5 y 4.6.</w:t>
      </w:r>
    </w:p>
    <w:p>
      <w:pPr>
        <w:pStyle w:val="ListBullet"/>
      </w:pPr>
      <w:r>
        <w:rPr>
          <w:b/>
        </w:rPr>
        <w:t>Confianza:</w:t>
      </w:r>
      <w:r>
        <w:t xml:space="preserve"> 5/5</w:t>
      </w:r>
    </w:p>
    <w:p>
      <w:pPr>
        <w:pStyle w:val="Heading4"/>
      </w:pPr>
      <w:r>
        <w:t>MET-09 · Fig 4.6: un único nivel A para afirmaciones compuestas, discordancia con el texto y criterio antibiótico sin base en ECA</w:t>
      </w:r>
    </w:p>
    <w:p>
      <w:r>
        <w:rPr>
          <w:i/>
        </w:rPr>
        <w:t xml:space="preserve">Severidad final: </w:t>
      </w:r>
      <w:r>
        <w:rPr>
          <w:i/>
          <w:color w:val="ED7D31"/>
        </w:rPr>
        <w:t>🟠</w:t>
      </w:r>
      <w:r>
        <w:rPr>
          <w:i/>
        </w:rPr>
        <w:t xml:space="preserve"> ALTA · Tema T11: Tratamiento de la exacerbación: antimicrobianos, corticoides, TEP, riesgo CV</w:t>
      </w:r>
    </w:p>
    <w:p>
      <w:pPr>
        <w:pStyle w:val="IntenseQuote"/>
      </w:pPr>
      <w:r>
        <w:rPr>
          <w:b/>
        </w:rPr>
        <w:t>Verificación independiente (CONFIRMADO):</w:t>
      </w:r>
      <w:r>
        <w:t xml:space="preserve"> Que no haya ECA que respalden el criterio del cultivo previo es [externo, no verificable con figuras].</w:t>
      </w:r>
    </w:p>
    <w:p>
      <w:pPr>
        <w:pStyle w:val="ListBullet"/>
      </w:pPr>
      <w:r>
        <w:rPr>
          <w:b/>
        </w:rPr>
        <w:t>Tipo:</w:t>
      </w:r>
      <w:r>
        <w:t xml:space="preserve"> Incongruencia interna</w:t>
      </w:r>
    </w:p>
    <w:p>
      <w:pPr>
        <w:pStyle w:val="ListBullet"/>
      </w:pPr>
      <w:r>
        <w:rPr>
          <w:b/>
        </w:rPr>
        <w:t>Severidad:</w:t>
      </w:r>
      <w:r>
        <w:t xml:space="preserve"> ALTA</w:t>
      </w:r>
    </w:p>
    <w:p>
      <w:pPr>
        <w:pStyle w:val="ListBullet"/>
      </w:pPr>
      <w:r>
        <w:rPr>
          <w:b/>
        </w:rPr>
        <w:t>Ubicación:</w:t>
      </w:r>
      <w:r>
        <w:t xml:space="preserve"> Fig 4.6 y Fig 4.5 (PDF 113 / impr. 102); texto (PDF 118 / impr. 107)</w:t>
      </w:r>
    </w:p>
    <w:p>
      <w:pPr>
        <w:pStyle w:val="ListBullet"/>
      </w:pPr>
      <w:r>
        <w:rPr>
          <w:b/>
        </w:rPr>
        <w:t>Cita:</w:t>
      </w:r>
      <w:r>
        <w:t xml:space="preserve"> «High flow oxygen (HFNT) is the first mode of ventilation used in COPD patients with acute hypoxemic respiratory failure.» (Fig 4.6) frente a «NIV is the initial mode of ventilation to treat acute respiratory failure in patients hospitalized for acute exacerbations of COPD.» (texto)</w:t>
      </w:r>
    </w:p>
    <w:p>
      <w:pPr>
        <w:pStyle w:val="ListBullet"/>
      </w:pPr>
      <w:r>
        <w:rPr>
          <w:b/>
        </w:rPr>
        <w:t>Problema:</w:t>
      </w:r>
    </w:p>
    <w:p>
      <w:pPr>
        <w:pStyle w:val="ListNumber"/>
        <w:numPr>
          <w:ilvl w:val="0"/>
          <w:numId w:val="22"/>
        </w:numPr>
      </w:pPr>
      <w:r>
        <w:rPr>
          <w:b/>
        </w:rPr>
        <w:t>Una sola A para cinco afirmaciones.</w:t>
      </w:r>
      <w:r>
        <w:t xml:space="preserve"> Un único «(Evidence A)» cubre:</w:t>
      </w:r>
    </w:p>
    <w:p>
      <w:pPr>
        <w:pStyle w:val="ListBullet2"/>
      </w:pPr>
      <w:r>
        <w:t>HFNT como primer modo en la insuficiencia hipoxémica;</w:t>
      </w:r>
    </w:p>
    <w:p>
      <w:pPr>
        <w:pStyle w:val="ListBullet2"/>
      </w:pPr>
      <w:r>
        <w:t>VNI en la hipercápnica;</w:t>
      </w:r>
    </w:p>
    <w:p>
      <w:pPr>
        <w:pStyle w:val="ListBullet2"/>
      </w:pPr>
      <w:r>
        <w:t>y los efectos de la VNI sobre gases, intubación, estancia y supervivencia.</w:t>
      </w:r>
    </w:p>
    <w:p>
      <w:r>
        <w:t>La A procede de los ECA de VNI en acidosis hipercápnica. Para HFNT como «first mode» en la insuficiencia hipoxémica de la EPOC solo hay ensayos pequeños, y algunos de los citados están mal referenciados (MET-16).</w:t>
      </w:r>
    </w:p>
    <w:p>
      <w:r>
        <w:t>Además, HFNT no es un «modo de ventilación».</w:t>
      </w:r>
    </w:p>
    <w:p>
      <w:pPr>
        <w:pStyle w:val="ListNumber"/>
        <w:numPr>
          <w:ilvl w:val="0"/>
          <w:numId w:val="22"/>
        </w:numPr>
      </w:pPr>
      <w:r>
        <w:rPr>
          <w:b/>
        </w:rPr>
        <w:t>Mensajes discordantes.</w:t>
      </w:r>
      <w:r>
        <w:t xml:space="preserve"> El texto (PDF 118) dice que la VNI es el modo inicial en la insuficiencia respiratoria aguda, sin distinguir entre hipoxémica e hipercápnica.</w:t>
      </w:r>
    </w:p>
    <w:p>
      <w:pPr>
        <w:pStyle w:val="ListNumber"/>
        <w:numPr>
          <w:ilvl w:val="0"/>
          <w:numId w:val="22"/>
        </w:numPr>
      </w:pPr>
      <w:r>
        <w:rPr>
          <w:b/>
        </w:rPr>
        <w:t>Criterio antibiótico sin base en ECA.</w:t>
      </w:r>
      <w:r>
        <w:t xml:space="preserve"> «prior positive sputum bacteria culture» figura como indicación de antibiótico con nivel A, aunque los ECA se basan en la purulencia o los criterios de Anthonisen y en la ventilación mecánica.</w:t>
      </w:r>
    </w:p>
    <w:p>
      <w:pPr>
        <w:pStyle w:val="ListNumber"/>
        <w:numPr>
          <w:ilvl w:val="0"/>
          <w:numId w:val="22"/>
        </w:numPr>
      </w:pPr>
      <w:r>
        <w:rPr>
          <w:b/>
        </w:rPr>
        <w:t>Terminología inconsistente.</w:t>
      </w:r>
      <w:r>
        <w:t xml:space="preserve"> La Fig 4.5 dice «purulent oral secretions» y la Fig 4.6 dice «purulent sputum».</w:t>
      </w:r>
    </w:p>
    <w:p>
      <w:pPr>
        <w:pStyle w:val="ListBullet"/>
      </w:pPr>
      <w:r>
        <w:rPr>
          <w:b/>
        </w:rPr>
        <w:t>Evidencia/justificación:</w:t>
      </w:r>
      <w:r>
        <w:t xml:space="preserve"> Tabla A; RIGHT, ítem 13c (certeza por recomendación); AGREE II, ítem 15.</w:t>
      </w:r>
    </w:p>
    <w:p>
      <w:pPr>
        <w:pStyle w:val="ListBullet"/>
      </w:pPr>
      <w:r>
        <w:rPr>
          <w:b/>
        </w:rPr>
        <w:t>Recomendación:</w:t>
      </w:r>
    </w:p>
    <w:p>
      <w:pPr>
        <w:pStyle w:val="ListBullet2"/>
      </w:pPr>
      <w:r>
        <w:t>Desagregar la viñeta en recomendaciones independientes, cada una con su nivel y sus referencias.</w:t>
      </w:r>
    </w:p>
    <w:p>
      <w:pPr>
        <w:pStyle w:val="ListBullet2"/>
      </w:pPr>
      <w:r>
        <w:t>Armonizar el texto con la figura.</w:t>
      </w:r>
    </w:p>
    <w:p>
      <w:pPr>
        <w:pStyle w:val="ListBullet2"/>
      </w:pPr>
      <w:r>
        <w:t>Retirar o rebajar a D el criterio de cultivo previo.</w:t>
      </w:r>
    </w:p>
    <w:p>
      <w:pPr>
        <w:pStyle w:val="ListBullet"/>
      </w:pPr>
      <w:r>
        <w:rPr>
          <w:b/>
        </w:rPr>
        <w:t>Confianza:</w:t>
      </w:r>
      <w:r>
        <w:t xml:space="preserve"> 4</w:t>
      </w:r>
    </w:p>
    <w:p>
      <w:pPr>
        <w:pStyle w:val="Heading4"/>
      </w:pPr>
      <w:r>
        <w:t>REH-04 · Criterios de prescripción de LTOT incoherentes entre texto, Figura 3.18 y mensajes clave</w:t>
      </w:r>
    </w:p>
    <w:p>
      <w:r>
        <w:rPr>
          <w:i/>
        </w:rPr>
        <w:t xml:space="preserve">Severidad final: </w:t>
      </w:r>
      <w:r>
        <w:rPr>
          <w:i/>
          <w:color w:val="ED7D31"/>
        </w:rPr>
        <w:t>🟠</w:t>
      </w:r>
      <w:r>
        <w:rPr>
          <w:i/>
        </w:rPr>
        <w:t xml:space="preserve"> ALTA · Tema T12: Oxigenoterapia crónica domiciliaria (LTOT)</w:t>
      </w:r>
    </w:p>
    <w:p>
      <w:pPr>
        <w:pStyle w:val="ListBullet"/>
      </w:pPr>
      <w:r>
        <w:rPr>
          <w:b/>
        </w:rPr>
        <w:t>Tipo:</w:t>
      </w:r>
      <w:r>
        <w:t xml:space="preserve"> Incongruencia interna / Error factual</w:t>
      </w:r>
    </w:p>
    <w:p>
      <w:pPr>
        <w:pStyle w:val="ListBullet"/>
      </w:pPr>
      <w:r>
        <w:rPr>
          <w:b/>
        </w:rPr>
        <w:t>Severidad:</w:t>
      </w:r>
      <w:r>
        <w:t xml:space="preserve"> ALTA</w:t>
      </w:r>
    </w:p>
    <w:p>
      <w:pPr>
        <w:pStyle w:val="ListBullet"/>
      </w:pPr>
      <w:r>
        <w:rPr>
          <w:b/>
        </w:rPr>
        <w:t>Ubicación:</w:t>
      </w:r>
      <w:r>
        <w:t xml:space="preserve"> PDF 87 / impr. 76 — texto «Oxygen therapy»; PDF 89 / impr. 78 — Figura 3.18; PDF 61 / impr. 50 — mensajes clave del cap. 3; PDF 88 / impr. 77 — Figura 3.17.</w:t>
      </w:r>
    </w:p>
    <w:p>
      <w:pPr>
        <w:pStyle w:val="ListBullet"/>
      </w:pPr>
      <w:r>
        <w:rPr>
          <w:b/>
        </w:rPr>
        <w:t>Cita:</w:t>
      </w:r>
      <w:r>
        <w:t xml:space="preserve"> Texto: «PaO2 at or below 55 mmHg (7.3 kPa) or SaO2 at or below 88%» y, en el segundo criterio, «PaO2 between 55 mmHg… and 60 mmHg…, or SaO2 of 88%». Figura 3.18: «PaO2 ≤ 55 mmHg (≤ 7.3 kPa) or SaO2 &lt; 88%».</w:t>
      </w:r>
    </w:p>
    <w:p>
      <w:pPr>
        <w:pStyle w:val="ListBullet"/>
      </w:pPr>
      <w:r>
        <w:rPr>
          <w:b/>
        </w:rPr>
        <w:t>Problema:</w:t>
      </w:r>
    </w:p>
    <w:p>
      <w:pPr>
        <w:pStyle w:val="ListNumber"/>
        <w:numPr>
          <w:ilvl w:val="0"/>
          <w:numId w:val="23"/>
        </w:numPr>
      </w:pPr>
      <w:r>
        <w:rPr>
          <w:b/>
        </w:rPr>
        <w:t>Umbral principal discordante:</w:t>
      </w:r>
      <w:r>
        <w:t xml:space="preserve"> ≤ 88 % en el texto frente a &lt; 88 % en la figura. Un paciente con SaO2 = 88 % cumple el criterio en el texto pero no en la figura.</w:t>
      </w:r>
    </w:p>
    <w:p>
      <w:pPr>
        <w:pStyle w:val="ListNumber"/>
        <w:numPr>
          <w:ilvl w:val="0"/>
          <w:numId w:val="23"/>
        </w:numPr>
      </w:pPr>
      <w:r>
        <w:rPr>
          <w:b/>
        </w:rPr>
        <w:t>Segundo criterio erróneo:</w:t>
      </w:r>
      <w:r>
        <w:t xml:space="preserve"> usa «SaO2 de 88 %», que se solapa con el primero. Debería ser 89 % (equivalente a PaO2 56-59 mmHg en NOTT/CMS), y la Figura 3.18 omite cualquier criterio de SaO2 para este grupo.</w:t>
      </w:r>
    </w:p>
    <w:p>
      <w:pPr>
        <w:pStyle w:val="ListNumber"/>
        <w:numPr>
          <w:ilvl w:val="0"/>
          <w:numId w:val="23"/>
        </w:numPr>
      </w:pPr>
      <w:r>
        <w:rPr>
          <w:b/>
        </w:rPr>
        <w:t>Comorbilidades con distinta redacción:</w:t>
      </w:r>
      <w:r>
        <w:t xml:space="preserve"> texto «peripheral edema suggesting congestive cardiac failure/polycythemia»; figura «congestive heart failure/erythrocytosis».</w:t>
      </w:r>
    </w:p>
    <w:p>
      <w:pPr>
        <w:pStyle w:val="ListNumber"/>
        <w:numPr>
          <w:ilvl w:val="0"/>
          <w:numId w:val="23"/>
        </w:numPr>
      </w:pPr>
      <w:r>
        <w:rPr>
          <w:b/>
        </w:rPr>
        <w:t>Frase ambigua:</w:t>
      </w:r>
      <w:r>
        <w:t xml:space="preserve"> «with or without hypercapnia confirmed twice over a three-week period» no aclara qué se confirma. No se define la estabilidad clínica (p. ej., ≥ 8 semanas tras una exacerbación) aunque el cap. 4 (PDF 121) advierte que la reevaluación tardía es más precisa.</w:t>
      </w:r>
    </w:p>
    <w:p>
      <w:pPr>
        <w:pStyle w:val="ListNumber"/>
        <w:numPr>
          <w:ilvl w:val="0"/>
          <w:numId w:val="23"/>
        </w:numPr>
      </w:pPr>
      <w:r>
        <w:rPr>
          <w:b/>
        </w:rPr>
        <w:t>Mensaje clave más débil y sin SaO2:</w:t>
      </w:r>
      <w:r>
        <w:t xml:space="preserve"> «it may improve survival in patients with severe resting chronic hypoxemia» frente a «increases survival… (Evidence A)» en la Figura 3.17.</w:t>
      </w:r>
    </w:p>
    <w:p>
      <w:pPr>
        <w:pStyle w:val="ListBullet"/>
      </w:pPr>
      <w:r>
        <w:rPr>
          <w:b/>
        </w:rPr>
        <w:t>Evidencia/justificación:</w:t>
      </w:r>
    </w:p>
    <w:p>
      <w:pPr>
        <w:pStyle w:val="ListBullet2"/>
      </w:pPr>
      <w:r>
        <w:t xml:space="preserve">CMS National Coverage Determination 240.2, grupo II: PaO2 56-59 mmHg o SaO2 89 % con edema por insuficiencia cardiaca, </w:t>
      </w:r>
      <w:r>
        <w:rPr>
          <w:i/>
        </w:rPr>
        <w:t>P pulmonale</w:t>
      </w:r>
      <w:r>
        <w:t xml:space="preserve"> o hematocrito &gt; 56 %.</w:t>
      </w:r>
    </w:p>
    <w:p>
      <w:pPr>
        <w:pStyle w:val="ListBullet2"/>
      </w:pPr>
      <w:r>
        <w:t>Hardinge M et al., guía BTS de oxigenoterapia domiciliaria, Thorax 2015;70(Suppl 1):i1-i43 (doi:10.1136/thoraxjnl-2015-206865): evaluar en situación estable, ≥ 8 semanas tras una exacerbación, con dos gasometrías separadas ≥ 3 semanas.</w:t>
      </w:r>
    </w:p>
    <w:p>
      <w:pPr>
        <w:pStyle w:val="ListBullet"/>
      </w:pPr>
      <w:r>
        <w:rPr>
          <w:b/>
        </w:rPr>
        <w:t>Recomendación:</w:t>
      </w:r>
      <w:r>
        <w:t xml:space="preserve"> Armonizar como «PaO2 ≤ 55 mmHg o SaO2 ≤ 88 %» y «PaO2 56-59 mmHg o SaO2 89 % con HTP, edema periférico por insuficiencia cardiaca o hematocrito &gt; 55 %». Reproducir exactamente estos criterios en la Figura 3.18 y en los mensajes clave. Precisar «hipoxemia confirmada en dos determinaciones separadas ≥ 3 semanas, en fase estable (≥ 8 semanas tras exacerbación)». Alinear el verbo con la Evidencia A («increases survival»).</w:t>
      </w:r>
    </w:p>
    <w:p>
      <w:pPr>
        <w:pStyle w:val="ListBullet"/>
      </w:pPr>
      <w:r>
        <w:rPr>
          <w:b/>
        </w:rPr>
        <w:t>Confianza:</w:t>
      </w:r>
      <w:r>
        <w:t xml:space="preserve"> 5/5</w:t>
      </w:r>
    </w:p>
    <w:p>
      <w:pPr>
        <w:pStyle w:val="Heading4"/>
      </w:pPr>
      <w:r>
        <w:t>REH-05 · LTOT basada en «SaO2» sin exigir gasometría ni advertir del sesgo de la oximetría según el tono de piel</w:t>
      </w:r>
    </w:p>
    <w:p>
      <w:r>
        <w:rPr>
          <w:i/>
        </w:rPr>
        <w:t xml:space="preserve">Severidad final: </w:t>
      </w:r>
      <w:r>
        <w:rPr>
          <w:i/>
          <w:color w:val="ED7D31"/>
        </w:rPr>
        <w:t>🟠</w:t>
      </w:r>
      <w:r>
        <w:rPr>
          <w:i/>
        </w:rPr>
        <w:t xml:space="preserve"> ALTA · Tema T12: Oxigenoterapia crónica domiciliaria (LTOT)</w:t>
      </w:r>
    </w:p>
    <w:p>
      <w:pPr>
        <w:pStyle w:val="ListBullet"/>
      </w:pPr>
      <w:r>
        <w:rPr>
          <w:b/>
        </w:rPr>
        <w:t>Tipo:</w:t>
      </w:r>
      <w:r>
        <w:t xml:space="preserve"> Sesgo/Equidad / Incongruencia interna</w:t>
      </w:r>
    </w:p>
    <w:p>
      <w:pPr>
        <w:pStyle w:val="ListBullet"/>
      </w:pPr>
      <w:r>
        <w:rPr>
          <w:b/>
        </w:rPr>
        <w:t>Severidad:</w:t>
      </w:r>
      <w:r>
        <w:t xml:space="preserve"> ALTA</w:t>
      </w:r>
    </w:p>
    <w:p>
      <w:pPr>
        <w:pStyle w:val="ListBullet"/>
      </w:pPr>
      <w:r>
        <w:rPr>
          <w:b/>
        </w:rPr>
        <w:t>Ubicación:</w:t>
      </w:r>
      <w:r>
        <w:t xml:space="preserve"> PDF 87 / impr. 76 y Figura 3.18 (PDF 89 / impr. 78), frente a cap. 2, PDF 56 / impr. 45, y cap. 4, PDF 110 / impr. 99.</w:t>
      </w:r>
    </w:p>
    <w:p>
      <w:pPr>
        <w:pStyle w:val="ListBullet"/>
      </w:pPr>
      <w:r>
        <w:rPr>
          <w:b/>
        </w:rPr>
        <w:t>Cita:</w:t>
      </w:r>
      <w:r>
        <w:t xml:space="preserve"> Cap. 2: «If peripheral oxygen saturation is ≤ 92%, arterial blood gases should be measured due to the imperfect correlation… (516)». Cap. 4: «less accurate in individuals with darker skin tone.(958)»</w:t>
      </w:r>
    </w:p>
    <w:p>
      <w:pPr>
        <w:pStyle w:val="ListBullet"/>
      </w:pPr>
      <w:r>
        <w:rPr>
          <w:b/>
        </w:rPr>
        <w:t>Problema:</w:t>
      </w:r>
      <w:r>
        <w:t xml:space="preserve"> El cap. 3 y la Figura 3.18 permiten prescribir y titular LTOT con «SaO2» y no aclaran si se trata de saturación arterial medida por cooximetría o de SpO2 por pulsioximetría. No se exige gasometría para confirmar la indicación, aunque el cap. 2 la exige si SpO2 ≤ 92 %, y no se menciona la hipoxemia oculta en pieles oscuras, que el cap. 4 sí reconoce. La consecuencia previsible es la infraprescripción de una terapia que prolonga la vida en pacientes de piel oscura, ya que la SpO2 sobrestima la SaO2.</w:t>
      </w:r>
    </w:p>
    <w:p>
      <w:pPr>
        <w:pStyle w:val="ListBullet"/>
      </w:pPr>
      <w:r>
        <w:rPr>
          <w:b/>
        </w:rPr>
        <w:t>Evidencia/justificación:</w:t>
      </w:r>
    </w:p>
    <w:p>
      <w:pPr>
        <w:pStyle w:val="ListBullet2"/>
      </w:pPr>
      <w:r>
        <w:t>Lacasse Y et al., ERJ Open Res 2021;7:00518-2021 (ref. 516 del propio GOLD; PMID 34671670): la oximetría no es adecuada para prescribir LTOT.</w:t>
      </w:r>
    </w:p>
    <w:p>
      <w:pPr>
        <w:pStyle w:val="ListBullet2"/>
      </w:pPr>
      <w:r>
        <w:t>Sjoding MW et al., N Engl J Med 2020;383:2477-2478 (doi:10.1056/NEJMc2029240): hipoxemia oculta casi tres veces más frecuente en pacientes negros.</w:t>
      </w:r>
    </w:p>
    <w:p>
      <w:pPr>
        <w:pStyle w:val="ListBullet2"/>
      </w:pPr>
      <w:r>
        <w:t>La FDA publicó en enero de 2025 un borrador de guía que endurece los requisitos de exactitud de los pulsioxímetros según la pigmentación cutánea.</w:t>
      </w:r>
    </w:p>
    <w:p>
      <w:pPr>
        <w:pStyle w:val="ListBullet2"/>
      </w:pPr>
      <w:r>
        <w:t>Hardinge 2015 (BTS): la LTOT debe basarse en gasometría.</w:t>
      </w:r>
    </w:p>
    <w:p>
      <w:pPr>
        <w:pStyle w:val="ListBullet"/>
      </w:pPr>
      <w:r>
        <w:rPr>
          <w:b/>
        </w:rPr>
        <w:t>Recomendación:</w:t>
      </w:r>
      <w:r>
        <w:t xml:space="preserve"> Indicar expresamente: «la indicación de LTOT debe confirmarse con gasometría arterial (o capilar arterializada); la pulsioximetría solo sirve de cribado (derivar si SpO2 ≤ 92 %)». Añadir una advertencia sobre la menor exactitud de la SpO2 en pieles oscuras y usar «SpO2» o «SaO2» de forma rigurosa en el texto y en las Figuras 3.17 y 3.18.</w:t>
      </w:r>
    </w:p>
    <w:p>
      <w:pPr>
        <w:pStyle w:val="ListBullet"/>
      </w:pPr>
      <w:r>
        <w:rPr>
          <w:b/>
        </w:rPr>
        <w:t>Confianza:</w:t>
      </w:r>
      <w:r>
        <w:t xml:space="preserve"> 4/5</w:t>
      </w:r>
    </w:p>
    <w:p>
      <w:pPr>
        <w:pStyle w:val="Heading4"/>
      </w:pPr>
      <w:r>
        <w:t>REH-12 · VMNI: errores de citación que invierten el sentido de la evidencia</w:t>
      </w:r>
    </w:p>
    <w:p>
      <w:r>
        <w:rPr>
          <w:i/>
        </w:rPr>
        <w:t xml:space="preserve">Severidad final: </w:t>
      </w:r>
      <w:r>
        <w:rPr>
          <w:i/>
          <w:color w:val="ED7D31"/>
        </w:rPr>
        <w:t>🟠</w:t>
      </w:r>
      <w:r>
        <w:rPr>
          <w:i/>
        </w:rPr>
        <w:t xml:space="preserve"> ALTA · Tema T13: Ventilación no invasiva domiciliaria</w:t>
      </w:r>
    </w:p>
    <w:p>
      <w:pPr>
        <w:pStyle w:val="ListBullet"/>
      </w:pPr>
      <w:r>
        <w:rPr>
          <w:b/>
        </w:rPr>
        <w:t>Tipo:</w:t>
      </w:r>
      <w:r>
        <w:t xml:space="preserve"> Error factual / Evidencia mal representada</w:t>
      </w:r>
    </w:p>
    <w:p>
      <w:pPr>
        <w:pStyle w:val="ListBullet"/>
      </w:pPr>
      <w:r>
        <w:rPr>
          <w:b/>
        </w:rPr>
        <w:t>Severidad:</w:t>
      </w:r>
      <w:r>
        <w:t xml:space="preserve"> ALTA</w:t>
      </w:r>
    </w:p>
    <w:p>
      <w:pPr>
        <w:pStyle w:val="ListBullet"/>
      </w:pPr>
      <w:r>
        <w:rPr>
          <w:b/>
        </w:rPr>
        <w:t>Ubicación:</w:t>
      </w:r>
      <w:r>
        <w:t xml:space="preserve"> PDF 89-90 / impr. 78-79 — «Ventilatory support»; PDF 92 / impr. 81 — «Non-invasive positive pressure ventilation».</w:t>
      </w:r>
    </w:p>
    <w:p>
      <w:pPr>
        <w:pStyle w:val="ListBullet"/>
      </w:pPr>
      <w:r>
        <w:rPr>
          <w:b/>
        </w:rPr>
        <w:t>Cita:</w:t>
      </w:r>
      <w:r>
        <w:t xml:space="preserve"> PDF 89-90: «two of three RCTs(763,767-770) reported reductions in re-hospitalization and improved survival… while another showed no benefit of NPPV for survival.(768)». PDF 92: «larger trials… applying higher IPAP levels demonstrated a reduction of mortality.(768,787)»</w:t>
      </w:r>
    </w:p>
    <w:p>
      <w:pPr>
        <w:pStyle w:val="ListBullet"/>
      </w:pPr>
      <w:r>
        <w:rPr>
          <w:b/>
        </w:rPr>
        <w:t>Problema:</w:t>
      </w:r>
    </w:p>
    <w:p>
      <w:pPr>
        <w:pStyle w:val="ListNumber"/>
        <w:numPr>
          <w:ilvl w:val="0"/>
          <w:numId w:val="24"/>
        </w:numPr>
      </w:pPr>
      <w:r>
        <w:t xml:space="preserve">La ref. 768 (Köhnlein 2014) es el ensayo </w:t>
      </w:r>
      <w:r>
        <w:rPr>
          <w:b/>
        </w:rPr>
        <w:t>positivo</w:t>
      </w:r>
      <w:r>
        <w:t xml:space="preserve"> para mortalidad (12 % frente a 33 %; HR 0,24), como recoge la propia Figura 3.19. En PDF 90 se cita como «sin beneficio en supervivencia», y en PDF 92 se cita en sentido contrario.</w:t>
      </w:r>
    </w:p>
    <w:p>
      <w:pPr>
        <w:pStyle w:val="ListNumber"/>
        <w:numPr>
          <w:ilvl w:val="0"/>
          <w:numId w:val="24"/>
        </w:numPr>
      </w:pPr>
      <w:r>
        <w:t xml:space="preserve">La ref. 787 (McEvoy 2009) usó presiones </w:t>
      </w:r>
      <w:r>
        <w:rPr>
          <w:b/>
        </w:rPr>
        <w:t>bajas</w:t>
      </w:r>
      <w:r>
        <w:t xml:space="preserve"> (IPAP media ~13 cmH2O), con beneficio de supervivencia solo en el análisis ajustado y peor calidad de vida; no es un ensayo de «IPAP alta».</w:t>
      </w:r>
    </w:p>
    <w:p>
      <w:pPr>
        <w:pStyle w:val="ListNumber"/>
        <w:numPr>
          <w:ilvl w:val="0"/>
          <w:numId w:val="24"/>
        </w:numPr>
      </w:pPr>
      <w:r>
        <w:t>Se mencionan «dos de tres ECA» pero se citan cinco (763, 767, 768, 769, 770), de los cuales solo HOT-HMV (763) y Struik 2014 (769) son posteriores a una hospitalización.</w:t>
      </w:r>
    </w:p>
    <w:p>
      <w:pPr>
        <w:pStyle w:val="ListNumber"/>
        <w:numPr>
          <w:ilvl w:val="0"/>
          <w:numId w:val="24"/>
        </w:numPr>
      </w:pPr>
      <w:r>
        <w:t>HOT-HMV no redujo la mortalidad de forma aislada (28 % frente a 32 % a 12 meses); el beneficio del objetivo combinado se debió a los reingresos.</w:t>
      </w:r>
    </w:p>
    <w:p>
      <w:pPr>
        <w:pStyle w:val="ListBullet"/>
      </w:pPr>
      <w:r>
        <w:rPr>
          <w:b/>
        </w:rPr>
        <w:t>Evidencia/justificación:</w:t>
      </w:r>
    </w:p>
    <w:p>
      <w:pPr>
        <w:pStyle w:val="ListBullet2"/>
      </w:pPr>
      <w:r>
        <w:t>Köhnlein T et al., Lancet Respir Med 2014;2:698-705 (doi:10.1016/S2213-2600(14)70153-5).</w:t>
      </w:r>
    </w:p>
    <w:p>
      <w:pPr>
        <w:pStyle w:val="ListBullet2"/>
      </w:pPr>
      <w:r>
        <w:t>McEvoy RD et al., Thorax 2009;64:561-566 (doi:10.1136/thx.2008.108274).</w:t>
      </w:r>
    </w:p>
    <w:p>
      <w:pPr>
        <w:pStyle w:val="ListBullet2"/>
      </w:pPr>
      <w:r>
        <w:t>Murphy PB et al., HOT-HMV, JAMA 2017;317:2177-2186 (PMID 28528348).</w:t>
      </w:r>
    </w:p>
    <w:p>
      <w:pPr>
        <w:pStyle w:val="ListBullet2"/>
      </w:pPr>
      <w:r>
        <w:t>Struik FM et al., Thorax 2014;69:826-834.</w:t>
      </w:r>
    </w:p>
    <w:p>
      <w:pPr>
        <w:pStyle w:val="ListBullet"/>
      </w:pPr>
      <w:r>
        <w:rPr>
          <w:b/>
        </w:rPr>
        <w:t>Recomendación:</w:t>
      </w:r>
      <w:r>
        <w:t xml:space="preserve"> Reescribir el párrafo identificando cada ensayo, su población (estable frente a posthospitalización), la intensidad de la ventilación y su resultado. Retirar 768 de «no benefit» y 787 de «higher IPAP». Precisar que HOT-HMV mejoró la supervivencia libre de reingreso, no la mortalidad.</w:t>
      </w:r>
    </w:p>
    <w:p>
      <w:pPr>
        <w:pStyle w:val="ListBullet"/>
      </w:pPr>
      <w:r>
        <w:rPr>
          <w:b/>
        </w:rPr>
        <w:t>Confianza:</w:t>
      </w:r>
      <w:r>
        <w:t xml:space="preserve"> 5/5</w:t>
      </w:r>
    </w:p>
    <w:p>
      <w:pPr>
        <w:pStyle w:val="Heading4"/>
      </w:pPr>
      <w:r>
        <w:t>REH-13 · VMNI domiciliaria: mensajes contradictorios y sin criterios operativos de prescripción</w:t>
      </w:r>
    </w:p>
    <w:p>
      <w:r>
        <w:rPr>
          <w:i/>
        </w:rPr>
        <w:t xml:space="preserve">Severidad final: </w:t>
      </w:r>
      <w:r>
        <w:rPr>
          <w:i/>
          <w:color w:val="ED7D31"/>
        </w:rPr>
        <w:t>🟠</w:t>
      </w:r>
      <w:r>
        <w:rPr>
          <w:i/>
        </w:rPr>
        <w:t xml:space="preserve"> ALTA · Tema T13: Ventilación no invasiva domiciliaria</w:t>
      </w:r>
    </w:p>
    <w:p>
      <w:pPr>
        <w:pStyle w:val="ListBullet"/>
      </w:pPr>
      <w:r>
        <w:rPr>
          <w:b/>
        </w:rPr>
        <w:t>Tipo:</w:t>
      </w:r>
      <w:r>
        <w:t xml:space="preserve"> Incongruencia interna / Desactualización / Omisión</w:t>
      </w:r>
    </w:p>
    <w:p>
      <w:pPr>
        <w:pStyle w:val="ListBullet"/>
      </w:pPr>
      <w:r>
        <w:rPr>
          <w:b/>
        </w:rPr>
        <w:t>Severidad:</w:t>
      </w:r>
      <w:r>
        <w:t xml:space="preserve"> ALTA</w:t>
      </w:r>
    </w:p>
    <w:p>
      <w:pPr>
        <w:pStyle w:val="ListBullet"/>
      </w:pPr>
      <w:r>
        <w:rPr>
          <w:b/>
        </w:rPr>
        <w:t>Ubicación:</w:t>
      </w:r>
      <w:r>
        <w:t xml:space="preserve"> PDF 61 / impr. 50 (mensajes clave); PDF 88 / impr. 77 (Figura 3.17); PDF 89 / impr. 78 (texto); PDF 91-92 / impr. 80-81 (Figura 3.19 y texto).</w:t>
      </w:r>
    </w:p>
    <w:p>
      <w:pPr>
        <w:pStyle w:val="ListBullet"/>
      </w:pPr>
      <w:r>
        <w:rPr>
          <w:b/>
        </w:rPr>
        <w:t>Cita:</w:t>
      </w:r>
      <w:r>
        <w:t xml:space="preserve"> PDF 89: «a systematic review was unable to support or refute this.(760)»; «remains undetermined»; «A systematic review and meta-analysis… confirms that NIV decreases mortality». Figura 3.19: «Stable COPD with marked hypercapnia».</w:t>
      </w:r>
    </w:p>
    <w:p>
      <w:pPr>
        <w:pStyle w:val="ListBullet"/>
      </w:pPr>
      <w:r>
        <w:rPr>
          <w:b/>
        </w:rPr>
        <w:t>Problema:</w:t>
      </w:r>
    </w:p>
    <w:p>
      <w:pPr>
        <w:pStyle w:val="ListBullet2"/>
      </w:pPr>
      <w:r>
        <w:rPr>
          <w:b/>
        </w:rPr>
        <w:t>Mensajes sucesivos incompatibles:</w:t>
      </w:r>
      <w:r>
        <w:t xml:space="preserve"> «puede ser de alguna utilidad» (mensajes clave), «indeterminado», «no se puede apoyar ni refutar» (Cochrane 2013, desactualizada) y «confirma que reduce la mortalidad». El metaanálisis de Wilson 2020 calificó la certeza de la evidencia sobre mortalidad como baja.</w:t>
      </w:r>
    </w:p>
    <w:p>
      <w:pPr>
        <w:pStyle w:val="ListBullet2"/>
      </w:pPr>
      <w:r>
        <w:rPr>
          <w:b/>
        </w:rPr>
        <w:t>Poblaciones distintas entre figuras:</w:t>
      </w:r>
      <w:r>
        <w:t xml:space="preserve"> la Figura 3.17 restringe la VMNI a pacientes con hospitalización reciente y PaCO2 &gt; 53 mmHg, en dos viñetas redundantes con Evidencia B. La Figura 3.19 la incluye como reductora de mortalidad en EPOC </w:t>
      </w:r>
      <w:r>
        <w:rPr>
          <w:b/>
        </w:rPr>
        <w:t>estable</w:t>
      </w:r>
      <w:r>
        <w:t xml:space="preserve"> con hipercapnia marcada (Köhnlein: PaCO2 ≥ 51,9 mmHg, pH &gt; 7,35).</w:t>
      </w:r>
    </w:p>
    <w:p>
      <w:pPr>
        <w:pStyle w:val="ListBullet2"/>
      </w:pPr>
      <w:r>
        <w:rPr>
          <w:b/>
        </w:rPr>
        <w:t>Faltan los criterios operativos que el clínico necesita:</w:t>
      </w:r>
    </w:p>
    <w:p>
      <w:pPr>
        <w:pStyle w:val="ListBullet2"/>
      </w:pPr>
      <w:r>
        <w:t>umbral de PaCO2 y momento de evaluación (2-4 semanas tras el alta; no iniciarla con hipercapnia transitoria durante el ingreso);</w:t>
      </w:r>
    </w:p>
    <w:p>
      <w:pPr>
        <w:pStyle w:val="ListBullet2"/>
      </w:pPr>
      <w:r>
        <w:t>VMNI de alta intensidad con objetivo de reducción o normalización de la PaCO2;</w:t>
      </w:r>
    </w:p>
    <w:p>
      <w:pPr>
        <w:pStyle w:val="ListBullet2"/>
      </w:pPr>
      <w:r>
        <w:t>cribado de SAOS antes de iniciarla;</w:t>
      </w:r>
    </w:p>
    <w:p>
      <w:pPr>
        <w:pStyle w:val="ListBullet2"/>
      </w:pPr>
      <w:r>
        <w:t>adherencia mínima (&gt; 4-5 h/noche) y seguimiento.</w:t>
      </w:r>
    </w:p>
    <w:p>
      <w:pPr>
        <w:pStyle w:val="ListBullet2"/>
      </w:pPr>
      <w:r>
        <w:t>No se citan las guías específicas.</w:t>
      </w:r>
    </w:p>
    <w:p>
      <w:pPr>
        <w:pStyle w:val="ListBullet"/>
      </w:pPr>
      <w:r>
        <w:rPr>
          <w:b/>
        </w:rPr>
        <w:t>Evidencia/justificación:</w:t>
      </w:r>
    </w:p>
    <w:p>
      <w:pPr>
        <w:pStyle w:val="ListBullet2"/>
      </w:pPr>
      <w:r>
        <w:t>Ergan B et al., guía ERS de VMNI domiciliaria a largo plazo en EPOC, Eur Respir J 2019;54:1901003 (doi:10.1183/13993003.01003-2019).</w:t>
      </w:r>
    </w:p>
    <w:p>
      <w:pPr>
        <w:pStyle w:val="ListBullet2"/>
      </w:pPr>
      <w:r>
        <w:t>Macrea M et al., guía ATS 2020, Am J Respir Crit Care Med 2020;202:e74-e87 (doi:10.1164/rccm.202006-2382ST): VMNI nocturna en EPOC estable hipercápnica, cribado de SAOS previo, no iniciarla durante el ingreso (reevaluar a las 2-4 semanas) y titulación dirigida a normalizar la PaCO2.</w:t>
      </w:r>
    </w:p>
    <w:p>
      <w:pPr>
        <w:pStyle w:val="ListBullet2"/>
      </w:pPr>
      <w:r>
        <w:t>Wilson ME et al., JAMA 2020;323:455-465 (ref. 764).</w:t>
      </w:r>
    </w:p>
    <w:p>
      <w:pPr>
        <w:pStyle w:val="ListBullet"/>
      </w:pPr>
      <w:r>
        <w:rPr>
          <w:b/>
        </w:rPr>
        <w:t>Recomendación:</w:t>
      </w:r>
    </w:p>
    <w:p>
      <w:pPr>
        <w:pStyle w:val="ListBullet2"/>
      </w:pPr>
      <w:r>
        <w:t>Unificar en un único mensaje: «la VMNI domiciliaria de alta intensidad está indicada en EPOC estable con hipercapnia diurna persistente (PaCO2 ≥ 52-53 mmHg, pH &gt; 7,35), sobre todo tras un ingreso por fallo hipercápnico, con reevaluación de la PaCO2 a las 2-4 semanas del alta; reduce reingresos y posiblemente la mortalidad (certeza baja-moderada)».</w:t>
      </w:r>
    </w:p>
    <w:p>
      <w:pPr>
        <w:pStyle w:val="ListBullet2"/>
      </w:pPr>
      <w:r>
        <w:t>Fusionar las viñetas de la Figura 3.17, incluir la población estable y citar ERS 2019 y ATS 2020.</w:t>
      </w:r>
    </w:p>
    <w:p>
      <w:pPr>
        <w:pStyle w:val="ListBullet2"/>
      </w:pPr>
      <w:r>
        <w:t>Retirar la referencia a Cochrane 2013 como argumento principal.</w:t>
      </w:r>
    </w:p>
    <w:p>
      <w:pPr>
        <w:pStyle w:val="ListBullet"/>
      </w:pPr>
      <w:r>
        <w:rPr>
          <w:b/>
        </w:rPr>
        <w:t>Confianza:</w:t>
      </w:r>
      <w:r>
        <w:t xml:space="preserve"> 4/5</w:t>
      </w:r>
    </w:p>
    <w:p>
      <w:pPr>
        <w:pStyle w:val="Heading4"/>
      </w:pPr>
      <w:r>
        <w:t>INT-02 · Opioides para la disnea: «pueden aliviar» (Evidence C) sin reflejar los ECA negativos, la guía ERS 2024 ni la seguridad</w:t>
      </w:r>
    </w:p>
    <w:p>
      <w:r>
        <w:rPr>
          <w:i/>
        </w:rPr>
        <w:t xml:space="preserve">Severidad final: </w:t>
      </w:r>
      <w:r>
        <w:rPr>
          <w:i/>
          <w:color w:val="ED7D31"/>
        </w:rPr>
        <w:t>🟠</w:t>
      </w:r>
      <w:r>
        <w:rPr>
          <w:i/>
        </w:rPr>
        <w:t xml:space="preserve"> ALTA · Tema T14: Cuidados paliativos y disnea refractaria</w:t>
      </w:r>
    </w:p>
    <w:p>
      <w:pPr>
        <w:pStyle w:val="IntenseQuote"/>
      </w:pPr>
      <w:r>
        <w:rPr>
          <w:b/>
        </w:rPr>
        <w:t>Verificación independiente (CONFIRMADO):</w:t>
      </w:r>
      <w:r>
        <w:t xml:space="preserve"> Currow 2020, la guía ERS 2024 y las señales de mortalidad con &gt; 30 mg MME son [externo, no verificable con figuras].</w:t>
      </w:r>
    </w:p>
    <w:p>
      <w:pPr>
        <w:pStyle w:val="ListBullet"/>
      </w:pPr>
      <w:r>
        <w:rPr>
          <w:b/>
        </w:rPr>
        <w:t>Tipo:</w:t>
      </w:r>
      <w:r>
        <w:t xml:space="preserve"> Evidencia mal representada / Omisión</w:t>
      </w:r>
    </w:p>
    <w:p>
      <w:pPr>
        <w:pStyle w:val="ListBullet"/>
      </w:pPr>
      <w:r>
        <w:rPr>
          <w:b/>
        </w:rPr>
        <w:t>Severidad:</w:t>
      </w:r>
      <w:r>
        <w:t xml:space="preserve"> ALTA</w:t>
      </w:r>
    </w:p>
    <w:p>
      <w:pPr>
        <w:pStyle w:val="ListBullet"/>
      </w:pPr>
      <w:r>
        <w:rPr>
          <w:b/>
        </w:rPr>
        <w:t>Ubicación:</w:t>
      </w:r>
      <w:r>
        <w:t xml:space="preserve"> PDF 93 / impr. 82 — Fig. 3.20 y texto «Palliative treatment of dyspnea»; PDF 94 / impr. 83</w:t>
      </w:r>
    </w:p>
    <w:p>
      <w:pPr>
        <w:pStyle w:val="ListBullet"/>
      </w:pPr>
      <w:r>
        <w:rPr>
          <w:b/>
        </w:rPr>
        <w:t>Cita:</w:t>
      </w:r>
      <w:r>
        <w:t xml:space="preserve"> "Opiates, neuromuscular electrical stimulation (NMES), oxygen and fans blowing air onto the face can relieve breathlessness (Evidence C)"</w:t>
      </w:r>
    </w:p>
    <w:p>
      <w:pPr>
        <w:pStyle w:val="ListBullet"/>
      </w:pPr>
      <w:r>
        <w:rPr>
          <w:b/>
        </w:rPr>
        <w:t>Problema:</w:t>
      </w:r>
    </w:p>
    <w:p>
      <w:pPr>
        <w:pStyle w:val="ListBullet2"/>
      </w:pPr>
      <w:r>
        <w:t>La afirmación es genérica y positiva: no indica dosis, vía, duración, fenotipo, monitorización ni efectos adversos.</w:t>
      </w:r>
    </w:p>
    <w:p>
      <w:pPr>
        <w:pStyle w:val="ListBullet2"/>
      </w:pPr>
      <w:r>
        <w:t>El texto solo menciona BEAMS (ref. 805) como resultado negativo. Omite el ECA de Currow 2020 (morfina de liberación sostenida 20 mg/día, multicéntrico, primario negativo).</w:t>
      </w:r>
    </w:p>
    <w:p>
      <w:pPr>
        <w:pStyle w:val="ListBullet2"/>
      </w:pPr>
      <w:r>
        <w:t xml:space="preserve">Omite que la guía ERS 2024 sugiere </w:t>
      </w:r>
      <w:r>
        <w:rPr>
          <w:b/>
        </w:rPr>
        <w:t>no</w:t>
      </w:r>
      <w:r>
        <w:t xml:space="preserve"> usar opioides para la disnea crónica en enfermedad respiratoria grave.</w:t>
      </w:r>
    </w:p>
    <w:p>
      <w:pPr>
        <w:pStyle w:val="ListBullet2"/>
      </w:pPr>
      <w:r>
        <w:t>No advierte de las señales de seguridad: la mortalidad con dosis &gt; 30 mg MME/día en EPOC con LTOT y los eventos respiratorios en mayores que inician opioides.</w:t>
      </w:r>
    </w:p>
    <w:p>
      <w:pPr>
        <w:pStyle w:val="ListBullet2"/>
      </w:pPr>
      <w:r>
        <w:t>El nivel «C» no es coherente con la Tabla A (PDF 14), que reserva la C para estudios no aleatorizados u observacionales. Aquí hay varios ECA con resultados inconsistentes, lo que según la Tabla A es «B».</w:t>
      </w:r>
    </w:p>
    <w:p>
      <w:pPr>
        <w:pStyle w:val="ListBullet"/>
      </w:pPr>
      <w:r>
        <w:rPr>
          <w:b/>
        </w:rPr>
        <w:t>Evidencia/justificación:</w:t>
      </w:r>
    </w:p>
    <w:p>
      <w:pPr>
        <w:pStyle w:val="ListBullet2"/>
      </w:pPr>
      <w:r>
        <w:rPr>
          <w:b/>
        </w:rPr>
        <w:t>Ensayos negativos:</w:t>
      </w:r>
    </w:p>
    <w:p>
      <w:pPr>
        <w:pStyle w:val="ListBullet2"/>
      </w:pPr>
      <w:r>
        <w:t xml:space="preserve">Currow DC et al., </w:t>
      </w:r>
      <w:r>
        <w:rPr>
          <w:i/>
        </w:rPr>
        <w:t>Thorax</w:t>
      </w:r>
      <w:r>
        <w:t xml:space="preserve"> 2020;75:50-56: morfina SR 20 mg/d vs placebo, sin diferencia en la peor disnea y con más estreñimiento y náuseas.</w:t>
      </w:r>
    </w:p>
    <w:p>
      <w:pPr>
        <w:pStyle w:val="ListBullet2"/>
      </w:pPr>
      <w:r>
        <w:t xml:space="preserve">Ekström M et al., </w:t>
      </w:r>
      <w:r>
        <w:rPr>
          <w:b/>
        </w:rPr>
        <w:t>BEAMS</w:t>
      </w:r>
      <w:r>
        <w:t xml:space="preserve">, </w:t>
      </w:r>
      <w:r>
        <w:rPr>
          <w:i/>
        </w:rPr>
        <w:t>JAMA</w:t>
      </w:r>
      <w:r>
        <w:t xml:space="preserve"> 2022;328:2022-32: 8/16 mg/d de liberación prolongada, sin efecto en la disnea, la actividad ni la calidad de vida.</w:t>
      </w:r>
    </w:p>
    <w:p>
      <w:pPr>
        <w:pStyle w:val="ListBullet2"/>
      </w:pPr>
      <w:r>
        <w:rPr>
          <w:b/>
        </w:rPr>
        <w:t>ECA con resultado positivo en calidad de vida:</w:t>
      </w:r>
      <w:r>
        <w:t xml:space="preserve"> Verberkt CA et al., </w:t>
      </w:r>
      <w:r>
        <w:rPr>
          <w:b/>
        </w:rPr>
        <w:t>MORDYC</w:t>
      </w:r>
      <w:r>
        <w:t xml:space="preserve">, </w:t>
      </w:r>
      <w:r>
        <w:rPr>
          <w:i/>
        </w:rPr>
        <w:t>JAMA Intern Med</w:t>
      </w:r>
      <w:r>
        <w:t xml:space="preserve"> 2020;180:1306-14. Mejora el CAT (desenlace primario); no hubo una mejora consistente de la disnea en la población global.</w:t>
      </w:r>
    </w:p>
    <w:p>
      <w:pPr>
        <w:pStyle w:val="ListBullet2"/>
      </w:pPr>
      <w:r>
        <w:rPr>
          <w:b/>
        </w:rPr>
        <w:t>Guía:</w:t>
      </w:r>
      <w:r>
        <w:t xml:space="preserve"> Holland AE et al., ERS Clinical Practice Guideline on symptom management, </w:t>
      </w:r>
      <w:r>
        <w:rPr>
          <w:i/>
        </w:rPr>
        <w:t>Eur Respir J</w:t>
      </w:r>
      <w:r>
        <w:t xml:space="preserve"> 2024;63:2400335. Recomendación condicional en contra de los opioides, certeza muy baja.</w:t>
      </w:r>
    </w:p>
    <w:p>
      <w:pPr>
        <w:pStyle w:val="ListBullet2"/>
      </w:pPr>
      <w:r>
        <w:rPr>
          <w:b/>
        </w:rPr>
        <w:t>Seguridad:</w:t>
      </w:r>
    </w:p>
    <w:p>
      <w:pPr>
        <w:pStyle w:val="ListBullet2"/>
      </w:pPr>
      <w:r>
        <w:t xml:space="preserve">Ekström MP et al., </w:t>
      </w:r>
      <w:r>
        <w:rPr>
          <w:i/>
        </w:rPr>
        <w:t>BMJ</w:t>
      </w:r>
      <w:r>
        <w:t xml:space="preserve"> 2014;348:g445: opioides a dosis bajas sin exceso de mortalidad, dosis altas asociadas a mayor mortalidad; benzodiacepinas asociadas a mayor mortalidad.</w:t>
      </w:r>
    </w:p>
    <w:p>
      <w:pPr>
        <w:pStyle w:val="ListBullet2"/>
      </w:pPr>
      <w:r>
        <w:t xml:space="preserve">Vozoris NT et al., </w:t>
      </w:r>
      <w:r>
        <w:rPr>
          <w:i/>
        </w:rPr>
        <w:t>Eur Respir J</w:t>
      </w:r>
      <w:r>
        <w:t xml:space="preserve"> 2016;48:683-93: inicio de opioides asociado a eventos respiratorios y mortalidad en EPOC de edad avanzada.</w:t>
      </w:r>
    </w:p>
    <w:p>
      <w:pPr>
        <w:pStyle w:val="ListBullet2"/>
      </w:pPr>
      <w:r>
        <w:rPr>
          <w:b/>
        </w:rPr>
        <w:t>Sobre el término «MORDIP» del encargo:</w:t>
      </w:r>
      <w:r>
        <w:t xml:space="preserve"> no he podido identificar un ensayo con ese nombre. Interpreto que se refiere a MORDYC; si existe otro ensayo, queda como «Punto debatible».</w:t>
      </w:r>
    </w:p>
    <w:p>
      <w:pPr>
        <w:pStyle w:val="ListBullet"/>
      </w:pPr>
      <w:r>
        <w:rPr>
          <w:b/>
        </w:rPr>
        <w:t>Recomendación:</w:t>
      </w:r>
    </w:p>
    <w:p>
      <w:pPr>
        <w:pStyle w:val="ListBullet2"/>
      </w:pPr>
      <w:r>
        <w:t xml:space="preserve">Reformular así: «En disnea crónica refractoria pese a tratamiento optimizado, puede considerarse un </w:t>
      </w:r>
      <w:r>
        <w:rPr>
          <w:b/>
        </w:rPr>
        <w:t>ensayo terapéutico individualizado</w:t>
      </w:r>
      <w:r>
        <w:t xml:space="preserve"> de morfina oral a dosis baja (p. ej., ≤ 10 mg/12 h de liberación prolongada, máx. ≤ 30 mg MME/d), con objetivos predefinidos, reevaluación en 1-2 semanas, laxante profiláctico, vigilancia de somnolencia/hipercapnia y retirada si no hay beneficio».</w:t>
      </w:r>
    </w:p>
    <w:p>
      <w:pPr>
        <w:pStyle w:val="ListBullet2"/>
      </w:pPr>
      <w:r>
        <w:t>Citar Currow 2020, BEAMS, MORDYC y ERS 2024, y reclasificar a «Evidence B (resultados inconsistentes)».</w:t>
      </w:r>
    </w:p>
    <w:p>
      <w:pPr>
        <w:pStyle w:val="ListBullet2"/>
      </w:pPr>
      <w:r>
        <w:t>Separar en la figura opioides, NMES, ventilador facial y oxígeno, cada uno con su propio nivel. El ventilador de mano tiene ECA pequeños y recomendación condicional ERS a favor (certeza muy baja).</w:t>
      </w:r>
    </w:p>
    <w:p>
      <w:pPr>
        <w:pStyle w:val="ListBullet"/>
      </w:pPr>
      <w:r>
        <w:rPr>
          <w:b/>
        </w:rPr>
        <w:t>Confianza:</w:t>
      </w:r>
      <w:r>
        <w:t xml:space="preserve"> 4/5</w:t>
      </w:r>
    </w:p>
    <w:p>
      <w:pPr>
        <w:pStyle w:val="Heading4"/>
      </w:pPr>
      <w:r>
        <w:t>INT-03 · Oxígeno paliativo en pacientes no hipoxémicos: remisión errónea a la Fig. 3.17 y contradicción con la PDF 87 y con la propia PDF 93</w:t>
      </w:r>
    </w:p>
    <w:p>
      <w:r>
        <w:rPr>
          <w:i/>
        </w:rPr>
        <w:t xml:space="preserve">Severidad final: </w:t>
      </w:r>
      <w:r>
        <w:rPr>
          <w:i/>
          <w:color w:val="ED7D31"/>
        </w:rPr>
        <w:t>🟠</w:t>
      </w:r>
      <w:r>
        <w:rPr>
          <w:i/>
        </w:rPr>
        <w:t xml:space="preserve"> ALTA · Tema T14: Cuidados paliativos y disnea refractaria</w:t>
      </w:r>
    </w:p>
    <w:p>
      <w:pPr>
        <w:pStyle w:val="ListBullet"/>
      </w:pPr>
      <w:r>
        <w:rPr>
          <w:b/>
        </w:rPr>
        <w:t>Tipo:</w:t>
      </w:r>
      <w:r>
        <w:t xml:space="preserve"> Incongruencia interna / Evidencia mal representada</w:t>
      </w:r>
    </w:p>
    <w:p>
      <w:pPr>
        <w:pStyle w:val="ListBullet"/>
      </w:pPr>
      <w:r>
        <w:rPr>
          <w:b/>
        </w:rPr>
        <w:t>Severidad:</w:t>
      </w:r>
      <w:r>
        <w:t xml:space="preserve"> ALTA</w:t>
      </w:r>
    </w:p>
    <w:p>
      <w:pPr>
        <w:pStyle w:val="ListBullet"/>
      </w:pPr>
      <w:r>
        <w:rPr>
          <w:b/>
        </w:rPr>
        <w:t>Ubicación:</w:t>
      </w:r>
      <w:r>
        <w:t xml:space="preserve"> PDF 94 / impr. 83 (texto); PDF 93 / impr. 82 (Fig. 3.20 y texto); PDF 87-88 / impr. 76-77 (texto de oxigenoterapia y Fig. 3.17)</w:t>
      </w:r>
    </w:p>
    <w:p>
      <w:pPr>
        <w:pStyle w:val="ListBullet"/>
      </w:pPr>
      <w:r>
        <w:rPr>
          <w:b/>
        </w:rPr>
        <w:t>Cita:</w:t>
      </w:r>
      <w:r>
        <w:t xml:space="preserve"> "Oxygen may offer some benefit even if the patient is not hypoxemic (SpO2 &gt; 92%) (Figure 3.17).(809)"</w:t>
      </w:r>
    </w:p>
    <w:p>
      <w:pPr>
        <w:pStyle w:val="ListBullet"/>
      </w:pPr>
      <w:r>
        <w:rPr>
          <w:b/>
        </w:rPr>
        <w:t>Problema:</w:t>
      </w:r>
    </w:p>
    <w:p>
      <w:pPr>
        <w:pStyle w:val="ListBullet2"/>
      </w:pPr>
      <w:r>
        <w:rPr>
          <w:b/>
        </w:rPr>
        <w:t>La Fig. 3.17 no dice eso.</w:t>
      </w:r>
      <w:r>
        <w:t xml:space="preserve"> Trata la supervivencia con LTOT y la falta de beneficio en la desaturación moderada; no menciona disnea en normoxémicos.</w:t>
      </w:r>
    </w:p>
    <w:p>
      <w:pPr>
        <w:pStyle w:val="ListBullet2"/>
      </w:pPr>
      <w:r>
        <w:rPr>
          <w:b/>
        </w:rPr>
        <w:t>Contradice el texto de oxigenoterapia de la PDF 87:</w:t>
      </w:r>
      <w:r>
        <w:t xml:space="preserve"> "studies have shown no improvement of breathlessness in daily life and no benefit on health-related quality of life (Figure 3.17)".</w:t>
      </w:r>
    </w:p>
    <w:p>
      <w:pPr>
        <w:pStyle w:val="ListBullet2"/>
      </w:pPr>
      <w:r>
        <w:rPr>
          <w:b/>
        </w:rPr>
        <w:t>Contradice la misma PDF 93:</w:t>
      </w:r>
      <w:r>
        <w:t xml:space="preserve"> "The roles of oxygen therapy, HFNT and NIV for palliation of dyspnea are debated", y sin embargo la Fig. 3.20 incluye el oxígeno entre lo que «can relieve breathlessness (Evidence C)».</w:t>
      </w:r>
    </w:p>
    <w:p>
      <w:pPr>
        <w:pStyle w:val="ListBullet2"/>
      </w:pPr>
      <w:r>
        <w:t>El umbral «SpO2 &gt; 92 %» no procede de ningún criterio estándar. Puede inducir a prescribir O2 domiciliario sin hipoxemia, con su coste, carga, riesgo de quemaduras/incendio y efecto sobre la movilidad.</w:t>
      </w:r>
    </w:p>
    <w:p>
      <w:pPr>
        <w:pStyle w:val="ListBullet"/>
      </w:pPr>
      <w:r>
        <w:rPr>
          <w:b/>
        </w:rPr>
        <w:t>Evidencia/justificación:</w:t>
      </w:r>
    </w:p>
    <w:p>
      <w:pPr>
        <w:pStyle w:val="ListBullet2"/>
      </w:pPr>
      <w:r>
        <w:t xml:space="preserve">Abernethy AP et al., </w:t>
      </w:r>
      <w:r>
        <w:rPr>
          <w:i/>
        </w:rPr>
        <w:t>Lancet</w:t>
      </w:r>
      <w:r>
        <w:t xml:space="preserve"> 2010;376:784-93: O2 paliativo = aire medicinal en disnea refractoria con PaO2 &gt; 55 mmHg.</w:t>
      </w:r>
    </w:p>
    <w:p>
      <w:pPr>
        <w:pStyle w:val="ListBullet2"/>
      </w:pPr>
      <w:r>
        <w:t>Ekström M et al., Cochrane 2016;CD006429: beneficio modesto durante el ejercicio, no en la vida diaria ni en la calidad de vida.</w:t>
      </w:r>
    </w:p>
    <w:p>
      <w:pPr>
        <w:pStyle w:val="ListBullet2"/>
      </w:pPr>
      <w:r>
        <w:t xml:space="preserve">LOTT Research Group, </w:t>
      </w:r>
      <w:r>
        <w:rPr>
          <w:i/>
        </w:rPr>
        <w:t>NEJM</w:t>
      </w:r>
      <w:r>
        <w:t xml:space="preserve"> 2016;375:1617-27.</w:t>
      </w:r>
    </w:p>
    <w:p>
      <w:pPr>
        <w:pStyle w:val="ListBullet2"/>
      </w:pPr>
      <w:r>
        <w:t xml:space="preserve">ERS 2024 (Holland, </w:t>
      </w:r>
      <w:r>
        <w:rPr>
          <w:i/>
        </w:rPr>
        <w:t>ERJ</w:t>
      </w:r>
      <w:r>
        <w:t xml:space="preserve"> 2024;63:2400335): recomendación condicional, certeza baja.</w:t>
      </w:r>
    </w:p>
    <w:p>
      <w:pPr>
        <w:pStyle w:val="ListBullet2"/>
      </w:pPr>
      <w:r>
        <w:t xml:space="preserve">La ref. 809 (Uronis 2015, </w:t>
      </w:r>
      <w:r>
        <w:rPr>
          <w:i/>
        </w:rPr>
        <w:t>Thorax</w:t>
      </w:r>
      <w:r>
        <w:t>) muestra un efecto pequeño, sobre todo en pruebas de esfuerzo de laboratorio.</w:t>
      </w:r>
    </w:p>
    <w:p>
      <w:pPr>
        <w:pStyle w:val="ListBullet"/>
      </w:pPr>
      <w:r>
        <w:rPr>
          <w:b/>
        </w:rPr>
        <w:t>Recomendación:</w:t>
      </w:r>
    </w:p>
    <w:p>
      <w:pPr>
        <w:pStyle w:val="ListBullet2"/>
      </w:pPr>
      <w:r>
        <w:t>Armonizar con la PDF 87: «En pacientes no hipoxémicos el oxígeno no mejora la disnea diaria ni la calidad de vida; puede considerarse durante el entrenamiento o como prueba individual con evaluación objetiva del beneficio».</w:t>
      </w:r>
    </w:p>
    <w:p>
      <w:pPr>
        <w:pStyle w:val="ListBullet2"/>
      </w:pPr>
      <w:r>
        <w:t>Eliminar la remisión a la Fig. 3.17 y el umbral «SpO2 &gt; 92 %».</w:t>
      </w:r>
    </w:p>
    <w:p>
      <w:pPr>
        <w:pStyle w:val="ListBullet2"/>
      </w:pPr>
      <w:r>
        <w:t>Retirar el oxígeno de la viñeta de la Fig. 3.20, o calificarlo como «solo en hipoxemia o ensayo individual».</w:t>
      </w:r>
    </w:p>
    <w:p>
      <w:pPr>
        <w:pStyle w:val="ListBullet2"/>
      </w:pPr>
      <w:r>
        <w:t xml:space="preserve">Mencionar el </w:t>
      </w:r>
      <w:r>
        <w:rPr>
          <w:b/>
        </w:rPr>
        <w:t>ventilador de mano</w:t>
      </w:r>
      <w:r>
        <w:t xml:space="preserve"> como primera opción no farmacológica.</w:t>
      </w:r>
    </w:p>
    <w:p>
      <w:pPr>
        <w:pStyle w:val="ListBullet"/>
      </w:pPr>
      <w:r>
        <w:rPr>
          <w:b/>
        </w:rPr>
        <w:t>Confianza:</w:t>
      </w:r>
      <w:r>
        <w:t xml:space="preserve"> 5/5</w:t>
      </w:r>
    </w:p>
    <w:p>
      <w:pPr>
        <w:pStyle w:val="Heading4"/>
      </w:pPr>
      <w:r>
        <w:t>INT-05 · EBV frente a LVRS: afirmación mal citada («menos complicaciones», ref. 862) y omisión del ECA CELEB; la nota de la Fig. 3.23 está desactualizada y contradice el texto</w:t>
      </w:r>
    </w:p>
    <w:p>
      <w:r>
        <w:rPr>
          <w:i/>
        </w:rPr>
        <w:t xml:space="preserve">Severidad final: </w:t>
      </w:r>
      <w:r>
        <w:rPr>
          <w:i/>
          <w:color w:val="ED7D31"/>
        </w:rPr>
        <w:t>🟠</w:t>
      </w:r>
      <w:r>
        <w:rPr>
          <w:i/>
        </w:rPr>
        <w:t xml:space="preserve"> ALTA · Tema T15: Intervenciones broncoscópicas y quirúrgicas</w:t>
      </w:r>
    </w:p>
    <w:p>
      <w:pPr>
        <w:pStyle w:val="IntenseQuote"/>
      </w:pPr>
      <w:r>
        <w:rPr>
          <w:b/>
        </w:rPr>
        <w:t>Verificación independiente (CONFIRMADO):</w:t>
      </w:r>
      <w:r>
        <w:t xml:space="preserve"> 1. Corregir la frase: "En el único ECA directo (CELEB), LVRS y EBV produjeron mejoras similares a 12 meses, con potencia limitada; no hay evidencia comparativa sólida sobre complicaciones." 2. Citar CELEB. 3. Desvincular la ref. 862 de esta afirmación.</w:t>
      </w:r>
    </w:p>
    <w:p>
      <w:pPr>
        <w:pStyle w:val="ListBullet"/>
      </w:pPr>
      <w:r>
        <w:rPr>
          <w:b/>
        </w:rPr>
        <w:t>Tipo:</w:t>
      </w:r>
      <w:r>
        <w:t xml:space="preserve"> Error factual (cita) / Omisión / Incongruencia interna</w:t>
      </w:r>
    </w:p>
    <w:p>
      <w:pPr>
        <w:pStyle w:val="ListBullet"/>
      </w:pPr>
      <w:r>
        <w:rPr>
          <w:b/>
        </w:rPr>
        <w:t>Severidad:</w:t>
      </w:r>
      <w:r>
        <w:t xml:space="preserve"> ALTA</w:t>
      </w:r>
    </w:p>
    <w:p>
      <w:pPr>
        <w:pStyle w:val="ListBullet"/>
      </w:pPr>
      <w:r>
        <w:rPr>
          <w:b/>
        </w:rPr>
        <w:t>Ubicación:</w:t>
      </w:r>
      <w:r>
        <w:t xml:space="preserve"> PDF 99-100 / impr. 88-89 — «Endobronchial one-way valves»; PDF 99 / impr. 88 — nota de la Fig. 3.23</w:t>
      </w:r>
    </w:p>
    <w:p>
      <w:pPr>
        <w:pStyle w:val="ListBullet"/>
      </w:pPr>
      <w:r>
        <w:rPr>
          <w:b/>
        </w:rPr>
        <w:t>Cita:</w:t>
      </w:r>
      <w:r>
        <w:t xml:space="preserve"> Texto: "associated with EBV compared to LVRS show comparable benefits with endobronchial valve treatment but with fewer complications.(862)". Fig. 3.23: "Long term ELVR outcomes or direct comparisons to LVRS are unknown."</w:t>
      </w:r>
    </w:p>
    <w:p>
      <w:pPr>
        <w:pStyle w:val="ListBullet"/>
      </w:pPr>
      <w:r>
        <w:rPr>
          <w:b/>
        </w:rPr>
        <w:t>Problema:</w:t>
      </w:r>
    </w:p>
    <w:p>
      <w:pPr>
        <w:pStyle w:val="ListBullet2"/>
      </w:pPr>
      <w:r>
        <w:rPr>
          <w:b/>
        </w:rPr>
        <w:t>La ref. 862 no compara con LVRS.</w:t>
      </w:r>
      <w:r>
        <w:t xml:space="preserve"> Es LIBERATE (Criner, </w:t>
      </w:r>
      <w:r>
        <w:rPr>
          <w:i/>
        </w:rPr>
        <w:t>AJRCCM</w:t>
      </w:r>
      <w:r>
        <w:t xml:space="preserve"> 2018): Zephyr frente a tratamiento estándar.</w:t>
      </w:r>
    </w:p>
    <w:p>
      <w:pPr>
        <w:pStyle w:val="ListBullet2"/>
      </w:pPr>
      <w:r>
        <w:rPr>
          <w:b/>
        </w:rPr>
        <w:t>Se omite el único ECA directo, CELEB 2023.</w:t>
      </w:r>
      <w:r>
        <w:t xml:space="preserve"> Mostró resultados equivalentes en el iBODE a 12 meses, sin demostrar menos complicaciones.</w:t>
      </w:r>
    </w:p>
    <w:p>
      <w:pPr>
        <w:pStyle w:val="ListBullet2"/>
      </w:pPr>
      <w:r>
        <w:rPr>
          <w:b/>
        </w:rPr>
        <w:t>El texto y la figura se contradicen.</w:t>
      </w:r>
      <w:r>
        <w:t xml:space="preserve"> El texto afirma que la comparación existe; la figura dice que no se conoce.</w:t>
      </w:r>
    </w:p>
    <w:p>
      <w:pPr>
        <w:pStyle w:val="ListBullet2"/>
      </w:pPr>
      <w:r>
        <w:t>Se presenta la superioridad en seguridad de las EBV como un hecho establecido, lo que sesga la decisión compartida entre las dos opciones.</w:t>
      </w:r>
    </w:p>
    <w:p>
      <w:pPr>
        <w:pStyle w:val="ListBullet"/>
      </w:pPr>
      <w:r>
        <w:rPr>
          <w:b/>
        </w:rPr>
        <w:t>Evidencia/justificación:</w:t>
      </w:r>
    </w:p>
    <w:p>
      <w:pPr>
        <w:pStyle w:val="ListBullet2"/>
      </w:pPr>
      <w:r>
        <w:rPr>
          <w:b/>
        </w:rPr>
        <w:t>CELEB:</w:t>
      </w:r>
      <w:r>
        <w:t xml:space="preserve"> Buttery SC et al., </w:t>
      </w:r>
      <w:r>
        <w:rPr>
          <w:i/>
        </w:rPr>
        <w:t>Eur Respir J</w:t>
      </w:r>
      <w:r>
        <w:t xml:space="preserve"> 2023;61:2202063. 88 pacientes candidatos a ambas técnicas. Cambio del iBODE a 12 meses: LVRS −1,10 vs EBV −0,82, p = 0,54. Complicaciones sin diferencias claras.</w:t>
      </w:r>
    </w:p>
    <w:p>
      <w:pPr>
        <w:pStyle w:val="ListBullet2"/>
      </w:pPr>
      <w:r>
        <w:rPr>
          <w:b/>
        </w:rPr>
        <w:t>Comparaciones indirectas:</w:t>
      </w:r>
      <w:r>
        <w:t xml:space="preserve"> proceden de metaanálisis en red o de cohortes, no de un ECA.</w:t>
      </w:r>
    </w:p>
    <w:p>
      <w:pPr>
        <w:pStyle w:val="ListBullet"/>
      </w:pPr>
      <w:r>
        <w:rPr>
          <w:b/>
        </w:rPr>
        <w:t>Recomendación:</w:t>
      </w:r>
    </w:p>
    <w:p>
      <w:pPr>
        <w:pStyle w:val="ListBullet2"/>
      </w:pPr>
      <w:r>
        <w:t>Sustituir la frase por: «En el único ECA directo (CELEB), EBV y LVRS produjeron mejoras similares a 12 meses en candidatos aptos para ambas técnicas; no hay datos aleatorizados a largo plazo sobre supervivencia comparada».</w:t>
      </w:r>
    </w:p>
    <w:p>
      <w:pPr>
        <w:pStyle w:val="ListBullet2"/>
      </w:pPr>
      <w:r>
        <w:t>Citar a Buttery 2023 y actualizar la nota de la Fig. 3.23.</w:t>
      </w:r>
    </w:p>
    <w:p>
      <w:pPr>
        <w:pStyle w:val="ListBullet2"/>
      </w:pPr>
      <w:r>
        <w:t>Recomendar que la elección se haga en un equipo multidisciplinar.</w:t>
      </w:r>
    </w:p>
    <w:p>
      <w:pPr>
        <w:pStyle w:val="ListBullet"/>
      </w:pPr>
      <w:r>
        <w:rPr>
          <w:b/>
        </w:rPr>
        <w:t>Confianza:</w:t>
      </w:r>
      <w:r>
        <w:t xml:space="preserve"> 5/5</w:t>
      </w:r>
    </w:p>
    <w:p>
      <w:pPr>
        <w:pStyle w:val="Heading4"/>
      </w:pPr>
      <w:r>
        <w:t>INT-07 · La Fig. 3.23 ofrece LVRS y ablación por vapor en el enfisema homogéneo sin advertir del subgrupo de alto riesgo</w:t>
      </w:r>
    </w:p>
    <w:p>
      <w:r>
        <w:rPr>
          <w:i/>
        </w:rPr>
        <w:t xml:space="preserve">Severidad final: </w:t>
      </w:r>
      <w:r>
        <w:rPr>
          <w:i/>
          <w:color w:val="ED7D31"/>
        </w:rPr>
        <w:t>🟠</w:t>
      </w:r>
      <w:r>
        <w:rPr>
          <w:i/>
        </w:rPr>
        <w:t xml:space="preserve"> ALTA · Tema T15: Intervenciones broncoscópicas y quirúrgicas</w:t>
      </w:r>
    </w:p>
    <w:p>
      <w:pPr>
        <w:pStyle w:val="IntenseQuote"/>
      </w:pPr>
      <w:r>
        <w:rPr>
          <w:b/>
        </w:rPr>
        <w:t>Verificación independiente (CONFIRMADO):</w:t>
      </w:r>
      <w:r>
        <w:t xml:space="preserve"> Ninguna. Refuerza el hallazgo que la ablación por vapor (STEP-UP) se estudió solo en enfisema heterogéneo de lóbulos superiores.</w:t>
      </w:r>
    </w:p>
    <w:p>
      <w:pPr>
        <w:pStyle w:val="ListBullet"/>
      </w:pPr>
      <w:r>
        <w:rPr>
          <w:b/>
        </w:rPr>
        <w:t>Tipo:</w:t>
      </w:r>
      <w:r>
        <w:t xml:space="preserve"> Ambigüedad clínica / Evidencia mal representada</w:t>
      </w:r>
    </w:p>
    <w:p>
      <w:pPr>
        <w:pStyle w:val="ListBullet"/>
      </w:pPr>
      <w:r>
        <w:rPr>
          <w:b/>
        </w:rPr>
        <w:t>Severidad:</w:t>
      </w:r>
      <w:r>
        <w:t xml:space="preserve"> ALTA</w:t>
      </w:r>
    </w:p>
    <w:p>
      <w:pPr>
        <w:pStyle w:val="ListBullet"/>
      </w:pPr>
      <w:r>
        <w:rPr>
          <w:b/>
        </w:rPr>
        <w:t>Ubicación:</w:t>
      </w:r>
      <w:r>
        <w:t xml:space="preserve"> PDF 99 / impr. 88 — Fig. 3.23 (rama «Homogeneous Emphysema»); comparar con PDF 98 / impr. 87 y PDF 92 / impr. 81</w:t>
      </w:r>
    </w:p>
    <w:p>
      <w:pPr>
        <w:pStyle w:val="ListBullet"/>
      </w:pPr>
      <w:r>
        <w:rPr>
          <w:b/>
        </w:rPr>
        <w:t>Cita:</w:t>
      </w:r>
      <w:r>
        <w:t xml:space="preserve"> Fig. 3.23, rama homogénea: "- CV or FI+ → ELVR (EBV,LVRC,VA) LVRS"; "+ CV or FI- → ELVR (LVRC,VA) LVRS". Texto: "LVRS has been demonstrated to result in higher mortality than medical management in patients with severe emphysema who have FEV1 ≤ 20% predicted and either homogeneous emphysema"</w:t>
      </w:r>
    </w:p>
    <w:p>
      <w:pPr>
        <w:pStyle w:val="ListBullet"/>
      </w:pPr>
      <w:r>
        <w:rPr>
          <w:b/>
        </w:rPr>
        <w:t>Problema:</w:t>
      </w:r>
    </w:p>
    <w:p>
      <w:pPr>
        <w:pStyle w:val="ListBullet2"/>
      </w:pPr>
      <w:r>
        <w:rPr>
          <w:b/>
        </w:rPr>
        <w:t>Ninguna rama excluye opciones.</w:t>
      </w:r>
      <w:r>
        <w:t xml:space="preserve"> Todas las ramas terminan en LVRS más alguna técnica endoscópica, así que el algoritmo no discrimina.</w:t>
      </w:r>
    </w:p>
    <w:p>
      <w:pPr>
        <w:pStyle w:val="ListBullet2"/>
      </w:pPr>
      <w:r>
        <w:rPr>
          <w:b/>
        </w:rPr>
        <w:t>La LVRS en enfisema homogéneo carece de beneficio en supervivencia en el NETT.</w:t>
      </w:r>
      <w:r>
        <w:t xml:space="preserve"> En el subgrupo no de lóbulo superior y con capacidad de ejercicio alta, la mortalidad fue mayor. El subgrupo FEV1 ≤ 20 % + homogéneo/DLCO ≤ 20 % tuvo una mortalidad a 30 días inaceptable (16 %).</w:t>
      </w:r>
    </w:p>
    <w:p>
      <w:pPr>
        <w:pStyle w:val="ListBullet2"/>
      </w:pPr>
      <w:r>
        <w:rPr>
          <w:b/>
        </w:rPr>
        <w:t>La ablación por vapor (STEP-UP) solo se ha estudiado en enfisema heterogéneo de predominio superior.</w:t>
      </w:r>
    </w:p>
    <w:p>
      <w:pPr>
        <w:pStyle w:val="ListBullet2"/>
      </w:pPr>
      <w:r>
        <w:t>El algoritmo adapta Vogelmeier 2017, no incorpora los criterios de exclusión y no remite a la PDF 98.</w:t>
      </w:r>
    </w:p>
    <w:p>
      <w:pPr>
        <w:pStyle w:val="ListBullet"/>
      </w:pPr>
      <w:r>
        <w:rPr>
          <w:b/>
        </w:rPr>
        <w:t>Evidencia/justificación:</w:t>
      </w:r>
    </w:p>
    <w:p>
      <w:pPr>
        <w:pStyle w:val="ListBullet2"/>
      </w:pPr>
      <w:r>
        <w:t xml:space="preserve">NETT Research Group, </w:t>
      </w:r>
      <w:r>
        <w:rPr>
          <w:i/>
        </w:rPr>
        <w:t>NEJM</w:t>
      </w:r>
      <w:r>
        <w:t xml:space="preserve"> 2001;345:1075-83 (ref. 847).</w:t>
      </w:r>
    </w:p>
    <w:p>
      <w:pPr>
        <w:pStyle w:val="ListBullet2"/>
      </w:pPr>
      <w:r>
        <w:t xml:space="preserve">Fishman A et al., </w:t>
      </w:r>
      <w:r>
        <w:rPr>
          <w:i/>
        </w:rPr>
        <w:t>NEJM</w:t>
      </w:r>
      <w:r>
        <w:t xml:space="preserve"> 2003;348:2059-73 (ref. 789).</w:t>
      </w:r>
    </w:p>
    <w:p>
      <w:pPr>
        <w:pStyle w:val="ListBullet2"/>
      </w:pPr>
      <w:r>
        <w:t xml:space="preserve">Herth FJ et al., </w:t>
      </w:r>
      <w:r>
        <w:rPr>
          <w:b/>
        </w:rPr>
        <w:t>STEP-UP</w:t>
      </w:r>
      <w:r>
        <w:t xml:space="preserve">, </w:t>
      </w:r>
      <w:r>
        <w:rPr>
          <w:i/>
        </w:rPr>
        <w:t>Lancet Respir Med</w:t>
      </w:r>
      <w:r>
        <w:t xml:space="preserve"> 2016 (ref. 861): solo heterogéneo de lóbulo superior.</w:t>
      </w:r>
    </w:p>
    <w:p>
      <w:pPr>
        <w:pStyle w:val="ListBullet2"/>
      </w:pPr>
      <w:r>
        <w:t xml:space="preserve">Valipour A et al., </w:t>
      </w:r>
      <w:r>
        <w:rPr>
          <w:b/>
        </w:rPr>
        <w:t>IMPACT</w:t>
      </w:r>
      <w:r>
        <w:t xml:space="preserve">, </w:t>
      </w:r>
      <w:r>
        <w:rPr>
          <w:i/>
        </w:rPr>
        <w:t>AJRCCM</w:t>
      </w:r>
      <w:r>
        <w:t xml:space="preserve"> 2016 (ref. 864): EBV en enfisema homogéneo sin ventilación colateral.</w:t>
      </w:r>
    </w:p>
    <w:p>
      <w:pPr>
        <w:pStyle w:val="ListBullet"/>
      </w:pPr>
      <w:r>
        <w:rPr>
          <w:b/>
        </w:rPr>
        <w:t>Recomendación:</w:t>
      </w:r>
    </w:p>
    <w:p>
      <w:pPr>
        <w:pStyle w:val="ListBullet2"/>
      </w:pPr>
      <w:r>
        <w:t>Rehacer el algoritmo con criterios de entrada: FEV1 15-45 %, RV ≥ 175 %, TLC ≥ 100 %, 6MWD 100-500 m, rehabilitación completada, no fumador.</w:t>
      </w:r>
    </w:p>
    <w:p>
      <w:pPr>
        <w:pStyle w:val="ListBullet2"/>
      </w:pPr>
      <w:r>
        <w:t xml:space="preserve">Marcar la </w:t>
      </w:r>
      <w:r>
        <w:rPr>
          <w:b/>
        </w:rPr>
        <w:t>exclusión de alto riesgo NETT</w:t>
      </w:r>
      <w:r>
        <w:t xml:space="preserve"> en todas las ramas quirúrgicas.</w:t>
      </w:r>
    </w:p>
    <w:p>
      <w:pPr>
        <w:pStyle w:val="ListBullet2"/>
      </w:pPr>
      <w:r>
        <w:t>En el enfisema homogéneo, priorizar EBV si no hay ventilación colateral y restringir la LVRS a casos muy seleccionados en centros expertos.</w:t>
      </w:r>
    </w:p>
    <w:p>
      <w:pPr>
        <w:pStyle w:val="ListBullet2"/>
      </w:pPr>
      <w:r>
        <w:t>Limitar el vapor a enfisema heterogéneo de lóbulo superior y retirar los coils (véase INT-06).</w:t>
      </w:r>
    </w:p>
    <w:p>
      <w:pPr>
        <w:pStyle w:val="ListBullet"/>
      </w:pPr>
      <w:r>
        <w:rPr>
          <w:b/>
        </w:rPr>
        <w:t>Confianza:</w:t>
      </w:r>
      <w:r>
        <w:t xml:space="preserve"> 4/5</w:t>
      </w:r>
    </w:p>
    <w:p>
      <w:pPr>
        <w:pStyle w:val="Heading4"/>
      </w:pPr>
      <w:r>
        <w:t>FARM-07 · Cigarrillo electrónico: el key point niega una eficacia que el Apéndice 3 y Cochrane reconocen</w:t>
      </w:r>
    </w:p>
    <w:p>
      <w:r>
        <w:rPr>
          <w:i/>
        </w:rPr>
        <w:t xml:space="preserve">Severidad final: </w:t>
      </w:r>
      <w:r>
        <w:rPr>
          <w:i/>
          <w:color w:val="ED7D31"/>
        </w:rPr>
        <w:t>🟠</w:t>
      </w:r>
      <w:r>
        <w:rPr>
          <w:i/>
        </w:rPr>
        <w:t xml:space="preserve"> ALTA · Tema T16: Tabaquismo y otros factores de riesgo inhalados</w:t>
      </w:r>
    </w:p>
    <w:p>
      <w:pPr>
        <w:pStyle w:val="ListBullet"/>
      </w:pPr>
      <w:r>
        <w:rPr>
          <w:b/>
        </w:rPr>
        <w:t>Tipo:</w:t>
      </w:r>
      <w:r>
        <w:t xml:space="preserve"> Incongruencia interna / Evidencia mal representada</w:t>
      </w:r>
    </w:p>
    <w:p>
      <w:pPr>
        <w:pStyle w:val="ListBullet"/>
      </w:pPr>
      <w:r>
        <w:rPr>
          <w:b/>
        </w:rPr>
        <w:t>Severidad:</w:t>
      </w:r>
      <w:r>
        <w:t xml:space="preserve"> ALTA</w:t>
      </w:r>
    </w:p>
    <w:p>
      <w:pPr>
        <w:pStyle w:val="ListBullet"/>
      </w:pPr>
      <w:r>
        <w:rPr>
          <w:b/>
        </w:rPr>
        <w:t>Ubicación:</w:t>
      </w:r>
      <w:r>
        <w:t xml:space="preserve"> PDF 61 / impr. 50 (key point) vs PDF 154 / impr. 143 (Apéndice 3)</w:t>
      </w:r>
    </w:p>
    <w:p>
      <w:pPr>
        <w:pStyle w:val="ListBullet"/>
      </w:pPr>
      <w:r>
        <w:rPr>
          <w:b/>
        </w:rPr>
        <w:t>Cita:</w:t>
      </w:r>
    </w:p>
    <w:p>
      <w:pPr>
        <w:pStyle w:val="ListBullet2"/>
      </w:pPr>
      <w:r>
        <w:t>Key point: "There is no evidence to support the effectiveness and safety of e-cigarettes as a smoking cessation aid at present."</w:t>
      </w:r>
    </w:p>
    <w:p>
      <w:pPr>
        <w:pStyle w:val="ListBullet2"/>
      </w:pPr>
      <w:r>
        <w:t>Apéndice 3: "A meta-analysis of five RCTs has suggested that e-cigarettes are superior to nicotine replacement therapy…(1465)".</w:t>
      </w:r>
    </w:p>
    <w:p>
      <w:pPr>
        <w:pStyle w:val="ListBullet"/>
      </w:pPr>
      <w:r>
        <w:rPr>
          <w:b/>
        </w:rPr>
        <w:t>Problema:</w:t>
      </w:r>
    </w:p>
    <w:p>
      <w:pPr>
        <w:pStyle w:val="ListBullet2"/>
      </w:pPr>
      <w:r>
        <w:t>"No evidence of effectiveness" es falso y contradice el propio Apéndice.</w:t>
      </w:r>
    </w:p>
    <w:p>
      <w:pPr>
        <w:pStyle w:val="ListBullet2"/>
      </w:pPr>
      <w:r>
        <w:t>Se mezclan dos cuestiones distintas: la eficacia para dejar de fumar, que está demostrada, y la seguridad a largo plazo, que en EPOC es incierta.</w:t>
      </w:r>
    </w:p>
    <w:p>
      <w:pPr>
        <w:pStyle w:val="ListBullet2"/>
      </w:pPr>
      <w:r>
        <w:t>La ref 1466 (Glantz, NEJM Evid 2024), que sostiene la conclusión del Apéndice, estudia odds de enfermedad poblacional, no la eficacia como tratamiento de cesación.</w:t>
      </w:r>
    </w:p>
    <w:p>
      <w:pPr>
        <w:pStyle w:val="ListBullet"/>
      </w:pPr>
      <w:r>
        <w:rPr>
          <w:b/>
        </w:rPr>
        <w:t>Evidencia/justificación:</w:t>
      </w:r>
    </w:p>
    <w:p>
      <w:pPr>
        <w:pStyle w:val="ListBullet2"/>
      </w:pPr>
      <w:r>
        <w:t xml:space="preserve">Lindson N et al., Cochrane CD010216 (revisión </w:t>
      </w:r>
      <w:r>
        <w:rPr>
          <w:i/>
        </w:rPr>
        <w:t>living</w:t>
      </w:r>
      <w:r>
        <w:t>, actualizaciones 2024-2025): los cigarrillos electrónicos con nicotina aumentan la abstinencia a ≥6 meses frente a la TSN (RR ≈1,5-1,6), con certeza alta.</w:t>
      </w:r>
    </w:p>
    <w:p>
      <w:pPr>
        <w:pStyle w:val="ListBullet2"/>
      </w:pPr>
      <w:r>
        <w:t>NICE NG209 (2021, actualizada) los considera una opción de cesación.</w:t>
      </w:r>
    </w:p>
    <w:p>
      <w:pPr>
        <w:pStyle w:val="ListBullet"/>
      </w:pPr>
      <w:r>
        <w:rPr>
          <w:b/>
        </w:rPr>
        <w:t>Recomendación:</w:t>
      </w:r>
      <w:r>
        <w:t xml:space="preserve"> reformular así: "Los cigarrillos electrónicos con nicotina aumentan las tasas de abandono frente a la TSN (evidencia de certeza alta), pero su seguridad a largo plazo, especialmente en EPOC, es incierta. No se recomiendan como primera línea; si se usan, debe buscarse el abandono completo del tabaco combustible, evitar el uso dual y planificar la retirada".</w:t>
      </w:r>
    </w:p>
    <w:p>
      <w:pPr>
        <w:pStyle w:val="ListBullet"/>
      </w:pPr>
      <w:r>
        <w:rPr>
          <w:b/>
        </w:rPr>
        <w:t>Confianza:</w:t>
      </w:r>
      <w:r>
        <w:t xml:space="preserve"> 5/5</w:t>
      </w:r>
    </w:p>
    <w:p>
      <w:pPr>
        <w:pStyle w:val="Heading4"/>
      </w:pPr>
      <w:r>
        <w:t>FARM-02 · Gripe: "killed or live inactivated", un oxímoron y una recomendación sin soporte</w:t>
      </w:r>
    </w:p>
    <w:p>
      <w:r>
        <w:rPr>
          <w:i/>
        </w:rPr>
        <w:t xml:space="preserve">Severidad final: </w:t>
      </w:r>
      <w:r>
        <w:rPr>
          <w:i/>
          <w:color w:val="ED7D31"/>
        </w:rPr>
        <w:t>🟠</w:t>
      </w:r>
      <w:r>
        <w:rPr>
          <w:i/>
        </w:rPr>
        <w:t xml:space="preserve"> ALTA · Tema T17: Vacunación</w:t>
      </w:r>
    </w:p>
    <w:p>
      <w:pPr>
        <w:pStyle w:val="ListBullet"/>
      </w:pPr>
      <w:r>
        <w:rPr>
          <w:b/>
        </w:rPr>
        <w:t>Tipo:</w:t>
      </w:r>
      <w:r>
        <w:t xml:space="preserve"> Error factual</w:t>
      </w:r>
    </w:p>
    <w:p>
      <w:pPr>
        <w:pStyle w:val="ListBullet"/>
      </w:pPr>
      <w:r>
        <w:rPr>
          <w:b/>
        </w:rPr>
        <w:t>Severidad:</w:t>
      </w:r>
      <w:r>
        <w:t xml:space="preserve"> ALTA</w:t>
      </w:r>
    </w:p>
    <w:p>
      <w:pPr>
        <w:pStyle w:val="ListBullet"/>
      </w:pPr>
      <w:r>
        <w:rPr>
          <w:b/>
        </w:rPr>
        <w:t>Ubicación:</w:t>
      </w:r>
      <w:r>
        <w:t xml:space="preserve"> PDF 68 / impr. 57 — texto, vacuna antigripal</w:t>
      </w:r>
    </w:p>
    <w:p>
      <w:pPr>
        <w:pStyle w:val="ListBullet"/>
      </w:pPr>
      <w:r>
        <w:rPr>
          <w:b/>
        </w:rPr>
        <w:t>Cita:</w:t>
      </w:r>
      <w:r>
        <w:t xml:space="preserve"> "Vaccines containing either killed or live inactivated viruses are recommended(639) as they are more effective in elderly people with COPD.(640)"</w:t>
      </w:r>
    </w:p>
    <w:p>
      <w:pPr>
        <w:pStyle w:val="ListBullet"/>
      </w:pPr>
      <w:r>
        <w:rPr>
          <w:b/>
        </w:rPr>
        <w:t>Problema:</w:t>
      </w:r>
    </w:p>
    <w:p>
      <w:pPr>
        <w:pStyle w:val="ListBullet2"/>
      </w:pPr>
      <w:r>
        <w:t>Un virus "vivo inactivado" no existe: las vacunas son inactivadas (o recombinantes) o vivas atenuadas (LAIV).</w:t>
      </w:r>
    </w:p>
    <w:p>
      <w:pPr>
        <w:pStyle w:val="ListBullet2"/>
      </w:pPr>
      <w:r>
        <w:t>La LAIV solo está autorizada entre 2 y 49 años. En EPOC/enfermedad pulmonar crónica es una precaución, de modo que en la población típica de EPOC no es una opción.</w:t>
      </w:r>
    </w:p>
    <w:p>
      <w:pPr>
        <w:pStyle w:val="ListBullet2"/>
      </w:pPr>
      <w:r>
        <w:t>Las referencias no sostienen la afirmación:</w:t>
      </w:r>
    </w:p>
    <w:p>
      <w:pPr>
        <w:pStyle w:val="ListBullet2"/>
      </w:pPr>
      <w:r>
        <w:t xml:space="preserve">639 (Edwards, J Infect Dis 1994) es un RCT en población general que compara vacunas </w:t>
      </w:r>
      <w:r>
        <w:rPr>
          <w:i/>
        </w:rPr>
        <w:t>cold-adapted</w:t>
      </w:r>
      <w:r>
        <w:t xml:space="preserve"> e inactivadas.</w:t>
      </w:r>
    </w:p>
    <w:p>
      <w:pPr>
        <w:pStyle w:val="ListBullet2"/>
      </w:pPr>
      <w:r>
        <w:t>640 (Hak, J Epidemiol Community Health 1998) es un estudio de coste-efectividad.</w:t>
      </w:r>
    </w:p>
    <w:p>
      <w:pPr>
        <w:pStyle w:val="ListBullet2"/>
      </w:pPr>
      <w:r>
        <w:t>Ninguna de las dos demuestra mayor eficacia en ancianos con EPOC.</w:t>
      </w:r>
    </w:p>
    <w:p>
      <w:pPr>
        <w:pStyle w:val="ListBullet"/>
      </w:pPr>
      <w:r>
        <w:rPr>
          <w:b/>
        </w:rPr>
        <w:t>Evidencia/justificación:</w:t>
      </w:r>
      <w:r>
        <w:t xml:space="preserve"> ACIP 2024-25 y 2025-26 (Grohskopf et al., MMWR Recomm Rep 2024;73(5); MMWR 2025;74(32):500-507): LAIV autorizada para 2-49 años; precaución en enfermedades crónicas, incluida la pulmonar.</w:t>
      </w:r>
    </w:p>
    <w:p>
      <w:pPr>
        <w:pStyle w:val="ListBullet"/>
      </w:pPr>
      <w:r>
        <w:rPr>
          <w:b/>
        </w:rPr>
        <w:t>Recomendación:</w:t>
      </w:r>
      <w:r>
        <w:t xml:space="preserve"> sustituir por "Se recomiendan vacunas inactivadas o recombinantes. La vacuna atenuada (LAIV) no está indicada a partir de los 50 años y debe evitarse en enfermedad pulmonar crónica". Retirar o reubicar las refs 639 y 640.</w:t>
      </w:r>
    </w:p>
    <w:p>
      <w:pPr>
        <w:pStyle w:val="ListBullet"/>
      </w:pPr>
      <w:r>
        <w:rPr>
          <w:b/>
        </w:rPr>
        <w:t>Confianza:</w:t>
      </w:r>
      <w:r>
        <w:t xml:space="preserve"> 5/5</w:t>
      </w:r>
    </w:p>
    <w:p>
      <w:pPr>
        <w:pStyle w:val="Heading4"/>
      </w:pPr>
      <w:r>
        <w:t>DX-01 · Fig. 2.4: requisitos de espirometría obsoletos e internamente contradictorios</w:t>
      </w:r>
    </w:p>
    <w:p>
      <w:r>
        <w:rPr>
          <w:i/>
        </w:rPr>
        <w:t xml:space="preserve">Severidad final: </w:t>
      </w:r>
      <w:r>
        <w:rPr>
          <w:i/>
          <w:color w:val="ED7D31"/>
        </w:rPr>
        <w:t>🟠</w:t>
      </w:r>
      <w:r>
        <w:rPr>
          <w:i/>
        </w:rPr>
        <w:t xml:space="preserve"> ALTA · Tema T18: Diagnóstico, espirometría, búsqueda de casos, pre-EPOC/PRISm</w:t>
      </w:r>
    </w:p>
    <w:p>
      <w:pPr>
        <w:pStyle w:val="ListBullet"/>
      </w:pPr>
      <w:r>
        <w:rPr>
          <w:b/>
        </w:rPr>
        <w:t>Tipo:</w:t>
      </w:r>
      <w:r>
        <w:t xml:space="preserve"> Desactualización / Incongruencia interna</w:t>
      </w:r>
    </w:p>
    <w:p>
      <w:pPr>
        <w:pStyle w:val="ListBullet"/>
      </w:pPr>
      <w:r>
        <w:rPr>
          <w:b/>
        </w:rPr>
        <w:t>Severidad:</w:t>
      </w:r>
      <w:r>
        <w:t xml:space="preserve"> ALTA</w:t>
      </w:r>
    </w:p>
    <w:p>
      <w:pPr>
        <w:pStyle w:val="ListBullet"/>
      </w:pPr>
      <w:r>
        <w:rPr>
          <w:b/>
        </w:rPr>
        <w:t>Ubicación:</w:t>
      </w:r>
      <w:r>
        <w:t xml:space="preserve"> PDF 38 / impr. 27 — Figura 2.4 «Considerations in Performing Spirometry» (notas al pie: Miller 2005, Pellegrino 2005)</w:t>
      </w:r>
    </w:p>
    <w:p>
      <w:pPr>
        <w:pStyle w:val="ListBullet"/>
      </w:pPr>
      <w:r>
        <w:rPr>
          <w:b/>
        </w:rPr>
        <w:t>Cita:</w:t>
      </w:r>
      <w:r>
        <w:t xml:space="preserve"> «…FVC and FEV1 values in these three curves should vary by no more than 5% or 150 mL, whichever is greater» / «The FEV1/FVC ratio should be taken from the technically acceptable curve with the largest sum of FVC and FEV1».</w:t>
      </w:r>
    </w:p>
    <w:p>
      <w:pPr>
        <w:pStyle w:val="ListBullet"/>
      </w:pPr>
      <w:r>
        <w:rPr>
          <w:b/>
        </w:rPr>
        <w:t>Problema:</w:t>
      </w:r>
    </w:p>
    <w:p>
      <w:pPr>
        <w:pStyle w:val="ListNumber"/>
        <w:numPr>
          <w:ilvl w:val="0"/>
          <w:numId w:val="25"/>
        </w:numPr>
      </w:pPr>
      <w:r>
        <w:rPr>
          <w:b/>
        </w:rPr>
        <w:t>Repetibilidad.</w:t>
      </w:r>
      <w:r>
        <w:t xml:space="preserve"> El criterio «5% o 150 mL, lo que sea mayor» no figura ni en el estándar de 2005 que se cita ni en el de 2019. Ambos exigen ≤150 mL entre los dos valores mayores de FVC y de FEV1 (≤100 mL si la FVC es ≤1 L). Un margen del 5% es más laxo en pacientes con volúmenes grandes.</w:t>
      </w:r>
    </w:p>
    <w:p>
      <w:pPr>
        <w:pStyle w:val="ListNumber"/>
        <w:numPr>
          <w:ilvl w:val="0"/>
          <w:numId w:val="25"/>
        </w:numPr>
      </w:pPr>
      <w:r>
        <w:rPr>
          <w:b/>
        </w:rPr>
        <w:t>Contradicción interna.</w:t>
      </w:r>
      <w:r>
        <w:t xml:space="preserve"> La misma figura pide tomar el FEV1 y la FVC mayores «de cualquiera» de las curvas, pero calcular el cociente desde una sola curva («largest sum»). Según los estándares de 2005 y 2019, el cociente se calcula con el mayor FEV1 y la mayor FVC, aunque procedan de maniobras distintas. La «curva con mayor suma» solo se usa para los índices de flujo.</w:t>
      </w:r>
    </w:p>
    <w:p>
      <w:pPr>
        <w:pStyle w:val="ListNumber"/>
        <w:numPr>
          <w:ilvl w:val="0"/>
          <w:numId w:val="25"/>
        </w:numPr>
      </w:pPr>
      <w:r>
        <w:rPr>
          <w:b/>
        </w:rPr>
        <w:t>Pausa en TLC.</w:t>
      </w:r>
      <w:r>
        <w:t xml:space="preserve"> La figura exige una pausa inferior a 1 s; el estándar de 2019 la acepta hasta ≤2 s.</w:t>
      </w:r>
    </w:p>
    <w:p>
      <w:pPr>
        <w:pStyle w:val="ListNumber"/>
        <w:numPr>
          <w:ilvl w:val="0"/>
          <w:numId w:val="25"/>
        </w:numPr>
      </w:pPr>
      <w:r>
        <w:rPr>
          <w:b/>
        </w:rPr>
        <w:t>Número de maniobras.</w:t>
      </w:r>
      <w:r>
        <w:t xml:space="preserve"> La figura habla de «three curves»; el estándar de 2019 pide ≥3 maniobras aceptables con hasta 8 intentos y define criterios de usabilidad.</w:t>
      </w:r>
    </w:p>
    <w:p>
      <w:pPr>
        <w:pStyle w:val="ListNumber"/>
        <w:numPr>
          <w:ilvl w:val="0"/>
          <w:numId w:val="25"/>
        </w:numPr>
      </w:pPr>
      <w:r>
        <w:rPr>
          <w:b/>
        </w:rPr>
        <w:t>Retirada de broncodilatadores.</w:t>
      </w:r>
      <w:r>
        <w:t xml:space="preserve"> No indica cuánto tiempo suspenderlos antes de una prueba diagnóstica con test broncodilatador. Solo dice que en el seguimiento no es necesario.</w:t>
      </w:r>
    </w:p>
    <w:p>
      <w:pPr>
        <w:pStyle w:val="ListBullet"/>
      </w:pPr>
      <w:r>
        <w:rPr>
          <w:b/>
        </w:rPr>
        <w:t>Evidencia/justificación:</w:t>
      </w:r>
    </w:p>
    <w:p>
      <w:pPr>
        <w:pStyle w:val="ListBullet2"/>
      </w:pPr>
      <w:r>
        <w:t xml:space="preserve">Graham BL et al. </w:t>
      </w:r>
      <w:r>
        <w:rPr>
          <w:i/>
        </w:rPr>
        <w:t>Standardization of Spirometry 2019 Update. An Official ATS and ERS Technical Statement</w:t>
      </w:r>
      <w:r>
        <w:t>. AJRCCM 2019;200:e70-e88 (doi:10.1164/rccm.201908-1590ST). Repetibilidad ≤0,150 L; FEV1 y FVC máximos de cualquier maniobra aceptable; pausa ≤2 s.</w:t>
      </w:r>
    </w:p>
    <w:p>
      <w:pPr>
        <w:pStyle w:val="ListBullet2"/>
      </w:pPr>
      <w:r>
        <w:t>El mismo documento fija los tiempos de suspensión: SABA 4-6 h, SAMA 12 h, LABA 24 h, LABA de ultra larga duración 36 h y LAMA 36-48 h.</w:t>
      </w:r>
    </w:p>
    <w:p>
      <w:pPr>
        <w:pStyle w:val="ListBullet2"/>
      </w:pPr>
      <w:r>
        <w:t>Miller MR et al. ERJ 2005;26:319-38 (ref. 332) ya fijaba ≤150 mL, sin el 5%.</w:t>
      </w:r>
    </w:p>
    <w:p>
      <w:pPr>
        <w:pStyle w:val="ListBullet"/>
      </w:pPr>
      <w:r>
        <w:rPr>
          <w:b/>
        </w:rPr>
        <w:t>Recomendación:</w:t>
      </w:r>
    </w:p>
    <w:p>
      <w:pPr>
        <w:pStyle w:val="ListBullet2"/>
      </w:pPr>
      <w:r>
        <w:t>Actualizar la Fig. 2.4 al estándar ATS/ERS 2019 y citarlo.</w:t>
      </w:r>
    </w:p>
    <w:p>
      <w:pPr>
        <w:pStyle w:val="ListBullet2"/>
      </w:pPr>
      <w:r>
        <w:t>Corregir la regla de cálculo del cociente.</w:t>
      </w:r>
    </w:p>
    <w:p>
      <w:pPr>
        <w:pStyle w:val="ListBullet2"/>
      </w:pPr>
      <w:r>
        <w:t>Añadir una fila «Preparación para el test broncodilatador diagnóstico» con los tiempos de retirada.</w:t>
      </w:r>
    </w:p>
    <w:p>
      <w:pPr>
        <w:pStyle w:val="ListBullet2"/>
      </w:pPr>
      <w:r>
        <w:t>Definir la respuesta broncodilatadora según ERS/ATS 2022: cambio &gt;10% del valor predicho en FEV1 o FVC.</w:t>
      </w:r>
    </w:p>
    <w:p>
      <w:pPr>
        <w:pStyle w:val="ListBullet"/>
      </w:pPr>
      <w:r>
        <w:rPr>
          <w:b/>
        </w:rPr>
        <w:t>Confianza:</w:t>
      </w:r>
      <w:r>
        <w:t xml:space="preserve"> 5/5</w:t>
      </w:r>
    </w:p>
    <w:p>
      <w:pPr>
        <w:pStyle w:val="Heading4"/>
      </w:pPr>
      <w:r>
        <w:t>DX-02 · Fig. 2.6: algoritmo pre/post-BD contradictorio y sin las salidas clínicas necesarias</w:t>
      </w:r>
    </w:p>
    <w:p>
      <w:r>
        <w:rPr>
          <w:i/>
        </w:rPr>
        <w:t xml:space="preserve">Severidad final: </w:t>
      </w:r>
      <w:r>
        <w:rPr>
          <w:i/>
          <w:color w:val="ED7D31"/>
        </w:rPr>
        <w:t>🟠</w:t>
      </w:r>
      <w:r>
        <w:rPr>
          <w:i/>
        </w:rPr>
        <w:t xml:space="preserve"> ALTA · Tema T18: Diagnóstico, espirometría, búsqueda de casos, pre-EPOC/PRISm</w:t>
      </w:r>
    </w:p>
    <w:p>
      <w:pPr>
        <w:pStyle w:val="ListBullet"/>
      </w:pPr>
      <w:r>
        <w:rPr>
          <w:b/>
        </w:rPr>
        <w:t>Tipo:</w:t>
      </w:r>
      <w:r>
        <w:t xml:space="preserve"> Incongruencia interna / Ambigüedad</w:t>
      </w:r>
    </w:p>
    <w:p>
      <w:pPr>
        <w:pStyle w:val="ListBullet"/>
      </w:pPr>
      <w:r>
        <w:rPr>
          <w:b/>
        </w:rPr>
        <w:t>Severidad:</w:t>
      </w:r>
      <w:r>
        <w:t xml:space="preserve"> ALTA</w:t>
      </w:r>
    </w:p>
    <w:p>
      <w:pPr>
        <w:pStyle w:val="ListBullet"/>
      </w:pPr>
      <w:r>
        <w:rPr>
          <w:b/>
        </w:rPr>
        <w:t>Ubicación:</w:t>
      </w:r>
      <w:r>
        <w:t xml:space="preserve"> PDF 40 / impr. 29 — Figura 2.6. Cotejado con el texto de PDF 39 / impr. 28 y PDF 41 / impr. 30, y con los key points de PDF 32 / impr. 21.</w:t>
      </w:r>
    </w:p>
    <w:p>
      <w:pPr>
        <w:pStyle w:val="ListBullet"/>
      </w:pPr>
      <w:r>
        <w:rPr>
          <w:b/>
        </w:rPr>
        <w:t>Cita:</w:t>
      </w:r>
      <w:r>
        <w:t xml:space="preserve"> Figura: «Not COPD» → (flecha punteada) «Measure Post-Bronchodilator FEV1/FVC if volume responder suspected e.g., low FEV1 or high symptoms»; rama post-BD &lt;0,7 → «COPD confirmed». Key point: «Pre-bronchodilator spirometry can be used to exclude a diagnosis of COPD».</w:t>
      </w:r>
    </w:p>
    <w:p>
      <w:pPr>
        <w:pStyle w:val="ListBullet"/>
      </w:pPr>
      <w:r>
        <w:rPr>
          <w:b/>
        </w:rPr>
        <w:t>Problema:</w:t>
      </w:r>
    </w:p>
    <w:p>
      <w:pPr>
        <w:pStyle w:val="ListNumber"/>
        <w:numPr>
          <w:ilvl w:val="0"/>
          <w:numId w:val="26"/>
        </w:numPr>
      </w:pPr>
      <w:r>
        <w:rPr>
          <w:b/>
        </w:rPr>
        <w:t>Etiqueta contradictoria.</w:t>
      </w:r>
      <w:r>
        <w:t xml:space="preserve"> Se rotula «Not COPD» y a continuación se propone una prueba que puede revelar EPOC (los respondedores de volumen aumentan la FVC y bajan el cociente). El key point, en términos absolutos, refuerza el mensaje de exclusión.</w:t>
      </w:r>
    </w:p>
    <w:p>
      <w:pPr>
        <w:pStyle w:val="ListNumber"/>
        <w:numPr>
          <w:ilvl w:val="0"/>
          <w:numId w:val="26"/>
        </w:numPr>
      </w:pPr>
      <w:r>
        <w:rPr>
          <w:b/>
        </w:rPr>
        <w:t>«Volume responder» sin definir.</w:t>
      </w:r>
      <w:r>
        <w:t xml:space="preserve"> El disparador de la figura («low FEV1 or high symptoms») tampoco coincide con el del texto («very high clinical suspicion of COPD»).</w:t>
      </w:r>
    </w:p>
    <w:p>
      <w:pPr>
        <w:pStyle w:val="ListNumber"/>
        <w:numPr>
          <w:ilvl w:val="0"/>
          <w:numId w:val="26"/>
        </w:numPr>
      </w:pPr>
      <w:r>
        <w:rPr>
          <w:b/>
        </w:rPr>
        <w:t>Confirmación con una sola medida.</w:t>
      </w:r>
      <w:r>
        <w:t xml:space="preserve"> «COPD confirmed» tras un único post-BD &lt;0,7 contradice la regla del texto (PDF 41): repetir la espirometría en otra ocasión si el cociente está entre 0,6 y 0,8. También omite el contexto clínico, que el propio texto exige.</w:t>
      </w:r>
    </w:p>
    <w:p>
      <w:pPr>
        <w:pStyle w:val="ListNumber"/>
        <w:numPr>
          <w:ilvl w:val="0"/>
          <w:numId w:val="26"/>
        </w:numPr>
      </w:pPr>
      <w:r>
        <w:rPr>
          <w:b/>
        </w:rPr>
        <w:t>Falta la salida PRISm.</w:t>
      </w:r>
      <w:r>
        <w:t xml:space="preserve"> No existe ruta para un cociente ≥0,7 con FEV1 o FVC bajos, que es precisamente el caso que la figura usa como disparador («low FEV1»). Esos pacientes quedan etiquetados como «Not COPD» sin seguimiento (véase DX-03).</w:t>
      </w:r>
    </w:p>
    <w:p>
      <w:pPr>
        <w:pStyle w:val="ListBullet"/>
      </w:pPr>
      <w:r>
        <w:rPr>
          <w:b/>
        </w:rPr>
        <w:t>Evidencia/justificación:</w:t>
      </w:r>
    </w:p>
    <w:p>
      <w:pPr>
        <w:pStyle w:val="ListBullet2"/>
      </w:pPr>
      <w:r>
        <w:t>Stanojevic S et al. ERS/ATS technical standard on interpretive strategies. ERJ 2022;60:2101499 (doi:10.1183/13993003.01499-2021, ref. 337). Define la respuesta broncodilatadora como &gt;10% del predicho en FEV1 o FVC.</w:t>
      </w:r>
    </w:p>
    <w:p>
      <w:pPr>
        <w:pStyle w:val="ListBullet2"/>
      </w:pPr>
      <w:r>
        <w:t>Las regresiones del cociente hacia &gt;0,7 son frecuentes cuando el valor inicial es cercano al umbral (refs. 353-354, citadas por el propio GOLD).</w:t>
      </w:r>
    </w:p>
    <w:p>
      <w:pPr>
        <w:pStyle w:val="ListBullet"/>
      </w:pPr>
      <w:r>
        <w:rPr>
          <w:b/>
        </w:rPr>
        <w:t>Recomendación:</w:t>
      </w:r>
    </w:p>
    <w:p>
      <w:pPr>
        <w:pStyle w:val="ListBullet2"/>
      </w:pPr>
      <w:r>
        <w:t>Sustituir «Not COPD» por «Sin obstrucción: valorar diagnósticos alternativos/PRISm».</w:t>
      </w:r>
    </w:p>
    <w:p>
      <w:pPr>
        <w:pStyle w:val="ListBullet2"/>
      </w:pPr>
      <w:r>
        <w:t>Definir operativamente «volume responder» y alinear el disparador con el texto.</w:t>
      </w:r>
    </w:p>
    <w:p>
      <w:pPr>
        <w:pStyle w:val="ListBullet2"/>
      </w:pPr>
      <w:r>
        <w:t>En la rama post-BD &lt;0,7, añadir «si 0,6-0,8: repetir en otra visita» y «en el contexto clínico apropiado».</w:t>
      </w:r>
    </w:p>
    <w:p>
      <w:pPr>
        <w:pStyle w:val="ListBullet2"/>
      </w:pPr>
      <w:r>
        <w:t>Matizar el key point: «puede usarse para descartar obstrucción en la mayoría de los casos».</w:t>
      </w:r>
    </w:p>
    <w:p>
      <w:pPr>
        <w:pStyle w:val="ListBullet"/>
      </w:pPr>
      <w:r>
        <w:rPr>
          <w:b/>
        </w:rPr>
        <w:t>Confianza:</w:t>
      </w:r>
      <w:r>
        <w:t xml:space="preserve"> 5/5</w:t>
      </w:r>
    </w:p>
    <w:p>
      <w:pPr>
        <w:pStyle w:val="Heading4"/>
      </w:pPr>
      <w:r>
        <w:t>DX-10 · USPSTF 2022 mal representada: el grado D se aplica a todos los adultos asintomáticos, no solo a los de «bajo riesgo»</w:t>
      </w:r>
    </w:p>
    <w:p>
      <w:r>
        <w:rPr>
          <w:i/>
        </w:rPr>
        <w:t xml:space="preserve">Severidad final: </w:t>
      </w:r>
      <w:r>
        <w:rPr>
          <w:i/>
          <w:color w:val="ED7D31"/>
        </w:rPr>
        <w:t>🟠</w:t>
      </w:r>
      <w:r>
        <w:rPr>
          <w:i/>
        </w:rPr>
        <w:t xml:space="preserve"> ALTA · Tema T18: Diagnóstico, espirometría, búsqueda de casos, pre-EPOC/PRISm</w:t>
      </w:r>
    </w:p>
    <w:p>
      <w:pPr>
        <w:pStyle w:val="IntenseQuote"/>
      </w:pPr>
      <w:r>
        <w:rPr>
          <w:b/>
        </w:rPr>
        <w:t>Verificación independiente (CONFIRMADO):</w:t>
      </w:r>
      <w:r>
        <w:t xml:space="preserve"> 1. Citar con exactitud: "La USPSTF desaconseja (D) el cribado en adultos asintomáticos, incluidos fumadores". 2. Citar Mangione 2022. 3. Declarar y justificar la divergencia de GOLD sobre la búsqueda activa de casos en expuestos asintomáticos (PDF 45).</w:t>
      </w:r>
    </w:p>
    <w:p>
      <w:pPr>
        <w:pStyle w:val="ListBullet"/>
      </w:pPr>
      <w:r>
        <w:rPr>
          <w:b/>
        </w:rPr>
        <w:t>Tipo:</w:t>
      </w:r>
      <w:r>
        <w:t xml:space="preserve"> Evidencia mal representada</w:t>
      </w:r>
    </w:p>
    <w:p>
      <w:pPr>
        <w:pStyle w:val="ListBullet"/>
      </w:pPr>
      <w:r>
        <w:rPr>
          <w:b/>
        </w:rPr>
        <w:t>Severidad:</w:t>
      </w:r>
      <w:r>
        <w:t xml:space="preserve"> ALTA</w:t>
      </w:r>
    </w:p>
    <w:p>
      <w:pPr>
        <w:pStyle w:val="ListBullet"/>
      </w:pPr>
      <w:r>
        <w:rPr>
          <w:b/>
        </w:rPr>
        <w:t>Ubicación:</w:t>
      </w:r>
      <w:r>
        <w:t xml:space="preserve"> PDF 44 / impr. 33 (cribado). Relacionado: PDF 45 / impr. 34 (búsqueda activa), Fig. 2.1 (PDF 33 / impr. 22) y Fig. 2.9 (PDF 46 / impr. 35).</w:t>
      </w:r>
    </w:p>
    <w:p>
      <w:pPr>
        <w:pStyle w:val="ListBullet"/>
      </w:pPr>
      <w:r>
        <w:rPr>
          <w:b/>
        </w:rPr>
        <w:t>Cita:</w:t>
      </w:r>
      <w:r>
        <w:t xml:space="preserve"> «…screening of low-risk, asymptomatic individuals is not recommended by the US Preventive Services Task Force.(380)»</w:t>
      </w:r>
    </w:p>
    <w:p>
      <w:pPr>
        <w:pStyle w:val="ListBullet"/>
      </w:pPr>
      <w:r>
        <w:rPr>
          <w:b/>
        </w:rPr>
        <w:t>Problema:</w:t>
      </w:r>
    </w:p>
    <w:p>
      <w:pPr>
        <w:pStyle w:val="ListBullet2"/>
      </w:pPr>
      <w:r>
        <w:t xml:space="preserve">La USPSTF recomienda </w:t>
      </w:r>
      <w:r>
        <w:rPr>
          <w:b/>
        </w:rPr>
        <w:t>en contra</w:t>
      </w:r>
      <w:r>
        <w:t xml:space="preserve"> del cribado de EPOC en </w:t>
      </w:r>
      <w:r>
        <w:rPr>
          <w:b/>
        </w:rPr>
        <w:t>adultos asintomáticos</w:t>
      </w:r>
      <w:r>
        <w:t>, sin limitarlo a los de bajo riesgo. Su revisión incluyó expresamente a personas con factores de riesgo; la recomendación solo excluye a quienes presentan síntomas.</w:t>
      </w:r>
    </w:p>
    <w:p>
      <w:pPr>
        <w:pStyle w:val="ListBullet2"/>
      </w:pPr>
      <w:r>
        <w:t>GOLD, en cambio, propone espirometría a asintomáticos con &gt;20 paquetes-año dentro de la «búsqueda activa de casos» (PDF 45), y las Figs. 2.1 y 2.9 incluyen «Age ≥ 35» y exposición como criterios de entrada. Esto equivale a cribar a fumadores asintomáticos, justo lo que la USPSTF desaconseja.</w:t>
      </w:r>
    </w:p>
    <w:p>
      <w:pPr>
        <w:pStyle w:val="ListBullet2"/>
      </w:pPr>
      <w:r>
        <w:t>La discrepancia es legítima (la USPSTF valoró resultados y no el diagnóstico), pero debe declararse de forma transparente y no ocultarse con una paráfrasis inexacta.</w:t>
      </w:r>
    </w:p>
    <w:p>
      <w:pPr>
        <w:pStyle w:val="ListBullet2"/>
      </w:pPr>
      <w:r>
        <w:t>La ref. 380 es el informe de evidencia (Webber 2022), no la declaración de recomendación.</w:t>
      </w:r>
    </w:p>
    <w:p>
      <w:pPr>
        <w:pStyle w:val="ListBullet"/>
      </w:pPr>
      <w:r>
        <w:rPr>
          <w:b/>
        </w:rPr>
        <w:t>Evidencia/justificación:</w:t>
      </w:r>
    </w:p>
    <w:p>
      <w:pPr>
        <w:pStyle w:val="ListBullet2"/>
      </w:pPr>
      <w:r>
        <w:t xml:space="preserve">US Preventive Services Task Force; Mangione CM et al. </w:t>
      </w:r>
      <w:r>
        <w:rPr>
          <w:i/>
        </w:rPr>
        <w:t>Screening for COPD: Reaffirmation Recommendation Statement</w:t>
      </w:r>
      <w:r>
        <w:t>. JAMA 2022;327(18):1806-1811 (doi:10.1001/jama.2022.5692): «recommends against screening for COPD in asymptomatic adults (D)».</w:t>
      </w:r>
    </w:p>
    <w:p>
      <w:pPr>
        <w:pStyle w:val="ListBullet2"/>
      </w:pPr>
      <w:r>
        <w:t>Webber EM et al. JAMA 2022;327:1812-1816 (PMID 35536261; informe completo de la AHRQ: PMID 35605065): no halló ensayos que evaluaran la eficacia del cribado.</w:t>
      </w:r>
    </w:p>
    <w:p>
      <w:pPr>
        <w:pStyle w:val="ListBullet"/>
      </w:pPr>
      <w:r>
        <w:rPr>
          <w:b/>
        </w:rPr>
        <w:t>Recomendación:</w:t>
      </w:r>
    </w:p>
    <w:p>
      <w:pPr>
        <w:pStyle w:val="ListBullet2"/>
      </w:pPr>
      <w:r>
        <w:t>Citar literalmente la recomendación D y su población.</w:t>
      </w:r>
    </w:p>
    <w:p>
      <w:pPr>
        <w:pStyle w:val="ListBullet2"/>
      </w:pPr>
      <w:r>
        <w:t>Explicitar que GOLD diverge para fumadores o expuestos y justificarlo: Çolak 2017 (asintomáticos con HR ≈5 para exacerbaciones), utilidad para la deshabituación y valor pronóstico.</w:t>
      </w:r>
    </w:p>
    <w:p>
      <w:pPr>
        <w:pStyle w:val="ListBullet2"/>
      </w:pPr>
      <w:r>
        <w:t>Etiquetar como «cribado dirigido a población de riesgo» la espirometría en asintomáticos con &gt;20 paquetes-año, en lugar de «búsqueda de casos».</w:t>
      </w:r>
    </w:p>
    <w:p>
      <w:pPr>
        <w:pStyle w:val="ListBullet"/>
      </w:pPr>
      <w:r>
        <w:rPr>
          <w:b/>
        </w:rPr>
        <w:t>Confianza:</w:t>
      </w:r>
      <w:r>
        <w:t xml:space="preserve"> 5/5</w:t>
      </w:r>
    </w:p>
    <w:p>
      <w:pPr>
        <w:pStyle w:val="Heading4"/>
      </w:pPr>
      <w:r>
        <w:t>EPI-02 · Pre-EPOC y PRISm: definiciones solapadas y mensaje terapéutico no apoyado por la evidencia citada</w:t>
      </w:r>
    </w:p>
    <w:p>
      <w:r>
        <w:rPr>
          <w:i/>
        </w:rPr>
        <w:t xml:space="preserve">Severidad final: </w:t>
      </w:r>
      <w:r>
        <w:rPr>
          <w:i/>
          <w:color w:val="ED7D31"/>
        </w:rPr>
        <w:t>🟠</w:t>
      </w:r>
      <w:r>
        <w:rPr>
          <w:i/>
        </w:rPr>
        <w:t xml:space="preserve"> ALTA · Tema T18: Diagnóstico, espirometría, búsqueda de casos, pre-EPOC/PRISm</w:t>
      </w:r>
    </w:p>
    <w:p>
      <w:pPr>
        <w:pStyle w:val="ListBullet"/>
      </w:pPr>
      <w:r>
        <w:rPr>
          <w:b/>
        </w:rPr>
        <w:t>Tipo:</w:t>
      </w:r>
      <w:r>
        <w:t xml:space="preserve"> Incongruencia interna / Evidencia mal representada</w:t>
      </w:r>
    </w:p>
    <w:p>
      <w:pPr>
        <w:pStyle w:val="ListBullet"/>
      </w:pPr>
      <w:r>
        <w:rPr>
          <w:b/>
        </w:rPr>
        <w:t>Severidad:</w:t>
      </w:r>
      <w:r>
        <w:t xml:space="preserve"> ALTA</w:t>
      </w:r>
    </w:p>
    <w:p>
      <w:pPr>
        <w:pStyle w:val="ListBullet"/>
      </w:pPr>
      <w:r>
        <w:rPr>
          <w:b/>
        </w:rPr>
        <w:t>Ubicación:</w:t>
      </w:r>
      <w:r>
        <w:t xml:space="preserve"> PDF 18 / impr. 7 (Diagnostic criteria) y PDF 25 / impr. 14 (Pre-COPD, PRISm)</w:t>
      </w:r>
    </w:p>
    <w:p>
      <w:pPr>
        <w:pStyle w:val="ListBullet"/>
      </w:pPr>
      <w:r>
        <w:rPr>
          <w:b/>
        </w:rPr>
        <w:t>Cita:</w:t>
      </w:r>
      <w:r>
        <w:t xml:space="preserve"> PDF 18: «physiological abnormalities (including low FEV1, gas trapping…) without airflow obstruction… These subjects are labeled ‘pre-COPD’»; PDF 25: «they should be considered “patients”… they deserve care and treatment… there is no evidence on what the best treatment is… yet.(159)»</w:t>
      </w:r>
    </w:p>
    <w:p>
      <w:pPr>
        <w:pStyle w:val="ListBullet"/>
      </w:pPr>
      <w:r>
        <w:rPr>
          <w:b/>
        </w:rPr>
        <w:t>Problema:</w:t>
      </w:r>
    </w:p>
    <w:p>
      <w:pPr>
        <w:pStyle w:val="ListNumber"/>
        <w:numPr>
          <w:ilvl w:val="0"/>
          <w:numId w:val="27"/>
        </w:numPr>
      </w:pPr>
      <w:r>
        <w:rPr>
          <w:b/>
        </w:rPr>
        <w:t>Dos definiciones distintas de pre-EPOC.</w:t>
      </w:r>
      <w:r>
        <w:t xml:space="preserve"> En PDF 18 se basa solo en anomalías estructurales/fisiológicas e incluye «low FEV1», lo que en la práctica engloba PRISm. En PDF 25 se basa en síntomas «and/or» anomalías, «of any age». No se explica si PRISm es un subconjunto de pre-EPOC, una entidad paralela o se solapa parcialmente.</w:t>
      </w:r>
    </w:p>
    <w:p>
      <w:pPr>
        <w:pStyle w:val="ListNumber"/>
        <w:numPr>
          <w:ilvl w:val="0"/>
          <w:numId w:val="27"/>
        </w:numPr>
      </w:pPr>
      <w:r>
        <w:rPr>
          <w:b/>
        </w:rPr>
        <w:t>Umbral de PRISm fijo</w:t>
      </w:r>
      <w:r>
        <w:t xml:space="preserve"> (FEV1 &lt;80% del teórico post-BD), sin mención del LLN ni de los z-scores. El cap. 2 recomienda GLI-Global (PDF 42 / impr. 31), y las normas de interpretación ERS/ATS 2022 desaconsejan los porcentajes fijos.</w:t>
      </w:r>
    </w:p>
    <w:p>
      <w:pPr>
        <w:pStyle w:val="ListNumber"/>
        <w:numPr>
          <w:ilvl w:val="0"/>
          <w:numId w:val="27"/>
        </w:numPr>
      </w:pPr>
      <w:r>
        <w:rPr>
          <w:b/>
        </w:rPr>
        <w:t>Mensaje terapéutico no apoyado.</w:t>
      </w:r>
      <w:r>
        <w:t xml:space="preserve"> La frase «deserve care and treatment» se apoya en la ref 159, que es </w:t>
      </w:r>
      <w:r>
        <w:rPr>
          <w:b/>
        </w:rPr>
        <w:t>RETHINC</w:t>
      </w:r>
      <w:r>
        <w:t>: ensayo negativo de LABA+LAMA en fumadores sintomáticos con espirometría preservada. Leída sin matices, la frase invita a tratar farmacológicamente a sintomáticos sin obstrucción. Además, contradice el tono de PDF 18 («Research is needed to determine what is the best treatment»).</w:t>
      </w:r>
    </w:p>
    <w:p>
      <w:pPr>
        <w:pStyle w:val="ListNumber"/>
        <w:numPr>
          <w:ilvl w:val="0"/>
          <w:numId w:val="27"/>
        </w:numPr>
      </w:pPr>
      <w:r>
        <w:rPr>
          <w:b/>
        </w:rPr>
        <w:t>Terminología oscilante</w:t>
      </w:r>
      <w:r>
        <w:t xml:space="preserve"> para un mismo concepto: «persistent» (definición), «non-fully reversible» (PDF 18) y «fixed airflow obstruction» (PDF 25).</w:t>
      </w:r>
    </w:p>
    <w:p>
      <w:pPr>
        <w:pStyle w:val="ListBullet"/>
      </w:pPr>
      <w:r>
        <w:rPr>
          <w:b/>
        </w:rPr>
        <w:t>Evidencia/justificación:</w:t>
      </w:r>
    </w:p>
    <w:p>
      <w:pPr>
        <w:pStyle w:val="ListBullet2"/>
      </w:pPr>
      <w:r>
        <w:t xml:space="preserve">Han MK et al. </w:t>
      </w:r>
      <w:r>
        <w:rPr>
          <w:i/>
        </w:rPr>
        <w:t>NEJM</w:t>
      </w:r>
      <w:r>
        <w:t xml:space="preserve"> 2022;387:1173-84 (RETHINC, PMID 36066078): indacaterol-glicopirronio no redujo los síntomas frente a placebo.</w:t>
      </w:r>
    </w:p>
    <w:p>
      <w:pPr>
        <w:pStyle w:val="ListBullet2"/>
      </w:pPr>
      <w:r>
        <w:t xml:space="preserve">Han MK et al. </w:t>
      </w:r>
      <w:r>
        <w:rPr>
          <w:i/>
        </w:rPr>
        <w:t>AJRCCM</w:t>
      </w:r>
      <w:r>
        <w:t xml:space="preserve"> 2021;203:414-23 (PMID 33211970): origen del término pre-EPOC.</w:t>
      </w:r>
    </w:p>
    <w:p>
      <w:pPr>
        <w:pStyle w:val="ListBullet2"/>
      </w:pPr>
      <w:r>
        <w:t xml:space="preserve">Stanojevic S et al. </w:t>
      </w:r>
      <w:r>
        <w:rPr>
          <w:i/>
        </w:rPr>
        <w:t>ERJ</w:t>
      </w:r>
      <w:r>
        <w:t xml:space="preserve"> 2022;60:2101499 (normas de interpretación ERS/ATS, uso de LLN/z-score).</w:t>
      </w:r>
    </w:p>
    <w:p>
      <w:pPr>
        <w:pStyle w:val="ListBullet"/>
      </w:pPr>
      <w:r>
        <w:rPr>
          <w:b/>
        </w:rPr>
        <w:t>Recomendación:</w:t>
      </w:r>
    </w:p>
    <w:p>
      <w:pPr>
        <w:pStyle w:val="ListBullet2"/>
      </w:pPr>
      <w:r>
        <w:t>Unificar en un único recuadro las definiciones operativas de pre-EPOC y PRISm, con su relación explícita (diagrama de Venn) y la opción LLN/z-score para PRISm.</w:t>
      </w:r>
    </w:p>
    <w:p>
      <w:pPr>
        <w:pStyle w:val="ListBullet2"/>
      </w:pPr>
      <w:r>
        <w:t>Reformular la frase terapéutica: «merecen seguimiento, cesación tabáquica, control de exposiciones y evaluación de diagnósticos alternativos; no hay evidencia que apoye broncodilatadores (RETHINC)».</w:t>
      </w:r>
    </w:p>
    <w:p>
      <w:pPr>
        <w:pStyle w:val="ListBullet2"/>
      </w:pPr>
      <w:r>
        <w:t>Usar «persistent» de forma homogénea.</w:t>
      </w:r>
    </w:p>
    <w:p>
      <w:pPr>
        <w:pStyle w:val="ListBullet"/>
      </w:pPr>
      <w:r>
        <w:rPr>
          <w:b/>
        </w:rPr>
        <w:t>Confianza:</w:t>
      </w:r>
      <w:r>
        <w:t xml:space="preserve"> 5/5</w:t>
      </w:r>
    </w:p>
    <w:p>
      <w:pPr>
        <w:pStyle w:val="Heading4"/>
      </w:pPr>
      <w:r>
        <w:t>EQ-02 · El algoritmo de búsqueda de casos (fig. 2.9) reserva la espirometría a la atención especializada y puede dejar sin diagnóstico a personas con síntomas</w:t>
      </w:r>
    </w:p>
    <w:p>
      <w:r>
        <w:rPr>
          <w:i/>
        </w:rPr>
        <w:t xml:space="preserve">Severidad final: </w:t>
      </w:r>
      <w:r>
        <w:rPr>
          <w:i/>
          <w:color w:val="ED7D31"/>
        </w:rPr>
        <w:t>🟠</w:t>
      </w:r>
      <w:r>
        <w:rPr>
          <w:i/>
        </w:rPr>
        <w:t xml:space="preserve"> ALTA · Tema T18: Diagnóstico, espirometría, búsqueda de casos, pre-EPOC/PRISm</w:t>
      </w:r>
    </w:p>
    <w:p>
      <w:pPr>
        <w:pStyle w:val="ListBullet"/>
      </w:pPr>
      <w:r>
        <w:rPr>
          <w:b/>
        </w:rPr>
        <w:t>Tipo:</w:t>
      </w:r>
      <w:r>
        <w:t xml:space="preserve"> Incongruencia interna</w:t>
      </w:r>
    </w:p>
    <w:p>
      <w:pPr>
        <w:pStyle w:val="ListBullet"/>
      </w:pPr>
      <w:r>
        <w:rPr>
          <w:b/>
        </w:rPr>
        <w:t>Severidad:</w:t>
      </w:r>
      <w:r>
        <w:t xml:space="preserve"> ALTA</w:t>
      </w:r>
    </w:p>
    <w:p>
      <w:pPr>
        <w:pStyle w:val="ListBullet"/>
      </w:pPr>
      <w:r>
        <w:rPr>
          <w:b/>
        </w:rPr>
        <w:t>Ubicación:</w:t>
      </w:r>
      <w:r>
        <w:t xml:space="preserve"> PDF 46 / impr. 35 — figura 2.9 y apartado "Opportunistic case-finding in primary care".</w:t>
      </w:r>
    </w:p>
    <w:p>
      <w:pPr>
        <w:pStyle w:val="ListBullet"/>
      </w:pPr>
      <w:r>
        <w:rPr>
          <w:b/>
        </w:rPr>
        <w:t>Cita:</w:t>
      </w:r>
      <w:r>
        <w:t xml:space="preserve"> Figura: "In Primary Care Setting — Hand devices (PEF, COPD-6, PIKO-6)" frente a "In Specialty Care Setting — Confirmatory pre-BD spirometry". Texto: "Systematic active case-finding in a primary care setting via mail-out of a screening questionnaire…"</w:t>
      </w:r>
    </w:p>
    <w:p>
      <w:pPr>
        <w:pStyle w:val="ListBullet"/>
      </w:pPr>
      <w:r>
        <w:rPr>
          <w:b/>
        </w:rPr>
        <w:t>Problema:</w:t>
      </w:r>
      <w:r>
        <w:t xml:space="preserve"> La figura presenta tres problemas:</w:t>
      </w:r>
    </w:p>
    <w:p>
      <w:pPr>
        <w:pStyle w:val="ListNumber"/>
        <w:numPr>
          <w:ilvl w:val="0"/>
          <w:numId w:val="28"/>
        </w:numPr>
      </w:pPr>
      <w:r>
        <w:t>La espirometría confirmatoria solo aparece en la atención especializada. Esto contradice EQ-01 y la práctica de muchos sistemas en los que AP hace espirometría (Reino Unido, Países Bajos, España, Canadá). En LMIC, donde apenas hay especialistas, la figura deja a la AP sin camino diagnóstico.</w:t>
      </w:r>
    </w:p>
    <w:p>
      <w:pPr>
        <w:pStyle w:val="ListNumber"/>
        <w:numPr>
          <w:ilvl w:val="0"/>
          <w:numId w:val="28"/>
        </w:numPr>
      </w:pPr>
      <w:r>
        <w:t>La casilla "Individuals at Risk" incluye "Respiratory symptoms". Sin embargo, un cuestionario negativo lleva a "Monitor symptoms &amp; address risk factors", de modo que una persona sintomática y expuesta se queda sin espirometría. Esto contradice el principio general del GOLD de que los síntomas más la exposición obligan a hacer espirometría. Los cuestionarios están pensados para población asintomática o no consultante, no para sustituir el estudio de una persona con síntomas.</w:t>
      </w:r>
    </w:p>
    <w:p>
      <w:pPr>
        <w:pStyle w:val="ListNumber"/>
        <w:numPr>
          <w:ilvl w:val="0"/>
          <w:numId w:val="28"/>
        </w:numPr>
      </w:pPr>
      <w:r>
        <w:t>Los factores de riesgo de la figura omiten la TB, el VIH y las infecciones respiratorias de la infancia, a pesar de que el texto (PDF 26 y 37) y la figura de etiotipos los incluyen. Además, el epígrafe "Opportunistic" introduce un ejemplo de búsqueda sistemática por correo, lo que mezcla dos estrategias distintas.</w:t>
      </w:r>
    </w:p>
    <w:p>
      <w:pPr>
        <w:pStyle w:val="ListBullet"/>
      </w:pPr>
      <w:r>
        <w:rPr>
          <w:b/>
        </w:rPr>
        <w:t>Evidencia/justificación:</w:t>
      </w:r>
      <w:r>
        <w:t xml:space="preserve"> La figura está adaptada de Aaron et al., AJRCCM 2024, cuyo contexto es el sistema canadiense. Los cuestionarios citados (LFQ, CDQ, COPD-PS, CAPTURE) se validaron sobre todo en países de ingresos altos (HIC).</w:t>
      </w:r>
    </w:p>
    <w:p>
      <w:pPr>
        <w:pStyle w:val="ListBullet"/>
      </w:pPr>
      <w:r>
        <w:rPr>
          <w:b/>
        </w:rPr>
        <w:t>Recomendación:</w:t>
      </w:r>
    </w:p>
    <w:p>
      <w:pPr>
        <w:pStyle w:val="ListBullet2"/>
      </w:pPr>
      <w:r>
        <w:t>Redibujar la figura con la espirometría disponible "en AP o en especializada, según el sistema".</w:t>
      </w:r>
    </w:p>
    <w:p>
      <w:pPr>
        <w:pStyle w:val="ListBullet2"/>
      </w:pPr>
      <w:r>
        <w:t>Hacer que los síntomas respiratorios lleven directamente a espirometría, sin pasar por el cuestionario.</w:t>
      </w:r>
    </w:p>
    <w:p>
      <w:pPr>
        <w:pStyle w:val="ListBullet2"/>
      </w:pPr>
      <w:r>
        <w:t>Añadir la TB previa, el VIH y la biomasa como factores de riesgo.</w:t>
      </w:r>
    </w:p>
    <w:p>
      <w:pPr>
        <w:pStyle w:val="ListBullet2"/>
      </w:pPr>
      <w:r>
        <w:t>Incluir una rama "sin espirometría disponible" (EQ-03).</w:t>
      </w:r>
    </w:p>
    <w:p>
      <w:pPr>
        <w:pStyle w:val="ListBullet2"/>
      </w:pPr>
      <w:r>
        <w:t>Separar la búsqueda oportunista de la sistemática.</w:t>
      </w:r>
    </w:p>
    <w:p>
      <w:pPr>
        <w:pStyle w:val="ListBullet"/>
      </w:pPr>
      <w:r>
        <w:rPr>
          <w:b/>
        </w:rPr>
        <w:t>Confianza:</w:t>
      </w:r>
      <w:r>
        <w:t xml:space="preserve"> 4/5</w:t>
      </w:r>
    </w:p>
    <w:p>
      <w:pPr>
        <w:pStyle w:val="Heading4"/>
      </w:pPr>
      <w:r>
        <w:t>MUL-03 · HTA: umbral «&gt;130/80 merece tratamiento» mal atribuido a la ESC 2024 y guía pediátrica citada para adultos</w:t>
      </w:r>
    </w:p>
    <w:p>
      <w:r>
        <w:rPr>
          <w:i/>
        </w:rPr>
        <w:t xml:space="preserve">Severidad final: </w:t>
      </w:r>
      <w:r>
        <w:rPr>
          <w:i/>
          <w:color w:val="ED7D31"/>
        </w:rPr>
        <w:t>🟠</w:t>
      </w:r>
      <w:r>
        <w:rPr>
          <w:i/>
        </w:rPr>
        <w:t xml:space="preserve"> ALTA · Tema T19: Multimorbilidad (cardiovascular, HP, SAOS, salud mental, metabólica, otras)</w:t>
      </w:r>
    </w:p>
    <w:p>
      <w:pPr>
        <w:pStyle w:val="ListBullet"/>
      </w:pPr>
      <w:r>
        <w:rPr>
          <w:b/>
        </w:rPr>
        <w:t>Tipo:</w:t>
      </w:r>
      <w:r>
        <w:t xml:space="preserve"> Evidencia mal representada</w:t>
      </w:r>
    </w:p>
    <w:p>
      <w:pPr>
        <w:pStyle w:val="ListBullet"/>
      </w:pPr>
      <w:r>
        <w:rPr>
          <w:b/>
        </w:rPr>
        <w:t>Severidad:</w:t>
      </w:r>
      <w:r>
        <w:t xml:space="preserve"> ALTA</w:t>
      </w:r>
    </w:p>
    <w:p>
      <w:pPr>
        <w:pStyle w:val="ListBullet"/>
      </w:pPr>
      <w:r>
        <w:rPr>
          <w:b/>
        </w:rPr>
        <w:t>Ubicación:</w:t>
      </w:r>
      <w:r>
        <w:t xml:space="preserve"> PDF 126-127 / impr. 115-116 — Systemic hypertension</w:t>
      </w:r>
    </w:p>
    <w:p>
      <w:pPr>
        <w:pStyle w:val="ListBullet"/>
      </w:pPr>
      <w:r>
        <w:rPr>
          <w:b/>
        </w:rPr>
        <w:t>Cita:</w:t>
      </w:r>
      <w:r>
        <w:t xml:space="preserve"> "with values &gt; 130/80 mmHg abnormal and meriting treatment.(1147)" … "should be managed according to guidelines.(1148,1149)"</w:t>
      </w:r>
    </w:p>
    <w:p>
      <w:pPr>
        <w:pStyle w:val="ListBullet"/>
      </w:pPr>
      <w:r>
        <w:rPr>
          <w:b/>
        </w:rPr>
        <w:t>Problema:</w:t>
      </w:r>
    </w:p>
    <w:p>
      <w:pPr>
        <w:pStyle w:val="ListBullet2"/>
      </w:pPr>
      <w:r>
        <w:t xml:space="preserve">La ref. 1147 (ESC 2024) </w:t>
      </w:r>
      <w:r>
        <w:rPr>
          <w:b/>
        </w:rPr>
        <w:t>no</w:t>
      </w:r>
      <w:r>
        <w:t xml:space="preserve"> define 130/80 como HTA ni como indicación general de tratamiento farmacológico.</w:t>
      </w:r>
    </w:p>
    <w:p>
      <w:pPr>
        <w:pStyle w:val="ListBullet2"/>
      </w:pPr>
      <w:r>
        <w:t>En una población anciana, frágil y polimedicada, el mensaje favorece el sobretratamiento: hipotensión ortostática, caídas e insuficiencia renal aguda.</w:t>
      </w:r>
    </w:p>
    <w:p>
      <w:pPr>
        <w:pStyle w:val="ListBullet2"/>
      </w:pPr>
      <w:r>
        <w:t xml:space="preserve">La ref. 1148 es la guía ESH 2016 de HTA </w:t>
      </w:r>
      <w:r>
        <w:rPr>
          <w:b/>
        </w:rPr>
        <w:t>en niños y adolescentes</w:t>
      </w:r>
      <w:r>
        <w:t xml:space="preserve"> (Lurbe E, J Hypertens 2016;34:1887). No corresponde a adultos con EPOC.</w:t>
      </w:r>
    </w:p>
    <w:p>
      <w:pPr>
        <w:pStyle w:val="ListBullet"/>
      </w:pPr>
      <w:r>
        <w:rPr>
          <w:b/>
        </w:rPr>
        <w:t>Evidencia/justificación:</w:t>
      </w:r>
    </w:p>
    <w:p>
      <w:pPr>
        <w:pStyle w:val="ListBullet2"/>
      </w:pPr>
      <w:r>
        <w:rPr>
          <w:b/>
        </w:rPr>
        <w:t>ESC 2024</w:t>
      </w:r>
      <w:r>
        <w:t xml:space="preserve"> (McEvoy JW, Eur Heart J 2024;45:3912): HTA si la PA es ≥140/90. La PA «elevada» (120-139/70-89) solo se trata con fármacos si es ≥130/80, el riesgo CV es alto y han pasado unos 3 meses de cambios de estilo de vida. En pacientes de ≥85 años o con fragilidad moderada o grave, los umbrales y los objetivos son más laxos.</w:t>
      </w:r>
    </w:p>
    <w:p>
      <w:pPr>
        <w:pStyle w:val="ListBullet2"/>
      </w:pPr>
      <w:r>
        <w:rPr>
          <w:b/>
        </w:rPr>
        <w:t>AHA/ACC 2025</w:t>
      </w:r>
      <w:r>
        <w:t xml:space="preserve"> (ref. 1149): el estadio 1 (130-139/80-89) se trata con fármacos solo si hay ECV, diabetes, ERC o un riesgo PREVENT ≥7,5 %. Si no, se recomiendan 3-6 meses de estilo de vida.</w:t>
      </w:r>
    </w:p>
    <w:p>
      <w:pPr>
        <w:pStyle w:val="ListBullet"/>
      </w:pPr>
      <w:r>
        <w:rPr>
          <w:b/>
        </w:rPr>
        <w:t>Recomendación:</w:t>
      </w:r>
    </w:p>
    <w:p>
      <w:pPr>
        <w:pStyle w:val="ListBullet2"/>
      </w:pPr>
      <w:r>
        <w:t>Corregir así: «Diagnosticar la HTA según la guía regional (≥140/90 ESC; ≥130/80 AHA/ACC). La indicación farmacológica depende del riesgo CV global. Individualizar en ancianos frágiles».</w:t>
      </w:r>
    </w:p>
    <w:p>
      <w:pPr>
        <w:pStyle w:val="ListBullet2"/>
      </w:pPr>
      <w:r>
        <w:t>Sustituir la ref. 1148 por la guía ESH 2023 del adulto (Mancia G, J Hypertens 2023;41:1874).</w:t>
      </w:r>
    </w:p>
    <w:p>
      <w:pPr>
        <w:pStyle w:val="ListBullet2"/>
      </w:pPr>
      <w:r>
        <w:t>Mencionar que, con betabloqueantes, se prefieren los cardioselectivos.</w:t>
      </w:r>
    </w:p>
    <w:p>
      <w:pPr>
        <w:pStyle w:val="ListBullet"/>
      </w:pPr>
      <w:r>
        <w:rPr>
          <w:b/>
        </w:rPr>
        <w:t>Confianza:</w:t>
      </w:r>
      <w:r>
        <w:t xml:space="preserve"> 5/5</w:t>
      </w:r>
    </w:p>
    <w:p>
      <w:pPr>
        <w:pStyle w:val="Heading4"/>
      </w:pPr>
      <w:r>
        <w:t>MUL-04 · Riesgo CV: cribado universal con hs-troponina contrario a la ESC y al cap. 2, y calculadora obsoleta</w:t>
      </w:r>
    </w:p>
    <w:p>
      <w:r>
        <w:rPr>
          <w:i/>
        </w:rPr>
        <w:t xml:space="preserve">Severidad final: </w:t>
      </w:r>
      <w:r>
        <w:rPr>
          <w:i/>
          <w:color w:val="ED7D31"/>
        </w:rPr>
        <w:t>🟠</w:t>
      </w:r>
      <w:r>
        <w:rPr>
          <w:i/>
        </w:rPr>
        <w:t xml:space="preserve"> ALTA · Tema T19: Multimorbilidad (cardiovascular, HP, SAOS, salud mental, metabólica, otras)</w:t>
      </w:r>
    </w:p>
    <w:p>
      <w:pPr>
        <w:pStyle w:val="ListBullet"/>
      </w:pPr>
      <w:r>
        <w:rPr>
          <w:b/>
        </w:rPr>
        <w:t>Tipo:</w:t>
      </w:r>
      <w:r>
        <w:t xml:space="preserve"> Incongruencia interna</w:t>
      </w:r>
    </w:p>
    <w:p>
      <w:pPr>
        <w:pStyle w:val="ListBullet"/>
      </w:pPr>
      <w:r>
        <w:rPr>
          <w:b/>
        </w:rPr>
        <w:t>Severidad:</w:t>
      </w:r>
      <w:r>
        <w:t xml:space="preserve"> ALTA</w:t>
      </w:r>
    </w:p>
    <w:p>
      <w:pPr>
        <w:pStyle w:val="ListBullet"/>
      </w:pPr>
      <w:r>
        <w:rPr>
          <w:b/>
        </w:rPr>
        <w:t>Ubicación:</w:t>
      </w:r>
      <w:r>
        <w:t xml:space="preserve"> PDF 127 / impr. 116 — Coronary artery disease</w:t>
      </w:r>
    </w:p>
    <w:p>
      <w:pPr>
        <w:pStyle w:val="ListBullet"/>
      </w:pPr>
      <w:r>
        <w:rPr>
          <w:b/>
        </w:rPr>
        <w:t>Cita:</w:t>
      </w:r>
      <w:r>
        <w:t xml:space="preserve"> "screening using high sensitivity troponin at COPD diagnosis and at unexplained change in symptoms … is recommended." / "global risk calculator that can be found on the US NHLBI website.(1161)"</w:t>
      </w:r>
    </w:p>
    <w:p>
      <w:pPr>
        <w:pStyle w:val="ListBullet"/>
      </w:pPr>
      <w:r>
        <w:rPr>
          <w:b/>
        </w:rPr>
        <w:t>Problema:</w:t>
      </w:r>
    </w:p>
    <w:p>
      <w:pPr>
        <w:pStyle w:val="ListBullet2"/>
      </w:pPr>
      <w:r>
        <w:t>Se «recomienda» un cribado universal con hs-troponina sin vía de actuación: no se dice qué hacer con un valor elevado en un paciente asintomático.</w:t>
      </w:r>
    </w:p>
    <w:p>
      <w:pPr>
        <w:pStyle w:val="ListBullet2"/>
      </w:pPr>
      <w:r>
        <w:t>Tampoco aparece en las Figs. 5.5 y 5.6, que solo incluyen ECG y NT-proBNP. Es una incongruencia entre texto y figura.</w:t>
      </w:r>
    </w:p>
    <w:p>
      <w:pPr>
        <w:pStyle w:val="ListBullet2"/>
      </w:pPr>
      <w:r>
        <w:t>El cap. 2 (PDF 53 / impr. 42) califica la medición de troponina y BNP en exacerbaciones como evidencia «still weak».</w:t>
      </w:r>
    </w:p>
    <w:p>
      <w:pPr>
        <w:pStyle w:val="ListBullet2"/>
      </w:pPr>
      <w:r>
        <w:t>El umbral de «5-6 ng/L» no se corresponde con el análisis de la ref. 1162. Adamson (JACC 2018;72:1126; SUMMIT, subgrupo de 1.599 pacientes) usó quintiles de hs-cTnI: el riesgo era mayor en el quintil superior (≥7,7 ng/L; HR de eventos CV 3,7) y el estudio no generó un algoritmo de cribado.</w:t>
      </w:r>
    </w:p>
    <w:p>
      <w:pPr>
        <w:pStyle w:val="ListBullet2"/>
      </w:pPr>
      <w:r>
        <w:t>La calculadora de la NHLBI (ref. 1161) es una revisión de evidencia de 2013. Ya está superada por PREVENT (AHA 2023), en la que se basa la guía AHA/ACC 2025, y por SCORE2/SCORE2-OP (ESC 2021, ref. 1146).</w:t>
      </w:r>
    </w:p>
    <w:p>
      <w:pPr>
        <w:pStyle w:val="ListBullet2"/>
      </w:pPr>
      <w:r>
        <w:t>El cap. 2 (PDF 53) advierte que Framingham y QRisk «may underestimate CVD in patients with COPD». Esa advertencia no se repite en el cap. 5.</w:t>
      </w:r>
    </w:p>
    <w:p>
      <w:pPr>
        <w:pStyle w:val="ListBullet"/>
      </w:pPr>
      <w:r>
        <w:rPr>
          <w:b/>
        </w:rPr>
        <w:t>Evidencia/justificación:</w:t>
      </w:r>
    </w:p>
    <w:p>
      <w:pPr>
        <w:pStyle w:val="ListBullet2"/>
      </w:pPr>
      <w:r>
        <w:t>La ESC 2021 de prevención (ref. 1146; Visseren, Eur Heart J 2021;42:3227) desaconseja (clase III) la determinación rutinaria de biomarcadores circulantes para estratificar el riesgo.</w:t>
      </w:r>
    </w:p>
    <w:p>
      <w:pPr>
        <w:pStyle w:val="ListBullet2"/>
      </w:pPr>
      <w:r>
        <w:t>El resumen del artículo de Adamson (PMID 30165984) concluye que es «a specific and major indicator» pronóstico, no que haya que cribar.</w:t>
      </w:r>
    </w:p>
    <w:p>
      <w:pPr>
        <w:pStyle w:val="ListBullet2"/>
      </w:pPr>
      <w:r>
        <w:t>La cifra de «29-39 % por encima de 5-6 ng/L» no se ha podido verificar en el resumen: es un punto debatible.</w:t>
      </w:r>
    </w:p>
    <w:p>
      <w:pPr>
        <w:pStyle w:val="ListBullet"/>
      </w:pPr>
      <w:r>
        <w:rPr>
          <w:b/>
        </w:rPr>
        <w:t>Recomendación:</w:t>
      </w:r>
    </w:p>
    <w:p>
      <w:pPr>
        <w:pStyle w:val="ListBullet2"/>
      </w:pPr>
      <w:r>
        <w:t>Rebajar a: «puede considerarse la hs-troponina como marcador pronóstico; la evidencia para el cribado sistemático es insuficiente».</w:t>
      </w:r>
    </w:p>
    <w:p>
      <w:pPr>
        <w:pStyle w:val="ListBullet2"/>
      </w:pPr>
      <w:r>
        <w:t>Alinear la recomendación con el cap. 2 y con las figuras.</w:t>
      </w:r>
    </w:p>
    <w:p>
      <w:pPr>
        <w:pStyle w:val="ListBullet2"/>
      </w:pPr>
      <w:r>
        <w:t>Sustituir la calculadora por SCORE2/SCORE2-OP (Europa) o PREVENT (EE. UU.), repitiendo la advertencia de infraestimación en la EPOC.</w:t>
      </w:r>
    </w:p>
    <w:p>
      <w:pPr>
        <w:pStyle w:val="ListBullet"/>
      </w:pPr>
      <w:r>
        <w:rPr>
          <w:b/>
        </w:rPr>
        <w:t>Confianza:</w:t>
      </w:r>
      <w:r>
        <w:t xml:space="preserve"> 4/5</w:t>
      </w:r>
    </w:p>
    <w:p>
      <w:pPr>
        <w:pStyle w:val="Heading4"/>
      </w:pPr>
      <w:r>
        <w:t>MUL-05 · IC: terapias de la IC-FEp atribuidas a la ESC 2021 sin actualizar; falta la IC-FElr y la elección de betabloqueante</w:t>
      </w:r>
    </w:p>
    <w:p>
      <w:r>
        <w:rPr>
          <w:i/>
        </w:rPr>
        <w:t xml:space="preserve">Severidad final: </w:t>
      </w:r>
      <w:r>
        <w:rPr>
          <w:i/>
          <w:color w:val="ED7D31"/>
        </w:rPr>
        <w:t>🟠</w:t>
      </w:r>
      <w:r>
        <w:rPr>
          <w:i/>
        </w:rPr>
        <w:t xml:space="preserve"> ALTA · Tema T19: Multimorbilidad (cardiovascular, HP, SAOS, salud mental, metabólica, otras)</w:t>
      </w:r>
    </w:p>
    <w:p>
      <w:pPr>
        <w:pStyle w:val="ListBullet"/>
      </w:pPr>
      <w:r>
        <w:rPr>
          <w:b/>
        </w:rPr>
        <w:t>Tipo:</w:t>
      </w:r>
      <w:r>
        <w:t xml:space="preserve"> Evidencia mal representada</w:t>
      </w:r>
    </w:p>
    <w:p>
      <w:pPr>
        <w:pStyle w:val="ListBullet"/>
      </w:pPr>
      <w:r>
        <w:rPr>
          <w:b/>
        </w:rPr>
        <w:t>Severidad:</w:t>
      </w:r>
      <w:r>
        <w:t xml:space="preserve"> ALTA</w:t>
      </w:r>
    </w:p>
    <w:p>
      <w:pPr>
        <w:pStyle w:val="ListBullet"/>
      </w:pPr>
      <w:r>
        <w:rPr>
          <w:b/>
        </w:rPr>
        <w:t>Ubicación:</w:t>
      </w:r>
      <w:r>
        <w:t xml:space="preserve"> PDF 127 / impr. 116 — Heart failure</w:t>
      </w:r>
    </w:p>
    <w:p>
      <w:pPr>
        <w:pStyle w:val="ListBullet"/>
      </w:pPr>
      <w:r>
        <w:rPr>
          <w:b/>
        </w:rPr>
        <w:t>Cita:</w:t>
      </w:r>
      <w:r>
        <w:t xml:space="preserve"> "Cardiovascular guidelines provide specific recommendations.(1155) … For HFpEF this includes sodium-glucose transport protein 2 inhibitors, sacubitril-valsartan and mineralocorticoid receptor antagonists."</w:t>
      </w:r>
    </w:p>
    <w:p>
      <w:pPr>
        <w:pStyle w:val="ListBullet"/>
      </w:pPr>
      <w:r>
        <w:rPr>
          <w:b/>
        </w:rPr>
        <w:t>Problema:</w:t>
      </w:r>
    </w:p>
    <w:p>
      <w:pPr>
        <w:pStyle w:val="ListBullet2"/>
      </w:pPr>
      <w:r>
        <w:t>La ref. 1155 (ESC 2021) no recomienda tratamiento modificador para la IC-FEp más allá de los diuréticos y el tratamiento de las comorbilidades.</w:t>
      </w:r>
    </w:p>
    <w:p>
      <w:pPr>
        <w:pStyle w:val="ListBullet2"/>
      </w:pPr>
      <w:r>
        <w:t>Sacubitril-valsartán y la ARM clásica tienen, como mucho, recomendación débil en IC-FEp: clase 2b en ACC/AHA/HFSA 2022.</w:t>
      </w:r>
    </w:p>
    <w:p>
      <w:pPr>
        <w:pStyle w:val="ListBullet2"/>
      </w:pPr>
      <w:r>
        <w:t>No se menciona la IC-FElr.</w:t>
      </w:r>
    </w:p>
    <w:p>
      <w:pPr>
        <w:pStyle w:val="ListBullet2"/>
      </w:pPr>
      <w:r>
        <w:t>No se dan ejemplos de β1-selectivos: el texto habla de «β1-blockers» sin precisar que el carvedilol, de uso común en la IC-FEr, no es selectivo.</w:t>
      </w:r>
    </w:p>
    <w:p>
      <w:pPr>
        <w:pStyle w:val="ListBullet2"/>
      </w:pPr>
      <w:r>
        <w:t>No se advierte de que la espirometría debe hacerse en euvolemia.</w:t>
      </w:r>
    </w:p>
    <w:p>
      <w:pPr>
        <w:pStyle w:val="ListBullet2"/>
      </w:pPr>
      <w:r>
        <w:t>Se usa «sodium-glucose transport protein 2 inhibitors» en lugar del término estándar, inhibidores del cotransportador sodio-glucosa tipo 2 (iSGLT2).</w:t>
      </w:r>
    </w:p>
    <w:p>
      <w:pPr>
        <w:pStyle w:val="ListBullet"/>
      </w:pPr>
      <w:r>
        <w:rPr>
          <w:b/>
        </w:rPr>
        <w:t>Evidencia/justificación:</w:t>
      </w:r>
    </w:p>
    <w:p>
      <w:pPr>
        <w:pStyle w:val="ListBullet2"/>
      </w:pPr>
      <w:r>
        <w:t>La actualización focalizada de la ESC 2023 (McDonagh TA, Eur Heart J 2023;44:3627; doi:10.1093/eurheartj/ehad195) da clase I a dapagliflozina y empagliflozina en IC-FElr e IC-FEp.</w:t>
      </w:r>
    </w:p>
    <w:p>
      <w:pPr>
        <w:pStyle w:val="ListBullet2"/>
      </w:pPr>
      <w:r>
        <w:t>FINEARTS-HF (Solomon SD, NEJM 2024;391:1475): la finerenona redujo los eventos con FEVI ≥40 %; la FDA la aprobó en julio de 2025.</w:t>
      </w:r>
    </w:p>
    <w:p>
      <w:pPr>
        <w:pStyle w:val="ListBullet2"/>
      </w:pPr>
      <w:r>
        <w:t>STEP-HFpEF (Kosiborod, NEJM 2023;389:1069) y SUMMIT (Packer, NEJM 2025;392:427): semaglutida y tirzepatida en IC-FEp con obesidad, un fenotipo frecuente en la EPOC.</w:t>
      </w:r>
    </w:p>
    <w:p>
      <w:pPr>
        <w:pStyle w:val="ListBullet2"/>
      </w:pPr>
      <w:r>
        <w:t>Es coherente con el Apéndice 3 (PDF 164) y con BLOCK-COPD (ref. 1157) que los betabloqueantes no se usen para prevenir exacerbaciones.</w:t>
      </w:r>
    </w:p>
    <w:p>
      <w:pPr>
        <w:pStyle w:val="ListBullet"/>
      </w:pPr>
      <w:r>
        <w:rPr>
          <w:b/>
        </w:rPr>
        <w:t>Recomendación:</w:t>
      </w:r>
    </w:p>
    <w:p>
      <w:pPr>
        <w:pStyle w:val="ListBullet2"/>
      </w:pPr>
      <w:r>
        <w:t>Citar la ESC 2023 y la guía ACC/AHA/HFSA 2022.</w:t>
      </w:r>
    </w:p>
    <w:p>
      <w:pPr>
        <w:pStyle w:val="ListBullet2"/>
      </w:pPr>
      <w:r>
        <w:t>Para la IC-FEp/IC-FElr, escribir: «iSGLT2 (clase I), diuréticos si hay congestión; considerar finerenona y, si hay obesidad, agonistas del receptor de GLP-1 (AR-GLP-1) o tirzepatida».</w:t>
      </w:r>
    </w:p>
    <w:p>
      <w:pPr>
        <w:pStyle w:val="ListBullet2"/>
      </w:pPr>
      <w:r>
        <w:t>Listar los β1-selectivos con evidencia en IC-FEr: bisoprolol, metoprolol succinato y nebivolol.</w:t>
      </w:r>
    </w:p>
    <w:p>
      <w:pPr>
        <w:pStyle w:val="ListBullet"/>
      </w:pPr>
      <w:r>
        <w:rPr>
          <w:b/>
        </w:rPr>
        <w:t>Confianza:</w:t>
      </w:r>
      <w:r>
        <w:t xml:space="preserve"> 4/5</w:t>
      </w:r>
    </w:p>
    <w:p>
      <w:pPr>
        <w:pStyle w:val="Heading4"/>
      </w:pPr>
      <w:r>
        <w:t xml:space="preserve">MUL-06 · HP: «peripheral» en lugar de </w:t>
      </w:r>
      <w:r>
        <w:rPr>
          <w:i/>
        </w:rPr>
        <w:t>pulmonary vascular resistance</w:t>
      </w:r>
      <w:r>
        <w:t>, definición incompleta y Fig. 5.3 sin el grupo 2</w:t>
      </w:r>
    </w:p>
    <w:p>
      <w:r>
        <w:rPr>
          <w:i/>
        </w:rPr>
        <w:t xml:space="preserve">Severidad final: </w:t>
      </w:r>
      <w:r>
        <w:rPr>
          <w:i/>
          <w:color w:val="ED7D31"/>
        </w:rPr>
        <w:t>🟠</w:t>
      </w:r>
      <w:r>
        <w:rPr>
          <w:i/>
        </w:rPr>
        <w:t xml:space="preserve"> ALTA · Tema T19: Multimorbilidad (cardiovascular, HP, SAOS, salud mental, metabólica, otras)</w:t>
      </w:r>
    </w:p>
    <w:p>
      <w:pPr>
        <w:pStyle w:val="ListBullet"/>
      </w:pPr>
      <w:r>
        <w:rPr>
          <w:b/>
        </w:rPr>
        <w:t>Tipo:</w:t>
      </w:r>
      <w:r>
        <w:t xml:space="preserve"> Error factual</w:t>
      </w:r>
    </w:p>
    <w:p>
      <w:pPr>
        <w:pStyle w:val="ListBullet"/>
      </w:pPr>
      <w:r>
        <w:rPr>
          <w:b/>
        </w:rPr>
        <w:t>Severidad:</w:t>
      </w:r>
      <w:r>
        <w:t xml:space="preserve"> ALTA</w:t>
      </w:r>
    </w:p>
    <w:p>
      <w:pPr>
        <w:pStyle w:val="ListBullet"/>
      </w:pPr>
      <w:r>
        <w:rPr>
          <w:b/>
        </w:rPr>
        <w:t>Ubicación:</w:t>
      </w:r>
      <w:r>
        <w:t xml:space="preserve"> PDF 128-129 / impr. 117-118 — Pulmonary hypertension; Fig. 5.3</w:t>
      </w:r>
    </w:p>
    <w:p>
      <w:pPr>
        <w:pStyle w:val="ListBullet"/>
      </w:pPr>
      <w:r>
        <w:rPr>
          <w:b/>
        </w:rPr>
        <w:t>Cita:</w:t>
      </w:r>
      <w:r>
        <w:t xml:space="preserve"> "The 2022 ESC/ERS PH guidelines define severe PH-COPD by an increased peripheral vascular resistance &gt; 5 Wood Units." / "chronic thromboembolic PH is a treatable cause of PH occurring more frequently in patients above the age of 40 years"</w:t>
      </w:r>
    </w:p>
    <w:p>
      <w:pPr>
        <w:pStyle w:val="ListBullet"/>
      </w:pPr>
      <w:r>
        <w:rPr>
          <w:b/>
        </w:rPr>
        <w:t>Problema:</w:t>
      </w:r>
    </w:p>
    <w:p>
      <w:pPr>
        <w:pStyle w:val="ListBullet2"/>
      </w:pPr>
      <w:r>
        <w:t xml:space="preserve">Error terminológico sustantivo: el umbral de &gt;5 UW se refiere a la </w:t>
      </w:r>
      <w:r>
        <w:rPr>
          <w:b/>
        </w:rPr>
        <w:t>resistencia vascular pulmonar (PVR)</w:t>
      </w:r>
      <w:r>
        <w:t>, no a la periférica.</w:t>
      </w:r>
    </w:p>
    <w:p>
      <w:pPr>
        <w:pStyle w:val="ListBullet2"/>
      </w:pPr>
      <w:r>
        <w:t>La definición hemodinámica omite que la HP precapilar requiere PAWP ≤15 mmHg y PVR &gt;2 UW.</w:t>
      </w:r>
    </w:p>
    <w:p>
      <w:pPr>
        <w:pStyle w:val="ListBullet2"/>
      </w:pPr>
      <w:r>
        <w:t>La frase sobre la HPTEC y los «40 años» no tiene utilidad clínica.</w:t>
      </w:r>
    </w:p>
    <w:p>
      <w:pPr>
        <w:pStyle w:val="ListBullet2"/>
      </w:pPr>
      <w:r>
        <w:t>No se recomienda la gammagrafía V/Q para descartar HPTEC.</w:t>
      </w:r>
    </w:p>
    <w:p>
      <w:pPr>
        <w:pStyle w:val="ListBullet2"/>
      </w:pPr>
      <w:r>
        <w:t>La Fig. 5.3 solo representa los grupos 1, 3 (grave) y 4. Omite el grupo 2 (cardiopatía izquierda), muy relevante si coexiste IC-FEp, y la HP no grave del grupo 3. Sin embargo, el texto afirma que «All groups of PH can be diagnosed in patients with COPD».</w:t>
      </w:r>
    </w:p>
    <w:p>
      <w:pPr>
        <w:pStyle w:val="ListBullet"/>
      </w:pPr>
      <w:r>
        <w:rPr>
          <w:b/>
        </w:rPr>
        <w:t>Evidencia/justificación:</w:t>
      </w:r>
    </w:p>
    <w:p>
      <w:pPr>
        <w:pStyle w:val="ListBullet2"/>
      </w:pPr>
      <w:r>
        <w:t>Guía ESC/ERS 2022 (Humbert M, Eur Heart J 2022;43:3618; Eur Respir J 2023;61:2200879): HP si la PAPm es &gt;20 mmHg; HP precapilar si además la PAWP es ≤15 mmHg y la PVR &gt;2 UW; HP grave en enfermedad pulmonar si la PVR es &gt;5 UW.</w:t>
      </w:r>
    </w:p>
    <w:p>
      <w:pPr>
        <w:pStyle w:val="ListBullet2"/>
      </w:pPr>
      <w:r>
        <w:t>En la HP no explicada se recomienda la gammagrafía V/Q para el cribado de HPTEC (clase I).</w:t>
      </w:r>
    </w:p>
    <w:p>
      <w:pPr>
        <w:pStyle w:val="ListBullet2"/>
      </w:pPr>
      <w:r>
        <w:t xml:space="preserve">La ref. 1191 (Zeder, ERJ 2021) se titula precisamente «Elevated </w:t>
      </w:r>
      <w:r>
        <w:rPr>
          <w:i/>
        </w:rPr>
        <w:t>pulmonary</w:t>
      </w:r>
      <w:r>
        <w:t xml:space="preserve"> vascular resistance…».</w:t>
      </w:r>
    </w:p>
    <w:p>
      <w:pPr>
        <w:pStyle w:val="ListBullet"/>
      </w:pPr>
      <w:r>
        <w:rPr>
          <w:b/>
        </w:rPr>
        <w:t>Recomendación:</w:t>
      </w:r>
    </w:p>
    <w:p>
      <w:pPr>
        <w:pStyle w:val="ListBullet2"/>
      </w:pPr>
      <w:r>
        <w:t>Corregir a «pulmonary vascular resistance (PVR) &gt; 5 WU».</w:t>
      </w:r>
    </w:p>
    <w:p>
      <w:pPr>
        <w:pStyle w:val="ListBullet2"/>
      </w:pPr>
      <w:r>
        <w:t>Añadir los criterios PAWP ≤15 / PVR &gt;2 UW y la gammagrafía V/Q.</w:t>
      </w:r>
    </w:p>
    <w:p>
      <w:pPr>
        <w:pStyle w:val="ListBullet2"/>
      </w:pPr>
      <w:r>
        <w:t>Eliminar la frase sobre los «40 años».</w:t>
      </w:r>
    </w:p>
    <w:p>
      <w:pPr>
        <w:pStyle w:val="ListBullet2"/>
      </w:pPr>
      <w:r>
        <w:t>Completar la Fig. 5.3 con el grupo 2 y con la HP-EPOC no grave.</w:t>
      </w:r>
    </w:p>
    <w:p>
      <w:pPr>
        <w:pStyle w:val="ListBullet"/>
      </w:pPr>
      <w:r>
        <w:rPr>
          <w:b/>
        </w:rPr>
        <w:t>Confianza:</w:t>
      </w:r>
      <w:r>
        <w:t xml:space="preserve"> 5/5</w:t>
      </w:r>
    </w:p>
    <w:p>
      <w:pPr>
        <w:pStyle w:val="Heading4"/>
      </w:pPr>
      <w:r>
        <w:t>MUL-07 · HP-EPOC: no se informa de que el ensayo PERFECT se detuvo por daño</w:t>
      </w:r>
    </w:p>
    <w:p>
      <w:r>
        <w:rPr>
          <w:i/>
        </w:rPr>
        <w:t xml:space="preserve">Severidad final: </w:t>
      </w:r>
      <w:r>
        <w:rPr>
          <w:i/>
          <w:color w:val="ED7D31"/>
        </w:rPr>
        <w:t>🟠</w:t>
      </w:r>
      <w:r>
        <w:rPr>
          <w:i/>
        </w:rPr>
        <w:t xml:space="preserve"> ALTA · Tema T19: Multimorbilidad (cardiovascular, HP, SAOS, salud mental, metabólica, otras)</w:t>
      </w:r>
    </w:p>
    <w:p>
      <w:pPr>
        <w:pStyle w:val="IntenseQuote"/>
      </w:pPr>
      <w:r>
        <w:rPr>
          <w:b/>
        </w:rPr>
        <w:t>Verificación independiente (CONFIRMADO):</w:t>
      </w:r>
      <w:r>
        <w:t xml:space="preserve"> Añadir: "El treprostinil inhalado no debe usarse en la HP-EPOC (ensayo PERFECT interrumpido por daño). En la HP grave, el tratamiento con vasodilatadores debe limitarse a centros expertos o a ensayos clínicos."</w:t>
      </w:r>
    </w:p>
    <w:p>
      <w:pPr>
        <w:pStyle w:val="ListBullet"/>
      </w:pPr>
      <w:r>
        <w:rPr>
          <w:b/>
        </w:rPr>
        <w:t>Tipo:</w:t>
      </w:r>
      <w:r>
        <w:t xml:space="preserve"> Evidencia mal representada</w:t>
      </w:r>
    </w:p>
    <w:p>
      <w:pPr>
        <w:pStyle w:val="ListBullet"/>
      </w:pPr>
      <w:r>
        <w:rPr>
          <w:b/>
        </w:rPr>
        <w:t>Severidad:</w:t>
      </w:r>
      <w:r>
        <w:t xml:space="preserve"> ALTA</w:t>
      </w:r>
    </w:p>
    <w:p>
      <w:pPr>
        <w:pStyle w:val="ListBullet"/>
      </w:pPr>
      <w:r>
        <w:rPr>
          <w:b/>
        </w:rPr>
        <w:t>Ubicación:</w:t>
      </w:r>
      <w:r>
        <w:t xml:space="preserve"> PDF 129 / impr. 118 — Pulmonary hypertension</w:t>
      </w:r>
    </w:p>
    <w:p>
      <w:pPr>
        <w:pStyle w:val="ListBullet"/>
      </w:pPr>
      <w:r>
        <w:rPr>
          <w:b/>
        </w:rPr>
        <w:t>Cita:</w:t>
      </w:r>
      <w:r>
        <w:t xml:space="preserve"> "Further well-designed RCTs should be encouraged to advise for or against the use of PAH medications in PH-COPD.(1193)"</w:t>
      </w:r>
    </w:p>
    <w:p>
      <w:pPr>
        <w:pStyle w:val="ListBullet"/>
      </w:pPr>
      <w:r>
        <w:rPr>
          <w:b/>
        </w:rPr>
        <w:t>Problema:</w:t>
      </w:r>
      <w:r>
        <w:t xml:space="preserve"> La ref. 1193 es el ensayo PERFECT (treprostinil inhalado en HP-EPOC). Se cita solo como motivo para pedir más ensayos, sin decir que se interrumpió precozmente por seguridad. Esto deja abierta la puerta al uso fuera de indicación de prostanoides inhalados, extrapolando el beneficio observado en la HP asociada a EPI (INCREASE).</w:t>
      </w:r>
    </w:p>
    <w:p>
      <w:pPr>
        <w:pStyle w:val="ListBullet"/>
      </w:pPr>
      <w:r>
        <w:rPr>
          <w:b/>
        </w:rPr>
        <w:t>Evidencia/justificación:</w:t>
      </w:r>
      <w:r>
        <w:t xml:space="preserve"> Nathan SD et al., Eur Respir J 2024;63:2400172 (PMID 38811045): el estudio se detuvo tras un análisis intermedio por mayor frecuencia de eventos adversos graves, una tendencia a mayor mortalidad y peor distancia en la prueba de marcha de 6 minutos con treprostinil frente a placebo.</w:t>
      </w:r>
    </w:p>
    <w:p>
      <w:pPr>
        <w:pStyle w:val="ListBullet"/>
      </w:pPr>
      <w:r>
        <w:rPr>
          <w:b/>
        </w:rPr>
        <w:t>Recomendación:</w:t>
      </w:r>
      <w:r>
        <w:t xml:space="preserve"> Añadir: «En la HP-EPOC, el treprostinil inhalado no está recomendado (ensayo PERFECT detenido por daño). El tratamiento con vasodilatadores pulmonares en la HP grave debe limitarse a centros expertos y, preferiblemente, a ensayos clínicos».</w:t>
      </w:r>
    </w:p>
    <w:p>
      <w:pPr>
        <w:pStyle w:val="ListBullet"/>
      </w:pPr>
      <w:r>
        <w:rPr>
          <w:b/>
        </w:rPr>
        <w:t>Confianza:</w:t>
      </w:r>
      <w:r>
        <w:t xml:space="preserve"> 5/5</w:t>
      </w:r>
    </w:p>
    <w:p>
      <w:pPr>
        <w:pStyle w:val="Heading4"/>
      </w:pPr>
      <w:r>
        <w:t>MUL-11 · Punto clave «la comorbilidad no debe alterar el tratamiento de la EPOC», contradicho por el propio capítulo (asma, TB, bronquiectasias, FA)</w:t>
      </w:r>
    </w:p>
    <w:p>
      <w:r>
        <w:rPr>
          <w:i/>
        </w:rPr>
        <w:t xml:space="preserve">Severidad final: </w:t>
      </w:r>
      <w:r>
        <w:rPr>
          <w:i/>
          <w:color w:val="ED7D31"/>
        </w:rPr>
        <w:t>🟠</w:t>
      </w:r>
      <w:r>
        <w:rPr>
          <w:i/>
        </w:rPr>
        <w:t xml:space="preserve"> ALTA · Tema T19: Multimorbilidad (cardiovascular, HP, SAOS, salud mental, metabólica, otras)</w:t>
      </w:r>
    </w:p>
    <w:p>
      <w:pPr>
        <w:pStyle w:val="ListBullet"/>
      </w:pPr>
      <w:r>
        <w:rPr>
          <w:b/>
        </w:rPr>
        <w:t>Tipo:</w:t>
      </w:r>
      <w:r>
        <w:t xml:space="preserve"> Incongruencia interna</w:t>
      </w:r>
    </w:p>
    <w:p>
      <w:pPr>
        <w:pStyle w:val="ListBullet"/>
      </w:pPr>
      <w:r>
        <w:rPr>
          <w:b/>
        </w:rPr>
        <w:t>Severidad:</w:t>
      </w:r>
      <w:r>
        <w:t xml:space="preserve"> ALTA</w:t>
      </w:r>
    </w:p>
    <w:p>
      <w:pPr>
        <w:pStyle w:val="ListBullet"/>
      </w:pPr>
      <w:r>
        <w:rPr>
          <w:b/>
        </w:rPr>
        <w:t>Ubicación:</w:t>
      </w:r>
      <w:r>
        <w:t xml:space="preserve"> PDF 123 / impr. 112 (punto clave); PDF 131-132 / impr. 120-121 (asma, TB, bronquiectasias); PDF 128 (FA); Apéndice 3, PDF 162 / impr. 151</w:t>
      </w:r>
    </w:p>
    <w:p>
      <w:pPr>
        <w:pStyle w:val="ListBullet"/>
      </w:pPr>
      <w:r>
        <w:rPr>
          <w:b/>
        </w:rPr>
        <w:t>Cita:</w:t>
      </w:r>
      <w:r>
        <w:t xml:space="preserve"> "The presence of those morbidities should not alter COPD treatment; comorbid disease should be treated as per usual standards"</w:t>
      </w:r>
    </w:p>
    <w:p>
      <w:pPr>
        <w:pStyle w:val="ListBullet"/>
      </w:pPr>
      <w:r>
        <w:rPr>
          <w:b/>
        </w:rPr>
        <w:t>Problema:</w:t>
      </w:r>
      <w:r>
        <w:t xml:space="preserve"> El propio capítulo modifica el tratamiento de la EPOC según la comorbilidad en varios casos:</w:t>
      </w:r>
    </w:p>
    <w:p>
      <w:pPr>
        <w:pStyle w:val="ListBullet2"/>
      </w:pPr>
      <w:r>
        <w:rPr>
          <w:b/>
        </w:rPr>
        <w:t>Asma:</w:t>
      </w:r>
      <w:r>
        <w:t xml:space="preserve"> el ICS de mantenimiento es obligatorio. Falta además la advertencia de no usar LABA o LABA/LAMA sin ICS.</w:t>
      </w:r>
    </w:p>
    <w:p>
      <w:pPr>
        <w:pStyle w:val="ListBullet2"/>
      </w:pPr>
      <w:r>
        <w:rPr>
          <w:b/>
        </w:rPr>
        <w:t>TB:</w:t>
      </w:r>
      <w:r>
        <w:t xml:space="preserve"> ICS con cautela y descartar TB activa.</w:t>
      </w:r>
    </w:p>
    <w:p>
      <w:pPr>
        <w:pStyle w:val="ListBullet2"/>
      </w:pPr>
      <w:r>
        <w:rPr>
          <w:b/>
        </w:rPr>
        <w:t>Bronquiectasias:</w:t>
      </w:r>
      <w:r>
        <w:t xml:space="preserve"> riesgo de neumonía y de infección por micobacterias no tuberculosas con ICS.</w:t>
      </w:r>
    </w:p>
    <w:p>
      <w:pPr>
        <w:pStyle w:val="ListBullet2"/>
      </w:pPr>
      <w:r>
        <w:rPr>
          <w:b/>
        </w:rPr>
        <w:t>FA:</w:t>
      </w:r>
      <w:r>
        <w:t xml:space="preserve"> precaución con SABA y teofilina.</w:t>
      </w:r>
    </w:p>
    <w:p>
      <w:pPr>
        <w:pStyle w:val="ListBullet2"/>
      </w:pPr>
      <w:r>
        <w:rPr>
          <w:b/>
        </w:rPr>
        <w:t>Diabetes, osteoporosis y cataratas:</w:t>
      </w:r>
      <w:r>
        <w:t xml:space="preserve"> riesgos de los ICS y de los corticoides sistémicos, recogidos en el Apéndice 3 (PDF 162: «diabetes/poor control of diabetes… cataracts… mycobacterial infection»).</w:t>
      </w:r>
    </w:p>
    <w:p>
      <w:r>
        <w:t>El mensaje absoluto puede llevar a ignorar estas interacciones. Por otro lado, la recomendación «We recommend the close examination of a lung CT» en el asma-EPOC sugiere una TC sistemática sin indicación definida.</w:t>
      </w:r>
    </w:p>
    <w:p>
      <w:pPr>
        <w:pStyle w:val="ListBullet"/>
      </w:pPr>
      <w:r>
        <w:rPr>
          <w:b/>
        </w:rPr>
        <w:t>Evidencia/justificación:</w:t>
      </w:r>
    </w:p>
    <w:p>
      <w:pPr>
        <w:pStyle w:val="ListBullet2"/>
      </w:pPr>
      <w:r>
        <w:t>GINA 2024/2025: no usar LABA ni LAMA sin ICS en el asma.</w:t>
      </w:r>
    </w:p>
    <w:p>
      <w:pPr>
        <w:pStyle w:val="ListBullet2"/>
      </w:pPr>
      <w:r>
        <w:t>Coherencia interna con el Apéndice 3 y con la figura de factores para iniciar ICS del cap. 3.</w:t>
      </w:r>
    </w:p>
    <w:p>
      <w:pPr>
        <w:pStyle w:val="ListBullet"/>
      </w:pPr>
      <w:r>
        <w:rPr>
          <w:b/>
        </w:rPr>
        <w:t>Recomendación:</w:t>
      </w:r>
    </w:p>
    <w:p>
      <w:pPr>
        <w:pStyle w:val="ListBullet2"/>
      </w:pPr>
      <w:r>
        <w:t>Reformular: «El tratamiento de la EPOC sigue los mismos principios, pero algunas comorbilidades (asma, TB/micobacterias, bronquiectasias, FA, diabetes, osteoporosis) modifican la elección de fármacos, en especial ICS, SABA/teofilina y corticoides sistémicos».</w:t>
      </w:r>
    </w:p>
    <w:p>
      <w:pPr>
        <w:pStyle w:val="ListBullet2"/>
      </w:pPr>
      <w:r>
        <w:t>Añadir la advertencia sobre LABA/LAMA sin ICS en el asma.</w:t>
      </w:r>
    </w:p>
    <w:p>
      <w:pPr>
        <w:pStyle w:val="ListBullet2"/>
      </w:pPr>
      <w:r>
        <w:t>Limitar la TC en el asma-EPOC a las indicaciones del cap. 2.</w:t>
      </w:r>
    </w:p>
    <w:p>
      <w:pPr>
        <w:pStyle w:val="ListBullet"/>
      </w:pPr>
      <w:r>
        <w:rPr>
          <w:b/>
        </w:rPr>
        <w:t>Confianza:</w:t>
      </w:r>
      <w:r>
        <w:t xml:space="preserve"> 5/5</w:t>
      </w:r>
    </w:p>
    <w:p>
      <w:pPr>
        <w:pStyle w:val="Heading4"/>
      </w:pPr>
      <w:r>
        <w:t>MUL-12 · SAOS: «la CPAP disminuye la mortalidad» sobredimensionado, prueba diagnóstica inadecuada y tirzepatida omitida</w:t>
      </w:r>
    </w:p>
    <w:p>
      <w:r>
        <w:rPr>
          <w:i/>
        </w:rPr>
        <w:t xml:space="preserve">Severidad final: </w:t>
      </w:r>
      <w:r>
        <w:rPr>
          <w:i/>
          <w:color w:val="ED7D31"/>
        </w:rPr>
        <w:t>🟠</w:t>
      </w:r>
      <w:r>
        <w:rPr>
          <w:i/>
        </w:rPr>
        <w:t xml:space="preserve"> ALTA · Tema T19: Multimorbilidad (cardiovascular, HP, SAOS, salud mental, metabólica, otras)</w:t>
      </w:r>
    </w:p>
    <w:p>
      <w:pPr>
        <w:pStyle w:val="ListBullet"/>
      </w:pPr>
      <w:r>
        <w:rPr>
          <w:b/>
        </w:rPr>
        <w:t>Tipo:</w:t>
      </w:r>
      <w:r>
        <w:t xml:space="preserve"> Evidencia mal representada</w:t>
      </w:r>
    </w:p>
    <w:p>
      <w:pPr>
        <w:pStyle w:val="ListBullet"/>
      </w:pPr>
      <w:r>
        <w:rPr>
          <w:b/>
        </w:rPr>
        <w:t>Severidad:</w:t>
      </w:r>
      <w:r>
        <w:t xml:space="preserve"> ALTA</w:t>
      </w:r>
    </w:p>
    <w:p>
      <w:pPr>
        <w:pStyle w:val="ListBullet"/>
      </w:pPr>
      <w:r>
        <w:rPr>
          <w:b/>
        </w:rPr>
        <w:t>Ubicación:</w:t>
      </w:r>
      <w:r>
        <w:t xml:space="preserve"> PDF 123 / impr. 112 (punto clave); PDF 133 / impr. 122 — Obstructive sleep apnea</w:t>
      </w:r>
    </w:p>
    <w:p>
      <w:pPr>
        <w:pStyle w:val="ListBullet"/>
      </w:pPr>
      <w:r>
        <w:rPr>
          <w:b/>
        </w:rPr>
        <w:t>Cita:</w:t>
      </w:r>
      <w:r>
        <w:t xml:space="preserve"> "If OSA is present, CPAP treatment decreases risk of death." / "CPAP or bi-level positive airway pressure should be initiated in patients with COPD and sleep disordered breathing as it improves health-related quality of life and decreases the risk of death.(762)"</w:t>
      </w:r>
    </w:p>
    <w:p>
      <w:pPr>
        <w:pStyle w:val="ListBullet"/>
      </w:pPr>
      <w:r>
        <w:rPr>
          <w:b/>
        </w:rPr>
        <w:t>Problema:</w:t>
      </w:r>
    </w:p>
    <w:p>
      <w:pPr>
        <w:pStyle w:val="ListBullet2"/>
      </w:pPr>
      <w:r>
        <w:t>La afirmación causal sobre la mortalidad se basa en una cohorte observacional (Marin 2010, ref. 762) con sesgo de adherencia («healthy adherer»). No hay ensayos aleatorizados en el síndrome de solapamiento.</w:t>
      </w:r>
    </w:p>
    <w:p>
      <w:pPr>
        <w:pStyle w:val="ListBullet2"/>
      </w:pPr>
      <w:r>
        <w:t>Indicar CPAP o BPAP en todo «sleep disordered breathing» es excesivamente amplio.</w:t>
      </w:r>
    </w:p>
    <w:p>
      <w:pPr>
        <w:pStyle w:val="ListBullet2"/>
      </w:pPr>
      <w:r>
        <w:t>No se especifica que en la EPOC moderada-grave se prefiere la polisomnografía (PSG) a la poligrafía domiciliaria.</w:t>
      </w:r>
    </w:p>
    <w:p>
      <w:pPr>
        <w:pStyle w:val="ListBullet2"/>
      </w:pPr>
      <w:r>
        <w:t>El término «glucagon-like peptide receptor agonists» es incorrecto: son agonistas del receptor de GLP-1.</w:t>
      </w:r>
    </w:p>
    <w:p>
      <w:pPr>
        <w:pStyle w:val="ListBullet2"/>
      </w:pPr>
      <w:r>
        <w:t>Se ignora la tirzepatida, aprobada para el SAOS.</w:t>
      </w:r>
    </w:p>
    <w:p>
      <w:pPr>
        <w:pStyle w:val="ListBullet2"/>
      </w:pPr>
      <w:r>
        <w:t>Las refs. 1269 y 1270 (Epworth, STOP-BANG) no se citan en el texto, aunque esas escalas aparecen en las Figs. 5.5 y 5.6.</w:t>
      </w:r>
    </w:p>
    <w:p>
      <w:pPr>
        <w:pStyle w:val="ListBullet"/>
      </w:pPr>
      <w:r>
        <w:rPr>
          <w:b/>
        </w:rPr>
        <w:t>Evidencia/justificación:</w:t>
      </w:r>
    </w:p>
    <w:p>
      <w:pPr>
        <w:pStyle w:val="ListBullet2"/>
      </w:pPr>
      <w:r>
        <w:t>SAVE (McEvoy RD, NEJM 2016;375:919) y el metaanálisis de Yu J (JAMA 2017;318:156): la CPAP no reduce los eventos CV ni la mortalidad en el SAOS.</w:t>
      </w:r>
    </w:p>
    <w:p>
      <w:pPr>
        <w:pStyle w:val="ListBullet2"/>
      </w:pPr>
      <w:r>
        <w:t>AASM 2017 (Kapur VK, J Clin Sleep Med 2017;13:479): la poligrafía domiciliaria no se recomienda si hay enfermedad cardiorrespiratoria significativa.</w:t>
      </w:r>
    </w:p>
    <w:p>
      <w:pPr>
        <w:pStyle w:val="ListBullet2"/>
      </w:pPr>
      <w:r>
        <w:t>SURMOUNT-OSA (Malhotra A, NEJM 2024;391:1193): la FDA aprobó la tirzepatida en diciembre de 2024 para el SAOS moderado-grave con obesidad.</w:t>
      </w:r>
    </w:p>
    <w:p>
      <w:pPr>
        <w:pStyle w:val="ListBullet"/>
      </w:pPr>
      <w:r>
        <w:rPr>
          <w:b/>
        </w:rPr>
        <w:t>Recomendación:</w:t>
      </w:r>
    </w:p>
    <w:p>
      <w:pPr>
        <w:pStyle w:val="ListBullet2"/>
      </w:pPr>
      <w:r>
        <w:t>Cambiar el punto clave a: «En el síndrome de solapamiento, la CPAP se asocia en estudios observacionales a menor mortalidad y hospitalizaciones».</w:t>
      </w:r>
    </w:p>
    <w:p>
      <w:pPr>
        <w:pStyle w:val="ListBullet2"/>
      </w:pPr>
      <w:r>
        <w:t>Recomendar PSG.</w:t>
      </w:r>
    </w:p>
    <w:p>
      <w:pPr>
        <w:pStyle w:val="ListBullet2"/>
      </w:pPr>
      <w:r>
        <w:t>Citar la tirzepatida (SURMOUNT-OSA) y corregir la terminología.</w:t>
      </w:r>
    </w:p>
    <w:p>
      <w:pPr>
        <w:pStyle w:val="ListBullet"/>
      </w:pPr>
      <w:r>
        <w:rPr>
          <w:b/>
        </w:rPr>
        <w:t>Confianza:</w:t>
      </w:r>
      <w:r>
        <w:t xml:space="preserve"> 4/5</w:t>
      </w:r>
    </w:p>
    <w:p>
      <w:pPr>
        <w:pStyle w:val="Heading4"/>
      </w:pPr>
      <w:r>
        <w:t>MUL-15 · Salud mental: faltan advertencias sobre psicofármacos depresores respiratorios, sobre la interacción tabaco-CYP1A2 y sobre el riesgo suicida</w:t>
      </w:r>
    </w:p>
    <w:p>
      <w:r>
        <w:rPr>
          <w:i/>
        </w:rPr>
        <w:t xml:space="preserve">Severidad final: </w:t>
      </w:r>
      <w:r>
        <w:rPr>
          <w:i/>
          <w:color w:val="ED7D31"/>
        </w:rPr>
        <w:t>🟠</w:t>
      </w:r>
      <w:r>
        <w:rPr>
          <w:i/>
        </w:rPr>
        <w:t xml:space="preserve"> ALTA · Tema T19: Multimorbilidad (cardiovascular, HP, SAOS, salud mental, metabólica, otras)</w:t>
      </w:r>
    </w:p>
    <w:p>
      <w:pPr>
        <w:pStyle w:val="ListBullet"/>
      </w:pPr>
      <w:r>
        <w:rPr>
          <w:b/>
        </w:rPr>
        <w:t>Tipo:</w:t>
      </w:r>
      <w:r>
        <w:t xml:space="preserve"> Omisión</w:t>
      </w:r>
    </w:p>
    <w:p>
      <w:pPr>
        <w:pStyle w:val="ListBullet"/>
      </w:pPr>
      <w:r>
        <w:rPr>
          <w:b/>
        </w:rPr>
        <w:t>Severidad:</w:t>
      </w:r>
      <w:r>
        <w:t xml:space="preserve"> ALTA</w:t>
      </w:r>
    </w:p>
    <w:p>
      <w:pPr>
        <w:pStyle w:val="ListBullet"/>
      </w:pPr>
      <w:r>
        <w:rPr>
          <w:b/>
        </w:rPr>
        <w:t>Ubicación:</w:t>
      </w:r>
      <w:r>
        <w:t xml:space="preserve"> PDF 133-134 / impr. 122-123 — Mental conditions</w:t>
      </w:r>
    </w:p>
    <w:p>
      <w:pPr>
        <w:pStyle w:val="ListBullet"/>
      </w:pPr>
      <w:r>
        <w:rPr>
          <w:b/>
        </w:rPr>
        <w:t>Cita:</w:t>
      </w:r>
      <w:r>
        <w:t xml:space="preserve"> "Anti-depressant drug therapy needs to be managed with caution" / "psychosis (including schizophrenia and substance abuse, both alcohol and drugs)"</w:t>
      </w:r>
    </w:p>
    <w:p>
      <w:pPr>
        <w:pStyle w:val="ListBullet"/>
      </w:pPr>
      <w:r>
        <w:rPr>
          <w:b/>
        </w:rPr>
        <w:t>Problema:</w:t>
      </w:r>
    </w:p>
    <w:p>
      <w:pPr>
        <w:pStyle w:val="ListBullet2"/>
      </w:pPr>
      <w:r>
        <w:t>La cautela se dirige a los antidepresivos (ISRS/IRSN, en general seguros), pero se omiten los fármacos con riesgo real en la EPOC: benzodiacepinas, opioides y antipsicóticos, asociados a exacerbaciones e insuficiencia respiratoria.</w:t>
      </w:r>
    </w:p>
    <w:p>
      <w:pPr>
        <w:pStyle w:val="ListBullet2"/>
      </w:pPr>
      <w:r>
        <w:rPr>
          <w:b/>
        </w:rPr>
        <w:t>Interacción crítica omitida:</w:t>
      </w:r>
      <w:r>
        <w:t xml:space="preserve"> dejar de fumar, incluido el ingreso en un hospital sin humo, elimina la inducción de CYP1A2 por los hidrocarburos del humo. Eso aumenta los niveles de clozapina, olanzapina y teofilina, con riesgo de toxicidad. La terapia sustitutiva con nicotina no induce CYP1A2.</w:t>
      </w:r>
    </w:p>
    <w:p>
      <w:pPr>
        <w:pStyle w:val="ListBullet2"/>
      </w:pPr>
      <w:r>
        <w:t>No se menciona que la vareniclina y el bupropión son seguros en pacientes con enfermedad psiquiátrica.</w:t>
      </w:r>
    </w:p>
    <w:p>
      <w:pPr>
        <w:pStyle w:val="ListBullet2"/>
      </w:pPr>
      <w:r>
        <w:t>Un PHQ-2 o GAD-2 positivo debe seguirse de PHQ-9 o GAD-7. Pese a que el texto cita el doble de riesgo de suicidio (ref. 1282), no se indica cribado del riesgo suicida (ítem 9 del PHQ-9 u otra herramienta).</w:t>
      </w:r>
    </w:p>
    <w:p>
      <w:pPr>
        <w:pStyle w:val="ListBullet2"/>
      </w:pPr>
      <w:r>
        <w:t>Errores nosológicos: «psychosis (including … substance abuse)» y «bipolarity». Lo correcto es trastorno psicótico, trastorno por uso de sustancias y trastorno bipolar.</w:t>
      </w:r>
    </w:p>
    <w:p>
      <w:pPr>
        <w:pStyle w:val="ListBullet"/>
      </w:pPr>
      <w:r>
        <w:rPr>
          <w:b/>
        </w:rPr>
        <w:t>Evidencia/justificación:</w:t>
      </w:r>
    </w:p>
    <w:p>
      <w:pPr>
        <w:pStyle w:val="ListBullet2"/>
      </w:pPr>
      <w:r>
        <w:t>Benzodiacepinas: Vozoris NT, Eur Respir J 2014;44:332.</w:t>
      </w:r>
    </w:p>
    <w:p>
      <w:pPr>
        <w:pStyle w:val="ListBullet2"/>
      </w:pPr>
      <w:r>
        <w:t>Opioides: Vozoris NT, Eur Respir J 2016;48:683.</w:t>
      </w:r>
    </w:p>
    <w:p>
      <w:pPr>
        <w:pStyle w:val="ListBullet2"/>
      </w:pPr>
      <w:r>
        <w:t>Antipsicóticos: Wang MT, JAMA Psychiatry 2017;74:252.</w:t>
      </w:r>
    </w:p>
    <w:p>
      <w:pPr>
        <w:pStyle w:val="ListBullet2"/>
      </w:pPr>
      <w:r>
        <w:t>EAGLES: Anthenelli RM, Lancet 2016;387:2507.</w:t>
      </w:r>
    </w:p>
    <w:p>
      <w:pPr>
        <w:pStyle w:val="ListBullet2"/>
      </w:pPr>
      <w:r>
        <w:t>Interacción tabaco-CYP1A2: fichas técnicas de clozapina y teofilina; Kroon LA, Am J Health-Syst Pharm 2007;64:1917.</w:t>
      </w:r>
    </w:p>
    <w:p>
      <w:pPr>
        <w:pStyle w:val="ListBullet"/>
      </w:pPr>
      <w:r>
        <w:rPr>
          <w:b/>
        </w:rPr>
        <w:t>Recomendación:</w:t>
      </w:r>
    </w:p>
    <w:p>
      <w:pPr>
        <w:pStyle w:val="ListBullet2"/>
      </w:pPr>
      <w:r>
        <w:t>Añadir un recuadro de seguridad de psicofármacos en la EPOC: evitar o minimizar benzodiacepinas y opioides, vigilar antipsicóticos, y monitorizar niveles o síntomas de clozapina, olanzapina y teofilina al dejar de fumar.</w:t>
      </w:r>
    </w:p>
    <w:p>
      <w:pPr>
        <w:pStyle w:val="ListBullet2"/>
      </w:pPr>
      <w:r>
        <w:t>Establecer el escalonamiento PHQ-2 → PHQ-9 con evaluación del riesgo suicida.</w:t>
      </w:r>
    </w:p>
    <w:p>
      <w:pPr>
        <w:pStyle w:val="ListBullet2"/>
      </w:pPr>
      <w:r>
        <w:t>Corregir la terminología según el DSM-5.</w:t>
      </w:r>
    </w:p>
    <w:p>
      <w:pPr>
        <w:pStyle w:val="ListBullet"/>
      </w:pPr>
      <w:r>
        <w:rPr>
          <w:b/>
        </w:rPr>
        <w:t>Confianza:</w:t>
      </w:r>
      <w:r>
        <w:t xml:space="preserve"> 4/5</w:t>
      </w:r>
    </w:p>
    <w:p>
      <w:pPr>
        <w:pStyle w:val="Heading4"/>
      </w:pPr>
      <w:r>
        <w:t>IA-02 · Puntos clave sobre telesalud ("improved access, outcomes, and affordability") sin respaldo e incoherentes con el Apéndice 4</w:t>
      </w:r>
    </w:p>
    <w:p>
      <w:r>
        <w:rPr>
          <w:i/>
        </w:rPr>
        <w:t xml:space="preserve">Severidad final: </w:t>
      </w:r>
      <w:r>
        <w:rPr>
          <w:i/>
          <w:color w:val="ED7D31"/>
        </w:rPr>
        <w:t>🟠</w:t>
      </w:r>
      <w:r>
        <w:rPr>
          <w:i/>
        </w:rPr>
        <w:t xml:space="preserve"> ALTA · Tema T20: Telesalud e inteligencia artificial</w:t>
      </w:r>
    </w:p>
    <w:p>
      <w:pPr>
        <w:pStyle w:val="ListBullet"/>
      </w:pPr>
      <w:r>
        <w:rPr>
          <w:b/>
        </w:rPr>
        <w:t>Tipo:</w:t>
      </w:r>
      <w:r>
        <w:t xml:space="preserve"> Incongruencia interna</w:t>
      </w:r>
    </w:p>
    <w:p>
      <w:pPr>
        <w:pStyle w:val="ListBullet"/>
      </w:pPr>
      <w:r>
        <w:rPr>
          <w:b/>
        </w:rPr>
        <w:t>Severidad:</w:t>
      </w:r>
      <w:r>
        <w:t xml:space="preserve"> ALTA</w:t>
      </w:r>
    </w:p>
    <w:p>
      <w:pPr>
        <w:pStyle w:val="ListBullet"/>
      </w:pPr>
      <w:r>
        <w:rPr>
          <w:b/>
        </w:rPr>
        <w:t>Ubicación:</w:t>
      </w:r>
    </w:p>
    <w:p>
      <w:pPr>
        <w:pStyle w:val="ListBullet2"/>
      </w:pPr>
      <w:r>
        <w:t>Key Points, Cap. 6, PDF 142 / impr. 131</w:t>
      </w:r>
    </w:p>
    <w:p>
      <w:pPr>
        <w:pStyle w:val="ListBullet2"/>
      </w:pPr>
      <w:r>
        <w:t>Cuerpo del texto, PDF 146 / impr. 135</w:t>
      </w:r>
    </w:p>
    <w:p>
      <w:pPr>
        <w:pStyle w:val="ListBullet2"/>
      </w:pPr>
      <w:r>
        <w:t>Key Points, Cap. 2, PDF 32 / impr. 21</w:t>
      </w:r>
    </w:p>
    <w:p>
      <w:pPr>
        <w:pStyle w:val="ListBullet"/>
      </w:pPr>
      <w:r>
        <w:rPr>
          <w:b/>
        </w:rPr>
        <w:t>Cita:</w:t>
      </w:r>
      <w:r>
        <w:t xml:space="preserve"> "Telehealth may offer improved healthcare access, outcomes, and affordability." (PDF 142); "…with a goal of improved healthcare access, outcomes, and affordability.(1434)" (PDF 146)</w:t>
      </w:r>
    </w:p>
    <w:p>
      <w:pPr>
        <w:pStyle w:val="ListBullet"/>
      </w:pPr>
      <w:r>
        <w:rPr>
          <w:b/>
        </w:rPr>
        <w:t>Problema:</w:t>
      </w:r>
    </w:p>
    <w:p>
      <w:pPr>
        <w:pStyle w:val="ListBullet2"/>
      </w:pPr>
      <w:r>
        <w:t xml:space="preserve">La ref. 1434 es la web del </w:t>
      </w:r>
      <w:r>
        <w:rPr>
          <w:i/>
        </w:rPr>
        <w:t>Action Plan</w:t>
      </w:r>
      <w:r>
        <w:t xml:space="preserve"> de </w:t>
      </w:r>
      <w:r>
        <w:rPr>
          <w:i/>
        </w:rPr>
        <w:t>Living Well with COPD</w:t>
      </w:r>
      <w:r>
        <w:t xml:space="preserve"> (Bourbeau 2005). Está bien citada en el Apéndice 2 (PDF 152), pero no aporta datos sobre resultados ni costes de la telesalud.</w:t>
      </w:r>
    </w:p>
    <w:p>
      <w:pPr>
        <w:pStyle w:val="ListBullet2"/>
      </w:pPr>
      <w:r>
        <w:t>El Apéndice 4 (PDF 170 / impr. 159) concluye lo contrario: "delivering integrated interventions by telemedicine did not show a significant effect.(1685,1686)".</w:t>
      </w:r>
    </w:p>
    <w:p>
      <w:pPr>
        <w:pStyle w:val="ListBullet2"/>
      </w:pPr>
      <w:r>
        <w:t>El punto clave del Cap. 6 omite la salvedad que sí incluye el Cap. 2: "but use should be based on evidence".</w:t>
      </w:r>
    </w:p>
    <w:p>
      <w:pPr>
        <w:pStyle w:val="ListBullet"/>
      </w:pPr>
      <w:r>
        <w:rPr>
          <w:b/>
        </w:rPr>
        <w:t>Evidencia/justificación:</w:t>
      </w:r>
    </w:p>
    <w:p>
      <w:pPr>
        <w:pStyle w:val="ListBullet2"/>
      </w:pPr>
      <w:r>
        <w:rPr>
          <w:b/>
        </w:rPr>
        <w:t>TELESCOT</w:t>
      </w:r>
      <w:r>
        <w:t xml:space="preserve"> (Pinnock H et al., BMJ 2013;347:f6070, PMID 24136634), n = 256: sin efecto en el tiempo hasta el ingreso (HR 0,98; IC 0,66-1,44) ni en el SGRQ.</w:t>
      </w:r>
    </w:p>
    <w:p>
      <w:pPr>
        <w:pStyle w:val="ListBullet2"/>
      </w:pPr>
      <w:r>
        <w:rPr>
          <w:b/>
        </w:rPr>
        <w:t>CHROMED</w:t>
      </w:r>
      <w:r>
        <w:t xml:space="preserve"> (Walker PP et al., AJRCCM 2018;198:620-628, PMID 29557669), n = 312: no mejoró las variables primarias (tiempo hasta la primera hospitalización, EQ-5D).</w:t>
      </w:r>
    </w:p>
    <w:p>
      <w:pPr>
        <w:pStyle w:val="ListBullet2"/>
      </w:pPr>
      <w:r>
        <w:rPr>
          <w:b/>
        </w:rPr>
        <w:t>TeleCRAFT</w:t>
      </w:r>
      <w:r>
        <w:t xml:space="preserve"> (ver IA-01): aumentó los ingresos.</w:t>
      </w:r>
    </w:p>
    <w:p>
      <w:pPr>
        <w:pStyle w:val="ListBullet2"/>
      </w:pPr>
      <w:r>
        <w:rPr>
          <w:b/>
        </w:rPr>
        <w:t>Coste-efectividad:</w:t>
      </w:r>
      <w:r>
        <w:t xml:space="preserve"> la evaluación económica del Whole Systems Demonstrator (Henderson C et al., BMJ 2013;346:f1035, PMID 23520339) estimó un ICER de unas £92.000/AVAC, con probabilidad de coste-efectividad del 11 % para un umbral de £30.000.</w:t>
      </w:r>
    </w:p>
    <w:p>
      <w:pPr>
        <w:pStyle w:val="ListBullet2"/>
      </w:pPr>
      <w:r>
        <w:t>El acceso puede mejorar, pero "outcomes" y "affordability" no están demostrados.</w:t>
      </w:r>
    </w:p>
    <w:p>
      <w:pPr>
        <w:pStyle w:val="ListBullet"/>
      </w:pPr>
      <w:r>
        <w:rPr>
          <w:b/>
        </w:rPr>
        <w:t>Recomendación:</w:t>
      </w:r>
    </w:p>
    <w:p>
      <w:pPr>
        <w:pStyle w:val="ListBullet2"/>
      </w:pPr>
      <w:r>
        <w:t>Reformular como: "Telehealth may improve access for selected patients; RCTs of telemonitoring have shown inconsistent or no effects on hospitalisation, health status or mortality, and cost-effectiveness has not been demonstrated."</w:t>
      </w:r>
    </w:p>
    <w:p>
      <w:pPr>
        <w:pStyle w:val="ListBullet2"/>
      </w:pPr>
      <w:r>
        <w:t>Sustituir la ref. 1434 por CD013196 y los ECAs citados.</w:t>
      </w:r>
    </w:p>
    <w:p>
      <w:pPr>
        <w:pStyle w:val="ListBullet2"/>
      </w:pPr>
      <w:r>
        <w:t>Armonizar los Caps. 2 y 6 y el Apéndice 4.</w:t>
      </w:r>
    </w:p>
    <w:p>
      <w:pPr>
        <w:pStyle w:val="ListBullet"/>
      </w:pPr>
      <w:r>
        <w:rPr>
          <w:b/>
        </w:rPr>
        <w:t>Confianza:</w:t>
      </w:r>
      <w:r>
        <w:t xml:space="preserve"> 5/5</w:t>
      </w:r>
    </w:p>
    <w:p>
      <w:pPr>
        <w:pStyle w:val="Heading4"/>
      </w:pPr>
      <w:r>
        <w:t>IA-03 · El punto clave sobre IA sobreafirma su utilidad y contradice la propia evidencia del capítulo</w:t>
      </w:r>
    </w:p>
    <w:p>
      <w:r>
        <w:rPr>
          <w:i/>
        </w:rPr>
        <w:t xml:space="preserve">Severidad final: </w:t>
      </w:r>
      <w:r>
        <w:rPr>
          <w:i/>
          <w:color w:val="ED7D31"/>
        </w:rPr>
        <w:t>🟠</w:t>
      </w:r>
      <w:r>
        <w:rPr>
          <w:i/>
        </w:rPr>
        <w:t xml:space="preserve"> ALTA · Tema T20: Telesalud e inteligencia artificial</w:t>
      </w:r>
    </w:p>
    <w:p>
      <w:pPr>
        <w:pStyle w:val="ListBullet"/>
      </w:pPr>
      <w:r>
        <w:rPr>
          <w:b/>
        </w:rPr>
        <w:t>Tipo:</w:t>
      </w:r>
      <w:r>
        <w:t xml:space="preserve"> Evidencia mal representada</w:t>
      </w:r>
    </w:p>
    <w:p>
      <w:pPr>
        <w:pStyle w:val="ListBullet"/>
      </w:pPr>
      <w:r>
        <w:rPr>
          <w:b/>
        </w:rPr>
        <w:t>Severidad:</w:t>
      </w:r>
      <w:r>
        <w:t xml:space="preserve"> ALTA</w:t>
      </w:r>
    </w:p>
    <w:p>
      <w:pPr>
        <w:pStyle w:val="ListBullet"/>
      </w:pPr>
      <w:r>
        <w:rPr>
          <w:b/>
        </w:rPr>
        <w:t>Ubicación:</w:t>
      </w:r>
      <w:r>
        <w:t xml:space="preserve"> Key Points, Cap. 6, PDF 142 / impr. 131</w:t>
      </w:r>
    </w:p>
    <w:p>
      <w:pPr>
        <w:pStyle w:val="ListBullet"/>
      </w:pPr>
      <w:r>
        <w:rPr>
          <w:b/>
        </w:rPr>
        <w:t>Cita:</w:t>
      </w:r>
      <w:r>
        <w:t xml:space="preserve"> "Artificial intelligence can help in the diagnosis, assessment, clinical management, and prediction of prognosis of COPD."</w:t>
      </w:r>
    </w:p>
    <w:p>
      <w:pPr>
        <w:pStyle w:val="ListBullet"/>
      </w:pPr>
      <w:r>
        <w:rPr>
          <w:b/>
        </w:rPr>
        <w:t>Problema:</w:t>
      </w:r>
    </w:p>
    <w:p>
      <w:pPr>
        <w:pStyle w:val="ListBullet2"/>
      </w:pPr>
      <w:r>
        <w:t>Se afirma en indicativo una capacidad clínica general, sin matizar que casi toda la evidencia citada es de desarrollo o validación interna.</w:t>
      </w:r>
    </w:p>
    <w:p>
      <w:pPr>
        <w:pStyle w:val="ListBullet2"/>
      </w:pPr>
      <w:r>
        <w:t>El Cap. 2 (PDF 47 / impr. 36) es más prudente: "Deep learning approaches are also being investigated … with results varying depending on the method and cohort analyzed.(413)".</w:t>
      </w:r>
    </w:p>
    <w:p>
      <w:pPr>
        <w:pStyle w:val="ListBullet2"/>
      </w:pPr>
      <w:r>
        <w:t>El propio Cap. 6 cita a Smith et al. (ref. 1432), con una conclusión negativa (ver justificación).</w:t>
      </w:r>
    </w:p>
    <w:p>
      <w:pPr>
        <w:pStyle w:val="ListBullet"/>
      </w:pPr>
      <w:r>
        <w:rPr>
          <w:b/>
        </w:rPr>
        <w:t>Evidencia/justificación:</w:t>
      </w:r>
    </w:p>
    <w:p>
      <w:pPr>
        <w:pStyle w:val="ListBullet2"/>
      </w:pPr>
      <w:r>
        <w:t>Smith LA et al. (Lancet Digit Health 2023;5:e872-81) es una revisión sistemática y metaanálisis de modelos de ML/DL para el pronóstico de la EPOC:</w:t>
      </w:r>
    </w:p>
    <w:p>
      <w:pPr>
        <w:pStyle w:val="ListBullet2"/>
      </w:pPr>
      <w:r>
        <w:t>AUC agrupado ~0,77 con heterogeneidad extrema (I² ~97 %).</w:t>
      </w:r>
    </w:p>
    <w:p>
      <w:pPr>
        <w:pStyle w:val="ListBullet2"/>
      </w:pPr>
      <w:r>
        <w:t>Sin mejora significativa frente a los índices existentes.</w:t>
      </w:r>
    </w:p>
    <w:p>
      <w:pPr>
        <w:pStyle w:val="ListBullet2"/>
      </w:pPr>
      <w:r>
        <w:t>Riesgo de sesgo PROBAST alto en la mayoría de modelos.</w:t>
      </w:r>
    </w:p>
    <w:p>
      <w:pPr>
        <w:pStyle w:val="ListBullet2"/>
      </w:pPr>
      <w:r>
        <w:t>Los pocos modelos con validación externa no superaron a la regresión convencional.</w:t>
      </w:r>
    </w:p>
    <w:p>
      <w:pPr>
        <w:pStyle w:val="ListBullet2"/>
      </w:pPr>
      <w:r>
        <w:t>Ninguna herramienta de IA para EPOC citada ha demostrado en un ECA beneficio en resultados centrados en el paciente. El único ECA citado (ref. 1397) es un estudio de lectores: ver IA-06.</w:t>
      </w:r>
    </w:p>
    <w:p>
      <w:pPr>
        <w:pStyle w:val="ListBullet"/>
      </w:pPr>
      <w:r>
        <w:rPr>
          <w:b/>
        </w:rPr>
        <w:t>Recomendación:</w:t>
      </w:r>
    </w:p>
    <w:p>
      <w:pPr>
        <w:pStyle w:val="ListBullet2"/>
      </w:pPr>
      <w:r>
        <w:t>Reformular como: "AI is being investigated as a tool to support diagnosis, assessment, management and prognosis of COPD; to date, evidence comes mostly from development and internal-validation studies, and no AI tool has shown improvement in patient-relevant outcomes in COPD."</w:t>
      </w:r>
    </w:p>
    <w:p>
      <w:pPr>
        <w:pStyle w:val="ListBullet2"/>
      </w:pPr>
      <w:r>
        <w:t>Alinear con el tono del Cap. 2.</w:t>
      </w:r>
    </w:p>
    <w:p>
      <w:pPr>
        <w:pStyle w:val="ListBullet"/>
      </w:pPr>
      <w:r>
        <w:rPr>
          <w:b/>
        </w:rPr>
        <w:t>Confianza:</w:t>
      </w:r>
      <w:r>
        <w:t xml:space="preserve"> 4/5</w:t>
      </w:r>
    </w:p>
    <w:p>
      <w:pPr>
        <w:pStyle w:val="Heading4"/>
      </w:pPr>
      <w:r>
        <w:t>IA-04 · "AI can also help identifying patients at higher risk of exacerbations" se apoya en un estudio caso-control con sesgo de espectro</w:t>
      </w:r>
    </w:p>
    <w:p>
      <w:r>
        <w:rPr>
          <w:i/>
        </w:rPr>
        <w:t xml:space="preserve">Severidad final: </w:t>
      </w:r>
      <w:r>
        <w:rPr>
          <w:i/>
          <w:color w:val="ED7D31"/>
        </w:rPr>
        <w:t>🟠</w:t>
      </w:r>
      <w:r>
        <w:rPr>
          <w:i/>
        </w:rPr>
        <w:t xml:space="preserve"> ALTA · Tema T20: Telesalud e inteligencia artificial</w:t>
      </w:r>
    </w:p>
    <w:p>
      <w:pPr>
        <w:pStyle w:val="ListBullet"/>
      </w:pPr>
      <w:r>
        <w:rPr>
          <w:b/>
        </w:rPr>
        <w:t>Tipo:</w:t>
      </w:r>
      <w:r>
        <w:t xml:space="preserve"> Evidencia mal representada</w:t>
      </w:r>
    </w:p>
    <w:p>
      <w:pPr>
        <w:pStyle w:val="ListBullet"/>
      </w:pPr>
      <w:r>
        <w:rPr>
          <w:b/>
        </w:rPr>
        <w:t>Severidad:</w:t>
      </w:r>
      <w:r>
        <w:t xml:space="preserve"> ALTA</w:t>
      </w:r>
    </w:p>
    <w:p>
      <w:pPr>
        <w:pStyle w:val="ListBullet"/>
      </w:pPr>
      <w:r>
        <w:rPr>
          <w:b/>
        </w:rPr>
        <w:t>Ubicación:</w:t>
      </w:r>
      <w:r>
        <w:t xml:space="preserve"> Cap. 6, "Prognosis", PDF 145-146 / impr. 134-135</w:t>
      </w:r>
    </w:p>
    <w:p>
      <w:pPr>
        <w:pStyle w:val="ListBullet"/>
      </w:pPr>
      <w:r>
        <w:rPr>
          <w:b/>
        </w:rPr>
        <w:t>Cita:</w:t>
      </w:r>
      <w:r>
        <w:t xml:space="preserve"> "Likewise, AI can also help identifying patients at higher risk of exacerbations.(1421) Most of these studies require validation … but clearly pave the way for a better assessment of risk in COPD patients.(1433)"</w:t>
      </w:r>
    </w:p>
    <w:p>
      <w:pPr>
        <w:pStyle w:val="ListBullet"/>
      </w:pPr>
      <w:r>
        <w:rPr>
          <w:b/>
        </w:rPr>
        <w:t>Problema:</w:t>
      </w:r>
    </w:p>
    <w:p>
      <w:pPr>
        <w:pStyle w:val="ListBullet2"/>
      </w:pPr>
      <w:r>
        <w:t>"Likewise" encadena una afirmación positiva a la conclusión negativa de Smith 2023, lo que invierte su mensaje.</w:t>
      </w:r>
    </w:p>
    <w:p>
      <w:pPr>
        <w:pStyle w:val="ListBullet2"/>
      </w:pPr>
      <w:r>
        <w:t>La ref. 1421 (Zhu Y et al., Front Med 2025, PMID 40823588) no predice exacerbaciones futuras:</w:t>
      </w:r>
    </w:p>
    <w:p>
      <w:pPr>
        <w:pStyle w:val="ListBullet2"/>
      </w:pPr>
      <w:r>
        <w:t>Estudio retrospectivo de un único centro.</w:t>
      </w:r>
    </w:p>
    <w:p>
      <w:pPr>
        <w:pStyle w:val="ListBullet2"/>
      </w:pPr>
      <w:r>
        <w:t>Compara 443 pacientes ingresados por exacerbación con 320 estables.</w:t>
      </w:r>
    </w:p>
    <w:p>
      <w:pPr>
        <w:pStyle w:val="ListBullet2"/>
      </w:pPr>
      <w:r>
        <w:t>Usa cocientes del hemograma.</w:t>
      </w:r>
    </w:p>
    <w:p>
      <w:pPr>
        <w:pStyle w:val="ListBullet2"/>
      </w:pPr>
      <w:r>
        <w:t>División aleatoria 7:3 con validación interna solamente; AUC ≈ 0,90.</w:t>
      </w:r>
    </w:p>
    <w:p>
      <w:pPr>
        <w:pStyle w:val="ListBullet2"/>
      </w:pPr>
      <w:r>
        <w:t>Discrimina el estado actual, lo que introduce sesgo de espectro y sobreestima la AUC.</w:t>
      </w:r>
    </w:p>
    <w:p>
      <w:pPr>
        <w:pStyle w:val="ListBullet2"/>
      </w:pPr>
      <w:r>
        <w:t>La ref. 1433 (Singh D et al., Ther Adv Respir Dis 2022) agrupa datos de ensayos de un patrocinador (~20.000 pacientes):</w:t>
      </w:r>
    </w:p>
    <w:p>
      <w:pPr>
        <w:pStyle w:val="ListBullet2"/>
      </w:pPr>
      <w:r>
        <w:t>El ML se usó solo para seleccionar variables y el modelo final es de regresión.</w:t>
      </w:r>
    </w:p>
    <w:p>
      <w:pPr>
        <w:pStyle w:val="ListBullet2"/>
      </w:pPr>
      <w:r>
        <w:t>La validación es interna, en población de ensayo.</w:t>
      </w:r>
    </w:p>
    <w:p>
      <w:pPr>
        <w:pStyle w:val="ListBullet2"/>
      </w:pPr>
      <w:r>
        <w:t>No respalda "clearly pave the way".</w:t>
      </w:r>
    </w:p>
    <w:p>
      <w:pPr>
        <w:pStyle w:val="ListBullet"/>
      </w:pPr>
      <w:r>
        <w:rPr>
          <w:b/>
        </w:rPr>
        <w:t>Evidencia/justificación:</w:t>
      </w:r>
      <w:r>
        <w:t xml:space="preserve"> PROBAST+AI (Moons KGM et al., BMJ 2025;388:e082505, PMID 40127903) considera de alto riesgo de sesgo los diseños caso-control y la ausencia de validación externa. TRIPOD+AI (Collins GS et al., BMJ 2024;385:e078378, PMID 38626948) exige informar de la calibración y de la validación externa. Ninguno de los dos estudios cumple estos requisitos.</w:t>
      </w:r>
    </w:p>
    <w:p>
      <w:pPr>
        <w:pStyle w:val="ListBullet"/>
      </w:pPr>
      <w:r>
        <w:rPr>
          <w:b/>
        </w:rPr>
        <w:t>Recomendación:</w:t>
      </w:r>
    </w:p>
    <w:p>
      <w:pPr>
        <w:pStyle w:val="ListBullet2"/>
      </w:pPr>
      <w:r>
        <w:t>Eliminar "Likewise" y "clearly".</w:t>
      </w:r>
    </w:p>
    <w:p>
      <w:pPr>
        <w:pStyle w:val="ListBullet2"/>
      </w:pPr>
      <w:r>
        <w:t>Indicar que no hay modelos de IA de riesgo de exacerbación validados externamente que superen a la historia de exacerbaciones previas (predictor recomendado por GOLD).</w:t>
      </w:r>
    </w:p>
    <w:p>
      <w:pPr>
        <w:pStyle w:val="ListBullet2"/>
      </w:pPr>
      <w:r>
        <w:t>Si se mantiene un ejemplo, elegir uno con validación externa y calibración informada.</w:t>
      </w:r>
    </w:p>
    <w:p>
      <w:pPr>
        <w:pStyle w:val="ListBullet"/>
      </w:pPr>
      <w:r>
        <w:rPr>
          <w:b/>
        </w:rPr>
        <w:t>Confianza:</w:t>
      </w:r>
      <w:r>
        <w:t xml:space="preserve"> 5/5</w:t>
      </w:r>
    </w:p>
    <w:p>
      <w:pPr>
        <w:pStyle w:val="Heading4"/>
      </w:pPr>
      <w:r>
        <w:t>IA-05 · Referencias no pertinentes en "Underdiagnosis" y "Late diagnosis" (refs. 386, 1396, 1402, 1403)</w:t>
      </w:r>
    </w:p>
    <w:p>
      <w:r>
        <w:rPr>
          <w:i/>
        </w:rPr>
        <w:t xml:space="preserve">Severidad final: </w:t>
      </w:r>
      <w:r>
        <w:rPr>
          <w:i/>
          <w:color w:val="ED7D31"/>
        </w:rPr>
        <w:t>🟠</w:t>
      </w:r>
      <w:r>
        <w:rPr>
          <w:i/>
        </w:rPr>
        <w:t xml:space="preserve"> ALTA · Tema T20: Telesalud e inteligencia artificial</w:t>
      </w:r>
    </w:p>
    <w:p>
      <w:pPr>
        <w:pStyle w:val="ListBullet"/>
      </w:pPr>
      <w:r>
        <w:rPr>
          <w:b/>
        </w:rPr>
        <w:t>Tipo:</w:t>
      </w:r>
      <w:r>
        <w:t xml:space="preserve"> Evidencia mal representada</w:t>
      </w:r>
    </w:p>
    <w:p>
      <w:pPr>
        <w:pStyle w:val="ListBullet"/>
      </w:pPr>
      <w:r>
        <w:rPr>
          <w:b/>
        </w:rPr>
        <w:t>Severidad:</w:t>
      </w:r>
      <w:r>
        <w:t xml:space="preserve"> ALTA</w:t>
      </w:r>
    </w:p>
    <w:p>
      <w:pPr>
        <w:pStyle w:val="ListBullet"/>
      </w:pPr>
      <w:r>
        <w:rPr>
          <w:b/>
        </w:rPr>
        <w:t>Ubicación:</w:t>
      </w:r>
      <w:r>
        <w:t xml:space="preserve"> Cap. 6, "Underdiagnosis" (PDF 142 / impr. 131) y "Late diagnosis" (PDF 143 / impr. 132)</w:t>
      </w:r>
    </w:p>
    <w:p>
      <w:pPr>
        <w:pStyle w:val="ListBullet"/>
      </w:pPr>
      <w:r>
        <w:rPr>
          <w:b/>
        </w:rPr>
        <w:t>Cita:</w:t>
      </w:r>
      <w:r>
        <w:t xml:space="preserve"> "This can also be done in the community, as shown in Canada.(386) There may even be the opportunity to identify undiagnosed patients with COPD in lung cancer screening programs.(386,1396)"; "AI can facilitate earlier diagnosis by searching EHRs.(1402,1403)"</w:t>
      </w:r>
    </w:p>
    <w:p>
      <w:pPr>
        <w:pStyle w:val="ListBullet"/>
      </w:pPr>
      <w:r>
        <w:rPr>
          <w:b/>
        </w:rPr>
        <w:t>Problema:</w:t>
      </w:r>
    </w:p>
    <w:p>
      <w:pPr>
        <w:pStyle w:val="ListBullet2"/>
      </w:pPr>
      <w:r>
        <w:rPr>
          <w:b/>
        </w:rPr>
        <w:t>Ref. 386</w:t>
      </w:r>
      <w:r>
        <w:t xml:space="preserve"> (Aaron SD et al., NEJM 2024, UCAP) es un ECA de búsqueda de casos mediante llamadas telefónicas aleatorias, cuestionario y espirometría. No usa IA ni HCE ni cribado de cáncer de pulmón.</w:t>
      </w:r>
    </w:p>
    <w:p>
      <w:pPr>
        <w:pStyle w:val="ListBullet2"/>
      </w:pPr>
      <w:r>
        <w:rPr>
          <w:b/>
        </w:rPr>
        <w:t>Ref. 1396</w:t>
      </w:r>
      <w:r>
        <w:t xml:space="preserve"> (Spetrini R et al., 2025) es un piloto (n ≈ 67) con cuestionario CAPTURE y espirometría portátil, también sin IA. Además se publicó después del corte metodológico de julio de 2025 (PMID 40893032).</w:t>
      </w:r>
    </w:p>
    <w:p>
      <w:pPr>
        <w:pStyle w:val="ListBullet2"/>
      </w:pPr>
      <w:r>
        <w:rPr>
          <w:b/>
        </w:rPr>
        <w:t>Ref. 1402</w:t>
      </w:r>
      <w:r>
        <w:t xml:space="preserve"> (Bush A et al., ERJ Open Res 2025) trata de supervivientes de parto prematuro, y la </w:t>
      </w:r>
      <w:r>
        <w:rPr>
          <w:b/>
        </w:rPr>
        <w:t>ref. 1403</w:t>
      </w:r>
      <w:r>
        <w:t xml:space="preserve"> (DeBoer EM et al., Pediatrics 2023) es un taller sobre salud pulmonar pediátrica. Ninguna trata de IA ni de búsqueda en HCE.</w:t>
      </w:r>
    </w:p>
    <w:p>
      <w:pPr>
        <w:pStyle w:val="ListBullet"/>
      </w:pPr>
      <w:r>
        <w:rPr>
          <w:b/>
        </w:rPr>
        <w:t>Evidencia/justificación:</w:t>
      </w:r>
    </w:p>
    <w:p>
      <w:pPr>
        <w:pStyle w:val="ListBullet2"/>
      </w:pPr>
      <w:r>
        <w:t>Verificado en los resúmenes (PubMed/EuropePMC) de cada referencia.</w:t>
      </w:r>
    </w:p>
    <w:p>
      <w:pPr>
        <w:pStyle w:val="ListBullet2"/>
      </w:pPr>
      <w:r>
        <w:t>El lector deduce que hay evidencia de que la IA en HCE o en la comunidad detecta EPOC no diagnosticada, pero las citas no lo respaldan.</w:t>
      </w:r>
    </w:p>
    <w:p>
      <w:pPr>
        <w:pStyle w:val="ListBullet2"/>
      </w:pPr>
      <w:r>
        <w:t>Sí existen estudios de modelos de HCE para detectar EPOC no diagnosticada, pero no son los citados.</w:t>
      </w:r>
    </w:p>
    <w:p>
      <w:pPr>
        <w:pStyle w:val="ListBullet"/>
      </w:pPr>
      <w:r>
        <w:rPr>
          <w:b/>
        </w:rPr>
        <w:t>Recomendación:</w:t>
      </w:r>
    </w:p>
    <w:p>
      <w:pPr>
        <w:pStyle w:val="ListBullet2"/>
      </w:pPr>
      <w:r>
        <w:t>Reasignar las citas: ref. 386 para la búsqueda de casos convencional; refs. 1402/1403, si procede, para prematuridad y trayectorias.</w:t>
      </w:r>
    </w:p>
    <w:p>
      <w:pPr>
        <w:pStyle w:val="ListBullet2"/>
      </w:pPr>
      <w:r>
        <w:t>Citar estudios de modelos de HCE con validación externa, o declarar explícitamente que la evidencia de IA en esta área es preliminar.</w:t>
      </w:r>
    </w:p>
    <w:p>
      <w:pPr>
        <w:pStyle w:val="ListBullet2"/>
      </w:pPr>
      <w:r>
        <w:t>Reformular "AI can facilitate" como "AI could potentially facilitate".</w:t>
      </w:r>
    </w:p>
    <w:p>
      <w:pPr>
        <w:pStyle w:val="ListBullet"/>
      </w:pPr>
      <w:r>
        <w:rPr>
          <w:b/>
        </w:rPr>
        <w:t>Confianza:</w:t>
      </w:r>
      <w:r>
        <w:t xml:space="preserve"> 5/5</w:t>
      </w:r>
    </w:p>
    <w:p>
      <w:pPr>
        <w:pStyle w:val="Heading4"/>
      </w:pPr>
      <w:r>
        <w:t>IA-07 · Las "AI-assisted diagnostic alternatives to spirometry" contradicen el carácter obligatorio de la espirometría y se basan en estudios con sesgo de espectro</w:t>
      </w:r>
    </w:p>
    <w:p>
      <w:r>
        <w:rPr>
          <w:i/>
        </w:rPr>
        <w:t xml:space="preserve">Severidad final: </w:t>
      </w:r>
      <w:r>
        <w:rPr>
          <w:i/>
          <w:color w:val="ED7D31"/>
        </w:rPr>
        <w:t>🟠</w:t>
      </w:r>
      <w:r>
        <w:rPr>
          <w:i/>
        </w:rPr>
        <w:t xml:space="preserve"> ALTA · Tema T20: Telesalud e inteligencia artificial</w:t>
      </w:r>
    </w:p>
    <w:p>
      <w:pPr>
        <w:pStyle w:val="ListBullet"/>
      </w:pPr>
      <w:r>
        <w:rPr>
          <w:b/>
        </w:rPr>
        <w:t>Tipo:</w:t>
      </w:r>
      <w:r>
        <w:t xml:space="preserve"> Incongruencia interna</w:t>
      </w:r>
    </w:p>
    <w:p>
      <w:pPr>
        <w:pStyle w:val="ListBullet"/>
      </w:pPr>
      <w:r>
        <w:rPr>
          <w:b/>
        </w:rPr>
        <w:t>Severidad:</w:t>
      </w:r>
      <w:r>
        <w:t xml:space="preserve"> ALTA</w:t>
      </w:r>
    </w:p>
    <w:p>
      <w:pPr>
        <w:pStyle w:val="ListBullet"/>
      </w:pPr>
      <w:r>
        <w:rPr>
          <w:b/>
        </w:rPr>
        <w:t>Ubicación:</w:t>
      </w:r>
      <w:r>
        <w:t xml:space="preserve"> Cap. 6, PDF 143-144 / impr. 132-133</w:t>
      </w:r>
    </w:p>
    <w:p>
      <w:pPr>
        <w:pStyle w:val="ListBullet"/>
      </w:pPr>
      <w:r>
        <w:rPr>
          <w:b/>
        </w:rPr>
        <w:t>Cita:</w:t>
      </w:r>
      <w:r>
        <w:t xml:space="preserve"> "There are several AI-assisted novel diagnostic alternatives to spirometry being explored in relatively small populations, so they require validation in larger cohorts:(1406)"</w:t>
      </w:r>
    </w:p>
    <w:p>
      <w:pPr>
        <w:pStyle w:val="ListBullet"/>
      </w:pPr>
      <w:r>
        <w:rPr>
          <w:b/>
        </w:rPr>
        <w:t>Problema:</w:t>
      </w:r>
    </w:p>
    <w:p>
      <w:pPr>
        <w:pStyle w:val="ListBullet2"/>
      </w:pPr>
      <w:r>
        <w:rPr>
          <w:b/>
        </w:rPr>
        <w:t>Incongruencia con GOLD.</w:t>
      </w:r>
      <w:r>
        <w:t xml:space="preserve"> GOLD establece en el Cap. 2 (PDF 32 / impr. 21) que la espirometría "is mandatory to establish the diagnosis of COPD". Llamarlas "alternatives" (y no "complementos" o "herramientas de preselección") puede inducir a usarlas como sustitutas.</w:t>
      </w:r>
    </w:p>
    <w:p>
      <w:pPr>
        <w:pStyle w:val="ListBullet2"/>
      </w:pPr>
      <w:r>
        <w:rPr>
          <w:b/>
        </w:rPr>
        <w:t>El problema no es solo el tamaño muestral, sino el diseño:</w:t>
      </w:r>
    </w:p>
    <w:p>
      <w:pPr>
        <w:pStyle w:val="ListBullet2"/>
      </w:pPr>
      <w:r>
        <w:t>Sonidos respiratorios, ref. 1407: AUC 99,67 % sin validación externa.</w:t>
      </w:r>
    </w:p>
    <w:p>
      <w:pPr>
        <w:pStyle w:val="ListBullet2"/>
      </w:pPr>
      <w:r>
        <w:t>Voz, ref. 1408: 48 participantes.</w:t>
      </w:r>
    </w:p>
    <w:p>
      <w:pPr>
        <w:pStyle w:val="ListBullet2"/>
      </w:pPr>
      <w:r>
        <w:t>Sensores de movimiento, ref. 1410: 25 pacientes en rehabilitación; el modelo "perfectly computed" el estadio GOLD.</w:t>
      </w:r>
    </w:p>
    <w:p>
      <w:pPr>
        <w:pStyle w:val="ListBullet2"/>
      </w:pPr>
      <w:r>
        <w:t>Nariz electrónica, refs. 1411-1412: 119 pacientes con EPOC frente a 63 controles sanos, AUC 0,82, con el tabaquismo como confusor.</w:t>
      </w:r>
    </w:p>
    <w:p>
      <w:pPr>
        <w:pStyle w:val="ListBullet2"/>
      </w:pPr>
      <w:r>
        <w:t>Fotopletismografía, ref. 1413.</w:t>
      </w:r>
    </w:p>
    <w:p>
      <w:pPr>
        <w:pStyle w:val="ListBullet2"/>
      </w:pPr>
      <w:r>
        <w:t>En casi todos se compara EPOC establecida con sanos (diseño caso-control), lo que infla la AUC por sesgo de espectro.</w:t>
      </w:r>
    </w:p>
    <w:p>
      <w:pPr>
        <w:pStyle w:val="ListBullet2"/>
      </w:pPr>
      <w:r>
        <w:rPr>
          <w:b/>
        </w:rPr>
        <w:t>Varias técnicas no son IA:</w:t>
      </w:r>
    </w:p>
    <w:p>
      <w:pPr>
        <w:pStyle w:val="ListBullet2"/>
      </w:pPr>
      <w:r>
        <w:t>La oscilometría (ref. 1409, Abdo 2025) es una prueba fisiológica.</w:t>
      </w:r>
    </w:p>
    <w:p>
      <w:pPr>
        <w:pStyle w:val="ListBullet2"/>
      </w:pPr>
      <w:r>
        <w:t>La tomografía por impedancia eléctrica (ref. 1414) se estudió en personas con espirometría normal, con especificidad del 50 % frente a TC.</w:t>
      </w:r>
    </w:p>
    <w:p>
      <w:pPr>
        <w:pStyle w:val="ListBullet2"/>
      </w:pPr>
      <w:r>
        <w:t>La ref. 1414 aparece citada también para la TC.</w:t>
      </w:r>
    </w:p>
    <w:p>
      <w:pPr>
        <w:pStyle w:val="ListBullet2"/>
      </w:pPr>
      <w:r>
        <w:rPr>
          <w:b/>
        </w:rPr>
        <w:t>La ref. 1406</w:t>
      </w:r>
      <w:r>
        <w:t xml:space="preserve"> es una revisión de 2018, desactualizada para un "estado del arte".</w:t>
      </w:r>
    </w:p>
    <w:p>
      <w:pPr>
        <w:pStyle w:val="ListBullet"/>
      </w:pPr>
      <w:r>
        <w:rPr>
          <w:b/>
        </w:rPr>
        <w:t>Evidencia/justificación:</w:t>
      </w:r>
    </w:p>
    <w:p>
      <w:pPr>
        <w:pStyle w:val="ListBullet2"/>
      </w:pPr>
      <w:r>
        <w:t>Para validar un test diagnóstico hay que hacerlo en la población de uso previsto: pacientes sintomáticos de atención primaria, con diagnósticos diferenciales como asma o insuficiencia cardiaca.</w:t>
      </w:r>
    </w:p>
    <w:p>
      <w:pPr>
        <w:pStyle w:val="ListBullet2"/>
      </w:pPr>
      <w:r>
        <w:t>Para informar se dispone de STARD-AI (Sounderajah V et al., Nat Med 2025;31:3283-3289, PMID 40954311) y QUADAS.</w:t>
      </w:r>
    </w:p>
    <w:p>
      <w:pPr>
        <w:pStyle w:val="ListBullet2"/>
      </w:pPr>
      <w:r>
        <w:t>La ref. 1415 (Sun J et al., Eur Radiol 2022) es mejor ejemplo: TC con aprendizaje profundo y validación externa en NLST.</w:t>
      </w:r>
    </w:p>
    <w:p>
      <w:pPr>
        <w:pStyle w:val="ListBullet2"/>
      </w:pPr>
      <w:r>
        <w:t>Los sensores de pulsioximetría y fotopletismografía tienen sesgo por pigmentación cutánea: Sjoding MW et al., NEJM 2020;383:2477-2478, PMID 33326721.</w:t>
      </w:r>
    </w:p>
    <w:p>
      <w:pPr>
        <w:pStyle w:val="ListBullet"/>
      </w:pPr>
      <w:r>
        <w:rPr>
          <w:b/>
        </w:rPr>
        <w:t>Recomendación:</w:t>
      </w:r>
    </w:p>
    <w:p>
      <w:pPr>
        <w:pStyle w:val="ListBullet2"/>
      </w:pPr>
      <w:r>
        <w:t>Renombrar como "AI-assisted tools being explored for COPD case-finding/pre-screening (not substitutes for spirometry)".</w:t>
      </w:r>
    </w:p>
    <w:p>
      <w:pPr>
        <w:pStyle w:val="ListBullet2"/>
      </w:pPr>
      <w:r>
        <w:t>Separar las técnicas que no son IA.</w:t>
      </w:r>
    </w:p>
    <w:p>
      <w:pPr>
        <w:pStyle w:val="ListBullet2"/>
      </w:pPr>
      <w:r>
        <w:t>Indicar para cada una el diseño (caso-control o cohorte), la existencia o no de validación externa y la población.</w:t>
      </w:r>
    </w:p>
    <w:p>
      <w:pPr>
        <w:pStyle w:val="ListBullet2"/>
      </w:pPr>
      <w:r>
        <w:t>Advertir del sesgo de espectro y del sesgo por pigmentación.</w:t>
      </w:r>
    </w:p>
    <w:p>
      <w:pPr>
        <w:pStyle w:val="ListBullet"/>
      </w:pPr>
      <w:r>
        <w:rPr>
          <w:b/>
        </w:rPr>
        <w:t>Confianza:</w:t>
      </w:r>
      <w:r>
        <w:t xml:space="preserve"> 4/5</w:t>
      </w:r>
    </w:p>
    <w:p>
      <w:pPr>
        <w:pStyle w:val="Heading4"/>
      </w:pPr>
      <w:r>
        <w:t>IA-11 · Ausencia de un marco de evaluación y reporte de IA y de niveles de evidencia</w:t>
      </w:r>
    </w:p>
    <w:p>
      <w:r>
        <w:rPr>
          <w:i/>
        </w:rPr>
        <w:t xml:space="preserve">Severidad final: </w:t>
      </w:r>
      <w:r>
        <w:rPr>
          <w:i/>
          <w:color w:val="ED7D31"/>
        </w:rPr>
        <w:t>🟠</w:t>
      </w:r>
      <w:r>
        <w:rPr>
          <w:i/>
        </w:rPr>
        <w:t xml:space="preserve"> ALTA · Tema T20: Telesalud e inteligencia artificial</w:t>
      </w:r>
    </w:p>
    <w:p>
      <w:pPr>
        <w:pStyle w:val="ListBullet"/>
      </w:pPr>
      <w:r>
        <w:rPr>
          <w:b/>
        </w:rPr>
        <w:t>Tipo:</w:t>
      </w:r>
      <w:r>
        <w:t xml:space="preserve"> Omisión</w:t>
      </w:r>
    </w:p>
    <w:p>
      <w:pPr>
        <w:pStyle w:val="ListBullet"/>
      </w:pPr>
      <w:r>
        <w:rPr>
          <w:b/>
        </w:rPr>
        <w:t>Severidad:</w:t>
      </w:r>
      <w:r>
        <w:t xml:space="preserve"> ALTA</w:t>
      </w:r>
    </w:p>
    <w:p>
      <w:pPr>
        <w:pStyle w:val="ListBullet"/>
      </w:pPr>
      <w:r>
        <w:rPr>
          <w:b/>
        </w:rPr>
        <w:t>Ubicación:</w:t>
      </w:r>
      <w:r>
        <w:t xml:space="preserve"> Todo el Cap. 6, PDF 142-148 / impr. 131-137 (p. ej., la introducción en PDF 142)</w:t>
      </w:r>
    </w:p>
    <w:p>
      <w:pPr>
        <w:pStyle w:val="ListBullet"/>
      </w:pPr>
      <w:r>
        <w:rPr>
          <w:b/>
        </w:rPr>
        <w:t>Cita:</w:t>
      </w:r>
      <w:r>
        <w:t xml:space="preserve"> "AI comes with risks and limitations that need careful consideration before deployment in clinical practice (Figure 6.2).(1392)"</w:t>
      </w:r>
    </w:p>
    <w:p>
      <w:pPr>
        <w:pStyle w:val="ListBullet"/>
      </w:pPr>
      <w:r>
        <w:rPr>
          <w:b/>
        </w:rPr>
        <w:t>Problema:</w:t>
      </w:r>
    </w:p>
    <w:p>
      <w:pPr>
        <w:pStyle w:val="ListBullet2"/>
      </w:pPr>
      <w:r>
        <w:t>El capítulo no ofrece ningún criterio para que el clínico juzgue la madurez de una herramienta de IA o digital.</w:t>
      </w:r>
    </w:p>
    <w:p>
      <w:pPr>
        <w:pStyle w:val="ListBullet2"/>
      </w:pPr>
      <w:r>
        <w:t>No asigna niveles de evidencia GOLD (A-D) a ninguna afirmación. El único grado citado es el GRADE de la guía ATS (PDF 148).</w:t>
      </w:r>
    </w:p>
    <w:p>
      <w:pPr>
        <w:pStyle w:val="ListBullet2"/>
      </w:pPr>
      <w:r>
        <w:t>Mezcla en el mismo plano prototipos de laboratorio, validaciones internas, estudios de lectores y ECAs.</w:t>
      </w:r>
    </w:p>
    <w:p>
      <w:pPr>
        <w:pStyle w:val="ListBullet"/>
      </w:pPr>
      <w:r>
        <w:rPr>
          <w:b/>
        </w:rPr>
        <w:t>Evidencia/justificación:</w:t>
      </w:r>
      <w:r>
        <w:t xml:space="preserve"> Existen estándares consolidados que una guía de referencia debería exigir o recomendar:</w:t>
      </w:r>
    </w:p>
    <w:p>
      <w:pPr>
        <w:pStyle w:val="ListBullet2"/>
      </w:pPr>
      <w:r>
        <w:rPr>
          <w:b/>
        </w:rPr>
        <w:t>TRIPOD+AI</w:t>
      </w:r>
      <w:r>
        <w:t xml:space="preserve"> (BMJ 2024;385:e078378) y </w:t>
      </w:r>
      <w:r>
        <w:rPr>
          <w:b/>
        </w:rPr>
        <w:t>PROBAST+AI</w:t>
      </w:r>
      <w:r>
        <w:t xml:space="preserve"> (BMJ 2025;388:e082505), para modelos predictivos.</w:t>
      </w:r>
    </w:p>
    <w:p>
      <w:pPr>
        <w:pStyle w:val="ListBullet2"/>
      </w:pPr>
      <w:r>
        <w:rPr>
          <w:b/>
        </w:rPr>
        <w:t>STARD-AI</w:t>
      </w:r>
      <w:r>
        <w:t xml:space="preserve"> (Nat Med 2025;31:3283-3289), para exactitud diagnóstica.</w:t>
      </w:r>
    </w:p>
    <w:p>
      <w:pPr>
        <w:pStyle w:val="ListBullet2"/>
      </w:pPr>
      <w:r>
        <w:rPr>
          <w:b/>
        </w:rPr>
        <w:t>DECIDE-AI</w:t>
      </w:r>
      <w:r>
        <w:t xml:space="preserve"> (Nat Med 2022;28:924-933; BMJ 2022;377:e070904), para la evaluación clínica temprana.</w:t>
      </w:r>
    </w:p>
    <w:p>
      <w:pPr>
        <w:pStyle w:val="ListBullet2"/>
      </w:pPr>
      <w:r>
        <w:rPr>
          <w:b/>
        </w:rPr>
        <w:t>SPIRIT-AI / CONSORT-AI</w:t>
      </w:r>
      <w:r>
        <w:t xml:space="preserve"> (Nat Med 2020;26:1351-1363 y 1364-1374), para ECAs.</w:t>
      </w:r>
    </w:p>
    <w:p>
      <w:pPr>
        <w:pStyle w:val="ListBullet2"/>
      </w:pPr>
      <w:r>
        <w:rPr>
          <w:b/>
        </w:rPr>
        <w:t>TRIPOD-LLM</w:t>
      </w:r>
      <w:r>
        <w:t xml:space="preserve"> (Gallifant J et al., Nat Med 2025), para LLM.</w:t>
      </w:r>
    </w:p>
    <w:p>
      <w:pPr>
        <w:pStyle w:val="ListBullet2"/>
      </w:pPr>
      <w:r>
        <w:rPr>
          <w:b/>
        </w:rPr>
        <w:t>CONSORT-EHEALTH</w:t>
      </w:r>
      <w:r>
        <w:t xml:space="preserve"> (Eysenbach G, JMIR 2011;13:e126), para intervenciones de salud digital.</w:t>
      </w:r>
    </w:p>
    <w:p>
      <w:pPr>
        <w:pStyle w:val="ListBullet"/>
      </w:pPr>
      <w:r>
        <w:rPr>
          <w:b/>
        </w:rPr>
        <w:t>Recomendación:</w:t>
      </w:r>
    </w:p>
    <w:p>
      <w:pPr>
        <w:pStyle w:val="ListBullet2"/>
      </w:pPr>
      <w:r>
        <w:t>Añadir una tabla de "madurez de la evidencia" con los niveles: desarrollo → validación externa (discriminación y calibración) → evaluación clínica temprana (DECIDE-AI) → ECA de impacto → vigilancia poscomercialización.</w:t>
      </w:r>
    </w:p>
    <w:p>
      <w:pPr>
        <w:pStyle w:val="ListBullet2"/>
      </w:pPr>
      <w:r>
        <w:t>Clasificar cada uso mencionado en esa tabla.</w:t>
      </w:r>
    </w:p>
    <w:p>
      <w:pPr>
        <w:pStyle w:val="ListBullet2"/>
      </w:pPr>
      <w:r>
        <w:t>Asignar niveles de evidencia GOLD a las afirmaciones con implicaciones prácticas.</w:t>
      </w:r>
    </w:p>
    <w:p>
      <w:pPr>
        <w:pStyle w:val="ListBullet"/>
      </w:pPr>
      <w:r>
        <w:rPr>
          <w:b/>
        </w:rPr>
        <w:t>Confianza:</w:t>
      </w:r>
      <w:r>
        <w:t xml:space="preserve"> 5/5</w:t>
      </w:r>
    </w:p>
    <w:p>
      <w:pPr>
        <w:pStyle w:val="Heading4"/>
      </w:pPr>
      <w:r>
        <w:t>IA-12 · Marco regulatorio casi ausente y sin distinguir herramientas autorizadas de prototipos</w:t>
      </w:r>
    </w:p>
    <w:p>
      <w:r>
        <w:rPr>
          <w:i/>
        </w:rPr>
        <w:t xml:space="preserve">Severidad final: </w:t>
      </w:r>
      <w:r>
        <w:rPr>
          <w:i/>
          <w:color w:val="ED7D31"/>
        </w:rPr>
        <w:t>🟠</w:t>
      </w:r>
      <w:r>
        <w:rPr>
          <w:i/>
        </w:rPr>
        <w:t xml:space="preserve"> ALTA · Tema T20: Telesalud e inteligencia artificial</w:t>
      </w:r>
    </w:p>
    <w:p>
      <w:pPr>
        <w:pStyle w:val="ListBullet"/>
      </w:pPr>
      <w:r>
        <w:rPr>
          <w:b/>
        </w:rPr>
        <w:t>Tipo:</w:t>
      </w:r>
      <w:r>
        <w:t xml:space="preserve"> Omisión</w:t>
      </w:r>
    </w:p>
    <w:p>
      <w:pPr>
        <w:pStyle w:val="ListBullet"/>
      </w:pPr>
      <w:r>
        <w:rPr>
          <w:b/>
        </w:rPr>
        <w:t>Severidad:</w:t>
      </w:r>
      <w:r>
        <w:t xml:space="preserve"> ALTA</w:t>
      </w:r>
    </w:p>
    <w:p>
      <w:pPr>
        <w:pStyle w:val="ListBullet"/>
      </w:pPr>
      <w:r>
        <w:rPr>
          <w:b/>
        </w:rPr>
        <w:t>Ubicación:</w:t>
      </w:r>
      <w:r>
        <w:t xml:space="preserve"> Cap. 6, PDF 142 / impr. 131 (única mención); afecta a PDF 142-146</w:t>
      </w:r>
    </w:p>
    <w:p>
      <w:pPr>
        <w:pStyle w:val="ListBullet"/>
      </w:pPr>
      <w:r>
        <w:rPr>
          <w:b/>
        </w:rPr>
        <w:t>Cita:</w:t>
      </w:r>
      <w:r>
        <w:t xml:space="preserve"> "…together with the legal framework on data access and medical devices, may limit its practical implementation."</w:t>
      </w:r>
    </w:p>
    <w:p>
      <w:pPr>
        <w:pStyle w:val="ListBullet"/>
      </w:pPr>
      <w:r>
        <w:rPr>
          <w:b/>
        </w:rPr>
        <w:t>Problema:</w:t>
      </w:r>
    </w:p>
    <w:p>
      <w:pPr>
        <w:pStyle w:val="ListBullet2"/>
      </w:pPr>
      <w:r>
        <w:t>El marco legal se menciona solo como barrera.</w:t>
      </w:r>
    </w:p>
    <w:p>
      <w:pPr>
        <w:pStyle w:val="ListBullet2"/>
      </w:pPr>
      <w:r>
        <w:t>Muchas funciones propuestas son, por definición, software dispositivo médico (SaMD): interpretación de espirometrías, triaje con chatbot, telemonitorización con alertas, predicción de exacerbaciones, CDS en la HCE.</w:t>
      </w:r>
    </w:p>
    <w:p>
      <w:pPr>
        <w:pStyle w:val="ListBullet2"/>
      </w:pPr>
      <w:r>
        <w:t>El capítulo no indica qué está aprobado. Esto contradice el principio metodológico de GOLD de no recomendar lo no aprobado por una agencia reguladora importante (PDF 7 / impr. vi), aunque ese principio se formula para fármacos.</w:t>
      </w:r>
    </w:p>
    <w:p>
      <w:pPr>
        <w:pStyle w:val="ListBullet"/>
      </w:pPr>
      <w:r>
        <w:rPr>
          <w:b/>
        </w:rPr>
        <w:t>Evidencia/justificación:</w:t>
      </w:r>
    </w:p>
    <w:p>
      <w:pPr>
        <w:pStyle w:val="ListBullet2"/>
      </w:pPr>
      <w:r>
        <w:rPr>
          <w:b/>
        </w:rPr>
        <w:t>UE:</w:t>
      </w:r>
    </w:p>
    <w:p>
      <w:pPr>
        <w:pStyle w:val="ListBullet2"/>
      </w:pPr>
      <w:r>
        <w:t>Reglamento (UE) 2017/745 (MDR), Anexo VIII, Regla 11: el software para decisiones diagnósticas o terapéuticas es al menos clase IIa.</w:t>
      </w:r>
    </w:p>
    <w:p>
      <w:pPr>
        <w:pStyle w:val="ListBullet2"/>
      </w:pPr>
      <w:r>
        <w:t>Reglamento (UE) 2024/1689 (Ley de IA): los sistemas de IA que son dispositivos médicos sujetos a evaluación por organismo notificado son de alto riesgo (art. 6(1), Anexo I). Las obligaciones aplican desde agosto de 2027. La propuesta "Digital Omnibus" (noviembre de 2025) podría modificar los plazos; esto es incierto.</w:t>
      </w:r>
    </w:p>
    <w:p>
      <w:pPr>
        <w:pStyle w:val="ListBullet2"/>
      </w:pPr>
      <w:r>
        <w:rPr>
          <w:b/>
        </w:rPr>
        <w:t>FDA:</w:t>
      </w:r>
    </w:p>
    <w:p>
      <w:pPr>
        <w:pStyle w:val="ListBullet2"/>
      </w:pPr>
      <w:r>
        <w:t>Guía final de PCCP (diciembre de 2024).</w:t>
      </w:r>
    </w:p>
    <w:p>
      <w:pPr>
        <w:pStyle w:val="ListBullet2"/>
      </w:pPr>
      <w:r>
        <w:t>Borrador sobre funciones de software con IA (enero de 2025).</w:t>
      </w:r>
    </w:p>
    <w:p>
      <w:pPr>
        <w:pStyle w:val="ListBullet2"/>
      </w:pPr>
      <w:r>
        <w:t>Guía de CDS (2022).</w:t>
      </w:r>
    </w:p>
    <w:p>
      <w:pPr>
        <w:pStyle w:val="ListBullet2"/>
      </w:pPr>
      <w:r>
        <w:t>Principios de buenas prácticas de aprendizaje automático (GMLP; FDA/Health Canada/MHRA, 2021).</w:t>
      </w:r>
    </w:p>
    <w:p>
      <w:pPr>
        <w:pStyle w:val="ListBullet2"/>
      </w:pPr>
      <w:r>
        <w:rPr>
          <w:b/>
        </w:rPr>
        <w:t>Protección de datos:</w:t>
      </w:r>
      <w:r>
        <w:t xml:space="preserve"> RGPD (art. 9) y HIPAA.</w:t>
      </w:r>
    </w:p>
    <w:p>
      <w:pPr>
        <w:pStyle w:val="ListBullet"/>
      </w:pPr>
      <w:r>
        <w:rPr>
          <w:b/>
        </w:rPr>
        <w:t>Recomendación:</w:t>
      </w:r>
    </w:p>
    <w:p>
      <w:pPr>
        <w:pStyle w:val="ListBullet2"/>
      </w:pPr>
      <w:r>
        <w:t>Añadir un apartado breve sobre "Regulatory status and accountability".</w:t>
      </w:r>
    </w:p>
    <w:p>
      <w:pPr>
        <w:pStyle w:val="ListBullet2"/>
      </w:pPr>
      <w:r>
        <w:t>Indicar para cada tipo de herramienta si existen productos con marcado CE o autorización FDA.</w:t>
      </w:r>
    </w:p>
    <w:p>
      <w:pPr>
        <w:pStyle w:val="ListBullet2"/>
      </w:pPr>
      <w:r>
        <w:t>Recomendar usar solo herramientas autorizadas para su uso previsto, con supervisión humana y vigilancia poscomercialización.</w:t>
      </w:r>
    </w:p>
    <w:p>
      <w:pPr>
        <w:pStyle w:val="ListBullet"/>
      </w:pPr>
      <w:r>
        <w:rPr>
          <w:b/>
        </w:rPr>
        <w:t>Confianza:</w:t>
      </w:r>
      <w:r>
        <w:t xml:space="preserve"> 4/5</w:t>
      </w:r>
    </w:p>
    <w:p>
      <w:pPr>
        <w:pStyle w:val="Heading4"/>
      </w:pPr>
      <w:r>
        <w:t>IA-13 · "Keyboard zero" y envío de resúmenes por WhatsApp/SMS: privacidad, consentimiento y errores de los LLM no abordados</w:t>
      </w:r>
    </w:p>
    <w:p>
      <w:r>
        <w:rPr>
          <w:i/>
        </w:rPr>
        <w:t xml:space="preserve">Severidad final: </w:t>
      </w:r>
      <w:r>
        <w:rPr>
          <w:i/>
          <w:color w:val="ED7D31"/>
        </w:rPr>
        <w:t>🟠</w:t>
      </w:r>
      <w:r>
        <w:rPr>
          <w:i/>
        </w:rPr>
        <w:t xml:space="preserve"> ALTA · Tema T20: Telesalud e inteligencia artificial</w:t>
      </w:r>
    </w:p>
    <w:p>
      <w:pPr>
        <w:pStyle w:val="ListBullet"/>
      </w:pPr>
      <w:r>
        <w:rPr>
          <w:b/>
        </w:rPr>
        <w:t>Tipo:</w:t>
      </w:r>
      <w:r>
        <w:t xml:space="preserve"> Omisión</w:t>
      </w:r>
    </w:p>
    <w:p>
      <w:pPr>
        <w:pStyle w:val="ListBullet"/>
      </w:pPr>
      <w:r>
        <w:rPr>
          <w:b/>
        </w:rPr>
        <w:t>Severidad:</w:t>
      </w:r>
      <w:r>
        <w:t xml:space="preserve"> ALTA</w:t>
      </w:r>
    </w:p>
    <w:p>
      <w:pPr>
        <w:pStyle w:val="ListBullet"/>
      </w:pPr>
      <w:r>
        <w:rPr>
          <w:b/>
        </w:rPr>
        <w:t>Ubicación:</w:t>
      </w:r>
      <w:r>
        <w:t xml:space="preserve"> Cap. 6, "Management guidelines, multimorbidity and AI", PDF 145 / impr. 134</w:t>
      </w:r>
    </w:p>
    <w:p>
      <w:pPr>
        <w:pStyle w:val="ListBullet"/>
      </w:pPr>
      <w:r>
        <w:rPr>
          <w:b/>
        </w:rPr>
        <w:t>Cita:</w:t>
      </w:r>
      <w:r>
        <w:t xml:space="preserve"> "…the conversation between the patient and the doctor is continuously recorded ("keyboard zero"). Then, AI can produce a summary … sent e.g., via e-mail, text message, SMS, WhatsApp etc) to the patient. … likely to improve eye contact (and empathy)"</w:t>
      </w:r>
    </w:p>
    <w:p>
      <w:pPr>
        <w:pStyle w:val="ListBullet"/>
      </w:pPr>
      <w:r>
        <w:rPr>
          <w:b/>
        </w:rPr>
        <w:t>Problema:</w:t>
      </w:r>
    </w:p>
    <w:p>
      <w:pPr>
        <w:pStyle w:val="ListBullet2"/>
      </w:pPr>
      <w:r>
        <w:t>Se propone grabar la consulta y enviar datos de salud por canales de consumo sin mencionar:</w:t>
      </w:r>
    </w:p>
    <w:p>
      <w:pPr>
        <w:pStyle w:val="ListBullet2"/>
      </w:pPr>
      <w:r>
        <w:t>El consentimiento explícito de la grabación (en algunas jurisdicciones, de todas las partes).</w:t>
      </w:r>
    </w:p>
    <w:p>
      <w:pPr>
        <w:pStyle w:val="ListBullet2"/>
      </w:pPr>
      <w:r>
        <w:t>Las bases jurídicas para datos de salud (RGPD art. 9) y la retención y el borrado de las grabaciones.</w:t>
      </w:r>
    </w:p>
    <w:p>
      <w:pPr>
        <w:pStyle w:val="ListBullet2"/>
      </w:pPr>
      <w:r>
        <w:t>Que WhatsApp y el SMS no son canales seguros conformes a HIPAA, ni el riesgo de exposición en dispositivos compartidos.</w:t>
      </w:r>
    </w:p>
    <w:p>
      <w:pPr>
        <w:pStyle w:val="ListBullet2"/>
      </w:pPr>
      <w:r>
        <w:t>Las alucinaciones u omisiones de los LLM y la responsabilidad legal.</w:t>
      </w:r>
    </w:p>
    <w:p>
      <w:pPr>
        <w:pStyle w:val="ListBullet2"/>
      </w:pPr>
      <w:r>
        <w:t>"Likely to improve eye contact (and empathy)" no lleva cita.</w:t>
      </w:r>
    </w:p>
    <w:p>
      <w:pPr>
        <w:pStyle w:val="ListBullet"/>
      </w:pPr>
      <w:r>
        <w:rPr>
          <w:b/>
        </w:rPr>
        <w:t>Evidencia/justificación:</w:t>
      </w:r>
    </w:p>
    <w:p>
      <w:pPr>
        <w:pStyle w:val="ListBullet2"/>
      </w:pPr>
      <w:r>
        <w:t>El primer ECA de escribas ambientales (Lukac PJ et al., NEJM AI 2025;2(12), DOI 10.1056/AIoa2501000, PMID 41497288; 238 médicos) halló:</w:t>
      </w:r>
    </w:p>
    <w:p>
      <w:pPr>
        <w:pStyle w:val="ListBullet2"/>
      </w:pPr>
      <w:r>
        <w:t>Reducción modesta del tiempo de documentación con una sola de las dos plataformas: Nabla −9,5 %; DAX sin cambios.</w:t>
      </w:r>
    </w:p>
    <w:p>
      <w:pPr>
        <w:pStyle w:val="ListBullet2"/>
      </w:pPr>
      <w:r>
        <w:t>Inexactitudes clínicamente significativas notificadas "occasionally".</w:t>
      </w:r>
    </w:p>
    <w:p>
      <w:pPr>
        <w:pStyle w:val="ListBullet2"/>
      </w:pPr>
      <w:r>
        <w:t>Los autores piden "ongoing vigilance".</w:t>
      </w:r>
    </w:p>
    <w:p>
      <w:pPr>
        <w:pStyle w:val="ListBullet2"/>
      </w:pPr>
      <w:r>
        <w:t>Eccles A et al. (BMJ 2025;390, PMID 40866006) describen consecuencias no deseadas en atención primaria.</w:t>
      </w:r>
    </w:p>
    <w:p>
      <w:pPr>
        <w:pStyle w:val="ListBullet2"/>
      </w:pPr>
      <w:r>
        <w:t>No hay evidencia de mejora de la empatía en EPOC.</w:t>
      </w:r>
    </w:p>
    <w:p>
      <w:pPr>
        <w:pStyle w:val="ListBullet"/>
      </w:pPr>
      <w:r>
        <w:rPr>
          <w:b/>
        </w:rPr>
        <w:t>Recomendación:</w:t>
      </w:r>
    </w:p>
    <w:p>
      <w:pPr>
        <w:pStyle w:val="ListBullet2"/>
      </w:pPr>
      <w:r>
        <w:t>Presentarlo como experiencia emergente, no como recomendación.</w:t>
      </w:r>
    </w:p>
    <w:p>
      <w:pPr>
        <w:pStyle w:val="ListBullet2"/>
      </w:pPr>
      <w:r>
        <w:t>Exigir consentimiento informado, plataformas seguras y conformes con la normativa, y revisión y firma médica.</w:t>
      </w:r>
    </w:p>
    <w:p>
      <w:pPr>
        <w:pStyle w:val="ListBullet2"/>
      </w:pPr>
      <w:r>
        <w:t>Advertir del riesgo de errores.</w:t>
      </w:r>
    </w:p>
    <w:p>
      <w:pPr>
        <w:pStyle w:val="ListBullet2"/>
      </w:pPr>
      <w:r>
        <w:t>Eliminar o citar la afirmación sobre empatía.</w:t>
      </w:r>
    </w:p>
    <w:p>
      <w:pPr>
        <w:pStyle w:val="ListBullet"/>
      </w:pPr>
      <w:r>
        <w:rPr>
          <w:b/>
        </w:rPr>
        <w:t>Confianza:</w:t>
      </w:r>
      <w:r>
        <w:t xml:space="preserve"> 4/5</w:t>
      </w:r>
    </w:p>
    <w:p>
      <w:pPr>
        <w:pStyle w:val="Heading4"/>
      </w:pPr>
      <w:r>
        <w:t>IA-15 · Chatbot como primera interfaz y para recomendar acciones: la referencia no evalúa triaje y no se abordan los riesgos de seguridad</w:t>
      </w:r>
    </w:p>
    <w:p>
      <w:r>
        <w:rPr>
          <w:i/>
        </w:rPr>
        <w:t xml:space="preserve">Severidad final: </w:t>
      </w:r>
      <w:r>
        <w:rPr>
          <w:i/>
          <w:color w:val="ED7D31"/>
        </w:rPr>
        <w:t>🟠</w:t>
      </w:r>
      <w:r>
        <w:rPr>
          <w:i/>
        </w:rPr>
        <w:t xml:space="preserve"> ALTA · Tema T20: Telesalud e inteligencia artificial</w:t>
      </w:r>
    </w:p>
    <w:p>
      <w:pPr>
        <w:pStyle w:val="ListBullet"/>
      </w:pPr>
      <w:r>
        <w:rPr>
          <w:b/>
        </w:rPr>
        <w:t>Tipo:</w:t>
      </w:r>
      <w:r>
        <w:t xml:space="preserve"> Evidencia mal representada</w:t>
      </w:r>
    </w:p>
    <w:p>
      <w:pPr>
        <w:pStyle w:val="ListBullet"/>
      </w:pPr>
      <w:r>
        <w:rPr>
          <w:b/>
        </w:rPr>
        <w:t>Severidad:</w:t>
      </w:r>
      <w:r>
        <w:t xml:space="preserve"> ALTA</w:t>
      </w:r>
    </w:p>
    <w:p>
      <w:pPr>
        <w:pStyle w:val="ListBullet"/>
      </w:pPr>
      <w:r>
        <w:rPr>
          <w:b/>
        </w:rPr>
        <w:t>Ubicación:</w:t>
      </w:r>
      <w:r>
        <w:t xml:space="preserve"> Cap. 6, PDF 145 / impr. 134</w:t>
      </w:r>
    </w:p>
    <w:p>
      <w:pPr>
        <w:pStyle w:val="ListBullet"/>
      </w:pPr>
      <w:r>
        <w:rPr>
          <w:b/>
        </w:rPr>
        <w:t>Cita:</w:t>
      </w:r>
      <w:r>
        <w:t xml:space="preserve"> "…a chatbot in the home of the patient can potentially be the first interface to contact the healthcare system(1430) and answer questions … and recommend specific actions, including automatically seeking healthcare, either remotely or in person.(1431)"</w:t>
      </w:r>
    </w:p>
    <w:p>
      <w:pPr>
        <w:pStyle w:val="ListBullet"/>
      </w:pPr>
      <w:r>
        <w:rPr>
          <w:b/>
        </w:rPr>
        <w:t>Problema:</w:t>
      </w:r>
    </w:p>
    <w:p>
      <w:pPr>
        <w:pStyle w:val="ListBullet2"/>
      </w:pPr>
      <w:r>
        <w:t xml:space="preserve">La </w:t>
      </w:r>
      <w:r>
        <w:rPr>
          <w:b/>
        </w:rPr>
        <w:t>ref. 1431</w:t>
      </w:r>
      <w:r>
        <w:t xml:space="preserve"> (Ayers JW et al., JAMA Intern Med 2023) es un estudio transversal: valoró la calidad y la empatía de respuestas a 195 preguntas de un foro de Reddit (r/AskDocs). No evaluó triaje, EPOC, seguridad ni acciones automáticas.</w:t>
      </w:r>
    </w:p>
    <w:p>
      <w:pPr>
        <w:pStyle w:val="ListBullet2"/>
      </w:pPr>
      <w:r>
        <w:t xml:space="preserve">La </w:t>
      </w:r>
      <w:r>
        <w:rPr>
          <w:b/>
        </w:rPr>
        <w:t>ref. 1430</w:t>
      </w:r>
      <w:r>
        <w:t xml:space="preserve"> es un artículo de opinión de autores de GOLD (Med Clin Barc 2025).</w:t>
      </w:r>
    </w:p>
    <w:p>
      <w:pPr>
        <w:pStyle w:val="ListBullet2"/>
      </w:pPr>
      <w:r>
        <w:t>Un error de triaje puede retrasar la atención de una exacerbación grave: se trata de un riesgo directo para el paciente.</w:t>
      </w:r>
    </w:p>
    <w:p>
      <w:pPr>
        <w:pStyle w:val="ListBullet"/>
      </w:pPr>
      <w:r>
        <w:rPr>
          <w:b/>
        </w:rPr>
        <w:t>Evidencia/justificación:</w:t>
      </w:r>
    </w:p>
    <w:p>
      <w:pPr>
        <w:pStyle w:val="ListBullet2"/>
      </w:pPr>
      <w:r>
        <w:t>Los verificadores de síntomas tienen una exactitud de triaje baja y variable: Semigran HL et al., BMJ 2015;351:h3480; Wallace W et al., npj Digit Med 2022;5:118.</w:t>
      </w:r>
    </w:p>
    <w:p>
      <w:pPr>
        <w:pStyle w:val="ListBullet2"/>
      </w:pPr>
      <w:r>
        <w:t>Un chatbot que recomienda acciones clínicas sería un dispositivo médico (ver IA-12).</w:t>
      </w:r>
    </w:p>
    <w:p>
      <w:pPr>
        <w:pStyle w:val="ListBullet2"/>
      </w:pPr>
      <w:r>
        <w:t>La Figura 6.2 no menciona riesgos específicos de los LLM: alucinaciones, consejo inseguro, sesgo de automatización más allá de "overreliance".</w:t>
      </w:r>
    </w:p>
    <w:p>
      <w:pPr>
        <w:pStyle w:val="ListBullet"/>
      </w:pPr>
      <w:r>
        <w:rPr>
          <w:b/>
        </w:rPr>
        <w:t>Recomendación:</w:t>
      </w:r>
    </w:p>
    <w:p>
      <w:pPr>
        <w:pStyle w:val="ListBullet2"/>
      </w:pPr>
      <w:r>
        <w:t>Sustituir la ref. 1431 por evidencia de triaje.</w:t>
      </w:r>
    </w:p>
    <w:p>
      <w:pPr>
        <w:pStyle w:val="ListBullet2"/>
      </w:pPr>
      <w:r>
        <w:t>Precisar que hoy no existen chatbots validados para el triaje de la EPOC.</w:t>
      </w:r>
    </w:p>
    <w:p>
      <w:pPr>
        <w:pStyle w:val="ListBullet2"/>
      </w:pPr>
      <w:r>
        <w:t>Exigir validación prospectiva, autorización regulatoria y vías de escalado claras: ante síntomas graves, contacto humano o urgencias.</w:t>
      </w:r>
    </w:p>
    <w:p>
      <w:pPr>
        <w:pStyle w:val="ListBullet2"/>
      </w:pPr>
      <w:r>
        <w:t>Añadir las alucinaciones de los LLM a la Figura 6.2.</w:t>
      </w:r>
    </w:p>
    <w:p>
      <w:pPr>
        <w:pStyle w:val="ListBullet"/>
      </w:pPr>
      <w:r>
        <w:rPr>
          <w:b/>
        </w:rPr>
        <w:t>Confianza:</w:t>
      </w:r>
      <w:r>
        <w:t xml:space="preserve"> 4/5</w:t>
      </w:r>
    </w:p>
    <w:p>
      <w:pPr>
        <w:pStyle w:val="Heading4"/>
      </w:pPr>
      <w:r>
        <w:t>IA-17 · "AI-supported home rehabilitation … alternative" cuando la ref. 1429 evaluó el mantenimiento de la actividad física tras la rehabilitación pulmonar</w:t>
      </w:r>
    </w:p>
    <w:p>
      <w:r>
        <w:rPr>
          <w:i/>
        </w:rPr>
        <w:t xml:space="preserve">Severidad final: </w:t>
      </w:r>
      <w:r>
        <w:rPr>
          <w:i/>
          <w:color w:val="ED7D31"/>
        </w:rPr>
        <w:t>🟠</w:t>
      </w:r>
      <w:r>
        <w:rPr>
          <w:i/>
        </w:rPr>
        <w:t xml:space="preserve"> ALTA · Tema T20: Telesalud e inteligencia artificial</w:t>
      </w:r>
    </w:p>
    <w:p>
      <w:pPr>
        <w:pStyle w:val="ListBullet"/>
      </w:pPr>
      <w:r>
        <w:rPr>
          <w:b/>
        </w:rPr>
        <w:t>Tipo:</w:t>
      </w:r>
      <w:r>
        <w:t xml:space="preserve"> Evidencia mal representada</w:t>
      </w:r>
    </w:p>
    <w:p>
      <w:pPr>
        <w:pStyle w:val="ListBullet"/>
      </w:pPr>
      <w:r>
        <w:rPr>
          <w:b/>
        </w:rPr>
        <w:t>Severidad:</w:t>
      </w:r>
      <w:r>
        <w:t xml:space="preserve"> ALTA</w:t>
      </w:r>
    </w:p>
    <w:p>
      <w:pPr>
        <w:pStyle w:val="ListBullet"/>
      </w:pPr>
      <w:r>
        <w:rPr>
          <w:b/>
        </w:rPr>
        <w:t>Ubicación:</w:t>
      </w:r>
      <w:r>
        <w:t xml:space="preserve"> Cap. 6, PDF 145 / impr. 134</w:t>
      </w:r>
    </w:p>
    <w:p>
      <w:pPr>
        <w:pStyle w:val="ListBullet"/>
      </w:pPr>
      <w:r>
        <w:rPr>
          <w:b/>
        </w:rPr>
        <w:t>Cita:</w:t>
      </w:r>
      <w:r>
        <w:t xml:space="preserve"> "Likewise, AI-supported home rehabilitation is a potential alternative when face to face programs are not available.(1429)"</w:t>
      </w:r>
    </w:p>
    <w:p>
      <w:pPr>
        <w:pStyle w:val="ListBullet"/>
      </w:pPr>
      <w:r>
        <w:rPr>
          <w:b/>
        </w:rPr>
        <w:t>Problema:</w:t>
      </w:r>
    </w:p>
    <w:p>
      <w:pPr>
        <w:pStyle w:val="ListBullet2"/>
      </w:pPr>
      <w:r>
        <w:t>La ref. 1429 (Spielmanns M et al., Thorax 2023;78:442-450) es un ECA de una aplicación de smartphone para mantener la actividad física (pasos diarios) después de completar la rehabilitación pulmonar presencial.</w:t>
      </w:r>
    </w:p>
    <w:p>
      <w:pPr>
        <w:pStyle w:val="ListBullet2"/>
      </w:pPr>
      <w:r>
        <w:t>No compara la aplicación con la rehabilitación como alternativa.</w:t>
      </w:r>
    </w:p>
    <w:p>
      <w:pPr>
        <w:pStyle w:val="ListBullet2"/>
      </w:pPr>
      <w:r>
        <w:t>El papel de la IA en esa aplicación no está claro.</w:t>
      </w:r>
    </w:p>
    <w:p>
      <w:pPr>
        <w:pStyle w:val="ListBullet2"/>
      </w:pPr>
      <w:r>
        <w:t>El Apéndice 4 (PDF 173 / impr. 162) dice: "Promoting physical activity using smartphone apps … at present data on effectiveness are lacking.(164)". En la PDF 170 usa la ref. 1429 con otro sentido.</w:t>
      </w:r>
    </w:p>
    <w:p>
      <w:pPr>
        <w:pStyle w:val="ListBullet"/>
      </w:pPr>
      <w:r>
        <w:rPr>
          <w:b/>
        </w:rPr>
        <w:t>Evidencia/justificación:</w:t>
      </w:r>
      <w:r>
        <w:t xml:space="preserve"> Verificado en el resumen del ECA.</w:t>
      </w:r>
    </w:p>
    <w:p>
      <w:pPr>
        <w:pStyle w:val="ListBullet"/>
      </w:pPr>
      <w:r>
        <w:rPr>
          <w:b/>
        </w:rPr>
        <w:t>Recomendación:</w:t>
      </w:r>
    </w:p>
    <w:p>
      <w:pPr>
        <w:pStyle w:val="ListBullet2"/>
      </w:pPr>
      <w:r>
        <w:t>Reformular como: "Smartphone-based programmes may help maintain physical activity after PR(1429); evidence for app-based or AI-supported home rehabilitation as an alternative to PR is lacking."</w:t>
      </w:r>
    </w:p>
    <w:p>
      <w:pPr>
        <w:pStyle w:val="ListBullet2"/>
      </w:pPr>
      <w:r>
        <w:t>Para la telerrehabilitación como alternativa, remitir a la ref. 1436 y a la ref. 736.</w:t>
      </w:r>
    </w:p>
    <w:p>
      <w:pPr>
        <w:pStyle w:val="ListBullet2"/>
      </w:pPr>
      <w:r>
        <w:t>Armonizar con el Apéndice 4.</w:t>
      </w:r>
    </w:p>
    <w:p>
      <w:pPr>
        <w:pStyle w:val="ListBullet"/>
      </w:pPr>
      <w:r>
        <w:rPr>
          <w:b/>
        </w:rPr>
        <w:t>Confianza:</w:t>
      </w:r>
      <w:r>
        <w:t xml:space="preserve"> 4/5</w:t>
      </w:r>
    </w:p>
    <w:p>
      <w:pPr>
        <w:pStyle w:val="Heading4"/>
      </w:pPr>
      <w:r>
        <w:t>REH-17 · Telesalud, telerrehabilitación y atención integrada: la Figura A4.1 contradice el Apéndice 4 y el cap. 6</w:t>
      </w:r>
    </w:p>
    <w:p>
      <w:r>
        <w:rPr>
          <w:i/>
        </w:rPr>
        <w:t xml:space="preserve">Severidad final: </w:t>
      </w:r>
      <w:r>
        <w:rPr>
          <w:i/>
          <w:color w:val="ED7D31"/>
        </w:rPr>
        <w:t>🟠</w:t>
      </w:r>
      <w:r>
        <w:rPr>
          <w:i/>
        </w:rPr>
        <w:t xml:space="preserve"> ALTA · Tema T20: Telesalud e inteligencia artificial</w:t>
      </w:r>
    </w:p>
    <w:p>
      <w:pPr>
        <w:pStyle w:val="ListBullet"/>
      </w:pPr>
      <w:r>
        <w:rPr>
          <w:b/>
        </w:rPr>
        <w:t>Tipo:</w:t>
      </w:r>
      <w:r>
        <w:t xml:space="preserve"> Incongruencia interna / Desactualización</w:t>
      </w:r>
    </w:p>
    <w:p>
      <w:pPr>
        <w:pStyle w:val="ListBullet"/>
      </w:pPr>
      <w:r>
        <w:rPr>
          <w:b/>
        </w:rPr>
        <w:t>Severidad:</w:t>
      </w:r>
      <w:r>
        <w:t xml:space="preserve"> ALTA</w:t>
      </w:r>
    </w:p>
    <w:p>
      <w:pPr>
        <w:pStyle w:val="ListBullet"/>
      </w:pPr>
      <w:r>
        <w:rPr>
          <w:b/>
        </w:rPr>
        <w:t>Ubicación:</w:t>
      </w:r>
      <w:r>
        <w:t xml:space="preserve"> PDF 172 / impr. 161 — Figura A4.1; PDF 169-170 / impr. 158-159 — «Integrated care programs»; PDF 173 / impr. 162 — telerrehabilitación; cap. 6, PDF 148 / impr. 137.</w:t>
      </w:r>
    </w:p>
    <w:p>
      <w:pPr>
        <w:pStyle w:val="ListBullet"/>
      </w:pPr>
      <w:r>
        <w:rPr>
          <w:b/>
        </w:rPr>
        <w:t>Cita:</w:t>
      </w:r>
    </w:p>
    <w:p>
      <w:pPr>
        <w:pStyle w:val="ListBullet2"/>
      </w:pPr>
      <w:r>
        <w:t>Figura A4.1: «Integrative care and telehealth have no demonstrated benefit at this time (Evidence B)».</w:t>
      </w:r>
    </w:p>
    <w:p>
      <w:pPr>
        <w:pStyle w:val="ListBullet2"/>
      </w:pPr>
      <w:r>
        <w:t>Apéndice: «tele-rehabilitation is safe and has similar benefits»; «supervision remains the standard of care and first-line option».</w:t>
      </w:r>
    </w:p>
    <w:p>
      <w:pPr>
        <w:pStyle w:val="ListBullet2"/>
      </w:pPr>
      <w:r>
        <w:t>Cap. 6: «should be offered the choice of a center-based pulmonary rehabilitation or telerehabilitation (strong recommendation, moderate quality…».</w:t>
      </w:r>
    </w:p>
    <w:p>
      <w:pPr>
        <w:pStyle w:val="ListBullet"/>
      </w:pPr>
      <w:r>
        <w:rPr>
          <w:b/>
        </w:rPr>
        <w:t>Problema:</w:t>
      </w:r>
    </w:p>
    <w:p>
      <w:pPr>
        <w:pStyle w:val="ListBullet2"/>
      </w:pPr>
      <w:r>
        <w:t>Una afirmación general de «ningún beneficio demostrado» (con Evidencia B) choca con:</w:t>
      </w:r>
    </w:p>
    <w:p>
      <w:pPr>
        <w:pStyle w:val="ListBullet2"/>
      </w:pPr>
      <w:r>
        <w:t>la telerrehabilitación, con resultados similares a la RR presencial (Cochrane 2021) y recomendación fuerte de la ATS 2023, recogida por el propio GOLD en el cap. 6;</w:t>
      </w:r>
    </w:p>
    <w:p>
      <w:pPr>
        <w:pStyle w:val="ListBullet2"/>
      </w:pPr>
      <w:r>
        <w:t>la atención integrada, que el texto califica de «conflicting» y para la que cita COMET y PIC-COPD (menor mortalidad) y Poot 2021 (Cochrane: mejora la calidad de vida y la capacidad de ejercicio y reduce los ingresos respiratorios).</w:t>
      </w:r>
    </w:p>
    <w:p>
      <w:pPr>
        <w:pStyle w:val="ListBullet2"/>
      </w:pPr>
      <w:r>
        <w:t>Además, el Apéndice presenta la RR presencial como «primera línea», mientras que el cap. 6 recomienda ofrecer a elegir entre presencial y telerrehabilitación.</w:t>
      </w:r>
    </w:p>
    <w:p>
      <w:pPr>
        <w:pStyle w:val="ListBullet2"/>
      </w:pPr>
      <w:r>
        <w:t>Riesgo: que pagadores o clínicos nieguen la telerrehabilitación a pacientes sin acceso a un centro.</w:t>
      </w:r>
    </w:p>
    <w:p>
      <w:pPr>
        <w:pStyle w:val="ListBullet"/>
      </w:pPr>
      <w:r>
        <w:rPr>
          <w:b/>
        </w:rPr>
        <w:t>Evidencia/justificación:</w:t>
      </w:r>
    </w:p>
    <w:p>
      <w:pPr>
        <w:pStyle w:val="ListBullet2"/>
      </w:pPr>
      <w:r>
        <w:t>Cox NS et al., Cochrane 2021;CD013040 (ref. 1436).</w:t>
      </w:r>
    </w:p>
    <w:p>
      <w:pPr>
        <w:pStyle w:val="ListBullet2"/>
      </w:pPr>
      <w:r>
        <w:t>Rochester 2023, guía ATS (ref. 736).</w:t>
      </w:r>
    </w:p>
    <w:p>
      <w:pPr>
        <w:pStyle w:val="ListBullet2"/>
      </w:pPr>
      <w:r>
        <w:t>Poot CC et al., Cochrane 2021;CD009437 (ref. 1682).</w:t>
      </w:r>
    </w:p>
    <w:p>
      <w:pPr>
        <w:pStyle w:val="ListBullet2"/>
      </w:pPr>
      <w:r>
        <w:t>Kessler R et al., COMET, Eur Respir J 2018;51:1701612 (ref. 1677).</w:t>
      </w:r>
    </w:p>
    <w:p>
      <w:pPr>
        <w:pStyle w:val="ListBullet"/>
      </w:pPr>
      <w:r>
        <w:rPr>
          <w:b/>
        </w:rPr>
        <w:t>Recomendación:</w:t>
      </w:r>
      <w:r>
        <w:t xml:space="preserve"> Sustituir la viñeta por dos:</w:t>
      </w:r>
    </w:p>
    <w:p>
      <w:pPr>
        <w:pStyle w:val="ListBullet2"/>
      </w:pPr>
      <w:r>
        <w:t>«La telerrehabilitación con componente de entrenamiento y evaluación presencial inicial obtiene beneficios similares a la RR presencial (Evidencia A/B)».</w:t>
      </w:r>
    </w:p>
    <w:p>
      <w:pPr>
        <w:pStyle w:val="ListBullet2"/>
      </w:pPr>
      <w:r>
        <w:t>«Los programas de atención integrada muestran beneficios heterogéneos en calidad de vida e ingresos; la telemonitorización aislada no ha demostrado beneficio (Evidencia B)».</w:t>
      </w:r>
    </w:p>
    <w:p>
      <w:r>
        <w:t>Alinear el Apéndice con el cap. 6 («ofrecer a elegir»).</w:t>
      </w:r>
    </w:p>
    <w:p>
      <w:pPr>
        <w:pStyle w:val="ListBullet"/>
      </w:pPr>
      <w:r>
        <w:rPr>
          <w:b/>
        </w:rPr>
        <w:t>Confianza:</w:t>
      </w:r>
      <w:r>
        <w:t xml:space="preserve"> 4/5</w:t>
      </w:r>
    </w:p>
    <w:p>
      <w:pPr>
        <w:pStyle w:val="Heading4"/>
      </w:pPr>
      <w:r>
        <w:t>EQ-07 · Metodología y gobernanza poco compatibles con una "estrategia global": sin GRADE, sin coste-efectividad, solo en inglés, sin pacientes ni AP, y con escasa representación de LMIC</w:t>
      </w:r>
    </w:p>
    <w:p>
      <w:r>
        <w:rPr>
          <w:i/>
        </w:rPr>
        <w:t xml:space="preserve">Severidad final: </w:t>
      </w:r>
      <w:r>
        <w:rPr>
          <w:i/>
          <w:color w:val="ED7D31"/>
        </w:rPr>
        <w:t>🟠</w:t>
      </w:r>
      <w:r>
        <w:rPr>
          <w:i/>
        </w:rPr>
        <w:t xml:space="preserve"> ALTA · Tema T21: Metodología y niveles de evidencia</w:t>
      </w:r>
    </w:p>
    <w:p>
      <w:pPr>
        <w:pStyle w:val="ListBullet"/>
      </w:pPr>
      <w:r>
        <w:rPr>
          <w:b/>
        </w:rPr>
        <w:t>Tipo:</w:t>
      </w:r>
      <w:r>
        <w:t xml:space="preserve"> Sesgo/Equidad</w:t>
      </w:r>
    </w:p>
    <w:p>
      <w:pPr>
        <w:pStyle w:val="ListBullet"/>
      </w:pPr>
      <w:r>
        <w:rPr>
          <w:b/>
        </w:rPr>
        <w:t>Severidad:</w:t>
      </w:r>
      <w:r>
        <w:t xml:space="preserve"> ALTA</w:t>
      </w:r>
    </w:p>
    <w:p>
      <w:pPr>
        <w:pStyle w:val="ListBullet"/>
      </w:pPr>
      <w:r>
        <w:rPr>
          <w:b/>
        </w:rPr>
        <w:t>Ubicación:</w:t>
      </w:r>
      <w:r>
        <w:t xml:space="preserve"> PDF 6-7 / impr. v-vi (metodología) y PDF 3 / impr. ii (comité científico).</w:t>
      </w:r>
    </w:p>
    <w:p>
      <w:pPr>
        <w:pStyle w:val="ListBullet"/>
      </w:pPr>
      <w:r>
        <w:rPr>
          <w:b/>
        </w:rPr>
        <w:t>Cita:</w:t>
      </w:r>
      <w:r>
        <w:t xml:space="preserve"> "articles in the top 20 medical or respiratory journals"; "providing the full paper, including abstract, is submitted in (or translated into) English."</w:t>
      </w:r>
    </w:p>
    <w:p>
      <w:pPr>
        <w:pStyle w:val="ListBullet"/>
      </w:pPr>
      <w:r>
        <w:rPr>
          <w:b/>
        </w:rPr>
        <w:t>Problema:</w:t>
      </w:r>
    </w:p>
    <w:p>
      <w:pPr>
        <w:pStyle w:val="ListBullet2"/>
      </w:pPr>
      <w:r>
        <w:t>La búsqueda se limita a PubMed, a ensayos y metaanálisis, y a 20 revistas de alto impacto, y exige el inglés. Esto excluye de forma sistemática la investigación publicada en revistas regionales (África, América Latina, Asia), que es donde se publica gran parte de la evidencia sobre biomasa, post-TB y AP en LMIC.</w:t>
      </w:r>
    </w:p>
    <w:p>
      <w:pPr>
        <w:pStyle w:val="ListBullet2"/>
      </w:pPr>
      <w:r>
        <w:t>No se usa GRADE ni ningún marco de evidencia a decisión, que obligaría a ponderar coste, equidad, aceptabilidad y factibilidad.</w:t>
      </w:r>
    </w:p>
    <w:p>
      <w:pPr>
        <w:pStyle w:val="ListBullet2"/>
      </w:pPr>
      <w:r>
        <w:t>El comité científico tiene 19 miembros: 4 de EE. UU., 3 de Canadá, 4 del Reino Unido y 5 de Europa continental, frente a solo 3 de LMIC (Nigeria, Venezuela y China).</w:t>
      </w:r>
    </w:p>
    <w:p>
      <w:pPr>
        <w:pStyle w:val="ListBullet2"/>
      </w:pPr>
      <w:r>
        <w:t>No hay ningún representante de pacientes, de enfermería, de farmacia ni de AP identificable.</w:t>
      </w:r>
    </w:p>
    <w:p>
      <w:pPr>
        <w:pStyle w:val="ListBullet"/>
      </w:pPr>
      <w:r>
        <w:rPr>
          <w:b/>
        </w:rPr>
        <w:t>Evidencia/justificación:</w:t>
      </w:r>
      <w:r>
        <w:t xml:space="preserve"> Los estándares internacionales de guías clínicas exigen participación de pacientes, consideración de valores y costes, y evaluación explícita de la certeza de la evidencia (GRADE/EtD; Guidelines International Network; manual de guías de la OMS).</w:t>
      </w:r>
    </w:p>
    <w:p>
      <w:pPr>
        <w:pStyle w:val="ListBullet"/>
      </w:pPr>
      <w:r>
        <w:rPr>
          <w:b/>
        </w:rPr>
        <w:t>Recomendación:</w:t>
      </w:r>
    </w:p>
    <w:p>
      <w:pPr>
        <w:pStyle w:val="ListBullet2"/>
      </w:pPr>
      <w:r>
        <w:t>Incorporar representantes de pacientes y de AP, y aumentar la proporción de miembros de LMIC.</w:t>
      </w:r>
    </w:p>
    <w:p>
      <w:pPr>
        <w:pStyle w:val="ListBullet2"/>
      </w:pPr>
      <w:r>
        <w:t>Ampliar la búsqueda a LILACS, African Journals Online, CNKI o similares y permitir resúmenes en otros idiomas.</w:t>
      </w:r>
    </w:p>
    <w:p>
      <w:pPr>
        <w:pStyle w:val="ListBullet2"/>
      </w:pPr>
      <w:r>
        <w:t>Adoptar GRADE/EtD, al menos para las recomendaciones clave (tratamiento inicial, vacunas, biológicos).</w:t>
      </w:r>
    </w:p>
    <w:p>
      <w:pPr>
        <w:pStyle w:val="ListBullet2"/>
      </w:pPr>
      <w:r>
        <w:t>Publicar las declaraciones de conflictos de interés junto al documento, no solo en la web.</w:t>
      </w:r>
    </w:p>
    <w:p>
      <w:pPr>
        <w:pStyle w:val="ListBullet"/>
      </w:pPr>
      <w:r>
        <w:rPr>
          <w:b/>
        </w:rPr>
        <w:t>Confianza:</w:t>
      </w:r>
      <w:r>
        <w:t xml:space="preserve"> 5/5</w:t>
      </w:r>
    </w:p>
    <w:p>
      <w:pPr>
        <w:pStyle w:val="Heading4"/>
      </w:pPr>
      <w:r>
        <w:t>MET-01 · Los niveles de evidencia no aparecen donde dice el método: casi todos están en figuras-imagen sin referencias</w:t>
      </w:r>
    </w:p>
    <w:p>
      <w:r>
        <w:rPr>
          <w:i/>
        </w:rPr>
        <w:t xml:space="preserve">Severidad final: </w:t>
      </w:r>
      <w:r>
        <w:rPr>
          <w:i/>
          <w:color w:val="ED7D31"/>
        </w:rPr>
        <w:t>🟠</w:t>
      </w:r>
      <w:r>
        <w:rPr>
          <w:i/>
        </w:rPr>
        <w:t xml:space="preserve"> ALTA · Tema T21: Metodología y niveles de evidencia</w:t>
      </w:r>
    </w:p>
    <w:p>
      <w:pPr>
        <w:pStyle w:val="ListBullet"/>
      </w:pPr>
      <w:r>
        <w:rPr>
          <w:b/>
        </w:rPr>
        <w:t>Tipo:</w:t>
      </w:r>
      <w:r>
        <w:t xml:space="preserve"> Incongruencia interna</w:t>
      </w:r>
    </w:p>
    <w:p>
      <w:pPr>
        <w:pStyle w:val="ListBullet"/>
      </w:pPr>
      <w:r>
        <w:rPr>
          <w:b/>
        </w:rPr>
        <w:t>Severidad:</w:t>
      </w:r>
      <w:r>
        <w:t xml:space="preserve"> ALTA</w:t>
      </w:r>
    </w:p>
    <w:p>
      <w:pPr>
        <w:pStyle w:val="ListBullet"/>
      </w:pPr>
      <w:r>
        <w:rPr>
          <w:b/>
        </w:rPr>
        <w:t>Ubicación:</w:t>
      </w:r>
    </w:p>
    <w:p>
      <w:pPr>
        <w:pStyle w:val="ListBullet2"/>
      </w:pPr>
      <w:r>
        <w:t>Declaración: PDF 13 / impr. 2.</w:t>
      </w:r>
    </w:p>
    <w:p>
      <w:pPr>
        <w:pStyle w:val="ListBullet2"/>
      </w:pPr>
      <w:r>
        <w:t>Figuras «Key points»: PDF 64-172 / impr. 53-161.</w:t>
      </w:r>
    </w:p>
    <w:p>
      <w:pPr>
        <w:pStyle w:val="ListBullet2"/>
      </w:pPr>
      <w:r>
        <w:t>Único nivel en texto corrido: PDF 166 / impr. 155.</w:t>
      </w:r>
    </w:p>
    <w:p>
      <w:pPr>
        <w:pStyle w:val="ListBullet"/>
      </w:pPr>
      <w:r>
        <w:rPr>
          <w:b/>
        </w:rPr>
        <w:t>Cita:</w:t>
      </w:r>
      <w:r>
        <w:t xml:space="preserve"> «Evidence levels are indicated in boldface type enclosed in parentheses after the relevant statement»</w:t>
      </w:r>
    </w:p>
    <w:p>
      <w:pPr>
        <w:pStyle w:val="ListBullet"/>
      </w:pPr>
      <w:r>
        <w:rPr>
          <w:b/>
        </w:rPr>
        <w:t>Problema:</w:t>
      </w:r>
    </w:p>
    <w:p>
      <w:pPr>
        <w:pStyle w:val="ListBullet2"/>
      </w:pPr>
      <w:r>
        <w:t>El script sobre el texto completo encuentra un único «(Evidence B)» en texto corrido (aumentación en el déficit de AAT, PDF 166). Todas las demás asignaciones están en recuadros rasterizados.</w:t>
      </w:r>
    </w:p>
    <w:p>
      <w:pPr>
        <w:pStyle w:val="ListBullet2"/>
      </w:pPr>
      <w:r>
        <w:t>Esos recuadros casi nunca citan los estudios en los que se basa el nivel, y las mismas recomendaciones del texto aparecen sin nivel.</w:t>
      </w:r>
    </w:p>
    <w:p>
      <w:pPr>
        <w:pStyle w:val="ListBullet2"/>
      </w:pPr>
      <w:r>
        <w:t>En consecuencia, no es posible trazar la cadena afirmación → nivel → estudios, ni buscar o extraer automáticamente los niveles. Tampoco son legibles con lectores de pantalla, lo que dificulta la adaptación local de la guía.</w:t>
      </w:r>
    </w:p>
    <w:p>
      <w:pPr>
        <w:pStyle w:val="ListBullet"/>
      </w:pPr>
      <w:r>
        <w:rPr>
          <w:b/>
        </w:rPr>
        <w:t>Evidencia/justificación:</w:t>
      </w:r>
    </w:p>
    <w:p>
      <w:pPr>
        <w:pStyle w:val="ListBullet2"/>
      </w:pPr>
      <w:r>
        <w:t>AGREE II, ítem 12 (vínculo explícito entre recomendación y evidencia) e ítem 17 (recomendaciones clave fácilmente identificables).</w:t>
      </w:r>
    </w:p>
    <w:p>
      <w:pPr>
        <w:pStyle w:val="ListBullet2"/>
      </w:pPr>
      <w:r>
        <w:t>RIGHT, ítem 13c (fuerza y certeza de la evidencia de cada recomendación).</w:t>
      </w:r>
    </w:p>
    <w:p>
      <w:pPr>
        <w:pStyle w:val="ListBullet2"/>
      </w:pPr>
      <w:r>
        <w:t>IOM, estándar 6 (articulación de las recomendaciones).</w:t>
      </w:r>
    </w:p>
    <w:p>
      <w:pPr>
        <w:pStyle w:val="ListBullet"/>
      </w:pPr>
      <w:r>
        <w:rPr>
          <w:b/>
        </w:rPr>
        <w:t>Recomendación:</w:t>
      </w:r>
    </w:p>
    <w:p>
      <w:pPr>
        <w:pStyle w:val="ListBullet2"/>
      </w:pPr>
      <w:r>
        <w:t>Poner el nivel junto a cada recomendación en el texto, con las referencias que lo sustentan.</w:t>
      </w:r>
    </w:p>
    <w:p>
      <w:pPr>
        <w:pStyle w:val="ListBullet2"/>
      </w:pPr>
      <w:r>
        <w:t>Publicar las figuras como texto o tablas accesibles.</w:t>
      </w:r>
    </w:p>
    <w:p>
      <w:pPr>
        <w:pStyle w:val="ListBullet2"/>
      </w:pPr>
      <w:r>
        <w:t>Añadir un anexo-tabla maestra con: recomendación, nivel, estudios clave y año de la última revisión.</w:t>
      </w:r>
    </w:p>
    <w:p>
      <w:pPr>
        <w:pStyle w:val="ListBullet"/>
      </w:pPr>
      <w:r>
        <w:rPr>
          <w:b/>
        </w:rPr>
        <w:t>Confianza:</w:t>
      </w:r>
      <w:r>
        <w:t xml:space="preserve"> 5</w:t>
      </w:r>
    </w:p>
    <w:p>
      <w:pPr>
        <w:pStyle w:val="Heading4"/>
      </w:pPr>
      <w:r>
        <w:t>MET-03 · Búsqueda y selección no reproducibles; referencias fuera de la ventana declarada</w:t>
      </w:r>
    </w:p>
    <w:p>
      <w:r>
        <w:rPr>
          <w:i/>
        </w:rPr>
        <w:t xml:space="preserve">Severidad final: </w:t>
      </w:r>
      <w:r>
        <w:rPr>
          <w:i/>
          <w:color w:val="ED7D31"/>
        </w:rPr>
        <w:t>🟠</w:t>
      </w:r>
      <w:r>
        <w:rPr>
          <w:i/>
        </w:rPr>
        <w:t xml:space="preserve"> ALTA · Tema T21: Metodología y niveles de evidencia</w:t>
      </w:r>
    </w:p>
    <w:p>
      <w:pPr>
        <w:pStyle w:val="ListBullet"/>
      </w:pPr>
      <w:r>
        <w:rPr>
          <w:b/>
        </w:rPr>
        <w:t>Tipo:</w:t>
      </w:r>
      <w:r>
        <w:t xml:space="preserve"> Omisión</w:t>
      </w:r>
    </w:p>
    <w:p>
      <w:pPr>
        <w:pStyle w:val="ListBullet"/>
      </w:pPr>
      <w:r>
        <w:rPr>
          <w:b/>
        </w:rPr>
        <w:t>Severidad:</w:t>
      </w:r>
      <w:r>
        <w:t xml:space="preserve"> ALTA</w:t>
      </w:r>
    </w:p>
    <w:p>
      <w:pPr>
        <w:pStyle w:val="ListBullet"/>
      </w:pPr>
      <w:r>
        <w:rPr>
          <w:b/>
        </w:rPr>
        <w:t>Ubicación:</w:t>
      </w:r>
      <w:r>
        <w:t xml:space="preserve"> PDF 6-7 / impr. v-vi; lista de referencias (PDF 175-248)</w:t>
      </w:r>
    </w:p>
    <w:p>
      <w:pPr>
        <w:pStyle w:val="ListBullet"/>
      </w:pPr>
      <w:r>
        <w:rPr>
          <w:b/>
        </w:rPr>
        <w:t>Cita:</w:t>
      </w:r>
      <w:r>
        <w:t xml:space="preserve"> «1) COPD or Chronic Obstructive Pulmonary Disease (All Fields) AND 2) Clinical Trials or Meta-analysis (All Fields) OR 3) articles in the top 20 medical or respiratory journals (available on request)»</w:t>
      </w:r>
    </w:p>
    <w:p>
      <w:pPr>
        <w:pStyle w:val="ListBullet"/>
      </w:pPr>
      <w:r>
        <w:rPr>
          <w:b/>
        </w:rPr>
        <w:t>Problema:</w:t>
      </w:r>
    </w:p>
    <w:p>
      <w:pPr>
        <w:pStyle w:val="ListNumber"/>
        <w:numPr>
          <w:ilvl w:val="0"/>
          <w:numId w:val="29"/>
        </w:numPr>
      </w:pPr>
      <w:r>
        <w:rPr>
          <w:b/>
        </w:rPr>
        <w:t>Fuentes.</w:t>
      </w:r>
      <w:r>
        <w:t xml:space="preserve"> Solo se busca en PubMed (más Cochrane DSR); no se usan Embase, CENTRAL ni registros de ensayos.</w:t>
      </w:r>
    </w:p>
    <w:p>
      <w:pPr>
        <w:pStyle w:val="ListNumber"/>
        <w:numPr>
          <w:ilvl w:val="0"/>
          <w:numId w:val="29"/>
        </w:numPr>
      </w:pPr>
      <w:r>
        <w:rPr>
          <w:b/>
        </w:rPr>
        <w:t>Cadena de búsqueda.</w:t>
      </w:r>
    </w:p>
    <w:p>
      <w:pPr>
        <w:pStyle w:val="ListBullet2"/>
      </w:pPr>
      <w:r>
        <w:t>No usa términos MeSH ni paréntesis. «A AND B OR C» se evalúa de izquierda a derecha, de modo que recuperaría todos los artículos de las 20 revistas, traten o no de EPOC.</w:t>
      </w:r>
    </w:p>
    <w:p>
      <w:pPr>
        <w:pStyle w:val="ListBullet2"/>
      </w:pPr>
      <w:r>
        <w:t>La lista de revistas solo está «available on request».</w:t>
      </w:r>
    </w:p>
    <w:p>
      <w:pPr>
        <w:pStyle w:val="ListBullet2"/>
      </w:pPr>
      <w:r>
        <w:t>No se indican fechas de búsqueda ni el número de registros cribados e incluidos (no hay diagrama PRISMA).</w:t>
      </w:r>
    </w:p>
    <w:p>
      <w:pPr>
        <w:pStyle w:val="ListNumber"/>
        <w:numPr>
          <w:ilvl w:val="0"/>
          <w:numId w:val="29"/>
        </w:numPr>
      </w:pPr>
      <w:r>
        <w:rPr>
          <w:b/>
        </w:rPr>
        <w:t>Cribado.</w:t>
      </w:r>
    </w:p>
    <w:p>
      <w:pPr>
        <w:pStyle w:val="ListBullet2"/>
      </w:pPr>
      <w:r>
        <w:t>Lo hacen «two unbiased Committee members» con «four specific written questions» que no se publican.</w:t>
      </w:r>
    </w:p>
    <w:p>
      <w:pPr>
        <w:pStyle w:val="ListBullet2"/>
      </w:pPr>
      <w:r>
        <w:t>No hay criterios de inclusión ni de evaluación crítica estandarizados.</w:t>
      </w:r>
    </w:p>
    <w:p>
      <w:pPr>
        <w:pStyle w:val="ListBullet2"/>
      </w:pPr>
      <w:r>
        <w:t>La «double-blind review» (PDF 7) no se define: los revisores conocen los autores y la revista.</w:t>
      </w:r>
    </w:p>
    <w:p>
      <w:pPr>
        <w:pStyle w:val="ListNumber"/>
        <w:numPr>
          <w:ilvl w:val="0"/>
          <w:numId w:val="29"/>
        </w:numPr>
      </w:pPr>
      <w:r>
        <w:rPr>
          <w:b/>
        </w:rPr>
        <w:t>Vía de entrada no sistemática.</w:t>
      </w:r>
      <w:r>
        <w:t xml:space="preserve"> Los artículos se pueden enviar directamente al Chair.</w:t>
      </w:r>
    </w:p>
    <w:p>
      <w:pPr>
        <w:pStyle w:val="ListNumber"/>
        <w:numPr>
          <w:ilvl w:val="0"/>
          <w:numId w:val="29"/>
        </w:numPr>
      </w:pPr>
      <w:r>
        <w:rPr>
          <w:b/>
        </w:rPr>
        <w:t>Ventana incumplida.</w:t>
      </w:r>
      <w:r>
        <w:t xml:space="preserve"> La ventana declarada es «January 2024 to July 2025», pero esummary encontró 15 referencias publicadas (incluida la fecha epub) después de julio de 2025: refs 50, 51, 74, 111, 642, 664, 735, 906, 1106, 1133, 1149, 1192, 1396, 1409 y 1725. Entre ellas:</w:t>
      </w:r>
    </w:p>
    <w:p>
      <w:pPr>
        <w:pStyle w:val="ListBullet2"/>
      </w:pPr>
      <w:r>
        <w:t>ref 906, AIRFLOW-3, diciembre de 2025, PDF 211 / impr. 200;</w:t>
      </w:r>
    </w:p>
    <w:p>
      <w:pPr>
        <w:pStyle w:val="ListBullet2"/>
      </w:pPr>
      <w:r>
        <w:t>ref 1133, Eur J Intern Med, agosto de 2025, PDF 221 / impr. 210. Es la base declarada de la Fig 5.6 («Adapted from: Celli BR… Criner GJ… Papi A… Agusti A, Sin DD», PDF 141 / impr. 130) y la firman cuatro miembros del comité.</w:t>
      </w:r>
    </w:p>
    <w:p>
      <w:r>
        <w:t>Incluir evidencia a última hora sin un criterio declarado introduce riesgo de selección.</w:t>
      </w:r>
    </w:p>
    <w:p>
      <w:pPr>
        <w:pStyle w:val="ListBullet"/>
      </w:pPr>
      <w:r>
        <w:rPr>
          <w:b/>
        </w:rPr>
        <w:t>Evidencia/justificación:</w:t>
      </w:r>
    </w:p>
    <w:p>
      <w:pPr>
        <w:pStyle w:val="ListBullet2"/>
      </w:pPr>
      <w:r>
        <w:t>AGREE II, ítems 7 (métodos sistemáticos de búsqueda) y 8 (criterios de selección).</w:t>
      </w:r>
    </w:p>
    <w:p>
      <w:pPr>
        <w:pStyle w:val="ListBullet2"/>
      </w:pPr>
      <w:r>
        <w:t>IOM, estándar 4 (revisión sistemática).</w:t>
      </w:r>
    </w:p>
    <w:p>
      <w:pPr>
        <w:pStyle w:val="ListBullet2"/>
      </w:pPr>
      <w:r>
        <w:t>RIGHT, ítem 11.</w:t>
      </w:r>
    </w:p>
    <w:p>
      <w:pPr>
        <w:pStyle w:val="ListBullet2"/>
      </w:pPr>
      <w:r>
        <w:t>PRISMA 2020.</w:t>
      </w:r>
    </w:p>
    <w:p>
      <w:pPr>
        <w:pStyle w:val="ListBullet"/>
      </w:pPr>
      <w:r>
        <w:rPr>
          <w:b/>
        </w:rPr>
        <w:t>Recomendación:</w:t>
      </w:r>
    </w:p>
    <w:p>
      <w:pPr>
        <w:pStyle w:val="ListBullet2"/>
      </w:pPr>
      <w:r>
        <w:t>Publicar el protocolo, la estrategia completa para cada base de datos con fechas, el diagrama de flujo, los criterios de inclusión y el formulario de evaluación.</w:t>
      </w:r>
    </w:p>
    <w:p>
      <w:pPr>
        <w:pStyle w:val="ListBullet2"/>
      </w:pPr>
      <w:r>
        <w:t>Declarar una política explícita de «late-breaking evidence».</w:t>
      </w:r>
    </w:p>
    <w:p>
      <w:pPr>
        <w:pStyle w:val="ListBullet"/>
      </w:pPr>
      <w:r>
        <w:rPr>
          <w:b/>
        </w:rPr>
        <w:t>Confianza:</w:t>
      </w:r>
      <w:r>
        <w:t xml:space="preserve"> 5</w:t>
      </w:r>
    </w:p>
    <w:p>
      <w:pPr>
        <w:pStyle w:val="Heading4"/>
      </w:pPr>
      <w:r>
        <w:t>MET-06 · Nivel A asignado a evidencia que la propia Tabla A clasifica como B</w:t>
      </w:r>
    </w:p>
    <w:p>
      <w:r>
        <w:rPr>
          <w:i/>
        </w:rPr>
        <w:t xml:space="preserve">Severidad final: </w:t>
      </w:r>
      <w:r>
        <w:rPr>
          <w:i/>
          <w:color w:val="ED7D31"/>
        </w:rPr>
        <w:t>🟠</w:t>
      </w:r>
      <w:r>
        <w:rPr>
          <w:i/>
        </w:rPr>
        <w:t xml:space="preserve"> ALTA · Tema T21: Metodología y niveles de evidencia</w:t>
      </w:r>
    </w:p>
    <w:p>
      <w:pPr>
        <w:pStyle w:val="ListBullet"/>
      </w:pPr>
      <w:r>
        <w:rPr>
          <w:b/>
        </w:rPr>
        <w:t>Tipo:</w:t>
      </w:r>
      <w:r>
        <w:t xml:space="preserve"> Incongruencia interna</w:t>
      </w:r>
    </w:p>
    <w:p>
      <w:pPr>
        <w:pStyle w:val="ListBullet"/>
      </w:pPr>
      <w:r>
        <w:rPr>
          <w:b/>
        </w:rPr>
        <w:t>Severidad:</w:t>
      </w:r>
      <w:r>
        <w:t xml:space="preserve"> ALTA</w:t>
      </w:r>
    </w:p>
    <w:p>
      <w:pPr>
        <w:pStyle w:val="ListBullet"/>
      </w:pPr>
      <w:r>
        <w:rPr>
          <w:b/>
        </w:rPr>
        <w:t>Ubicación:</w:t>
      </w:r>
      <w:r>
        <w:t xml:space="preserve"> Fig 3.22 (PDF 97 / impr. 86); Fig A3.3 (PDF 160 / impr. 149); Fig 3.6 (PDF 69 / impr. 58); Fig 3.17 (PDF 88 / impr. 77)</w:t>
      </w:r>
    </w:p>
    <w:p>
      <w:pPr>
        <w:pStyle w:val="ListBullet"/>
      </w:pPr>
      <w:r>
        <w:rPr>
          <w:b/>
        </w:rPr>
        <w:t>Cita:</w:t>
      </w:r>
      <w:r>
        <w:t xml:space="preserve"> «Lung volume reduction surgery improves survival in patients with severe emphysema who have an upper-lobe and low post-rehabilitation exercise capacity (Evidence A)»</w:t>
      </w:r>
    </w:p>
    <w:p>
      <w:pPr>
        <w:pStyle w:val="ListBullet"/>
      </w:pPr>
      <w:r>
        <w:rPr>
          <w:b/>
        </w:rPr>
        <w:t>Problema:</w:t>
      </w:r>
    </w:p>
    <w:p>
      <w:pPr>
        <w:pStyle w:val="ListBullet2"/>
      </w:pPr>
      <w:r>
        <w:rPr>
          <w:b/>
        </w:rPr>
        <w:t>CRVP.</w:t>
      </w:r>
    </w:p>
    <w:p>
      <w:pPr>
        <w:pStyle w:val="ListBullet2"/>
      </w:pPr>
      <w:r>
        <w:t>El beneficio en supervivencia procede de un subgrupo de un único ECA (NETT, ref 789); la mortalidad global no difirió.</w:t>
      </w:r>
    </w:p>
    <w:p>
      <w:pPr>
        <w:pStyle w:val="ListBullet2"/>
      </w:pPr>
      <w:r>
        <w:t>La Tabla A asigna B a los «post hoc or subgroup analyses».</w:t>
      </w:r>
    </w:p>
    <w:p>
      <w:pPr>
        <w:pStyle w:val="ListBullet2"/>
      </w:pPr>
      <w:r>
        <w:rPr>
          <w:b/>
        </w:rPr>
        <w:t>Mepolizumab</w:t>
      </w:r>
      <w:r>
        <w:t xml:space="preserve"> («reduces exacerbations in patients with and without chronic bronchitis (Evidence A)»).</w:t>
      </w:r>
    </w:p>
    <w:p>
      <w:pPr>
        <w:pStyle w:val="ListBullet2"/>
      </w:pPr>
      <w:r>
        <w:t>Resultados inconsistentes entre ensayos: METREO no significativo, METREX positivo solo en el estrato eosinofílico y MATINEE positivo.</w:t>
      </w:r>
    </w:p>
    <w:p>
      <w:pPr>
        <w:pStyle w:val="ListBullet2"/>
      </w:pPr>
      <w:r>
        <w:t>La Tabla A asigna B a los resultados «somewhat inconsistent».</w:t>
      </w:r>
    </w:p>
    <w:p>
      <w:pPr>
        <w:pStyle w:val="ListBullet2"/>
      </w:pPr>
      <w:r>
        <w:rPr>
          <w:b/>
        </w:rPr>
        <w:t>Vacuna del VRS (A).</w:t>
      </w:r>
    </w:p>
    <w:p>
      <w:pPr>
        <w:pStyle w:val="ListBullet2"/>
      </w:pPr>
      <w:r>
        <w:t>La eficacia procede de ECA en población general de ≥60 años; en EPOC solo hay subgrupos (evidencia indirecta), lo que corresponde a B.</w:t>
      </w:r>
    </w:p>
    <w:p>
      <w:pPr>
        <w:pStyle w:val="ListBullet2"/>
      </w:pPr>
      <w:r>
        <w:t>Además, la viñeta «≥ 50 years and/or with chronic heart or lung disease, as recommended by the CDC» no reproduce los criterios de edad y riesgo vigentes de los CDC.</w:t>
      </w:r>
    </w:p>
    <w:p>
      <w:pPr>
        <w:pStyle w:val="ListBullet2"/>
      </w:pPr>
      <w:r>
        <w:rPr>
          <w:b/>
        </w:rPr>
        <w:t>Oxigenoterapia crónica domiciliaria</w:t>
      </w:r>
      <w:r>
        <w:t xml:space="preserve"> («increases survival… (Evidence A)»).</w:t>
      </w:r>
    </w:p>
    <w:p>
      <w:pPr>
        <w:pStyle w:val="ListBullet2"/>
      </w:pPr>
      <w:r>
        <w:t>Se basa en NOTT (n=203; oxígeno continuo frente a nocturno) y MRC (n=87), dos ensayos abiertos de 1980-81.</w:t>
      </w:r>
    </w:p>
    <w:p>
      <w:pPr>
        <w:pStyle w:val="ListBullet2"/>
      </w:pPr>
      <w:r>
        <w:t>La Tabla A asigna B a los ECA con «only a limited number of patients».</w:t>
      </w:r>
    </w:p>
    <w:p>
      <w:pPr>
        <w:pStyle w:val="ListBullet2"/>
      </w:pPr>
      <w:r>
        <w:t>Una A sería defendible por consenso histórico, pero debería justificarse.</w:t>
      </w:r>
    </w:p>
    <w:p>
      <w:pPr>
        <w:pStyle w:val="ListBullet"/>
      </w:pPr>
      <w:r>
        <w:rPr>
          <w:b/>
        </w:rPr>
        <w:t>Evidencia/justificación:</w:t>
      </w:r>
      <w:r>
        <w:t xml:space="preserve"> Tabla A (PDF 14). Abstracts de PubMed de NETT (PMID 12759479), METREX/METREO (ref 690) y MATINEE (PMID 40305712).</w:t>
      </w:r>
    </w:p>
    <w:p>
      <w:pPr>
        <w:pStyle w:val="ListBullet"/>
      </w:pPr>
      <w:r>
        <w:rPr>
          <w:b/>
        </w:rPr>
        <w:t>Recomendación:</w:t>
      </w:r>
      <w:r>
        <w:t xml:space="preserve"> Reclasificar o justificar explícitamente cada A que no cumpla la Tabla A; con GRADE, la evidencia indirecta y la inconsistencia se degradan de forma transparente.</w:t>
      </w:r>
    </w:p>
    <w:p>
      <w:pPr>
        <w:pStyle w:val="ListBullet"/>
      </w:pPr>
      <w:r>
        <w:rPr>
          <w:b/>
        </w:rPr>
        <w:t>Confianza:</w:t>
      </w:r>
      <w:r>
        <w:t xml:space="preserve"> 4</w:t>
      </w:r>
    </w:p>
    <w:p>
      <w:pPr>
        <w:pStyle w:val="Heading4"/>
      </w:pPr>
      <w:r>
        <w:t>MET-04 · Conflictos de interés y financiación: no se declaran, no hay política de gestión y el comité firma los ensayos que evalúa</w:t>
      </w:r>
    </w:p>
    <w:p>
      <w:r>
        <w:rPr>
          <w:i/>
        </w:rPr>
        <w:t xml:space="preserve">Severidad final: </w:t>
      </w:r>
      <w:r>
        <w:rPr>
          <w:i/>
          <w:color w:val="ED7D31"/>
        </w:rPr>
        <w:t>🟠</w:t>
      </w:r>
      <w:r>
        <w:rPr>
          <w:i/>
        </w:rPr>
        <w:t xml:space="preserve"> ALTA · Tema T22: Conflictos de interés y financiación</w:t>
      </w:r>
    </w:p>
    <w:p>
      <w:pPr>
        <w:pStyle w:val="IntenseQuote"/>
      </w:pPr>
      <w:r>
        <w:rPr>
          <w:b/>
        </w:rPr>
        <w:t>Verificación independiente (CONFIRMADO PARCIAL):</w:t>
      </w:r>
      <w:r>
        <w:t xml:space="preserve"> Corrección al hallazgo: el título «no se declaran» es inexacto. Las declaraciones existen online y el informe remite a ellas. Lo que sí se confirma: (a) el documento no incluye una declaración de financiación; (b) no describe ninguna política de gestión de COI (umbrales, recusación en las votaciones); (c) las declaraciones públicas enlazadas corresponden a 2022 y no al ciclo de GOLD 2026; (d) el modelo «venta de docu…</w:t>
      </w:r>
    </w:p>
    <w:p>
      <w:pPr>
        <w:pStyle w:val="ListBullet"/>
      </w:pPr>
      <w:r>
        <w:rPr>
          <w:b/>
        </w:rPr>
        <w:t>Tipo:</w:t>
      </w:r>
      <w:r>
        <w:t xml:space="preserve"> Sesgo/Equidad</w:t>
      </w:r>
    </w:p>
    <w:p>
      <w:pPr>
        <w:pStyle w:val="ListBullet"/>
      </w:pPr>
      <w:r>
        <w:rPr>
          <w:b/>
        </w:rPr>
        <w:t>Severidad:</w:t>
      </w:r>
      <w:r>
        <w:t xml:space="preserve"> ALTA</w:t>
      </w:r>
    </w:p>
    <w:p>
      <w:pPr>
        <w:pStyle w:val="ListBullet"/>
      </w:pPr>
      <w:r>
        <w:rPr>
          <w:b/>
        </w:rPr>
        <w:t>Ubicación:</w:t>
      </w:r>
      <w:r>
        <w:t xml:space="preserve"> PDF 3 / impr. ii; PDF 12 / impr. 1; Fig 3.6 (PDF 69 / impr. 58); Fig 3.11 (PDF 79 / impr. 68); Fig A3.2-A3.3 (PDF 157-160 / impr. 146-149)</w:t>
      </w:r>
    </w:p>
    <w:p>
      <w:pPr>
        <w:pStyle w:val="ListBullet"/>
      </w:pPr>
      <w:r>
        <w:rPr>
          <w:b/>
        </w:rPr>
        <w:t>Cita:</w:t>
      </w:r>
      <w:r>
        <w:t xml:space="preserve"> «*Disclosure forms for GOLD Committees are posted on the GOLD Website, www.goldcopd.org»</w:t>
      </w:r>
    </w:p>
    <w:p>
      <w:pPr>
        <w:pStyle w:val="ListBullet"/>
      </w:pPr>
      <w:r>
        <w:rPr>
          <w:b/>
        </w:rPr>
        <w:t>Problema:</w:t>
      </w:r>
    </w:p>
    <w:p>
      <w:pPr>
        <w:pStyle w:val="ListBullet2"/>
      </w:pPr>
      <w:r>
        <w:rPr>
          <w:b/>
        </w:rPr>
        <w:t>Lo que falta en el informe:</w:t>
      </w:r>
    </w:p>
    <w:p>
      <w:pPr>
        <w:pStyle w:val="ListBullet2"/>
      </w:pPr>
      <w:r>
        <w:t>la fuente de financiación de GOLD y del informe, incluido el posible patrocinio de la industria;</w:t>
      </w:r>
    </w:p>
    <w:p>
      <w:pPr>
        <w:pStyle w:val="ListBullet2"/>
      </w:pPr>
      <w:r>
        <w:t>una política de conflictos de interés (umbrales, gestión, recusación en las votaciones);</w:t>
      </w:r>
    </w:p>
    <w:p>
      <w:pPr>
        <w:pStyle w:val="ListBullet2"/>
      </w:pPr>
      <w:r>
        <w:t>un resumen de los conflictos relevantes por recomendación.</w:t>
      </w:r>
    </w:p>
    <w:p>
      <w:r>
        <w:t>Al mismo tiempo, el texto afirma ofrecer un «non-biased review» (PDF 12) sin explicar cómo se garantiza.</w:t>
      </w:r>
    </w:p>
    <w:p>
      <w:pPr>
        <w:pStyle w:val="ListBullet2"/>
      </w:pPr>
      <w:r>
        <w:rPr>
          <w:b/>
        </w:rPr>
        <w:t>Miembros del comité que firman los ensayos pivotales (verificado en PubMed):</w:t>
      </w:r>
    </w:p>
    <w:tbl>
      <w:tblPr>
        <w:tblStyle w:val="TableGrid"/>
        <w:tblW w:type="auto" w:w="0"/>
        <w:tblLayout w:type="fixed"/>
        <w:tblLook w:firstColumn="1" w:firstRow="1" w:lastColumn="0" w:lastRow="0" w:noHBand="0" w:noVBand="1" w:val="04A0"/>
      </w:tblPr>
      <w:tblGrid>
        <w:gridCol w:w="2446"/>
        <w:gridCol w:w="709"/>
        <w:gridCol w:w="3242"/>
        <w:gridCol w:w="3242"/>
      </w:tblGrid>
      <w:tr>
        <w:trPr>
          <w:tblHeader w:val="true"/>
        </w:trPr>
        <w:tc>
          <w:tcPr>
            <w:tcW w:type="dxa" w:w="2446"/>
            <w:shd w:val="clear" w:color="auto" w:fill="D9E2F3"/>
          </w:tcPr>
          <w:p>
            <w:r/>
            <w:r>
              <w:rPr>
                <w:b/>
                <w:sz w:val="18"/>
              </w:rPr>
              <w:t>Ensayo</w:t>
            </w:r>
          </w:p>
        </w:tc>
        <w:tc>
          <w:tcPr>
            <w:tcW w:type="dxa" w:w="709"/>
            <w:shd w:val="clear" w:color="auto" w:fill="D9E2F3"/>
          </w:tcPr>
          <w:p>
            <w:r/>
            <w:r>
              <w:rPr>
                <w:b/>
                <w:sz w:val="18"/>
              </w:rPr>
              <w:t>Ref.</w:t>
            </w:r>
          </w:p>
        </w:tc>
        <w:tc>
          <w:tcPr>
            <w:tcW w:type="dxa" w:w="3242"/>
            <w:shd w:val="clear" w:color="auto" w:fill="D9E2F3"/>
          </w:tcPr>
          <w:p>
            <w:r/>
            <w:r>
              <w:rPr>
                <w:b/>
                <w:sz w:val="18"/>
              </w:rPr>
              <w:t>Intervención</w:t>
            </w:r>
          </w:p>
        </w:tc>
        <w:tc>
          <w:tcPr>
            <w:tcW w:type="dxa" w:w="3242"/>
            <w:shd w:val="clear" w:color="auto" w:fill="D9E2F3"/>
          </w:tcPr>
          <w:p>
            <w:r/>
            <w:r>
              <w:rPr>
                <w:b/>
                <w:sz w:val="18"/>
              </w:rPr>
              <w:t>Miembros del comité 2025-26 entre los autores</w:t>
            </w:r>
          </w:p>
        </w:tc>
      </w:tr>
      <w:tr>
        <w:tc>
          <w:tcPr>
            <w:tcW w:type="dxa" w:w="2446"/>
          </w:tcPr>
          <w:p>
            <w:r/>
            <w:r>
              <w:rPr>
                <w:sz w:val="18"/>
              </w:rPr>
              <w:t>MATINEE</w:t>
            </w:r>
          </w:p>
        </w:tc>
        <w:tc>
          <w:tcPr>
            <w:tcW w:type="dxa" w:w="709"/>
          </w:tcPr>
          <w:p>
            <w:r/>
            <w:r>
              <w:rPr>
                <w:sz w:val="18"/>
              </w:rPr>
              <w:t>691</w:t>
            </w:r>
          </w:p>
        </w:tc>
        <w:tc>
          <w:tcPr>
            <w:tcW w:type="dxa" w:w="3242"/>
          </w:tcPr>
          <w:p>
            <w:r/>
            <w:r>
              <w:rPr>
                <w:sz w:val="18"/>
              </w:rPr>
              <w:t>Mepolizumab</w:t>
            </w:r>
          </w:p>
        </w:tc>
        <w:tc>
          <w:tcPr>
            <w:tcW w:type="dxa" w:w="3242"/>
          </w:tcPr>
          <w:p>
            <w:r/>
            <w:r>
              <w:rPr>
                <w:sz w:val="18"/>
              </w:rPr>
              <w:t>7 de 19</w:t>
            </w:r>
          </w:p>
        </w:tc>
      </w:tr>
      <w:tr>
        <w:tc>
          <w:tcPr>
            <w:tcW w:type="dxa" w:w="2446"/>
          </w:tcPr>
          <w:p>
            <w:r/>
            <w:r>
              <w:rPr>
                <w:sz w:val="18"/>
              </w:rPr>
              <w:t>BOREAS</w:t>
            </w:r>
          </w:p>
        </w:tc>
        <w:tc>
          <w:tcPr>
            <w:tcW w:type="dxa" w:w="709"/>
          </w:tcPr>
          <w:p>
            <w:r/>
            <w:r>
              <w:rPr>
                <w:sz w:val="18"/>
              </w:rPr>
              <w:t>682</w:t>
            </w:r>
          </w:p>
        </w:tc>
        <w:tc>
          <w:tcPr>
            <w:tcW w:type="dxa" w:w="3242"/>
          </w:tcPr>
          <w:p>
            <w:r/>
            <w:r>
              <w:rPr>
                <w:sz w:val="18"/>
              </w:rPr>
              <w:t>Dupilumab</w:t>
            </w:r>
          </w:p>
        </w:tc>
        <w:tc>
          <w:tcPr>
            <w:tcW w:type="dxa" w:w="3242"/>
          </w:tcPr>
          <w:p>
            <w:r/>
            <w:r>
              <w:rPr>
                <w:sz w:val="18"/>
              </w:rPr>
              <w:t>3, incluido el presidente</w:t>
            </w:r>
          </w:p>
        </w:tc>
      </w:tr>
      <w:tr>
        <w:tc>
          <w:tcPr>
            <w:tcW w:type="dxa" w:w="2446"/>
          </w:tcPr>
          <w:p>
            <w:r/>
            <w:r>
              <w:rPr>
                <w:sz w:val="18"/>
              </w:rPr>
              <w:t>METREX/METREO</w:t>
            </w:r>
          </w:p>
        </w:tc>
        <w:tc>
          <w:tcPr>
            <w:tcW w:type="dxa" w:w="709"/>
          </w:tcPr>
          <w:p>
            <w:r/>
            <w:r>
              <w:rPr>
                <w:sz w:val="18"/>
              </w:rPr>
              <w:t>690</w:t>
            </w:r>
          </w:p>
        </w:tc>
        <w:tc>
          <w:tcPr>
            <w:tcW w:type="dxa" w:w="3242"/>
          </w:tcPr>
          <w:p>
            <w:r/>
            <w:r>
              <w:rPr>
                <w:sz w:val="18"/>
              </w:rPr>
              <w:t>Mepolizumab</w:t>
            </w:r>
          </w:p>
        </w:tc>
        <w:tc>
          <w:tcPr>
            <w:tcW w:type="dxa" w:w="3242"/>
          </w:tcPr>
          <w:p>
            <w:r/>
            <w:r>
              <w:rPr>
                <w:sz w:val="18"/>
              </w:rPr>
              <w:t>2</w:t>
            </w:r>
          </w:p>
        </w:tc>
      </w:tr>
      <w:tr>
        <w:tc>
          <w:tcPr>
            <w:tcW w:type="dxa" w:w="2446"/>
          </w:tcPr>
          <w:p>
            <w:r/>
            <w:r>
              <w:rPr>
                <w:sz w:val="18"/>
              </w:rPr>
              <w:t>ENHANCE</w:t>
            </w:r>
          </w:p>
        </w:tc>
        <w:tc>
          <w:tcPr>
            <w:tcW w:type="dxa" w:w="709"/>
          </w:tcPr>
          <w:p>
            <w:r/>
            <w:r>
              <w:rPr>
                <w:sz w:val="18"/>
              </w:rPr>
              <w:t>1605</w:t>
            </w:r>
          </w:p>
        </w:tc>
        <w:tc>
          <w:tcPr>
            <w:tcW w:type="dxa" w:w="3242"/>
          </w:tcPr>
          <w:p>
            <w:r/>
            <w:r>
              <w:rPr>
                <w:sz w:val="18"/>
              </w:rPr>
              <w:t>Ensifentrina</w:t>
            </w:r>
          </w:p>
        </w:tc>
        <w:tc>
          <w:tcPr>
            <w:tcW w:type="dxa" w:w="3242"/>
          </w:tcPr>
          <w:p>
            <w:r/>
            <w:r>
              <w:rPr>
                <w:sz w:val="18"/>
              </w:rPr>
              <w:t>Primer autor</w:t>
            </w:r>
          </w:p>
        </w:tc>
      </w:tr>
      <w:tr>
        <w:tc>
          <w:tcPr>
            <w:tcW w:type="dxa" w:w="2446"/>
          </w:tcPr>
          <w:p>
            <w:r/>
            <w:r>
              <w:rPr>
                <w:sz w:val="18"/>
              </w:rPr>
              <w:t>AReSVi-006</w:t>
            </w:r>
          </w:p>
        </w:tc>
        <w:tc>
          <w:tcPr>
            <w:tcW w:type="dxa" w:w="709"/>
          </w:tcPr>
          <w:p>
            <w:r/>
            <w:r>
              <w:rPr>
                <w:sz w:val="18"/>
              </w:rPr>
              <w:t>659</w:t>
            </w:r>
          </w:p>
        </w:tc>
        <w:tc>
          <w:tcPr>
            <w:tcW w:type="dxa" w:w="3242"/>
          </w:tcPr>
          <w:p>
            <w:r/>
            <w:r>
              <w:rPr>
                <w:sz w:val="18"/>
              </w:rPr>
              <w:t>Vacuna del VRS</w:t>
            </w:r>
          </w:p>
        </w:tc>
        <w:tc>
          <w:tcPr>
            <w:tcW w:type="dxa" w:w="3242"/>
          </w:tcPr>
          <w:p>
            <w:r/>
            <w:r>
              <w:rPr>
                <w:sz w:val="18"/>
              </w:rPr>
              <w:t>Primer autor</w:t>
            </w:r>
          </w:p>
        </w:tc>
      </w:tr>
    </w:tbl>
    <w:p/>
    <w:p>
      <w:r>
        <w:t>Son precisamente las intervenciones nuevas que la guía incorpora, varias de ellas con afirmaciones de nivel A.</w:t>
      </w:r>
    </w:p>
    <w:p>
      <w:pPr>
        <w:pStyle w:val="ListBullet2"/>
      </w:pPr>
      <w:r>
        <w:rPr>
          <w:b/>
        </w:rPr>
        <w:t>Autoría global:</w:t>
      </w:r>
      <w:r>
        <w:t xml:space="preserve"> según esummary, alrededor del 22 % (366/1696) de las referencias con PMID tienen como autor a algún miembro actual del comité, y el 28 % (46/163) de las publicadas desde 2024. Es una cifra aproximada por posibles homónimos.</w:t>
      </w:r>
    </w:p>
    <w:p>
      <w:pPr>
        <w:pStyle w:val="ListBullet2"/>
      </w:pPr>
      <w:r>
        <w:t>La autoría no implica sesgo, pero exige gestión explícita.</w:t>
      </w:r>
    </w:p>
    <w:p>
      <w:pPr>
        <w:pStyle w:val="ListBullet"/>
      </w:pPr>
      <w:r>
        <w:rPr>
          <w:b/>
        </w:rPr>
        <w:t>Evidencia/justificación:</w:t>
      </w:r>
    </w:p>
    <w:p>
      <w:pPr>
        <w:pStyle w:val="ListBullet2"/>
      </w:pPr>
      <w:r>
        <w:t>IOM, estándar 1 (transparencia, incluida la financiación).</w:t>
      </w:r>
    </w:p>
    <w:p>
      <w:pPr>
        <w:pStyle w:val="ListBullet2"/>
      </w:pPr>
      <w:r>
        <w:t>IOM, estándar 2: declaración y gestión de los conflictos; minoría de miembros con conflictos; presidente sin conflictos.</w:t>
      </w:r>
    </w:p>
    <w:p>
      <w:pPr>
        <w:pStyle w:val="ListBullet2"/>
      </w:pPr>
      <w:r>
        <w:t>RIGHT, ítems 18-19.</w:t>
      </w:r>
    </w:p>
    <w:p>
      <w:pPr>
        <w:pStyle w:val="ListBullet2"/>
      </w:pPr>
      <w:r>
        <w:t>AGREE II, ítem 22 (independencia del financiador) e ítem 23 (conflictos registrados y abordados).</w:t>
      </w:r>
    </w:p>
    <w:p>
      <w:pPr>
        <w:pStyle w:val="ListBullet2"/>
      </w:pPr>
      <w:r>
        <w:t>Principios G-I-N 2015.</w:t>
      </w:r>
    </w:p>
    <w:p>
      <w:pPr>
        <w:pStyle w:val="ListBullet"/>
      </w:pPr>
      <w:r>
        <w:rPr>
          <w:b/>
        </w:rPr>
        <w:t>Recomendación:</w:t>
      </w:r>
    </w:p>
    <w:p>
      <w:pPr>
        <w:pStyle w:val="ListBullet2"/>
      </w:pPr>
      <w:r>
        <w:t>Añadir una sección de financiación y una política de conflictos de interés en el propio documento.</w:t>
      </w:r>
    </w:p>
    <w:p>
      <w:pPr>
        <w:pStyle w:val="ListBullet2"/>
      </w:pPr>
      <w:r>
        <w:t>Recusar de la votación de cada recomendación a los autores, investigadores o consultores del producto afectado.</w:t>
      </w:r>
    </w:p>
    <w:p>
      <w:pPr>
        <w:pStyle w:val="ListBullet2"/>
      </w:pPr>
      <w:r>
        <w:t>Publicar una matriz de conflictos por recomendación.</w:t>
      </w:r>
    </w:p>
    <w:p>
      <w:pPr>
        <w:pStyle w:val="ListBullet2"/>
      </w:pPr>
      <w:r>
        <w:t>Nombrar un copresidente metodológico sin conflictos.</w:t>
      </w:r>
    </w:p>
    <w:p>
      <w:pPr>
        <w:pStyle w:val="ListBullet"/>
      </w:pPr>
      <w:r>
        <w:rPr>
          <w:b/>
        </w:rPr>
        <w:t>Confianza:</w:t>
      </w:r>
      <w:r>
        <w:t xml:space="preserve"> 4</w:t>
      </w:r>
    </w:p>
    <w:p>
      <w:pPr>
        <w:pStyle w:val="Heading4"/>
      </w:pPr>
      <w:r>
        <w:t>EPI-01 · Errores de cita sistemáticos en el capítulo 1 (desplazamiento de numeración)</w:t>
      </w:r>
    </w:p>
    <w:p>
      <w:r>
        <w:rPr>
          <w:i/>
        </w:rPr>
        <w:t xml:space="preserve">Severidad final: </w:t>
      </w:r>
      <w:r>
        <w:rPr>
          <w:i/>
          <w:color w:val="ED7D31"/>
        </w:rPr>
        <w:t>🟠</w:t>
      </w:r>
      <w:r>
        <w:rPr>
          <w:i/>
        </w:rPr>
        <w:t xml:space="preserve"> ALTA · Tema T23: Integridad de citas y referencias</w:t>
      </w:r>
    </w:p>
    <w:p>
      <w:pPr>
        <w:pStyle w:val="IntenseQuote"/>
      </w:pPr>
      <w:r>
        <w:rPr>
          <w:b/>
        </w:rPr>
        <w:t>Verificación independiente (CONFIRMADO):</w:t>
      </w:r>
      <w:r>
        <w:t xml:space="preserve"> Retirar la 164. La cifra del 11 % procede de McGeachie (163). | Dejar solo la 220. | Sustituir la 49. | Citar la OMS Global Health Estimates o la WHO Mortality Database. | Citar la ref. 119 y, si se desea, Smith BM, JAMA 2020. | Sustituir. | Retirar la 164; parece un patrón repetido de la ref. 164 «intrusa».</w:t>
      </w:r>
    </w:p>
    <w:p>
      <w:pPr>
        <w:pStyle w:val="ListBullet"/>
      </w:pPr>
      <w:r>
        <w:rPr>
          <w:b/>
        </w:rPr>
        <w:t>Tipo:</w:t>
      </w:r>
      <w:r>
        <w:t xml:space="preserve"> Incongruencia interna / Evidencia mal representada</w:t>
      </w:r>
    </w:p>
    <w:p>
      <w:pPr>
        <w:pStyle w:val="ListBullet"/>
      </w:pPr>
      <w:r>
        <w:rPr>
          <w:b/>
        </w:rPr>
        <w:t>Severidad:</w:t>
      </w:r>
      <w:r>
        <w:t xml:space="preserve"> ALTA</w:t>
      </w:r>
    </w:p>
    <w:p>
      <w:pPr>
        <w:pStyle w:val="ListBullet"/>
      </w:pPr>
      <w:r>
        <w:rPr>
          <w:b/>
        </w:rPr>
        <w:t>Ubicación:</w:t>
      </w:r>
      <w:r>
        <w:t xml:space="preserve"> PDF 17-30 / impr. 6-19 — capítulo 1 (factores de riesgo, carga, patogénesis, fisiopatología y taxonomía); en contraste con el Highlight xiii (PDF 5 / impr. iv)</w:t>
      </w:r>
    </w:p>
    <w:p>
      <w:pPr>
        <w:pStyle w:val="ListBullet"/>
      </w:pPr>
      <w:r>
        <w:rPr>
          <w:b/>
        </w:rPr>
        <w:t>Cita:</w:t>
      </w:r>
      <w:r>
        <w:t xml:space="preserve"> «11% of children with asthma had lung function impairment consistent with the spirometric classification of COPD by early adulthood.(163-165)»; Highlight xiii: «References have been checked and updated throughout the document.»</w:t>
      </w:r>
    </w:p>
    <w:p>
      <w:pPr>
        <w:pStyle w:val="ListBullet"/>
      </w:pPr>
      <w:r>
        <w:rPr>
          <w:b/>
        </w:rPr>
        <w:t>Problema:</w:t>
      </w:r>
      <w:r>
        <w:t xml:space="preserve"> Muchas llamadas remiten a referencias que no sostienen la afirmación. El patrón (bloques contiguos desplazados, una misma referencia «intrusa» repetida) apunta a un fallo de renumeración al reestructurar el informe. Ejemplos comprobados en la lista de referencias:</w:t>
      </w:r>
    </w:p>
    <w:tbl>
      <w:tblPr>
        <w:tblStyle w:val="TableGrid"/>
        <w:tblW w:type="auto" w:w="0"/>
        <w:tblLayout w:type="fixed"/>
        <w:tblLook w:firstColumn="1" w:firstRow="1" w:lastColumn="0" w:lastRow="0" w:noHBand="0" w:noVBand="1" w:val="04A0"/>
      </w:tblPr>
      <w:tblGrid>
        <w:gridCol w:w="3756"/>
        <w:gridCol w:w="1134"/>
        <w:gridCol w:w="4748"/>
      </w:tblGrid>
      <w:tr>
        <w:trPr>
          <w:tblHeader w:val="true"/>
        </w:trPr>
        <w:tc>
          <w:tcPr>
            <w:tcW w:type="dxa" w:w="3756"/>
            <w:shd w:val="clear" w:color="auto" w:fill="D9E2F3"/>
          </w:tcPr>
          <w:p>
            <w:r/>
            <w:r>
              <w:rPr>
                <w:b/>
                <w:sz w:val="18"/>
              </w:rPr>
              <w:t>Afirmación (PDF/impr.)</w:t>
            </w:r>
          </w:p>
        </w:tc>
        <w:tc>
          <w:tcPr>
            <w:tcW w:type="dxa" w:w="1134"/>
            <w:shd w:val="clear" w:color="auto" w:fill="D9E2F3"/>
          </w:tcPr>
          <w:p>
            <w:r/>
            <w:r>
              <w:rPr>
                <w:b/>
                <w:sz w:val="18"/>
              </w:rPr>
              <w:t>Ref. citada</w:t>
            </w:r>
          </w:p>
        </w:tc>
        <w:tc>
          <w:tcPr>
            <w:tcW w:type="dxa" w:w="4748"/>
            <w:shd w:val="clear" w:color="auto" w:fill="D9E2F3"/>
          </w:tcPr>
          <w:p>
            <w:r/>
            <w:r>
              <w:rPr>
                <w:b/>
                <w:sz w:val="18"/>
              </w:rPr>
              <w:t>Contenido real de la ref.</w:t>
            </w:r>
          </w:p>
        </w:tc>
      </w:tr>
      <w:tr>
        <w:tc>
          <w:tcPr>
            <w:tcW w:type="dxa" w:w="3756"/>
          </w:tcPr>
          <w:p>
            <w:r/>
            <w:r>
              <w:rPr>
                <w:sz w:val="18"/>
              </w:rPr>
              <w:t>Asma infantil→EPOC (25/14); tapones de moco→mortalidad (26/15); VIH→metilación (26/15)</w:t>
            </w:r>
          </w:p>
        </w:tc>
        <w:tc>
          <w:tcPr>
            <w:tcW w:type="dxa" w:w="1134"/>
          </w:tcPr>
          <w:p>
            <w:r/>
            <w:r>
              <w:rPr>
                <w:b/>
                <w:sz w:val="18"/>
              </w:rPr>
              <w:t>164</w:t>
            </w:r>
          </w:p>
        </w:tc>
        <w:tc>
          <w:tcPr>
            <w:tcW w:type="dxa" w:w="4748"/>
          </w:tcPr>
          <w:p>
            <w:r/>
            <w:r>
              <w:rPr>
                <w:sz w:val="18"/>
              </w:rPr>
              <w:t xml:space="preserve">Silva 2025, </w:t>
            </w:r>
            <w:r>
              <w:rPr>
                <w:i/>
                <w:sz w:val="18"/>
              </w:rPr>
              <w:t>apps de smartphone para actividad física</w:t>
            </w:r>
            <w:r>
              <w:rPr>
                <w:sz w:val="18"/>
              </w:rPr>
              <w:t>, Pulmonology</w:t>
            </w:r>
          </w:p>
        </w:tc>
      </w:tr>
      <w:tr>
        <w:tc>
          <w:tcPr>
            <w:tcW w:type="dxa" w:w="3756"/>
          </w:tcPr>
          <w:p>
            <w:r/>
            <w:r>
              <w:rPr>
                <w:sz w:val="18"/>
              </w:rPr>
              <w:t>VIH «probably due to methylation disruptions» (26/15)</w:t>
            </w:r>
          </w:p>
        </w:tc>
        <w:tc>
          <w:tcPr>
            <w:tcW w:type="dxa" w:w="1134"/>
          </w:tcPr>
          <w:p>
            <w:r/>
            <w:r>
              <w:rPr>
                <w:b/>
                <w:sz w:val="18"/>
              </w:rPr>
              <w:t>221</w:t>
            </w:r>
          </w:p>
        </w:tc>
        <w:tc>
          <w:tcPr>
            <w:tcW w:type="dxa" w:w="4748"/>
          </w:tcPr>
          <w:p>
            <w:r/>
            <w:r>
              <w:rPr>
                <w:sz w:val="18"/>
              </w:rPr>
              <w:t>Lee 2022, déficit de subclases IgG y mortalidad hospitalaria</w:t>
            </w:r>
          </w:p>
        </w:tc>
      </w:tr>
      <w:tr>
        <w:tc>
          <w:tcPr>
            <w:tcW w:type="dxa" w:w="3756"/>
          </w:tcPr>
          <w:p>
            <w:r/>
            <w:r>
              <w:rPr>
                <w:sz w:val="18"/>
              </w:rPr>
              <w:t>Contaminación→exacerbaciones/mortalidad (17/6)</w:t>
            </w:r>
          </w:p>
        </w:tc>
        <w:tc>
          <w:tcPr>
            <w:tcW w:type="dxa" w:w="1134"/>
          </w:tcPr>
          <w:p>
            <w:r/>
            <w:r>
              <w:rPr>
                <w:b/>
                <w:sz w:val="18"/>
              </w:rPr>
              <w:t>49</w:t>
            </w:r>
            <w:r>
              <w:rPr>
                <w:sz w:val="18"/>
              </w:rPr>
              <w:t xml:space="preserve"> (dentro de 48-50)</w:t>
            </w:r>
          </w:p>
        </w:tc>
        <w:tc>
          <w:tcPr>
            <w:tcW w:type="dxa" w:w="4748"/>
          </w:tcPr>
          <w:p>
            <w:r/>
            <w:r>
              <w:rPr>
                <w:sz w:val="18"/>
              </w:rPr>
              <w:t>Regan 2024, ecuaciones espirométricas por raza</w:t>
            </w:r>
          </w:p>
        </w:tc>
      </w:tr>
      <w:tr>
        <w:tc>
          <w:tcPr>
            <w:tcW w:type="dxa" w:w="3756"/>
          </w:tcPr>
          <w:p>
            <w:r/>
            <w:r>
              <w:rPr>
                <w:sz w:val="18"/>
              </w:rPr>
              <w:t>GETomics «requires further investigation» (22/11)</w:t>
            </w:r>
          </w:p>
        </w:tc>
        <w:tc>
          <w:tcPr>
            <w:tcW w:type="dxa" w:w="1134"/>
          </w:tcPr>
          <w:p>
            <w:r/>
            <w:r>
              <w:rPr>
                <w:b/>
                <w:sz w:val="18"/>
              </w:rPr>
              <w:t>107</w:t>
            </w:r>
          </w:p>
        </w:tc>
        <w:tc>
          <w:tcPr>
            <w:tcW w:type="dxa" w:w="4748"/>
          </w:tcPr>
          <w:p>
            <w:r/>
            <w:r>
              <w:rPr>
                <w:sz w:val="18"/>
              </w:rPr>
              <w:t>Cohorte AIREPOC (contaminación y exacerbaciones)</w:t>
            </w:r>
          </w:p>
        </w:tc>
      </w:tr>
      <w:tr>
        <w:tc>
          <w:tcPr>
            <w:tcW w:type="dxa" w:w="3756"/>
          </w:tcPr>
          <w:p>
            <w:r/>
            <w:r>
              <w:rPr>
                <w:sz w:val="18"/>
              </w:rPr>
              <w:t>Definición de disanapsis (24/13)</w:t>
            </w:r>
          </w:p>
        </w:tc>
        <w:tc>
          <w:tcPr>
            <w:tcW w:type="dxa" w:w="1134"/>
          </w:tcPr>
          <w:p>
            <w:r/>
            <w:r>
              <w:rPr>
                <w:b/>
                <w:sz w:val="18"/>
              </w:rPr>
              <w:t>132, 133</w:t>
            </w:r>
          </w:p>
        </w:tc>
        <w:tc>
          <w:tcPr>
            <w:tcW w:type="dxa" w:w="4748"/>
          </w:tcPr>
          <w:p>
            <w:r/>
            <w:r>
              <w:rPr>
                <w:sz w:val="18"/>
              </w:rPr>
              <w:t>Barker 1991 (peso al nacer) y Todisco 1993 (prematuridad leve)</w:t>
            </w:r>
          </w:p>
        </w:tc>
      </w:tr>
      <w:tr>
        <w:tc>
          <w:tcPr>
            <w:tcW w:type="dxa" w:w="3756"/>
          </w:tcPr>
          <w:p>
            <w:r/>
            <w:r>
              <w:rPr>
                <w:sz w:val="18"/>
              </w:rPr>
              <w:t>«Childhood disadvantage factors» (22/11)</w:t>
            </w:r>
          </w:p>
        </w:tc>
        <w:tc>
          <w:tcPr>
            <w:tcW w:type="dxa" w:w="1134"/>
          </w:tcPr>
          <w:p>
            <w:r/>
            <w:r>
              <w:rPr>
                <w:b/>
                <w:sz w:val="18"/>
              </w:rPr>
              <w:t>119-126</w:t>
            </w:r>
          </w:p>
        </w:tc>
        <w:tc>
          <w:tcPr>
            <w:tcW w:type="dxa" w:w="4748"/>
          </w:tcPr>
          <w:p>
            <w:r/>
            <w:r>
              <w:rPr>
                <w:sz w:val="18"/>
              </w:rPr>
              <w:t>Incluye Green 1974 y Martin (disanapsis), Ito &amp; Barnes 2009 (envejecimiento) y Rawlins 2009 (células Clara en ratón)</w:t>
            </w:r>
          </w:p>
        </w:tc>
      </w:tr>
      <w:tr>
        <w:tc>
          <w:tcPr>
            <w:tcW w:type="dxa" w:w="3756"/>
          </w:tcPr>
          <w:p>
            <w:r/>
            <w:r>
              <w:rPr>
                <w:sz w:val="18"/>
              </w:rPr>
              <w:t>Oxidantes generados por humo/células inflamatorias (28/17)</w:t>
            </w:r>
          </w:p>
        </w:tc>
        <w:tc>
          <w:tcPr>
            <w:tcW w:type="dxa" w:w="1134"/>
          </w:tcPr>
          <w:p>
            <w:r/>
            <w:r>
              <w:rPr>
                <w:b/>
                <w:sz w:val="18"/>
              </w:rPr>
              <w:t>215</w:t>
            </w:r>
          </w:p>
        </w:tc>
        <w:tc>
          <w:tcPr>
            <w:tcW w:type="dxa" w:w="4748"/>
          </w:tcPr>
          <w:p>
            <w:r/>
            <w:r>
              <w:rPr>
                <w:sz w:val="18"/>
              </w:rPr>
              <w:t>PLATINO, tuberculosis y obstrucción</w:t>
            </w:r>
          </w:p>
        </w:tc>
      </w:tr>
      <w:tr>
        <w:tc>
          <w:tcPr>
            <w:tcW w:type="dxa" w:w="3756"/>
          </w:tcPr>
          <w:p>
            <w:r/>
            <w:r>
              <w:rPr>
                <w:sz w:val="18"/>
              </w:rPr>
              <w:t>Hiperinsuflación→función cardiaca (30/19)</w:t>
            </w:r>
          </w:p>
        </w:tc>
        <w:tc>
          <w:tcPr>
            <w:tcW w:type="dxa" w:w="1134"/>
          </w:tcPr>
          <w:p>
            <w:r/>
            <w:r>
              <w:rPr>
                <w:b/>
                <w:sz w:val="18"/>
              </w:rPr>
              <w:t>289</w:t>
            </w:r>
          </w:p>
        </w:tc>
        <w:tc>
          <w:tcPr>
            <w:tcW w:type="dxa" w:w="4748"/>
          </w:tcPr>
          <w:p>
            <w:r/>
            <w:r>
              <w:rPr>
                <w:sz w:val="18"/>
              </w:rPr>
              <w:t>Parker 2005, recuperación de exacerbaciones</w:t>
            </w:r>
          </w:p>
        </w:tc>
      </w:tr>
      <w:tr>
        <w:tc>
          <w:tcPr>
            <w:tcW w:type="dxa" w:w="3756"/>
          </w:tcPr>
          <w:p>
            <w:r/>
            <w:r>
              <w:rPr>
                <w:sz w:val="18"/>
              </w:rPr>
              <w:t>Depresión del impulso ventilatorio por sedantes (29/18)</w:t>
            </w:r>
          </w:p>
        </w:tc>
        <w:tc>
          <w:tcPr>
            <w:tcW w:type="dxa" w:w="1134"/>
          </w:tcPr>
          <w:p>
            <w:r/>
            <w:r>
              <w:rPr>
                <w:b/>
                <w:sz w:val="18"/>
              </w:rPr>
              <w:t>280</w:t>
            </w:r>
          </w:p>
        </w:tc>
        <w:tc>
          <w:tcPr>
            <w:tcW w:type="dxa" w:w="4748"/>
          </w:tcPr>
          <w:p>
            <w:r/>
            <w:r>
              <w:rPr>
                <w:sz w:val="18"/>
              </w:rPr>
              <w:t>Elbehairy 2015, intercambio de gases en EPOC leve</w:t>
            </w:r>
          </w:p>
        </w:tc>
      </w:tr>
      <w:tr>
        <w:tc>
          <w:tcPr>
            <w:tcW w:type="dxa" w:w="3756"/>
          </w:tcPr>
          <w:p>
            <w:r/>
            <w:r>
              <w:rPr>
                <w:sz w:val="18"/>
              </w:rPr>
              <w:t>«The WHO publishes mortality statistics…» (21/10)</w:t>
            </w:r>
          </w:p>
        </w:tc>
        <w:tc>
          <w:tcPr>
            <w:tcW w:type="dxa" w:w="1134"/>
          </w:tcPr>
          <w:p>
            <w:r/>
            <w:r>
              <w:rPr>
                <w:b/>
                <w:sz w:val="18"/>
              </w:rPr>
              <w:t>91</w:t>
            </w:r>
          </w:p>
        </w:tc>
        <w:tc>
          <w:tcPr>
            <w:tcW w:type="dxa" w:w="4748"/>
          </w:tcPr>
          <w:p>
            <w:r/>
            <w:r>
              <w:rPr>
                <w:sz w:val="18"/>
              </w:rPr>
              <w:t>Web de EVIPNet (redes de políticas informadas por evidencia)</w:t>
            </w:r>
          </w:p>
        </w:tc>
      </w:tr>
      <w:tr>
        <w:tc>
          <w:tcPr>
            <w:tcW w:type="dxa" w:w="3756"/>
          </w:tcPr>
          <w:p>
            <w:r/>
            <w:r>
              <w:rPr>
                <w:sz w:val="18"/>
              </w:rPr>
              <w:t>Infradiagnóstico→precisión de la mortalidad (21/10)</w:t>
            </w:r>
          </w:p>
        </w:tc>
        <w:tc>
          <w:tcPr>
            <w:tcW w:type="dxa" w:w="1134"/>
          </w:tcPr>
          <w:p>
            <w:r/>
            <w:r>
              <w:rPr>
                <w:b/>
                <w:sz w:val="18"/>
              </w:rPr>
              <w:t>92</w:t>
            </w:r>
          </w:p>
        </w:tc>
        <w:tc>
          <w:tcPr>
            <w:tcW w:type="dxa" w:w="4748"/>
          </w:tcPr>
          <w:p>
            <w:r/>
            <w:r>
              <w:rPr>
                <w:sz w:val="18"/>
              </w:rPr>
              <w:t>PURE, diferencias regionales en función pulmonar</w:t>
            </w:r>
          </w:p>
        </w:tc>
      </w:tr>
      <w:tr>
        <w:tc>
          <w:tcPr>
            <w:tcW w:type="dxa" w:w="3756"/>
          </w:tcPr>
          <w:p>
            <w:r/>
            <w:r>
              <w:rPr>
                <w:sz w:val="18"/>
              </w:rPr>
              <w:t>Origen del término pre-EPOC (25/14)</w:t>
            </w:r>
          </w:p>
        </w:tc>
        <w:tc>
          <w:tcPr>
            <w:tcW w:type="dxa" w:w="1134"/>
          </w:tcPr>
          <w:p>
            <w:r/>
            <w:r>
              <w:rPr>
                <w:b/>
                <w:sz w:val="18"/>
              </w:rPr>
              <w:t>146</w:t>
            </w:r>
          </w:p>
        </w:tc>
        <w:tc>
          <w:tcPr>
            <w:tcW w:type="dxa" w:w="4748"/>
          </w:tcPr>
          <w:p>
            <w:r/>
            <w:r>
              <w:rPr>
                <w:sz w:val="18"/>
              </w:rPr>
              <w:t>Çolak 2024, «susceptible young adults» (el origen es Han 2021, ref 147)</w:t>
            </w:r>
          </w:p>
        </w:tc>
      </w:tr>
      <w:tr>
        <w:tc>
          <w:tcPr>
            <w:tcW w:type="dxa" w:w="3756"/>
          </w:tcPr>
          <w:p>
            <w:r/>
            <w:r>
              <w:rPr>
                <w:sz w:val="18"/>
              </w:rPr>
              <w:t>Taxonomía/etiotipos (30/19)</w:t>
            </w:r>
          </w:p>
        </w:tc>
        <w:tc>
          <w:tcPr>
            <w:tcW w:type="dxa" w:w="1134"/>
          </w:tcPr>
          <w:p>
            <w:r/>
            <w:r>
              <w:rPr>
                <w:b/>
                <w:sz w:val="18"/>
              </w:rPr>
              <w:t>295</w:t>
            </w:r>
          </w:p>
        </w:tc>
        <w:tc>
          <w:tcPr>
            <w:tcW w:type="dxa" w:w="4748"/>
          </w:tcPr>
          <w:p>
            <w:r/>
            <w:r>
              <w:rPr>
                <w:sz w:val="18"/>
              </w:rPr>
              <w:t>«Dharmage S, Agusti A. Personal communication. 2022»</w:t>
            </w:r>
          </w:p>
        </w:tc>
      </w:tr>
      <w:tr>
        <w:tc>
          <w:tcPr>
            <w:tcW w:type="dxa" w:w="3756"/>
          </w:tcPr>
          <w:p>
            <w:r/>
            <w:r>
              <w:rPr>
                <w:sz w:val="18"/>
              </w:rPr>
              <w:t>Eosinófilos/ILC2 en patobiología</w:t>
            </w:r>
          </w:p>
        </w:tc>
        <w:tc>
          <w:tcPr>
            <w:tcW w:type="dxa" w:w="1134"/>
          </w:tcPr>
          <w:p>
            <w:r/>
            <w:r>
              <w:rPr>
                <w:b/>
                <w:sz w:val="18"/>
              </w:rPr>
              <w:t>239</w:t>
            </w:r>
          </w:p>
        </w:tc>
        <w:tc>
          <w:tcPr>
            <w:tcW w:type="dxa" w:w="4748"/>
          </w:tcPr>
          <w:p>
            <w:r/>
            <w:r>
              <w:rPr>
                <w:sz w:val="18"/>
              </w:rPr>
              <w:t>Guía de bolsillo GINA-GOLD 2017 sobre ACOS (concepto abandonado)</w:t>
            </w:r>
          </w:p>
        </w:tc>
      </w:tr>
      <w:tr>
        <w:tc>
          <w:tcPr>
            <w:tcW w:type="dxa" w:w="3756"/>
          </w:tcPr>
          <w:p>
            <w:r/>
            <w:r>
              <w:rPr>
                <w:sz w:val="18"/>
              </w:rPr>
              <w:t>Proyección de 5,4 M muertes en 2060 (21/10)</w:t>
            </w:r>
          </w:p>
        </w:tc>
        <w:tc>
          <w:tcPr>
            <w:tcW w:type="dxa" w:w="1134"/>
          </w:tcPr>
          <w:p>
            <w:r/>
            <w:r>
              <w:rPr>
                <w:b/>
                <w:sz w:val="18"/>
              </w:rPr>
              <w:t>90</w:t>
            </w:r>
          </w:p>
        </w:tc>
        <w:tc>
          <w:tcPr>
            <w:tcW w:type="dxa" w:w="4748"/>
          </w:tcPr>
          <w:p>
            <w:r/>
            <w:r>
              <w:rPr>
                <w:sz w:val="18"/>
              </w:rPr>
              <w:t>Blog colinmathers.com, atribuido a «World Health Organization»</w:t>
            </w:r>
          </w:p>
        </w:tc>
      </w:tr>
    </w:tbl>
    <w:p/>
    <w:p>
      <w:r>
        <w:t xml:space="preserve">Además, la frase sobre la revisión sistemática de prevalencia por sexo y subregiones GBD (PDF 27 / impr. 16) </w:t>
      </w:r>
      <w:r>
        <w:rPr>
          <w:b/>
        </w:rPr>
        <w:t>no tiene cita</w:t>
      </w:r>
      <w:r>
        <w:t>.</w:t>
      </w:r>
    </w:p>
    <w:p>
      <w:pPr>
        <w:pStyle w:val="ListBullet"/>
      </w:pPr>
      <w:r>
        <w:rPr>
          <w:b/>
        </w:rPr>
        <w:t>Evidencia/justificación:</w:t>
      </w:r>
      <w:r>
        <w:t xml:space="preserve"> La comprobación se hizo directamente sobre la lista numerada (PDF 175-248). En varios casos la referencia correcta está a 1-3 posiciones (p. ej., Green 1974 = ref 119 se cita bien en la frase siguiente, pero la definición remite a 132-133). En otros casos la cita correcta convive con la errónea: ref 190 (Diaz, JAMA 2023, tapones de moco) y ref 220 (Hernández Cordero, Thorax 2021, metilación en VIH) son pertinentes.</w:t>
      </w:r>
    </w:p>
    <w:p>
      <w:pPr>
        <w:pStyle w:val="ListBullet"/>
      </w:pPr>
      <w:r>
        <w:rPr>
          <w:b/>
        </w:rPr>
        <w:t>Recomendación:</w:t>
      </w:r>
    </w:p>
    <w:p>
      <w:pPr>
        <w:pStyle w:val="ListBullet2"/>
      </w:pPr>
      <w:r>
        <w:t>Hacer una auditoría completa y automatizada de las llamadas del cap. 1, idealmente de todo el informe, contrastando la afirmación con el título y el resumen de cada referencia.</w:t>
      </w:r>
    </w:p>
    <w:p>
      <w:pPr>
        <w:pStyle w:val="ListBullet2"/>
      </w:pPr>
      <w:r>
        <w:t>Sustituir la «comunicación personal» por Celli 2022 (ref 7) y Stolz 2022 (ref 296), que son las fuentes que declara la propia Figure 1.3.</w:t>
      </w:r>
    </w:p>
    <w:p>
      <w:pPr>
        <w:pStyle w:val="ListBullet2"/>
      </w:pPr>
      <w:r>
        <w:t>Atribuir correctamente la ref 90 a su autor y no a la OMS.</w:t>
      </w:r>
    </w:p>
    <w:p>
      <w:pPr>
        <w:pStyle w:val="ListBullet2"/>
      </w:pPr>
      <w:r>
        <w:t>Retirar el Highlight xiii hasta completar la verificación o matizarlo.</w:t>
      </w:r>
    </w:p>
    <w:p>
      <w:pPr>
        <w:pStyle w:val="ListBullet"/>
      </w:pPr>
      <w:r>
        <w:rPr>
          <w:b/>
        </w:rPr>
        <w:t>Confianza:</w:t>
      </w:r>
      <w:r>
        <w:t xml:space="preserve"> 5/5</w:t>
      </w:r>
    </w:p>
    <w:p>
      <w:pPr>
        <w:pStyle w:val="Heading4"/>
      </w:pPr>
      <w:r>
        <w:t>EQ-09 · El dato de depresión por sexo está mal representado y contradice las referencias citadas</w:t>
      </w:r>
    </w:p>
    <w:p>
      <w:r>
        <w:rPr>
          <w:i/>
        </w:rPr>
        <w:t xml:space="preserve">Severidad final: </w:t>
      </w:r>
      <w:r>
        <w:rPr>
          <w:i/>
          <w:color w:val="ED7D31"/>
        </w:rPr>
        <w:t>🟠</w:t>
      </w:r>
      <w:r>
        <w:rPr>
          <w:i/>
        </w:rPr>
        <w:t xml:space="preserve"> ALTA · Tema T24: Cifras epidemiológicas y datos mal transcritos</w:t>
      </w:r>
    </w:p>
    <w:p>
      <w:pPr>
        <w:pStyle w:val="IntenseQuote"/>
      </w:pPr>
      <w:r>
        <w:rPr>
          <w:b/>
        </w:rPr>
        <w:t>Verificación independiente (CONFIRMADO):</w:t>
      </w:r>
      <w:r>
        <w:t xml:space="preserve"> Confirmado: - la afirmación «more common in men» contradice la ref. 327; - «all approximately 34%» es falso para la ansiedad sola (20 %); - el 61/39 parece la composición por sexo de un subgrupo pequeño (depresión sola ≈5 % de 734, es decir, ≈37 personas), no una prevalencia. No pude verificarlo en el texto completo, que es de pago. Corrección: «La depresión es más prevalente en mujeres con EPOC (ECLIPSE); ≈1 de cada…</w:t>
      </w:r>
    </w:p>
    <w:p>
      <w:pPr>
        <w:pStyle w:val="ListBullet"/>
      </w:pPr>
      <w:r>
        <w:rPr>
          <w:b/>
        </w:rPr>
        <w:t>Tipo:</w:t>
      </w:r>
      <w:r>
        <w:t xml:space="preserve"> Evidencia mal representada</w:t>
      </w:r>
    </w:p>
    <w:p>
      <w:pPr>
        <w:pStyle w:val="ListBullet"/>
      </w:pPr>
      <w:r>
        <w:rPr>
          <w:b/>
        </w:rPr>
        <w:t>Severidad:</w:t>
      </w:r>
      <w:r>
        <w:t xml:space="preserve"> ALTA</w:t>
      </w:r>
    </w:p>
    <w:p>
      <w:pPr>
        <w:pStyle w:val="ListBullet"/>
      </w:pPr>
      <w:r>
        <w:rPr>
          <w:b/>
        </w:rPr>
        <w:t>Ubicación:</w:t>
      </w:r>
      <w:r>
        <w:t xml:space="preserve"> PDF 133 / impr. 122 — "Anxiety and depression".</w:t>
      </w:r>
    </w:p>
    <w:p>
      <w:pPr>
        <w:pStyle w:val="ListBullet"/>
      </w:pPr>
      <w:r>
        <w:rPr>
          <w:b/>
        </w:rPr>
        <w:t>Cita:</w:t>
      </w:r>
      <w:r>
        <w:t xml:space="preserve"> "The prevalence of anxiety alone and combined anxiety and depression is similar in men and women with COPD (all approximately 34%), whereas depression alone is more common in men than women (61% versus 39%)."</w:t>
      </w:r>
    </w:p>
    <w:p>
      <w:pPr>
        <w:pStyle w:val="ListBullet"/>
      </w:pPr>
      <w:r>
        <w:rPr>
          <w:b/>
        </w:rPr>
        <w:t>Problema:</w:t>
      </w:r>
    </w:p>
    <w:p>
      <w:pPr>
        <w:pStyle w:val="ListBullet2"/>
      </w:pPr>
      <w:r>
        <w:t>El 61 % frente a 39 % no parece una prevalencia de depresión por sexo, sino la composición por sexo de un subgrupo.</w:t>
      </w:r>
    </w:p>
    <w:p>
      <w:pPr>
        <w:pStyle w:val="ListBullet2"/>
      </w:pPr>
      <w:r>
        <w:t>Presentado así, transmite que la depresión es más frecuente en hombres, lo contrario de lo que muestra la literatura sobre EPOC, incluida una de las referencias citadas. Esto puede reducir el cribado de depresión en mujeres.</w:t>
      </w:r>
    </w:p>
    <w:p>
      <w:pPr>
        <w:pStyle w:val="ListBullet2"/>
      </w:pPr>
      <w:r>
        <w:t>La ref. 88 (Chen 2015) trata de comorbilidad cardiovascular y no apoya la frase.</w:t>
      </w:r>
    </w:p>
    <w:p>
      <w:pPr>
        <w:pStyle w:val="ListBullet"/>
      </w:pPr>
      <w:r>
        <w:rPr>
          <w:b/>
        </w:rPr>
        <w:t>Evidencia/justificación:</w:t>
      </w:r>
    </w:p>
    <w:p>
      <w:pPr>
        <w:pStyle w:val="ListBullet2"/>
      </w:pPr>
      <w:r>
        <w:t>Yohannes AM et al. 2022 (ref. 1278, PMID 35427843): ansiedad y depresión combinadas en torno al 34 %, solo ansiedad en torno al 20 % y solo depresión en torno al 5 %. No hay "34 % para todas" ni una prevalencia de 61/39 por sexo.</w:t>
      </w:r>
    </w:p>
    <w:p>
      <w:pPr>
        <w:pStyle w:val="ListBullet2"/>
      </w:pPr>
      <w:r>
        <w:t>Hanania NA et al., ECLIPSE (ref. 327, PMID 20889909): el sexo femenino se identificó como factor asociado a depresión.</w:t>
      </w:r>
    </w:p>
    <w:p>
      <w:pPr>
        <w:pStyle w:val="ListBullet"/>
      </w:pPr>
      <w:r>
        <w:rPr>
          <w:b/>
        </w:rPr>
        <w:t>Recomendación:</w:t>
      </w:r>
      <w:r>
        <w:t xml:space="preserve"> Corregir la frase con los datos reales de las referencias e indicar que el sexo femenino es un factor de riesgo de depresión y ansiedad en la EPOC. Retirar la ref. 88 de esa cita. Recomendar el cribado sistemático de ansiedad y depresión en todas las personas con EPOC, con atención específica a las mujeres.</w:t>
      </w:r>
    </w:p>
    <w:p>
      <w:pPr>
        <w:pStyle w:val="ListBullet"/>
      </w:pPr>
      <w:r>
        <w:rPr>
          <w:b/>
        </w:rPr>
        <w:t>Confianza:</w:t>
      </w:r>
      <w:r>
        <w:t xml:space="preserve"> 4/5</w:t>
      </w:r>
    </w:p>
    <w:p>
      <w:pPr>
        <w:pStyle w:val="Heading4"/>
      </w:pPr>
      <w:r>
        <w:t>EXA-14 · Cifra de reingresos a 30 días ("30-50 %") errónea, sin referencia y contradicha por la propia guía</w:t>
      </w:r>
    </w:p>
    <w:p>
      <w:r>
        <w:rPr>
          <w:i/>
        </w:rPr>
        <w:t xml:space="preserve">Severidad final: </w:t>
      </w:r>
      <w:r>
        <w:rPr>
          <w:i/>
          <w:color w:val="ED7D31"/>
        </w:rPr>
        <w:t>🟠</w:t>
      </w:r>
      <w:r>
        <w:rPr>
          <w:i/>
        </w:rPr>
        <w:t xml:space="preserve"> ALTA · Tema T24: Cifras epidemiológicas y datos mal transcritos</w:t>
      </w:r>
    </w:p>
    <w:p>
      <w:pPr>
        <w:pStyle w:val="IntenseQuote"/>
      </w:pPr>
      <w:r>
        <w:rPr>
          <w:b/>
        </w:rPr>
        <w:t>Verificación independiente (CONFIRMADO):</w:t>
      </w:r>
      <w:r>
        <w:t xml:space="preserve"> Escribir «≈7-20 % a 30 días según el sistema sanitario (hasta ≈1/3 a 1 año)» y citar (1)-(3). El rango del 30-50 % se acerca a las tasas a 1 año, no a 30 días.</w:t>
      </w:r>
    </w:p>
    <w:p>
      <w:pPr>
        <w:pStyle w:val="ListBullet"/>
      </w:pPr>
      <w:r>
        <w:rPr>
          <w:b/>
        </w:rPr>
        <w:t>Tipo:</w:t>
      </w:r>
      <w:r>
        <w:t xml:space="preserve"> Error factual / Incongruencia interna</w:t>
      </w:r>
    </w:p>
    <w:p>
      <w:pPr>
        <w:pStyle w:val="ListBullet"/>
      </w:pPr>
      <w:r>
        <w:rPr>
          <w:b/>
        </w:rPr>
        <w:t>Severidad:</w:t>
      </w:r>
      <w:r>
        <w:t xml:space="preserve"> ALTA</w:t>
      </w:r>
    </w:p>
    <w:p>
      <w:pPr>
        <w:pStyle w:val="ListBullet"/>
      </w:pPr>
      <w:r>
        <w:rPr>
          <w:b/>
        </w:rPr>
        <w:t>Ubicación:</w:t>
      </w:r>
      <w:r>
        <w:t xml:space="preserve"> PDF 119 / impr. 108 — "Hospital discharge and follow-up".</w:t>
      </w:r>
    </w:p>
    <w:p>
      <w:pPr>
        <w:pStyle w:val="ListBullet"/>
      </w:pPr>
      <w:r>
        <w:rPr>
          <w:b/>
        </w:rPr>
        <w:t>Cita:</w:t>
      </w:r>
      <w:r>
        <w:t xml:space="preserve"> "Readmissions occur in 30%-50% of patients within 30 days of discharge after hospitalization for COPD exacerbation".</w:t>
      </w:r>
    </w:p>
    <w:p>
      <w:pPr>
        <w:pStyle w:val="ListBullet"/>
      </w:pPr>
      <w:r>
        <w:rPr>
          <w:b/>
        </w:rPr>
        <w:t>Problema:</w:t>
      </w:r>
    </w:p>
    <w:p>
      <w:pPr>
        <w:pStyle w:val="ListBullet2"/>
      </w:pPr>
      <w:r>
        <w:t>La frase no lleva referencia y sobrestima de 3 a 5 veces la tasa real.</w:t>
      </w:r>
    </w:p>
    <w:p>
      <w:pPr>
        <w:pStyle w:val="ListBullet2"/>
      </w:pPr>
      <w:r>
        <w:t>Contradice dos referencias que GOLD cita:</w:t>
      </w:r>
    </w:p>
    <w:p>
      <w:pPr>
        <w:pStyle w:val="ListBullet2"/>
      </w:pPr>
      <w:r>
        <w:t>El metaanálisis con datos individuales de Waeijen-Smit 2024 (ref. 991, citado en PDF 111; PMID 38410700): reingreso del 7,1 % a 30 días, 12,6 % a 90 días y 32,1 % a 1 año.</w:t>
      </w:r>
    </w:p>
    <w:p>
      <w:pPr>
        <w:pStyle w:val="ListBullet2"/>
      </w:pPr>
      <w:r>
        <w:t>Ruan 2023 (citado como ref. 1286 en el cap. 5; PMID 36528962): 11 % a 30 días y 37 % a 1 año.</w:t>
      </w:r>
    </w:p>
    <w:p>
      <w:pPr>
        <w:pStyle w:val="ListBullet2"/>
      </w:pPr>
      <w:r>
        <w:t>La cifra del 30-50 % corresponde aproximadamente al reingreso a 1 año.</w:t>
      </w:r>
    </w:p>
    <w:p>
      <w:pPr>
        <w:pStyle w:val="ListBullet2"/>
      </w:pPr>
      <w:r>
        <w:t>Este dato, en la primera línea de la sección de alta, distorsiona la planificación de recursos y la evaluación de programas de calidad.</w:t>
      </w:r>
    </w:p>
    <w:p>
      <w:pPr>
        <w:pStyle w:val="ListBullet"/>
      </w:pPr>
      <w:r>
        <w:rPr>
          <w:b/>
        </w:rPr>
        <w:t>Evidencia/justificación:</w:t>
      </w:r>
      <w:r>
        <w:t xml:space="preserve"> Refs. 991 y 1286 de la propia guía, verificadas en PubMed.</w:t>
      </w:r>
    </w:p>
    <w:p>
      <w:pPr>
        <w:pStyle w:val="ListBullet"/>
      </w:pPr>
      <w:r>
        <w:rPr>
          <w:b/>
        </w:rPr>
        <w:t>Recomendación:</w:t>
      </w:r>
      <w:r>
        <w:t xml:space="preserve"> Sustituir por "≈7-11 % a 30 días y ≈30-40 % al año (refs. 991, 1286)".</w:t>
      </w:r>
    </w:p>
    <w:p>
      <w:pPr>
        <w:pStyle w:val="ListBullet"/>
      </w:pPr>
      <w:r>
        <w:rPr>
          <w:b/>
        </w:rPr>
        <w:t>Confianza:</w:t>
      </w:r>
      <w:r>
        <w:t xml:space="preserve"> 5/5</w:t>
      </w:r>
    </w:p>
    <w:p>
      <w:pPr>
        <w:pStyle w:val="Heading4"/>
      </w:pPr>
      <w:r>
        <w:t>EQ-01 · La espirometría se presenta como "barata y disponible en cualquier entorno", en contradicción con el propio documento</w:t>
      </w:r>
    </w:p>
    <w:p>
      <w:r>
        <w:rPr>
          <w:i/>
        </w:rPr>
        <w:t xml:space="preserve">Severidad final: </w:t>
      </w:r>
      <w:r>
        <w:rPr>
          <w:i/>
          <w:color w:val="ED7D31"/>
        </w:rPr>
        <w:t>🟠</w:t>
      </w:r>
      <w:r>
        <w:rPr>
          <w:i/>
        </w:rPr>
        <w:t xml:space="preserve"> ALTA · Tema T25: Equidad, países de ingresos bajos y medios, atención primaria</w:t>
      </w:r>
    </w:p>
    <w:p>
      <w:pPr>
        <w:pStyle w:val="ListBullet"/>
      </w:pPr>
      <w:r>
        <w:rPr>
          <w:b/>
        </w:rPr>
        <w:t>Tipo:</w:t>
      </w:r>
      <w:r>
        <w:t xml:space="preserve"> Incongruencia interna</w:t>
      </w:r>
    </w:p>
    <w:p>
      <w:pPr>
        <w:pStyle w:val="ListBullet"/>
      </w:pPr>
      <w:r>
        <w:rPr>
          <w:b/>
        </w:rPr>
        <w:t>Severidad:</w:t>
      </w:r>
      <w:r>
        <w:t xml:space="preserve"> ALTA</w:t>
      </w:r>
    </w:p>
    <w:p>
      <w:pPr>
        <w:pStyle w:val="ListBullet"/>
      </w:pPr>
      <w:r>
        <w:rPr>
          <w:b/>
        </w:rPr>
        <w:t>Ubicación:</w:t>
      </w:r>
      <w:r>
        <w:t xml:space="preserve"> PDF 37 / impr. 26 — "Spirometry". Contrasta con PDF 13 / impr. 2 (Prefacio) y PDF 21 / impr. 10.</w:t>
      </w:r>
    </w:p>
    <w:p>
      <w:pPr>
        <w:pStyle w:val="ListBullet"/>
      </w:pPr>
      <w:r>
        <w:rPr>
          <w:b/>
        </w:rPr>
        <w:t>Cita:</w:t>
      </w:r>
      <w:r>
        <w:t xml:space="preserve"> "It is a noninvasive, reproducible, cheap, and readily available test. Good quality spirometric measurement is possible in any healthcare setting" (PDF 37). En cambio: "diagnostic spirometry services are not widely available" (PDF 13).</w:t>
      </w:r>
    </w:p>
    <w:p>
      <w:pPr>
        <w:pStyle w:val="ListBullet"/>
      </w:pPr>
      <w:r>
        <w:rPr>
          <w:b/>
        </w:rPr>
        <w:t>Problema:</w:t>
      </w:r>
      <w:r>
        <w:t xml:space="preserve"> El capítulo 2 presenta la espirometría como barata, disponible y realizable con calidad en cualquier entorno. El prefacio y el capítulo 1 reconocen que no está ampliamente disponible. Esta contradicción oculta una barrera estructural central para el diagnóstico en AP y en LMIC: coste del equipo, formación, control de calidad, calibración y ecuaciones de referencia. Además, legitima que las recomendaciones no ofrezcan alternativas.</w:t>
      </w:r>
    </w:p>
    <w:p>
      <w:pPr>
        <w:pStyle w:val="ListBullet"/>
      </w:pPr>
      <w:r>
        <w:rPr>
          <w:b/>
        </w:rPr>
        <w:t>Evidencia/justificación:</w:t>
      </w:r>
      <w:r>
        <w:t xml:space="preserve"> Las encuestas de capacidad de los países en enfermedades no transmisibles de la OMS (NCD Country Capacity Survey; informe de 2023, iris.who.int/handle/10665/381204) documentan brechas importantes en la disponibilidad de espirometría y medidores de flujo espiratorio máximo (PEF) en la AP pública de países de ingresos bajos. Ese es el motivo por el que WHO PEN (2020) basa su protocolo respiratorio en el PEF. El propio GOLD estima que hasta el 70 % de los casos de EPOC están sin diagnosticar.</w:t>
      </w:r>
    </w:p>
    <w:p>
      <w:pPr>
        <w:pStyle w:val="ListBullet"/>
      </w:pPr>
      <w:r>
        <w:rPr>
          <w:b/>
        </w:rPr>
        <w:t>Recomendación:</w:t>
      </w:r>
      <w:r>
        <w:t xml:space="preserve"> Sustituir la frase por una formulación honesta, por ejemplo: "es la prueba de referencia; su disponibilidad y calidad varían mucho entre sistemas sanitarios". Añadir requisitos mínimos de calidad para AP y una referencia cruzada a una vía alternativa para entornos sin espirometría (EQ-03).</w:t>
      </w:r>
    </w:p>
    <w:p>
      <w:pPr>
        <w:pStyle w:val="ListBullet"/>
      </w:pPr>
      <w:r>
        <w:rPr>
          <w:b/>
        </w:rPr>
        <w:t>Confianza:</w:t>
      </w:r>
      <w:r>
        <w:t xml:space="preserve"> 5/5</w:t>
      </w:r>
    </w:p>
    <w:p>
      <w:pPr>
        <w:pStyle w:val="Heading4"/>
      </w:pPr>
      <w:r>
        <w:t>EQ-03 · No hay una vía diagnóstica operativa para entornos sin espirometría</w:t>
      </w:r>
    </w:p>
    <w:p>
      <w:r>
        <w:rPr>
          <w:i/>
        </w:rPr>
        <w:t xml:space="preserve">Severidad final: </w:t>
      </w:r>
      <w:r>
        <w:rPr>
          <w:i/>
          <w:color w:val="ED7D31"/>
        </w:rPr>
        <w:t>🟠</w:t>
      </w:r>
      <w:r>
        <w:rPr>
          <w:i/>
        </w:rPr>
        <w:t xml:space="preserve"> ALTA · Tema T25: Equidad, países de ingresos bajos y medios, atención primaria</w:t>
      </w:r>
    </w:p>
    <w:p>
      <w:pPr>
        <w:pStyle w:val="ListBullet"/>
      </w:pPr>
      <w:r>
        <w:rPr>
          <w:b/>
        </w:rPr>
        <w:t>Tipo:</w:t>
      </w:r>
      <w:r>
        <w:t xml:space="preserve"> Omisión</w:t>
      </w:r>
    </w:p>
    <w:p>
      <w:pPr>
        <w:pStyle w:val="ListBullet"/>
      </w:pPr>
      <w:r>
        <w:rPr>
          <w:b/>
        </w:rPr>
        <w:t>Severidad:</w:t>
      </w:r>
      <w:r>
        <w:t xml:space="preserve"> ALTA</w:t>
      </w:r>
    </w:p>
    <w:p>
      <w:pPr>
        <w:pStyle w:val="ListBullet"/>
      </w:pPr>
      <w:r>
        <w:rPr>
          <w:b/>
        </w:rPr>
        <w:t>Ubicación:</w:t>
      </w:r>
      <w:r>
        <w:t xml:space="preserve"> PDF 43 / impr. 32 — "Case-finding / screening".</w:t>
      </w:r>
    </w:p>
    <w:p>
      <w:pPr>
        <w:pStyle w:val="ListBullet"/>
      </w:pPr>
      <w:r>
        <w:rPr>
          <w:b/>
        </w:rPr>
        <w:t>Cita:</w:t>
      </w:r>
      <w:r>
        <w:t xml:space="preserve"> "When routine spirometry is not available, home measurement of PEF combined with validated patient questionnaires could be used to support or refute a possible diagnosis of COPD."</w:t>
      </w:r>
    </w:p>
    <w:p>
      <w:pPr>
        <w:pStyle w:val="ListBullet"/>
      </w:pPr>
      <w:r>
        <w:rPr>
          <w:b/>
        </w:rPr>
        <w:t>Problema:</w:t>
      </w:r>
      <w:r>
        <w:t xml:space="preserve"> Esta es la única orientación para la mayoría de los centros de AP del mundo, y no es operativa:</w:t>
      </w:r>
    </w:p>
    <w:p>
      <w:pPr>
        <w:pStyle w:val="ListBullet2"/>
      </w:pPr>
      <w:r>
        <w:t>No define umbrales, número de mediciones ni combinación de herramientas.</w:t>
      </w:r>
    </w:p>
    <w:p>
      <w:pPr>
        <w:pStyle w:val="ListBullet2"/>
      </w:pPr>
      <w:r>
        <w:t>No aclara cómo etiquetar y tratar provisionalmente a la persona (por ejemplo, "EPOC probable").</w:t>
      </w:r>
    </w:p>
    <w:p>
      <w:pPr>
        <w:pStyle w:val="ListBullet2"/>
      </w:pPr>
      <w:r>
        <w:t>No dice cuándo y a dónde derivar.</w:t>
      </w:r>
    </w:p>
    <w:p>
      <w:pPr>
        <w:pStyle w:val="ListBullet2"/>
      </w:pPr>
      <w:r>
        <w:t>No integra el diagnóstico diferencial con asma y TB, que es crítico en LMIC.</w:t>
      </w:r>
    </w:p>
    <w:p>
      <w:pPr>
        <w:pStyle w:val="ListBullet"/>
      </w:pPr>
      <w:r>
        <w:rPr>
          <w:b/>
        </w:rPr>
        <w:t>Evidencia/justificación:</w:t>
      </w:r>
    </w:p>
    <w:p>
      <w:pPr>
        <w:pStyle w:val="ListBullet2"/>
      </w:pPr>
      <w:r>
        <w:t>WHO PEN (2020) ofrece un protocolo de AP basado en anamnesis y PEF para asma y EPOC.</w:t>
      </w:r>
    </w:p>
    <w:p>
      <w:pPr>
        <w:pStyle w:val="ListBullet2"/>
      </w:pPr>
      <w:r>
        <w:t>Siddharthan et al., JAMA 2022, PMID 35015039, evaluó cuestionarios (COPD-PS, CAPTURE) y PEF en Nepal, Perú y Uganda. Es precisamente la evidencia de LMIC que GOLD cita como ref. 377, pero con otro propósito (ver EQ-04).</w:t>
      </w:r>
    </w:p>
    <w:p>
      <w:pPr>
        <w:pStyle w:val="ListBullet2"/>
      </w:pPr>
      <w:r>
        <w:t>GINA dispone de orientaciones específicas para contextos con recursos limitados.</w:t>
      </w:r>
    </w:p>
    <w:p>
      <w:pPr>
        <w:pStyle w:val="ListBullet"/>
      </w:pPr>
      <w:r>
        <w:rPr>
          <w:b/>
        </w:rPr>
        <w:t>Recomendación:</w:t>
      </w:r>
      <w:r>
        <w:t xml:space="preserve"> Añadir un recuadro o figura "Diagnóstico de EPOC donde no hay espirometría" que incluya:</w:t>
      </w:r>
    </w:p>
    <w:p>
      <w:pPr>
        <w:pStyle w:val="ListBullet2"/>
      </w:pPr>
      <w:r>
        <w:t>Criterios clínicos y de exposición.</w:t>
      </w:r>
    </w:p>
    <w:p>
      <w:pPr>
        <w:pStyle w:val="ListBullet2"/>
      </w:pPr>
      <w:r>
        <w:t>Instrumento validado en LMIC (por ejemplo, CAPTURE + PEF) con su rendimiento.</w:t>
      </w:r>
    </w:p>
    <w:p>
      <w:pPr>
        <w:pStyle w:val="ListBullet2"/>
      </w:pPr>
      <w:r>
        <w:t>Etiqueta provisional de "EPOC probable", con tratamiento broncodilatador inicial con fármacos de la LME.</w:t>
      </w:r>
    </w:p>
    <w:p>
      <w:pPr>
        <w:pStyle w:val="ListBullet2"/>
      </w:pPr>
      <w:r>
        <w:t>Exclusión de TB.</w:t>
      </w:r>
    </w:p>
    <w:p>
      <w:pPr>
        <w:pStyle w:val="ListBullet2"/>
      </w:pPr>
      <w:r>
        <w:t>Criterios de derivación para confirmar cuando sea posible.</w:t>
      </w:r>
    </w:p>
    <w:p>
      <w:pPr>
        <w:pStyle w:val="ListBullet2"/>
      </w:pPr>
      <w:r>
        <w:t>Alineación con WHO PEN.</w:t>
      </w:r>
    </w:p>
    <w:p>
      <w:pPr>
        <w:pStyle w:val="ListBullet"/>
      </w:pPr>
      <w:r>
        <w:rPr>
          <w:b/>
        </w:rPr>
        <w:t>Confianza:</w:t>
      </w:r>
      <w:r>
        <w:t xml:space="preserve"> 4/5</w:t>
      </w:r>
    </w:p>
    <w:p>
      <w:pPr>
        <w:pStyle w:val="Heading4"/>
      </w:pPr>
      <w:r>
        <w:t>EQ-05 · No hay escalón terapéutico de bajo coste ni alineación con la Lista de Medicamentos Esenciales de la OMS</w:t>
      </w:r>
    </w:p>
    <w:p>
      <w:r>
        <w:rPr>
          <w:i/>
        </w:rPr>
        <w:t xml:space="preserve">Severidad final: </w:t>
      </w:r>
      <w:r>
        <w:rPr>
          <w:i/>
          <w:color w:val="ED7D31"/>
        </w:rPr>
        <w:t>🟠</w:t>
      </w:r>
      <w:r>
        <w:rPr>
          <w:i/>
        </w:rPr>
        <w:t xml:space="preserve"> ALTA · Tema T25: Equidad, países de ingresos bajos y medios, atención primaria</w:t>
      </w:r>
    </w:p>
    <w:p>
      <w:pPr>
        <w:pStyle w:val="ListBullet"/>
      </w:pPr>
      <w:r>
        <w:rPr>
          <w:b/>
        </w:rPr>
        <w:t>Tipo:</w:t>
      </w:r>
      <w:r>
        <w:t xml:space="preserve"> Omisión / Sesgo-Equidad</w:t>
      </w:r>
    </w:p>
    <w:p>
      <w:pPr>
        <w:pStyle w:val="ListBullet"/>
      </w:pPr>
      <w:r>
        <w:rPr>
          <w:b/>
        </w:rPr>
        <w:t>Severidad:</w:t>
      </w:r>
      <w:r>
        <w:t xml:space="preserve"> ALTA</w:t>
      </w:r>
    </w:p>
    <w:p>
      <w:pPr>
        <w:pStyle w:val="ListBullet"/>
      </w:pPr>
      <w:r>
        <w:rPr>
          <w:b/>
        </w:rPr>
        <w:t>Ubicación:</w:t>
      </w:r>
      <w:r>
        <w:t xml:space="preserve"> PDF 75 / impr. 64 — tratamiento inicial (grupos A, B y E). También PDF 72-73 / impr. 61-62 (figura 3.8).</w:t>
      </w:r>
    </w:p>
    <w:p>
      <w:pPr>
        <w:pStyle w:val="ListBullet"/>
      </w:pPr>
      <w:r>
        <w:rPr>
          <w:b/>
        </w:rPr>
        <w:t>Cita:</w:t>
      </w:r>
      <w:r>
        <w:t xml:space="preserve"> "If available and affordable a long-acting bronchodilator is the preferred choice…"; "providing there are no issues regarding availability, cost and side-effects LABA+LAMA is the recommended initial pharmacological choice."</w:t>
      </w:r>
    </w:p>
    <w:p>
      <w:pPr>
        <w:pStyle w:val="ListBullet"/>
      </w:pPr>
      <w:r>
        <w:rPr>
          <w:b/>
        </w:rPr>
        <w:t>Problema:</w:t>
      </w:r>
      <w:r>
        <w:t xml:space="preserve"> GOLD reconoce la barrera del coste con un simple condicional ("if available and affordable"), pero no dice qué hacer cuando la condición no se cumple, que es la situación habitual en buena parte de los LMIC. En el documento no aparece "Essential Medicines" salvo en el título de dos referencias. Tampoco hay orientación sobre:</w:t>
      </w:r>
    </w:p>
    <w:p>
      <w:pPr>
        <w:pStyle w:val="ListBullet2"/>
      </w:pPr>
      <w:r>
        <w:t>el uso de SAMA/SABA regulares (ipratropio, salbutamol) como opción mínima;</w:t>
      </w:r>
    </w:p>
    <w:p>
      <w:pPr>
        <w:pStyle w:val="ListBullet2"/>
      </w:pPr>
      <w:r>
        <w:t>la combinación de monocomponentes genéricos en lugar de inhaladores combinados de marca;</w:t>
      </w:r>
    </w:p>
    <w:p>
      <w:pPr>
        <w:pStyle w:val="ListBullet2"/>
      </w:pPr>
      <w:r>
        <w:t>el uso de budesonida-formoterol (presente en la LME) cuando está indicado un ICS;</w:t>
      </w:r>
    </w:p>
    <w:p>
      <w:pPr>
        <w:pStyle w:val="ListBullet2"/>
      </w:pPr>
      <w:r>
        <w:t>las cámaras espaciadoras de bajo coste. Para quien no puede usar otros dispositivos, solo se propone el nebulizador, que requiere electricidad y mantenimiento.</w:t>
      </w:r>
    </w:p>
    <w:p>
      <w:pPr>
        <w:pStyle w:val="ListBullet"/>
      </w:pPr>
      <w:r>
        <w:rPr>
          <w:b/>
        </w:rPr>
        <w:t>Evidencia/justificación:</w:t>
      </w:r>
    </w:p>
    <w:p>
      <w:pPr>
        <w:pStyle w:val="ListBullet2"/>
      </w:pPr>
      <w:r>
        <w:t>La LME 2023 de la OMS (23.ª lista) incluye salbutamol, ipratropio, budesonida y budesonida-formoterol, y añadió tiotropio. Que sepamos, no incluye combinaciones LABA+LAMA ni terapia triple.</w:t>
      </w:r>
    </w:p>
    <w:p>
      <w:pPr>
        <w:pStyle w:val="ListBullet2"/>
      </w:pPr>
      <w:r>
        <w:t>Stolbrink et al. (ref. 102, citada en PDF 21) documenta la escasa disponibilidad y asequibilidad de los inhaladores en LMIC.</w:t>
      </w:r>
    </w:p>
    <w:p>
      <w:pPr>
        <w:pStyle w:val="ListBullet2"/>
      </w:pPr>
      <w:r>
        <w:t>Las cámaras espaciadoras caseras de botella de plástico mostraron una eficacia equivalente en niños con asma aguda (Zar HJ et al., Lancet 1999;354:979-82, PMID 10501359). La evidencia en adultos con EPOC es limitada.</w:t>
      </w:r>
    </w:p>
    <w:p>
      <w:pPr>
        <w:pStyle w:val="ListBullet"/>
      </w:pPr>
      <w:r>
        <w:rPr>
          <w:b/>
        </w:rPr>
        <w:t>Recomendación:</w:t>
      </w:r>
      <w:r>
        <w:t xml:space="preserve"> Añadir una tabla de tratamiento por niveles de recursos (esencial / ampliado / óptimo):</w:t>
      </w:r>
    </w:p>
    <w:p>
      <w:pPr>
        <w:pStyle w:val="ListBullet2"/>
      </w:pPr>
      <w:r>
        <w:rPr>
          <w:b/>
        </w:rPr>
        <w:t>Esencial:</w:t>
      </w:r>
      <w:r>
        <w:t xml:space="preserve"> SABA o SAMA a demanda o pautados, tiotropio de la LME, budesonida-formoterol si hay asma o exacerbaciones con eosinófilos elevados, cámara espaciadora (comercial o casera), además de vacunación, cesación tabáquica y rehabilitación comunitaria.</w:t>
      </w:r>
    </w:p>
    <w:p>
      <w:pPr>
        <w:pStyle w:val="ListBullet2"/>
      </w:pPr>
      <w:r>
        <w:t>Marcar en las figuras 3.8, 3.9 y A3.1 qué fármacos están en la LME.</w:t>
      </w:r>
    </w:p>
    <w:p>
      <w:pPr>
        <w:pStyle w:val="ListBullet2"/>
      </w:pPr>
      <w:r>
        <w:t>Promover que GOLD presente solicitudes formales de inclusión en la LME.</w:t>
      </w:r>
    </w:p>
    <w:p>
      <w:pPr>
        <w:pStyle w:val="ListBullet"/>
      </w:pPr>
      <w:r>
        <w:rPr>
          <w:b/>
        </w:rPr>
        <w:t>Confianza:</w:t>
      </w:r>
      <w:r>
        <w:t xml:space="preserve"> 4/5</w:t>
      </w:r>
    </w:p>
    <w:p>
      <w:pPr>
        <w:pStyle w:val="Heading4"/>
      </w:pPr>
      <w:r>
        <w:t>EQ-08 · Sexo y género: se omite el sesgo diagnóstico en mujeres y no se relacionan biomasa y mujeres en LMIC</w:t>
      </w:r>
    </w:p>
    <w:p>
      <w:r>
        <w:rPr>
          <w:i/>
        </w:rPr>
        <w:t xml:space="preserve">Severidad final: </w:t>
      </w:r>
      <w:r>
        <w:rPr>
          <w:i/>
          <w:color w:val="ED7D31"/>
        </w:rPr>
        <w:t>🟠</w:t>
      </w:r>
      <w:r>
        <w:rPr>
          <w:i/>
        </w:rPr>
        <w:t xml:space="preserve"> ALTA · Tema T25: Equidad, países de ingresos bajos y medios, atención primaria</w:t>
      </w:r>
    </w:p>
    <w:p>
      <w:pPr>
        <w:pStyle w:val="ListBullet"/>
      </w:pPr>
      <w:r>
        <w:rPr>
          <w:b/>
        </w:rPr>
        <w:t>Tipo:</w:t>
      </w:r>
      <w:r>
        <w:t xml:space="preserve"> Omisión / Sesgo-Equidad</w:t>
      </w:r>
    </w:p>
    <w:p>
      <w:pPr>
        <w:pStyle w:val="ListBullet"/>
      </w:pPr>
      <w:r>
        <w:rPr>
          <w:b/>
        </w:rPr>
        <w:t>Severidad:</w:t>
      </w:r>
      <w:r>
        <w:t xml:space="preserve"> ALTA</w:t>
      </w:r>
    </w:p>
    <w:p>
      <w:pPr>
        <w:pStyle w:val="ListBullet"/>
      </w:pPr>
      <w:r>
        <w:rPr>
          <w:b/>
        </w:rPr>
        <w:t>Ubicación:</w:t>
      </w:r>
      <w:r>
        <w:t xml:space="preserve"> PDF 27 / impr. 16 — "Sex". Contrasta con PDF 19 / impr. 8 y PDF 20 / impr. 9.</w:t>
      </w:r>
    </w:p>
    <w:p>
      <w:pPr>
        <w:pStyle w:val="ListBullet"/>
      </w:pPr>
      <w:r>
        <w:rPr>
          <w:b/>
        </w:rPr>
        <w:t>Cita:</w:t>
      </w:r>
      <w:r>
        <w:t xml:space="preserve"> "later data from developed countries has shown that the prevalence of COPD is almost equal in males and females, probably reflecting the changing patterns of tobacco smoking.(222)"</w:t>
      </w:r>
    </w:p>
    <w:p>
      <w:pPr>
        <w:pStyle w:val="ListBullet"/>
      </w:pPr>
      <w:r>
        <w:rPr>
          <w:b/>
        </w:rPr>
        <w:t>Problema:</w:t>
      </w:r>
    </w:p>
    <w:p>
      <w:pPr>
        <w:pStyle w:val="ListNumber"/>
        <w:numPr>
          <w:ilvl w:val="0"/>
          <w:numId w:val="30"/>
        </w:numPr>
      </w:pPr>
      <w:r>
        <w:rPr>
          <w:b/>
        </w:rPr>
        <w:t>Sesgo diagnóstico ausente.</w:t>
      </w:r>
      <w:r>
        <w:t xml:space="preserve"> La sección no menciona el sesgo diagnóstico de género bien documentado: ante el mismo cuadro clínico, a las mujeres se les diagnostica EPOC con menos frecuencia y más tarde, y se les hace menos espirometría. Es una causa modificable de infradiagnóstico y de inequidad.</w:t>
      </w:r>
    </w:p>
    <w:p>
      <w:pPr>
        <w:pStyle w:val="ListNumber"/>
        <w:numPr>
          <w:ilvl w:val="0"/>
          <w:numId w:val="30"/>
        </w:numPr>
      </w:pPr>
      <w:r>
        <w:rPr>
          <w:b/>
        </w:rPr>
        <w:t>Perspectiva solo de HIC.</w:t>
      </w:r>
      <w:r>
        <w:t xml:space="preserve"> Explica la igualación de la prevalencia únicamente por el tabaquismo en "developed countries". No vincula la mayor exposición de las mujeres a la biomasa doméstica en LMIC con su riesgo de EPOC, aunque la ref. 30 (Sana 2018, metaanálisis sobre biomasa) está en la bibliografía.</w:t>
      </w:r>
    </w:p>
    <w:p>
      <w:pPr>
        <w:pStyle w:val="ListNumber"/>
        <w:numPr>
          <w:ilvl w:val="0"/>
          <w:numId w:val="30"/>
        </w:numPr>
      </w:pPr>
      <w:r>
        <w:rPr>
          <w:b/>
        </w:rPr>
        <w:t>Datos no conciliados.</w:t>
      </w:r>
      <w:r>
        <w:t xml:space="preserve"> La prevalencia en hombres es más del doble que en mujeres (14,1 % frente a 6,5 %; PDF 19) y es mayor "in men compared to women" (PDF 20). El texto habla de prevalencias casi iguales (PDF 27) y se proyecta un aumento mayor en mujeres (PDF 19). Las cifras no se reconcilian entre sí.</w:t>
      </w:r>
    </w:p>
    <w:p>
      <w:pPr>
        <w:pStyle w:val="ListNumber"/>
        <w:numPr>
          <w:ilvl w:val="0"/>
          <w:numId w:val="30"/>
        </w:numPr>
      </w:pPr>
      <w:r>
        <w:rPr>
          <w:b/>
        </w:rPr>
        <w:t>Fuente débil.</w:t>
      </w:r>
      <w:r>
        <w:t xml:space="preserve"> La afirmación se apoya en una encuesta telefónica sin espirometría (ref. 222, Landis 2014).</w:t>
      </w:r>
    </w:p>
    <w:p>
      <w:pPr>
        <w:pStyle w:val="ListBullet"/>
      </w:pPr>
      <w:r>
        <w:rPr>
          <w:b/>
        </w:rPr>
        <w:t>Evidencia/justificación:</w:t>
      </w:r>
    </w:p>
    <w:p>
      <w:pPr>
        <w:pStyle w:val="ListBullet2"/>
      </w:pPr>
      <w:r>
        <w:t>Chapman KR, Tashkin DP, Pye DJ. Chest 2001;119:1691-5, PMID 11399692. Con casos clínicos idénticos, el diagnóstico de EPOC fue significativamente más frecuente en hombres; la disponibilidad de espirometría redujo el sesgo.</w:t>
      </w:r>
    </w:p>
    <w:p>
      <w:pPr>
        <w:pStyle w:val="ListBullet2"/>
      </w:pPr>
      <w:r>
        <w:t>Sana A et al. (ref. 30): asociación entre biomasa y EPOC, especialmente en mujeres.</w:t>
      </w:r>
    </w:p>
    <w:p>
      <w:pPr>
        <w:pStyle w:val="ListBullet"/>
      </w:pPr>
      <w:r>
        <w:rPr>
          <w:b/>
        </w:rPr>
        <w:t>Recomendación:</w:t>
      </w:r>
    </w:p>
    <w:p>
      <w:pPr>
        <w:pStyle w:val="ListBullet2"/>
      </w:pPr>
      <w:r>
        <w:t>Reescribir la sección como "Sexo y género", con datos globales y no solo de HIC.</w:t>
      </w:r>
    </w:p>
    <w:p>
      <w:pPr>
        <w:pStyle w:val="ListBullet2"/>
      </w:pPr>
      <w:r>
        <w:t>Incluir el sesgo diagnóstico, con la recomendación explícita de hacer espirometría con el mismo umbral clínico en mujeres.</w:t>
      </w:r>
    </w:p>
    <w:p>
      <w:pPr>
        <w:pStyle w:val="ListBullet2"/>
      </w:pPr>
      <w:r>
        <w:t>Incorporar la biomasa como exposición de género.</w:t>
      </w:r>
    </w:p>
    <w:p>
      <w:pPr>
        <w:pStyle w:val="ListBullet2"/>
      </w:pPr>
      <w:r>
        <w:t>Aplicar las directrices SAGER: desagregar por sexo los resultados clave de eficacia y seguridad cuando existan.</w:t>
      </w:r>
    </w:p>
    <w:p>
      <w:pPr>
        <w:pStyle w:val="ListBullet"/>
      </w:pPr>
      <w:r>
        <w:rPr>
          <w:b/>
        </w:rPr>
        <w:t>Confianza:</w:t>
      </w:r>
      <w:r>
        <w:t xml:space="preserve"> 4/5</w:t>
      </w:r>
    </w:p>
    <w:p>
      <w:pPr>
        <w:pStyle w:val="Heading4"/>
      </w:pPr>
      <w:r>
        <w:t>EQ-20 · Sostenibilidad de los inhaladores: no se menciona la transición a propelentes de bajo PCG y la única fuente tiene conflicto de interés</w:t>
      </w:r>
    </w:p>
    <w:p>
      <w:r>
        <w:rPr>
          <w:i/>
        </w:rPr>
        <w:t xml:space="preserve">Severidad final: </w:t>
      </w:r>
      <w:r>
        <w:rPr>
          <w:i/>
          <w:color w:val="ED7D31"/>
        </w:rPr>
        <w:t>🟠</w:t>
      </w:r>
      <w:r>
        <w:rPr>
          <w:i/>
        </w:rPr>
        <w:t xml:space="preserve"> ALTA · Tema T26: Sostenibilidad ambiental de los inhaladores</w:t>
      </w:r>
    </w:p>
    <w:p>
      <w:pPr>
        <w:pStyle w:val="ListBullet"/>
      </w:pPr>
      <w:r>
        <w:rPr>
          <w:b/>
        </w:rPr>
        <w:t>Tipo:</w:t>
      </w:r>
      <w:r>
        <w:t xml:space="preserve"> Desactualización / Omisión</w:t>
      </w:r>
    </w:p>
    <w:p>
      <w:pPr>
        <w:pStyle w:val="ListBullet"/>
      </w:pPr>
      <w:r>
        <w:rPr>
          <w:b/>
        </w:rPr>
        <w:t>Severidad:</w:t>
      </w:r>
      <w:r>
        <w:t xml:space="preserve"> ALTA</w:t>
      </w:r>
    </w:p>
    <w:p>
      <w:pPr>
        <w:pStyle w:val="ListBullet"/>
      </w:pPr>
      <w:r>
        <w:rPr>
          <w:b/>
        </w:rPr>
        <w:t>Ubicación:</w:t>
      </w:r>
    </w:p>
    <w:p>
      <w:pPr>
        <w:pStyle w:val="ListBullet2"/>
      </w:pPr>
      <w:r>
        <w:t>PDF 68 / impr. 57 (clima).</w:t>
      </w:r>
    </w:p>
    <w:p>
      <w:pPr>
        <w:pStyle w:val="ListBullet2"/>
      </w:pPr>
      <w:r>
        <w:t>PDF 81 / impr. 70 (dispositivos).</w:t>
      </w:r>
    </w:p>
    <w:p>
      <w:pPr>
        <w:pStyle w:val="ListBullet2"/>
      </w:pPr>
      <w:r>
        <w:t>PDF 83 / impr. 72 (figura 3.14).</w:t>
      </w:r>
    </w:p>
    <w:p>
      <w:pPr>
        <w:pStyle w:val="ListBullet"/>
      </w:pPr>
      <w:r>
        <w:rPr>
          <w:b/>
        </w:rPr>
        <w:t>Cita:</w:t>
      </w:r>
      <w:r>
        <w:t xml:space="preserve"> "Selection and correct use and disposal of inhalers by patients can have important implications for global warming and climate change." (PDF 68)</w:t>
      </w:r>
    </w:p>
    <w:p>
      <w:pPr>
        <w:pStyle w:val="ListBullet"/>
      </w:pPr>
      <w:r>
        <w:rPr>
          <w:b/>
        </w:rPr>
        <w:t>Problema:</w:t>
      </w:r>
    </w:p>
    <w:p>
      <w:pPr>
        <w:pStyle w:val="ListBullet2"/>
      </w:pPr>
      <w:r>
        <w:t>El texto sobre la huella de carbono es genérico y se apoya en una única referencia (ref. 702, Pernigotti 2021, con cuatro coautores de Chiesi).</w:t>
      </w:r>
    </w:p>
    <w:p>
      <w:pPr>
        <w:pStyle w:val="ListBullet2"/>
      </w:pPr>
      <w:r>
        <w:t>No se mencionan los hechos regulatorios y tecnológicos de 2024-2025:</w:t>
      </w:r>
    </w:p>
    <w:p>
      <w:pPr>
        <w:pStyle w:val="ListBullet2"/>
      </w:pPr>
      <w:r>
        <w:t>el Reglamento (UE) 2024/573 sobre gases fluorados y la reducción progresiva de los HFC según la Enmienda de Kigali;</w:t>
      </w:r>
    </w:p>
    <w:p>
      <w:pPr>
        <w:pStyle w:val="ListBullet2"/>
      </w:pPr>
      <w:r>
        <w:t>los propelentes de bajo PCG: HFA-152a (PCG ≈ 120-140) y HFO-1234ze (PCG &lt; 1), frente a HFA-134a (≈ 1.300-1.430) y HFA-227ea (≈ 3.200-3.350);</w:t>
      </w:r>
    </w:p>
    <w:p>
      <w:pPr>
        <w:pStyle w:val="ListBullet2"/>
      </w:pPr>
      <w:r>
        <w:t>la aprobación por la MHRA en 2025 de la formulación de budesonida/glicopirronio/formoterol con HFO-1234ze, con opinión positiva posterior de la EMA, y otras formulaciones con HFA-152a presentadas a los reguladores.</w:t>
      </w:r>
    </w:p>
    <w:p>
      <w:pPr>
        <w:pStyle w:val="ListBullet2"/>
      </w:pPr>
      <w:r>
        <w:t>La figura 3.14 (principios para elegir el dispositivo) no incluye el impacto ambiental entre sus criterios.</w:t>
      </w:r>
    </w:p>
    <w:p>
      <w:pPr>
        <w:pStyle w:val="ListBullet2"/>
      </w:pPr>
      <w:r>
        <w:t>No hay orientación práctica: preferir DPI o SMI cuando sean clínicamente adecuados y la persona pueda usarlos, preferir pMDI de bajo PCG cuando existan, evitar el uso excesivo de SABA en pMDI, y la devolución y el reciclaje.</w:t>
      </w:r>
    </w:p>
    <w:p>
      <w:pPr>
        <w:pStyle w:val="ListBullet"/>
      </w:pPr>
      <w:r>
        <w:rPr>
          <w:b/>
        </w:rPr>
        <w:t>Evidencia/justificación:</w:t>
      </w:r>
      <w:r>
        <w:t xml:space="preserve"> Comunicados regulatorios de MHRA y EMA (2025) verificados en búsqueda web y Reglamento (UE) 2024/573. Los pMDI con HFC son la principal fuente de emisiones atribuibles a la atención respiratoria en varios sistemas (NHS). </w:t>
      </w:r>
      <w:r>
        <w:rPr>
          <w:i/>
        </w:rPr>
        <w:t>Punto debatible:</w:t>
      </w:r>
      <w:r>
        <w:t xml:space="preserve"> los calendarios exactos de comercialización varían según el país.</w:t>
      </w:r>
    </w:p>
    <w:p>
      <w:pPr>
        <w:pStyle w:val="ListBullet"/>
      </w:pPr>
      <w:r>
        <w:rPr>
          <w:b/>
        </w:rPr>
        <w:t>Recomendación:</w:t>
      </w:r>
    </w:p>
    <w:p>
      <w:pPr>
        <w:pStyle w:val="ListBullet2"/>
      </w:pPr>
      <w:r>
        <w:t>Añadir una subsección "Inhaladores y sostenibilidad" con la transición a propelentes de bajo PCG.</w:t>
      </w:r>
    </w:p>
    <w:p>
      <w:pPr>
        <w:pStyle w:val="ListBullet2"/>
      </w:pPr>
      <w:r>
        <w:t>Añadir "impacto ambiental" como criterio en la figura 3.14, subordinado a la eficacia y a la capacidad de uso.</w:t>
      </w:r>
    </w:p>
    <w:p>
      <w:pPr>
        <w:pStyle w:val="ListBullet2"/>
      </w:pPr>
      <w:r>
        <w:t>Ampliar las referencias con fuentes independientes.</w:t>
      </w:r>
    </w:p>
    <w:p>
      <w:pPr>
        <w:pStyle w:val="ListBullet2"/>
      </w:pPr>
      <w:r>
        <w:t>Advertir del riesgo de que los nuevos propelentes encarezcan los inhaladores en LMIC.</w:t>
      </w:r>
    </w:p>
    <w:p>
      <w:pPr>
        <w:pStyle w:val="ListBullet"/>
      </w:pPr>
      <w:r>
        <w:rPr>
          <w:b/>
        </w:rPr>
        <w:t>Confianza:</w:t>
      </w:r>
      <w:r>
        <w:t xml:space="preserve"> 4/5</w:t>
      </w:r>
    </w:p>
    <w:p>
      <w:pPr>
        <w:pStyle w:val="Heading4"/>
      </w:pPr>
      <w:r>
        <w:t>REH-16 · Autogestión: señales de daño infravaloradas y planes de acción sin salvaguardas</w:t>
      </w:r>
    </w:p>
    <w:p>
      <w:r>
        <w:rPr>
          <w:i/>
        </w:rPr>
        <w:t xml:space="preserve">Severidad final: </w:t>
      </w:r>
      <w:r>
        <w:rPr>
          <w:i/>
          <w:color w:val="ED7D31"/>
        </w:rPr>
        <w:t>🟠</w:t>
      </w:r>
      <w:r>
        <w:rPr>
          <w:i/>
        </w:rPr>
        <w:t xml:space="preserve"> ALTA · Tema T28: Rehabilitación, autogestión y algoritmos no farmacológicos</w:t>
      </w:r>
    </w:p>
    <w:p>
      <w:pPr>
        <w:pStyle w:val="ListBullet"/>
      </w:pPr>
      <w:r>
        <w:rPr>
          <w:b/>
        </w:rPr>
        <w:t>Tipo:</w:t>
      </w:r>
      <w:r>
        <w:t xml:space="preserve"> Evidencia mal representada / Omisión</w:t>
      </w:r>
    </w:p>
    <w:p>
      <w:pPr>
        <w:pStyle w:val="ListBullet"/>
      </w:pPr>
      <w:r>
        <w:rPr>
          <w:b/>
        </w:rPr>
        <w:t>Severidad:</w:t>
      </w:r>
      <w:r>
        <w:t xml:space="preserve"> ALTA</w:t>
      </w:r>
    </w:p>
    <w:p>
      <w:pPr>
        <w:pStyle w:val="ListBullet"/>
      </w:pPr>
      <w:r>
        <w:rPr>
          <w:b/>
        </w:rPr>
        <w:t>Ubicación:</w:t>
      </w:r>
      <w:r>
        <w:t xml:space="preserve"> PDF 169 / impr. 158 — Apéndice 4, «Self-management»; Figura A4.1 (PDF 172); Figura 3.16 (PDF 85 / impr. 74).</w:t>
      </w:r>
    </w:p>
    <w:p>
      <w:pPr>
        <w:pStyle w:val="ListBullet"/>
      </w:pPr>
      <w:r>
        <w:rPr>
          <w:b/>
        </w:rPr>
        <w:t>Cita:</w:t>
      </w:r>
      <w:r>
        <w:t xml:space="preserve"> «This strengthens the view that self-management interventions are unlikely to cause harm. There had previously been concerns that health benefits… could be counterbalanced by increased mortality.(1675,1676)». Figura A4.1: «Self-management intervention… decreases hospitalizations and emergency department visits (Evidence B)».</w:t>
      </w:r>
    </w:p>
    <w:p>
      <w:pPr>
        <w:pStyle w:val="ListBullet"/>
      </w:pPr>
      <w:r>
        <w:rPr>
          <w:b/>
        </w:rPr>
        <w:t>Problema:</w:t>
      </w:r>
    </w:p>
    <w:p>
      <w:pPr>
        <w:pStyle w:val="ListBullet2"/>
      </w:pPr>
      <w:r>
        <w:t>El ensayo de Fan 2012 (ref. 1675) se reduce a «concerns», sin decir que fue un ECA detenido precozmente por exceso de mortalidad.</w:t>
      </w:r>
    </w:p>
    <w:p>
      <w:pPr>
        <w:pStyle w:val="ListBullet2"/>
      </w:pPr>
      <w:r>
        <w:t>La conclusión «unlikely to cause harm» se repite dos veces.</w:t>
      </w:r>
    </w:p>
    <w:p>
      <w:pPr>
        <w:pStyle w:val="ListBullet2"/>
      </w:pPr>
      <w:r>
        <w:t>El ECA BREATHE (Aboumatar 2019), en pacientes recién dados de alta, mostró casi el doble de eventos agudos, y esa advertencia no aparece en la Figura A4.1 ni en la Figura 3.16.</w:t>
      </w:r>
    </w:p>
    <w:p>
      <w:pPr>
        <w:pStyle w:val="ListBullet2"/>
      </w:pPr>
      <w:r>
        <w:t>La Figura 3.16 recomienda planes de acción escritos sin ninguno de sus componentes de seguridad:</w:t>
      </w:r>
    </w:p>
    <w:p>
      <w:pPr>
        <w:pStyle w:val="ListBullet2"/>
      </w:pPr>
      <w:r>
        <w:t>contacto con un profesional (</w:t>
      </w:r>
      <w:r>
        <w:rPr>
          <w:i/>
        </w:rPr>
        <w:t>case manager</w:t>
      </w:r>
      <w:r>
        <w:t>) al activar el plan;</w:t>
      </w:r>
    </w:p>
    <w:p>
      <w:pPr>
        <w:pStyle w:val="ListBullet2"/>
      </w:pPr>
      <w:r>
        <w:t>criterios de alarma por comorbilidad cardiaca;</w:t>
      </w:r>
    </w:p>
    <w:p>
      <w:pPr>
        <w:pStyle w:val="ListBullet2"/>
      </w:pPr>
      <w:r>
        <w:t>seguimiento del uso de corticoides o antibióticos de reserva;</w:t>
      </w:r>
    </w:p>
    <w:p>
      <w:pPr>
        <w:pStyle w:val="ListBullet2"/>
      </w:pPr>
      <w:r>
        <w:t>mayor precaución en pacientes frágiles o recién dados de alta.</w:t>
      </w:r>
    </w:p>
    <w:p>
      <w:pPr>
        <w:pStyle w:val="ListBullet"/>
      </w:pPr>
      <w:r>
        <w:rPr>
          <w:b/>
        </w:rPr>
        <w:t>Evidencia/justificación:</w:t>
      </w:r>
    </w:p>
    <w:p>
      <w:pPr>
        <w:pStyle w:val="ListBullet2"/>
      </w:pPr>
      <w:r>
        <w:t>Fan VS et al., Ann Intern Med 2012;156:673-683 (doi:10.7326/0003-4819-156-10-201205150-00003): ensayo VA detenido por mayor mortalidad en el grupo de intervención (28 frente a 10 muertes).</w:t>
      </w:r>
    </w:p>
    <w:p>
      <w:pPr>
        <w:pStyle w:val="ListBullet2"/>
      </w:pPr>
      <w:r>
        <w:t>Aboumatar H et al., JAMA 2019;322:1371-1380 (doi:10.1001/jama.2019.11982).</w:t>
      </w:r>
    </w:p>
    <w:p>
      <w:pPr>
        <w:pStyle w:val="ListBullet2"/>
      </w:pPr>
      <w:r>
        <w:t>Lenferink A et al., Cochrane 2017;CD011682: los planes de acción reducen los ingresos, con una señal de mayor mortalidad respiratoria de interpretación incierta.</w:t>
      </w:r>
    </w:p>
    <w:p>
      <w:pPr>
        <w:pStyle w:val="ListBullet2"/>
      </w:pPr>
      <w:r>
        <w:t>Schrijver J et al., Cochrane 2022 (ref. 1437): sin exceso de mortalidad.</w:t>
      </w:r>
    </w:p>
    <w:p>
      <w:pPr>
        <w:pStyle w:val="ListBullet"/>
      </w:pPr>
      <w:r>
        <w:rPr>
          <w:b/>
        </w:rPr>
        <w:t>Recomendación:</w:t>
      </w:r>
      <w:r>
        <w:t xml:space="preserve"> Describir con precisión Fan 2012 y BREATHE. Matizar la Figura A4.1 («…cuando se acompaña de contacto estructurado con un profesional; precaución tras el alta reciente y en la multimorbilidad cardiaca») y añadir a la Figura 3.16 los elementos mínimos de seguridad del plan de acción (contacto con un profesional al activarlo, síntomas de alarma, revisión del uso de la medicación de reserva).</w:t>
      </w:r>
    </w:p>
    <w:p>
      <w:pPr>
        <w:pStyle w:val="ListBullet"/>
      </w:pPr>
      <w:r>
        <w:rPr>
          <w:b/>
        </w:rPr>
        <w:t>Confianza:</w:t>
      </w:r>
      <w:r>
        <w:t xml:space="preserve"> 4/5</w:t>
      </w:r>
    </w:p>
    <w:p>
      <w:pPr>
        <w:pStyle w:val="Heading3"/>
      </w:pPr>
      <w:r>
        <w:rPr>
          <w:color w:val="FFC000"/>
        </w:rPr>
        <w:t>🟡</w:t>
      </w:r>
      <w:r>
        <w:t xml:space="preserve"> Hallazgos de severidad media (162)</w:t>
      </w:r>
    </w:p>
    <w:p>
      <w:pPr>
        <w:pStyle w:val="Heading4"/>
      </w:pPr>
      <w:r>
        <w:t>REH-07 · Figura 3.18: titulación a SaO2 ≥ 90 % sin advertencia sobre retención de CO2</w:t>
      </w:r>
    </w:p>
    <w:p>
      <w:r>
        <w:rPr>
          <w:i/>
        </w:rPr>
        <w:t xml:space="preserve">Severidad final: </w:t>
      </w:r>
      <w:r>
        <w:rPr>
          <w:i/>
          <w:color w:val="FFC000"/>
        </w:rPr>
        <w:t>🟡</w:t>
      </w:r>
      <w:r>
        <w:rPr>
          <w:i/>
        </w:rPr>
        <w:t xml:space="preserve"> MEDIA · Tema T01: Oxigenoterapia en la exacerbación y umbrales de SpO2</w:t>
      </w:r>
    </w:p>
    <w:p>
      <w:pPr>
        <w:pStyle w:val="ListBullet"/>
      </w:pPr>
      <w:r>
        <w:rPr>
          <w:b/>
        </w:rPr>
        <w:t>Tipo:</w:t>
      </w:r>
      <w:r>
        <w:t xml:space="preserve"> Omisión / Ambigüedad</w:t>
      </w:r>
    </w:p>
    <w:p>
      <w:pPr>
        <w:pStyle w:val="ListBullet"/>
      </w:pPr>
      <w:r>
        <w:rPr>
          <w:b/>
        </w:rPr>
        <w:t>Severidad:</w:t>
      </w:r>
      <w:r>
        <w:t xml:space="preserve"> MEDIA</w:t>
      </w:r>
    </w:p>
    <w:p>
      <w:pPr>
        <w:pStyle w:val="ListBullet"/>
      </w:pPr>
      <w:r>
        <w:rPr>
          <w:b/>
        </w:rPr>
        <w:t>Ubicación:</w:t>
      </w:r>
      <w:r>
        <w:t xml:space="preserve"> PDF 89 / impr. 78 — Figura 3.18; PDF 88 / impr. 77 — texto de reevaluación.</w:t>
      </w:r>
    </w:p>
    <w:p>
      <w:pPr>
        <w:pStyle w:val="ListBullet"/>
      </w:pPr>
      <w:r>
        <w:rPr>
          <w:b/>
        </w:rPr>
        <w:t>Cita:</w:t>
      </w:r>
      <w:r>
        <w:t xml:space="preserve"> «Prescribe supplemental oxygen and titrate to keep SaO2 ≥ 90%».</w:t>
      </w:r>
    </w:p>
    <w:p>
      <w:pPr>
        <w:pStyle w:val="ListBullet"/>
      </w:pPr>
      <w:r>
        <w:rPr>
          <w:b/>
        </w:rPr>
        <w:t>Problema:</w:t>
      </w:r>
      <w:r>
        <w:t xml:space="preserve"> El algoritmo no indica cómo titular (en reposo, durante el sueño o con esfuerzo), ni que en pacientes hipercápnicos debe comprobarse la PaCO2 y el pH tras la titulación. Tampoco remite a la VMNI cuando la oxigenoterapia empeora la hipercapnia. Falta, por último, el objetivo de PaO2 (≥ 60 mmHg / 8 kPa) habitual en otras guías.</w:t>
      </w:r>
    </w:p>
    <w:p>
      <w:pPr>
        <w:pStyle w:val="ListBullet"/>
      </w:pPr>
      <w:r>
        <w:rPr>
          <w:b/>
        </w:rPr>
        <w:t>Evidencia/justificación:</w:t>
      </w:r>
      <w:r>
        <w:t xml:space="preserve"> Hardinge 2015 (BTS): objetivo PaO2 ≥ 8 kPa y SpO2 ≥ 90 % en reposo, con gasometría tras la titulación; si aumenta la PaCO2 con acidosis, valorar VMNI. En el cap. 4 (manejo agudo) GOLD sí usa el objetivo de 88-92 %, lo que hace aún más necesaria la advertencia en el ámbito crónico.</w:t>
      </w:r>
    </w:p>
    <w:p>
      <w:pPr>
        <w:pStyle w:val="ListBullet"/>
      </w:pPr>
      <w:r>
        <w:rPr>
          <w:b/>
        </w:rPr>
        <w:t>Recomendación:</w:t>
      </w:r>
      <w:r>
        <w:t xml:space="preserve"> Añadir a la Figura 3.18 una casilla: «titular en reposo con gasometría de control (PaO2 ≥ 60 mmHg sin aumento de PaCO2 &gt; 1 kPa ni acidosis); si hay hipercapnia progresiva, valorar VMNI domiciliaria (véase soporte ventilatorio)». Mencionar la titulación nocturna y de esfuerzo.</w:t>
      </w:r>
    </w:p>
    <w:p>
      <w:pPr>
        <w:pStyle w:val="ListBullet"/>
      </w:pPr>
      <w:r>
        <w:rPr>
          <w:b/>
        </w:rPr>
        <w:t>Confianza:</w:t>
      </w:r>
      <w:r>
        <w:t xml:space="preserve"> 4/5</w:t>
      </w:r>
    </w:p>
    <w:p>
      <w:pPr>
        <w:pStyle w:val="Heading4"/>
      </w:pPr>
      <w:r>
        <w:t>EXA-16 · Distribución de gravedad en las cohortes de validación de Roma mal resumida</w:t>
      </w:r>
    </w:p>
    <w:p>
      <w:r>
        <w:rPr>
          <w:i/>
        </w:rPr>
        <w:t xml:space="preserve">Severidad final: </w:t>
      </w:r>
      <w:r>
        <w:rPr>
          <w:i/>
          <w:color w:val="FFC000"/>
        </w:rPr>
        <w:t>🟡</w:t>
      </w:r>
      <w:r>
        <w:rPr>
          <w:i/>
        </w:rPr>
        <w:t xml:space="preserve"> MEDIA · Tema T02: Clasificación de gravedad de la exacerbación (Roma) y sistemas incompatibles</w:t>
      </w:r>
    </w:p>
    <w:p>
      <w:pPr>
        <w:pStyle w:val="ListBullet"/>
      </w:pPr>
      <w:r>
        <w:rPr>
          <w:b/>
        </w:rPr>
        <w:t>Tipo:</w:t>
      </w:r>
      <w:r>
        <w:t xml:space="preserve"> Evidencia mal representada</w:t>
      </w:r>
    </w:p>
    <w:p>
      <w:pPr>
        <w:pStyle w:val="ListBullet"/>
      </w:pPr>
      <w:r>
        <w:rPr>
          <w:b/>
        </w:rPr>
        <w:t>Severidad:</w:t>
      </w:r>
      <w:r>
        <w:t xml:space="preserve"> MEDIA</w:t>
      </w:r>
    </w:p>
    <w:p>
      <w:pPr>
        <w:pStyle w:val="ListBullet"/>
      </w:pPr>
      <w:r>
        <w:rPr>
          <w:b/>
        </w:rPr>
        <w:t>Ubicación:</w:t>
      </w:r>
      <w:r>
        <w:t xml:space="preserve"> PDF 105-106 / impr. 94-95.</w:t>
      </w:r>
    </w:p>
    <w:p>
      <w:pPr>
        <w:pStyle w:val="ListBullet"/>
      </w:pPr>
      <w:r>
        <w:rPr>
          <w:b/>
        </w:rPr>
        <w:t>Cita:</w:t>
      </w:r>
      <w:r>
        <w:t xml:space="preserve"> "15-30% of people admitted for a COPD exacerbation classify as having a mild event… Around 50%… a moderate episode and close to 10% a severe episode.(933-936)".</w:t>
      </w:r>
    </w:p>
    <w:p>
      <w:pPr>
        <w:pStyle w:val="ListBullet"/>
      </w:pPr>
      <w:r>
        <w:rPr>
          <w:b/>
        </w:rPr>
        <w:t>Problema:</w:t>
      </w:r>
      <w:r>
        <w:t xml:space="preserve"> Las cohortes citadas (refs. 933-937) muestran porcentajes de leves, moderadas y graves que no cuadran con el resumen de GOLD:</w:t>
      </w:r>
    </w:p>
    <w:tbl>
      <w:tblPr>
        <w:tblStyle w:val="TableGrid"/>
        <w:tblW w:type="auto" w:w="0"/>
        <w:tblLayout w:type="fixed"/>
        <w:tblLook w:firstColumn="1" w:firstRow="1" w:lastColumn="0" w:lastRow="0" w:noHBand="0" w:noVBand="1" w:val="04A0"/>
      </w:tblPr>
      <w:tblGrid>
        <w:gridCol w:w="1389"/>
        <w:gridCol w:w="935"/>
        <w:gridCol w:w="1162"/>
        <w:gridCol w:w="935"/>
      </w:tblGrid>
      <w:tr>
        <w:trPr>
          <w:tblHeader w:val="true"/>
        </w:trPr>
        <w:tc>
          <w:tcPr>
            <w:tcW w:type="dxa" w:w="1389"/>
            <w:shd w:val="clear" w:color="auto" w:fill="D9E2F3"/>
          </w:tcPr>
          <w:p>
            <w:r/>
            <w:r>
              <w:rPr>
                <w:b/>
                <w:sz w:val="18"/>
              </w:rPr>
              <w:t>Cohorte</w:t>
            </w:r>
          </w:p>
        </w:tc>
        <w:tc>
          <w:tcPr>
            <w:tcW w:type="dxa" w:w="935"/>
            <w:shd w:val="clear" w:color="auto" w:fill="D9E2F3"/>
          </w:tcPr>
          <w:p>
            <w:r/>
            <w:r>
              <w:rPr>
                <w:b/>
                <w:sz w:val="18"/>
              </w:rPr>
              <w:t>Leve</w:t>
            </w:r>
          </w:p>
        </w:tc>
        <w:tc>
          <w:tcPr>
            <w:tcW w:type="dxa" w:w="1162"/>
            <w:shd w:val="clear" w:color="auto" w:fill="D9E2F3"/>
          </w:tcPr>
          <w:p>
            <w:r/>
            <w:r>
              <w:rPr>
                <w:b/>
                <w:sz w:val="18"/>
              </w:rPr>
              <w:t>Moderada</w:t>
            </w:r>
          </w:p>
        </w:tc>
        <w:tc>
          <w:tcPr>
            <w:tcW w:type="dxa" w:w="935"/>
            <w:shd w:val="clear" w:color="auto" w:fill="D9E2F3"/>
          </w:tcPr>
          <w:p>
            <w:r/>
            <w:r>
              <w:rPr>
                <w:b/>
                <w:sz w:val="18"/>
              </w:rPr>
              <w:t>Grave</w:t>
            </w:r>
          </w:p>
        </w:tc>
      </w:tr>
      <w:tr>
        <w:tc>
          <w:tcPr>
            <w:tcW w:type="dxa" w:w="1389"/>
          </w:tcPr>
          <w:p>
            <w:r/>
            <w:r>
              <w:rPr>
                <w:sz w:val="18"/>
              </w:rPr>
              <w:t>Reumkens</w:t>
            </w:r>
          </w:p>
        </w:tc>
        <w:tc>
          <w:tcPr>
            <w:tcW w:type="dxa" w:w="935"/>
          </w:tcPr>
          <w:p>
            <w:r/>
            <w:r>
              <w:rPr>
                <w:sz w:val="18"/>
              </w:rPr>
              <w:t>14,3 %</w:t>
            </w:r>
          </w:p>
        </w:tc>
        <w:tc>
          <w:tcPr>
            <w:tcW w:type="dxa" w:w="1162"/>
          </w:tcPr>
          <w:p>
            <w:r/>
            <w:r>
              <w:rPr>
                <w:sz w:val="18"/>
              </w:rPr>
              <w:t>56,0 %</w:t>
            </w:r>
          </w:p>
        </w:tc>
        <w:tc>
          <w:tcPr>
            <w:tcW w:type="dxa" w:w="935"/>
          </w:tcPr>
          <w:p>
            <w:r/>
            <w:r>
              <w:rPr>
                <w:sz w:val="18"/>
              </w:rPr>
              <w:t>29,7 %</w:t>
            </w:r>
          </w:p>
        </w:tc>
      </w:tr>
      <w:tr>
        <w:tc>
          <w:tcPr>
            <w:tcW w:type="dxa" w:w="1389"/>
          </w:tcPr>
          <w:p>
            <w:r/>
            <w:r>
              <w:rPr>
                <w:sz w:val="18"/>
              </w:rPr>
              <w:t>Cometa</w:t>
            </w:r>
          </w:p>
        </w:tc>
        <w:tc>
          <w:tcPr>
            <w:tcW w:type="dxa" w:w="935"/>
          </w:tcPr>
          <w:p>
            <w:r/>
            <w:r>
              <w:rPr>
                <w:sz w:val="18"/>
              </w:rPr>
              <w:t>18,5 %</w:t>
            </w:r>
          </w:p>
        </w:tc>
        <w:tc>
          <w:tcPr>
            <w:tcW w:type="dxa" w:w="1162"/>
          </w:tcPr>
          <w:p>
            <w:r/>
            <w:r>
              <w:rPr>
                <w:sz w:val="18"/>
              </w:rPr>
              <w:t>50,5 %</w:t>
            </w:r>
          </w:p>
        </w:tc>
        <w:tc>
          <w:tcPr>
            <w:tcW w:type="dxa" w:w="935"/>
          </w:tcPr>
          <w:p>
            <w:r/>
            <w:r>
              <w:rPr>
                <w:sz w:val="18"/>
              </w:rPr>
              <w:t>31 %</w:t>
            </w:r>
          </w:p>
        </w:tc>
      </w:tr>
      <w:tr>
        <w:tc>
          <w:tcPr>
            <w:tcW w:type="dxa" w:w="1389"/>
          </w:tcPr>
          <w:p>
            <w:r/>
            <w:r>
              <w:rPr>
                <w:sz w:val="18"/>
              </w:rPr>
              <w:t>Crisafulli</w:t>
            </w:r>
          </w:p>
        </w:tc>
        <w:tc>
          <w:tcPr>
            <w:tcW w:type="dxa" w:w="935"/>
          </w:tcPr>
          <w:p>
            <w:r/>
            <w:r>
              <w:rPr>
                <w:sz w:val="18"/>
              </w:rPr>
              <w:t>39 %</w:t>
            </w:r>
          </w:p>
        </w:tc>
        <w:tc>
          <w:tcPr>
            <w:tcW w:type="dxa" w:w="1162"/>
          </w:tcPr>
          <w:p>
            <w:r/>
            <w:r>
              <w:rPr>
                <w:sz w:val="18"/>
              </w:rPr>
              <w:t>31 %</w:t>
            </w:r>
          </w:p>
        </w:tc>
        <w:tc>
          <w:tcPr>
            <w:tcW w:type="dxa" w:w="935"/>
          </w:tcPr>
          <w:p>
            <w:r/>
            <w:r>
              <w:rPr>
                <w:sz w:val="18"/>
              </w:rPr>
              <w:t>30 %</w:t>
            </w:r>
          </w:p>
        </w:tc>
      </w:tr>
      <w:tr>
        <w:tc>
          <w:tcPr>
            <w:tcW w:type="dxa" w:w="1389"/>
          </w:tcPr>
          <w:p>
            <w:r/>
            <w:r>
              <w:rPr>
                <w:sz w:val="18"/>
              </w:rPr>
              <w:t>Zeng</w:t>
            </w:r>
          </w:p>
        </w:tc>
        <w:tc>
          <w:tcPr>
            <w:tcW w:type="dxa" w:w="935"/>
          </w:tcPr>
          <w:p>
            <w:r/>
            <w:r>
              <w:rPr>
                <w:sz w:val="18"/>
              </w:rPr>
              <w:t>41,9 %</w:t>
            </w:r>
          </w:p>
        </w:tc>
        <w:tc>
          <w:tcPr>
            <w:tcW w:type="dxa" w:w="1162"/>
          </w:tcPr>
          <w:p>
            <w:r/>
            <w:r>
              <w:rPr>
                <w:sz w:val="18"/>
              </w:rPr>
              <w:t>40,3 %</w:t>
            </w:r>
          </w:p>
        </w:tc>
        <w:tc>
          <w:tcPr>
            <w:tcW w:type="dxa" w:w="935"/>
          </w:tcPr>
          <w:p>
            <w:r/>
            <w:r>
              <w:rPr>
                <w:sz w:val="18"/>
              </w:rPr>
              <w:t>17,8 %</w:t>
            </w:r>
          </w:p>
        </w:tc>
      </w:tr>
      <w:tr>
        <w:tc>
          <w:tcPr>
            <w:tcW w:type="dxa" w:w="1389"/>
          </w:tcPr>
          <w:p>
            <w:r/>
            <w:r>
              <w:rPr>
                <w:sz w:val="18"/>
              </w:rPr>
              <w:t>Lee</w:t>
            </w:r>
          </w:p>
        </w:tc>
        <w:tc>
          <w:tcPr>
            <w:tcW w:type="dxa" w:w="935"/>
          </w:tcPr>
          <w:p>
            <w:r/>
            <w:r>
              <w:rPr>
                <w:sz w:val="18"/>
              </w:rPr>
              <w:t>30,9 %</w:t>
            </w:r>
          </w:p>
        </w:tc>
        <w:tc>
          <w:tcPr>
            <w:tcW w:type="dxa" w:w="1162"/>
          </w:tcPr>
          <w:p>
            <w:r/>
            <w:r>
              <w:rPr>
                <w:sz w:val="18"/>
              </w:rPr>
              <w:t>58,6 %</w:t>
            </w:r>
          </w:p>
        </w:tc>
        <w:tc>
          <w:tcPr>
            <w:tcW w:type="dxa" w:w="935"/>
          </w:tcPr>
          <w:p>
            <w:r/>
            <w:r>
              <w:rPr>
                <w:sz w:val="18"/>
              </w:rPr>
              <w:t>10,4 %</w:t>
            </w:r>
          </w:p>
        </w:tc>
      </w:tr>
    </w:tbl>
    <w:p/>
    <w:p>
      <w:pPr>
        <w:pStyle w:val="ListBullet2"/>
      </w:pPr>
      <w:r>
        <w:t>El "≈10 %" de graves solo se cumple en una cohorte; en las otras cuatro, los graves son el 18-31 %.</w:t>
      </w:r>
    </w:p>
    <w:p>
      <w:pPr>
        <w:pStyle w:val="ListBullet2"/>
      </w:pPr>
      <w:r>
        <w:t>Los leves llegan al 42 %.</w:t>
      </w:r>
    </w:p>
    <w:p>
      <w:pPr>
        <w:pStyle w:val="ListBullet2"/>
      </w:pPr>
      <w:r>
        <w:t>Infravalorar la proporción de graves puede inducir a infradotar unidades de cuidados respiratorios intermedios.</w:t>
      </w:r>
    </w:p>
    <w:p>
      <w:pPr>
        <w:pStyle w:val="ListBullet"/>
      </w:pPr>
      <w:r>
        <w:rPr>
          <w:b/>
        </w:rPr>
        <w:t>Evidencia/justificación:</w:t>
      </w:r>
      <w:r>
        <w:t xml:space="preserve"> Resúmenes y resultados de las refs. 933-937, verificados.</w:t>
      </w:r>
    </w:p>
    <w:p>
      <w:pPr>
        <w:pStyle w:val="ListBullet"/>
      </w:pPr>
      <w:r>
        <w:rPr>
          <w:b/>
        </w:rPr>
        <w:t>Recomendación:</w:t>
      </w:r>
      <w:r>
        <w:t xml:space="preserve"> "Entre los hospitalizados, el 14-42 % son leves, el 31-59 % moderados y el 10-31 % graves según Roma (refs. 933-937)".</w:t>
      </w:r>
    </w:p>
    <w:p>
      <w:pPr>
        <w:pStyle w:val="ListBullet"/>
      </w:pPr>
      <w:r>
        <w:rPr>
          <w:b/>
        </w:rPr>
        <w:t>Confianza:</w:t>
      </w:r>
      <w:r>
        <w:t xml:space="preserve"> 5/5</w:t>
      </w:r>
    </w:p>
    <w:p>
      <w:pPr>
        <w:pStyle w:val="Heading4"/>
      </w:pPr>
      <w:r>
        <w:t>DX-13 · Cribado de cáncer de pulmón con TC: criterios inconsistentes y redacción errónea</w:t>
      </w:r>
    </w:p>
    <w:p>
      <w:r>
        <w:rPr>
          <w:i/>
        </w:rPr>
        <w:t xml:space="preserve">Severidad final: </w:t>
      </w:r>
      <w:r>
        <w:rPr>
          <w:i/>
          <w:color w:val="FFC000"/>
        </w:rPr>
        <w:t>🟡</w:t>
      </w:r>
      <w:r>
        <w:rPr>
          <w:i/>
        </w:rPr>
        <w:t xml:space="preserve"> MEDIA · Tema T03: Cribado de cáncer de pulmón</w:t>
      </w:r>
    </w:p>
    <w:p>
      <w:pPr>
        <w:pStyle w:val="ListBullet"/>
      </w:pPr>
      <w:r>
        <w:rPr>
          <w:b/>
        </w:rPr>
        <w:t>Tipo:</w:t>
      </w:r>
      <w:r>
        <w:t xml:space="preserve"> Incongruencia entre capítulos / Editorial</w:t>
      </w:r>
    </w:p>
    <w:p>
      <w:pPr>
        <w:pStyle w:val="ListBullet"/>
      </w:pPr>
      <w:r>
        <w:rPr>
          <w:b/>
        </w:rPr>
        <w:t>Severidad:</w:t>
      </w:r>
      <w:r>
        <w:t xml:space="preserve"> MEDIA</w:t>
      </w:r>
    </w:p>
    <w:p>
      <w:pPr>
        <w:pStyle w:val="ListBullet"/>
      </w:pPr>
      <w:r>
        <w:rPr>
          <w:b/>
        </w:rPr>
        <w:t>Ubicación:</w:t>
      </w:r>
      <w:r>
        <w:t xml:space="preserve"> PDF 47 / impr. 36; PDF 57 / impr. 46; Fig. 2.14 (PDF 59 / impr. 48); cap. 5, PDF 130-131 / impr. 119-120</w:t>
      </w:r>
    </w:p>
    <w:p>
      <w:pPr>
        <w:pStyle w:val="ListBullet"/>
      </w:pPr>
      <w:r>
        <w:rPr>
          <w:b/>
        </w:rPr>
        <w:t>Cita:</w:t>
      </w:r>
      <w:r>
        <w:t xml:space="preserve"> PDF 47: «Annual LDCT… recommended by the USPSTF… aged 50 to 80 years with a ≥ 20 pack-year smoking history». PDF 57: «The American Cancer Society now suggests individuals aged 50-80 with 20 pack years smoking history regardless of years since quitting should be considered for lung cancer with CT imaging».</w:t>
      </w:r>
    </w:p>
    <w:p>
      <w:pPr>
        <w:pStyle w:val="ListBullet"/>
      </w:pPr>
      <w:r>
        <w:rPr>
          <w:b/>
        </w:rPr>
        <w:t>Problema:</w:t>
      </w:r>
    </w:p>
    <w:p>
      <w:pPr>
        <w:pStyle w:val="ListBullet2"/>
      </w:pPr>
      <w:r>
        <w:rPr>
          <w:b/>
        </w:rPr>
        <w:t>Criterio USPSTF incompleto.</w:t>
      </w:r>
      <w:r>
        <w:t xml:space="preserve"> En PDF 47 falta el requisito «fumador actual o abandono &lt;15 años», que el cap. 5 sí recoge.</w:t>
      </w:r>
    </w:p>
    <w:p>
      <w:pPr>
        <w:pStyle w:val="ListBullet2"/>
      </w:pPr>
      <w:r>
        <w:rPr>
          <w:b/>
        </w:rPr>
        <w:t>Criterio ACS sin reconciliar.</w:t>
      </w:r>
      <w:r>
        <w:t xml:space="preserve"> En PDF 57 se presenta el criterio ACS 2023 («regardless of years since quitting»), sin cita y sin conciliarlo con el de la USPSTF ni con el cap. 5.</w:t>
      </w:r>
    </w:p>
    <w:p>
      <w:pPr>
        <w:pStyle w:val="ListBullet2"/>
      </w:pPr>
      <w:r>
        <w:rPr>
          <w:b/>
        </w:rPr>
        <w:t>Errata de sentido.</w:t>
      </w:r>
      <w:r>
        <w:t xml:space="preserve"> «considered for lung cancer with CT imaging» omite «screening».</w:t>
      </w:r>
    </w:p>
    <w:p>
      <w:pPr>
        <w:pStyle w:val="ListBullet2"/>
      </w:pPr>
      <w:r>
        <w:rPr>
          <w:b/>
        </w:rPr>
        <w:t>Fig. 2.14.</w:t>
      </w:r>
      <w:r>
        <w:t xml:space="preserve"> Remite a «recommendations for the general population» sin precisar cuáles. La fila de reducción de volumen omite los requisitos de TC más determinantes para las válvulas (integridad cisural/ausencia de ventilación colateral), aunque el texto de PDF 57 sí los menciona.</w:t>
      </w:r>
    </w:p>
    <w:p>
      <w:pPr>
        <w:pStyle w:val="ListBullet"/>
      </w:pPr>
      <w:r>
        <w:rPr>
          <w:b/>
        </w:rPr>
        <w:t>Evidencia/justificación:</w:t>
      </w:r>
    </w:p>
    <w:p>
      <w:pPr>
        <w:pStyle w:val="ListBullet2"/>
      </w:pPr>
      <w:r>
        <w:t>USPSTF 2021: Krist AH et al. JAMA 2021;325:962-970 (50-80 años, ≥20 paquetes-año, fumador actual o abandono en los últimos 15 años).</w:t>
      </w:r>
    </w:p>
    <w:p>
      <w:pPr>
        <w:pStyle w:val="ListBullet2"/>
      </w:pPr>
      <w:r>
        <w:t>ACS 2023: Wolf AMD et al. CA Cancer J Clin 2024;74:50-81 (elimina el criterio de años desde el abandono).</w:t>
      </w:r>
    </w:p>
    <w:p>
      <w:pPr>
        <w:pStyle w:val="ListBullet"/>
      </w:pPr>
      <w:r>
        <w:rPr>
          <w:b/>
        </w:rPr>
        <w:t>Recomendación:</w:t>
      </w:r>
    </w:p>
    <w:p>
      <w:pPr>
        <w:pStyle w:val="ListBullet2"/>
      </w:pPr>
      <w:r>
        <w:t>Presentar ambos criterios en una sola frase con sus referencias e indicar que prevalecen las normas nacionales.</w:t>
      </w:r>
    </w:p>
    <w:p>
      <w:pPr>
        <w:pStyle w:val="ListBullet2"/>
      </w:pPr>
      <w:r>
        <w:t>Corregir la errata («lung cancer screening with low-dose CT»).</w:t>
      </w:r>
    </w:p>
    <w:p>
      <w:pPr>
        <w:pStyle w:val="ListBullet2"/>
      </w:pPr>
      <w:r>
        <w:t>Añadir a la Fig. 2.14 «fisuras íntegras/sin ventilación colateral (TC cuantitativa ± Chartis)».</w:t>
      </w:r>
    </w:p>
    <w:p>
      <w:pPr>
        <w:pStyle w:val="ListBullet"/>
      </w:pPr>
      <w:r>
        <w:rPr>
          <w:b/>
        </w:rPr>
        <w:t>Confianza:</w:t>
      </w:r>
      <w:r>
        <w:t xml:space="preserve"> 4/5</w:t>
      </w:r>
    </w:p>
    <w:p>
      <w:pPr>
        <w:pStyle w:val="Heading4"/>
      </w:pPr>
      <w:r>
        <w:t>MUL-09 · Cáncer de pulmón: cifras de GLOBOCAN 2012, comparación incorrecta y «supervivencia» como desenlace</w:t>
      </w:r>
    </w:p>
    <w:p>
      <w:r>
        <w:rPr>
          <w:i/>
        </w:rPr>
        <w:t xml:space="preserve">Severidad final: </w:t>
      </w:r>
      <w:r>
        <w:rPr>
          <w:i/>
          <w:color w:val="FFC000"/>
        </w:rPr>
        <w:t>🟡</w:t>
      </w:r>
      <w:r>
        <w:rPr>
          <w:i/>
        </w:rPr>
        <w:t xml:space="preserve"> MEDIA · Tema T03: Cribado de cáncer de pulmón</w:t>
      </w:r>
    </w:p>
    <w:p>
      <w:pPr>
        <w:pStyle w:val="ListBullet"/>
      </w:pPr>
      <w:r>
        <w:rPr>
          <w:b/>
        </w:rPr>
        <w:t>Tipo:</w:t>
      </w:r>
      <w:r>
        <w:t xml:space="preserve"> Desactualización</w:t>
      </w:r>
    </w:p>
    <w:p>
      <w:pPr>
        <w:pStyle w:val="ListBullet"/>
      </w:pPr>
      <w:r>
        <w:rPr>
          <w:b/>
        </w:rPr>
        <w:t>Severidad:</w:t>
      </w:r>
      <w:r>
        <w:t xml:space="preserve"> MEDIA</w:t>
      </w:r>
    </w:p>
    <w:p>
      <w:pPr>
        <w:pStyle w:val="ListBullet"/>
      </w:pPr>
      <w:r>
        <w:rPr>
          <w:b/>
        </w:rPr>
        <w:t>Ubicación:</w:t>
      </w:r>
      <w:r>
        <w:t xml:space="preserve"> PDF 130 / impr. 119 — Lung cancer</w:t>
      </w:r>
    </w:p>
    <w:p>
      <w:pPr>
        <w:pStyle w:val="ListBullet"/>
      </w:pPr>
      <w:r>
        <w:rPr>
          <w:b/>
        </w:rPr>
        <w:t>Cita:</w:t>
      </w:r>
      <w:r>
        <w:t xml:space="preserve"> "more deaths from lung cancer than from colon, breast and prostate cancer combined, causing an estimated 1.6 million deaths worldwide each year.(1196)" / "Several studies involving the use of low-dose chest CT screening have shown improved survival."</w:t>
      </w:r>
    </w:p>
    <w:p>
      <w:pPr>
        <w:pStyle w:val="ListBullet"/>
      </w:pPr>
      <w:r>
        <w:rPr>
          <w:b/>
        </w:rPr>
        <w:t>Problema:</w:t>
      </w:r>
    </w:p>
    <w:p>
      <w:pPr>
        <w:pStyle w:val="ListBullet2"/>
      </w:pPr>
      <w:r>
        <w:t>La ref. 1196 es GLOBOCAN 2012 (Ferlay, Int J Cancer 2015).</w:t>
      </w:r>
    </w:p>
    <w:p>
      <w:pPr>
        <w:pStyle w:val="ListBullet2"/>
      </w:pPr>
      <w:r>
        <w:t>Con los datos actuales, la comparación es falsa en el ámbito mundial.</w:t>
      </w:r>
    </w:p>
    <w:p>
      <w:pPr>
        <w:pStyle w:val="ListBullet2"/>
      </w:pPr>
      <w:r>
        <w:t xml:space="preserve">El beneficio demostrado del cribado es la </w:t>
      </w:r>
      <w:r>
        <w:rPr>
          <w:b/>
        </w:rPr>
        <w:t>reducción de la mortalidad por cáncer de pulmón</w:t>
      </w:r>
      <w:r>
        <w:t>. La «supervivencia» está sesgada por adelanto diagnóstico y sobrediagnóstico. Una de las refs. (1210, I-ELCAP) es un estudio de supervivencia sin grupo de control.</w:t>
      </w:r>
    </w:p>
    <w:p>
      <w:pPr>
        <w:pStyle w:val="ListBullet"/>
      </w:pPr>
      <w:r>
        <w:rPr>
          <w:b/>
        </w:rPr>
        <w:t>Evidencia/justificación:</w:t>
      </w:r>
    </w:p>
    <w:p>
      <w:pPr>
        <w:pStyle w:val="ListBullet2"/>
      </w:pPr>
      <w:r>
        <w:t>GLOBOCAN 2022 (Bray F, CA Cancer J Clin 2024;74:229; doi:10.3322/caac.21834): cáncer de pulmón, unos 1,8 millones de muertes (18,7 %); colorrectal, unas 0,90 M; mama, unas 0,67 M; próstata, unas 0,40 M. La suma de esos tres (≈1,97 M) supera las muertes por cáncer de pulmón.</w:t>
      </w:r>
    </w:p>
    <w:p>
      <w:pPr>
        <w:pStyle w:val="ListBullet2"/>
      </w:pPr>
      <w:r>
        <w:t>NLST: −20 % de mortalidad por cáncer de pulmón (NEJM 2011;365:395).</w:t>
      </w:r>
    </w:p>
    <w:p>
      <w:pPr>
        <w:pStyle w:val="ListBullet2"/>
      </w:pPr>
      <w:r>
        <w:t>NELSON: −24 % en varones a 10 años (de Koning, NEJM 2020;382:503).</w:t>
      </w:r>
    </w:p>
    <w:p>
      <w:pPr>
        <w:pStyle w:val="ListBullet"/>
      </w:pPr>
      <w:r>
        <w:rPr>
          <w:b/>
        </w:rPr>
        <w:t>Recomendación:</w:t>
      </w:r>
      <w:r>
        <w:t xml:space="preserve"> Actualizar a GLOBOCAN 2022, eliminar la comparación y escribir «reducción de la mortalidad por cáncer de pulmón (NLST, NELSON)».</w:t>
      </w:r>
    </w:p>
    <w:p>
      <w:pPr>
        <w:pStyle w:val="ListBullet"/>
      </w:pPr>
      <w:r>
        <w:rPr>
          <w:b/>
        </w:rPr>
        <w:t>Confianza:</w:t>
      </w:r>
      <w:r>
        <w:t xml:space="preserve"> 4/5</w:t>
      </w:r>
    </w:p>
    <w:p>
      <w:pPr>
        <w:pStyle w:val="Heading4"/>
      </w:pPr>
      <w:r>
        <w:t>MUL-10 · Cribado con LDCT: criterios incoherentes entre el punto clave, la Fig. 5.4, el texto y el cap. 2</w:t>
      </w:r>
    </w:p>
    <w:p>
      <w:r>
        <w:rPr>
          <w:i/>
        </w:rPr>
        <w:t xml:space="preserve">Severidad final: </w:t>
      </w:r>
      <w:r>
        <w:rPr>
          <w:i/>
          <w:color w:val="FFC000"/>
        </w:rPr>
        <w:t>🟡</w:t>
      </w:r>
      <w:r>
        <w:rPr>
          <w:i/>
        </w:rPr>
        <w:t xml:space="preserve"> MEDIA · Tema T03: Cribado de cáncer de pulmón</w:t>
      </w:r>
    </w:p>
    <w:p>
      <w:pPr>
        <w:pStyle w:val="IntenseQuote"/>
      </w:pPr>
      <w:r>
        <w:rPr>
          <w:b/>
        </w:rPr>
        <w:t>Verificación independiente (CONFIRMADO PARCIAL):</w:t>
      </w:r>
      <w:r>
        <w:t xml:space="preserve"> Confirmado: - se citan dos criterios distintos (ACS en el cap. 2, USPSTF en el cap. 5) sin conciliarlos; - la Fig 5.4 mantiene los umbrales del NLST (&gt;55 años, &gt;30 paquetes-año) junto a criterios vigentes más amplios. Exagerado: - La Fig 5.4 se titula «Common Risk Factors for the Development of Lung Cancer». Es una lista de factores de riesgo, no de criterios de elegibilidad, así que no «contradice» a la USPSTF como …</w:t>
      </w:r>
    </w:p>
    <w:p>
      <w:pPr>
        <w:pStyle w:val="IntenseQuote"/>
      </w:pPr>
      <w:r>
        <w:rPr>
          <w:b/>
        </w:rPr>
        <w:t>Severidad ajustada en la consolidación:</w:t>
      </w:r>
      <w:r>
        <w:t xml:space="preserve"> ALTA → MEDIA</w:t>
      </w:r>
    </w:p>
    <w:p>
      <w:pPr>
        <w:pStyle w:val="ListBullet"/>
      </w:pPr>
      <w:r>
        <w:rPr>
          <w:b/>
        </w:rPr>
        <w:t>Tipo:</w:t>
      </w:r>
      <w:r>
        <w:t xml:space="preserve"> Incongruencia interna</w:t>
      </w:r>
    </w:p>
    <w:p>
      <w:pPr>
        <w:pStyle w:val="ListBullet"/>
      </w:pPr>
      <w:r>
        <w:rPr>
          <w:b/>
        </w:rPr>
        <w:t>Severidad:</w:t>
      </w:r>
      <w:r>
        <w:t xml:space="preserve"> ALTA</w:t>
      </w:r>
    </w:p>
    <w:p>
      <w:pPr>
        <w:pStyle w:val="ListBullet"/>
      </w:pPr>
      <w:r>
        <w:rPr>
          <w:b/>
        </w:rPr>
        <w:t>Ubicación:</w:t>
      </w:r>
      <w:r>
        <w:t xml:space="preserve"> PDF 123 / impr. 112 (punto clave); PDF 130-131 / impr. 119-120 (texto y Fig. 5.4); contraste con el cap. 2, PDF 57 / impr. 46</w:t>
      </w:r>
    </w:p>
    <w:p>
      <w:pPr>
        <w:pStyle w:val="ListBullet"/>
      </w:pPr>
      <w:r>
        <w:rPr>
          <w:b/>
        </w:rPr>
        <w:t>Cita:</w:t>
      </w:r>
      <w:r>
        <w:t xml:space="preserve"> Punto clave: "An annual LDCT scan is recommended for lung cancer screening in patients with a smoking history". Fig. 5.4: "Age &gt; 55 years · Smoking history &gt; 30 pack years · … BMI &lt; 25 kg/m²". Texto: "harms of screening seem to outweigh the possible benefit…(1218)"</w:t>
      </w:r>
    </w:p>
    <w:p>
      <w:pPr>
        <w:pStyle w:val="ListBullet"/>
      </w:pPr>
      <w:r>
        <w:rPr>
          <w:b/>
        </w:rPr>
        <w:t>Problema:</w:t>
      </w:r>
    </w:p>
    <w:p>
      <w:pPr>
        <w:pStyle w:val="ListBullet2"/>
      </w:pPr>
      <w:r>
        <w:t xml:space="preserve">El punto clave sugiere cribar a </w:t>
      </w:r>
      <w:r>
        <w:rPr>
          <w:i/>
        </w:rPr>
        <w:t>cualquier</w:t>
      </w:r>
      <w:r>
        <w:t xml:space="preserve"> paciente con antecedente tabáquico, sin criterios de edad, carga tabáquica, tiempo desde el abandono ni esperanza de vida.</w:t>
      </w:r>
    </w:p>
    <w:p>
      <w:pPr>
        <w:pStyle w:val="ListBullet2"/>
      </w:pPr>
      <w:r>
        <w:t>La Fig. 5.4 usa umbrales antiguos (NLST: &gt;55 años, &gt;30 paquetes-año) que contradicen la USPSTF 2021 descrita debajo (50-80 años, ≥20 paquetes-año, abandono ≤15 años).</w:t>
      </w:r>
    </w:p>
    <w:p>
      <w:pPr>
        <w:pStyle w:val="ListBullet2"/>
      </w:pPr>
      <w:r>
        <w:t>El cap. 2 (PDF 57) cita la ACS 2023 («regardless of years since quitting»), mientras que el cap. 5 aplica la regla de los 15 años de la USPSTF. No se explica la diferencia.</w:t>
      </w:r>
    </w:p>
    <w:p>
      <w:pPr>
        <w:pStyle w:val="ListBullet2"/>
      </w:pPr>
      <w:r>
        <w:t>La afirmación sobre el balance riesgo/beneficio en nunca fumadores se apoya solo en una web de los CDC (ref. 1218). El punto clave, en cambio, lo justifica por «lack of evidence».</w:t>
      </w:r>
    </w:p>
    <w:p>
      <w:pPr>
        <w:pStyle w:val="ListBullet"/>
      </w:pPr>
      <w:r>
        <w:rPr>
          <w:b/>
        </w:rPr>
        <w:t>Evidencia/justificación:</w:t>
      </w:r>
    </w:p>
    <w:p>
      <w:pPr>
        <w:pStyle w:val="ListBullet2"/>
      </w:pPr>
      <w:r>
        <w:t>USPSTF 2021: Krist AH, JAMA 2021;325:962.</w:t>
      </w:r>
    </w:p>
    <w:p>
      <w:pPr>
        <w:pStyle w:val="ListBullet2"/>
      </w:pPr>
      <w:r>
        <w:t>ACS 2023: Wolf AMD, CA Cancer J Clin 2024;74:50.</w:t>
      </w:r>
    </w:p>
    <w:p>
      <w:pPr>
        <w:pStyle w:val="ListBullet2"/>
      </w:pPr>
      <w:r>
        <w:t>En nunca fumadores asiáticos con factores de riesgo (TALENT, Taiwán: Chang GC, Lancet Respir Med 2024) la tasa de detección fue relevante. La evidencia es emergente y regional; es un punto debatible.</w:t>
      </w:r>
    </w:p>
    <w:p>
      <w:pPr>
        <w:pStyle w:val="ListBullet"/>
      </w:pPr>
      <w:r>
        <w:rPr>
          <w:b/>
        </w:rPr>
        <w:t>Recomendación:</w:t>
      </w:r>
    </w:p>
    <w:p>
      <w:pPr>
        <w:pStyle w:val="ListBullet2"/>
      </w:pPr>
      <w:r>
        <w:t>Unificar en el punto clave: «LDCT anual en personas con EPOC que cumplan los criterios vigentes (USPSTF 2021 / ACS 2023 / programas nacionales), candidatas a tratamiento curativo y tras decisión compartida».</w:t>
      </w:r>
    </w:p>
    <w:p>
      <w:pPr>
        <w:pStyle w:val="ListBullet2"/>
      </w:pPr>
      <w:r>
        <w:t>Rotular la Fig. 5.4 como «factores de riesgo» sin umbrales numéricos antiguos, o con los vigentes.</w:t>
      </w:r>
    </w:p>
    <w:p>
      <w:pPr>
        <w:pStyle w:val="ListBullet2"/>
      </w:pPr>
      <w:r>
        <w:t>Armonizar el texto con el cap. 2.</w:t>
      </w:r>
    </w:p>
    <w:p>
      <w:pPr>
        <w:pStyle w:val="ListBullet2"/>
      </w:pPr>
      <w:r>
        <w:t>Formular lo relativo a los nunca fumadores como «evidencia insuficiente fuera de programas específicos».</w:t>
      </w:r>
    </w:p>
    <w:p>
      <w:pPr>
        <w:pStyle w:val="ListBullet"/>
      </w:pPr>
      <w:r>
        <w:rPr>
          <w:b/>
        </w:rPr>
        <w:t>Confianza:</w:t>
      </w:r>
      <w:r>
        <w:t xml:space="preserve"> 5/5</w:t>
      </w:r>
    </w:p>
    <w:p>
      <w:pPr>
        <w:pStyle w:val="Heading4"/>
      </w:pPr>
      <w:r>
        <w:t>MUL-25 · Figs. 5.5 y 5.6: pruebas y periodicidades no alineadas con el texto</w:t>
      </w:r>
    </w:p>
    <w:p>
      <w:r>
        <w:rPr>
          <w:i/>
        </w:rPr>
        <w:t xml:space="preserve">Severidad final: </w:t>
      </w:r>
      <w:r>
        <w:rPr>
          <w:i/>
          <w:color w:val="FFC000"/>
        </w:rPr>
        <w:t>🟡</w:t>
      </w:r>
      <w:r>
        <w:rPr>
          <w:i/>
        </w:rPr>
        <w:t xml:space="preserve"> MEDIA · Tema T03: Cribado de cáncer de pulmón</w:t>
      </w:r>
    </w:p>
    <w:p>
      <w:pPr>
        <w:pStyle w:val="ListBullet"/>
      </w:pPr>
      <w:r>
        <w:rPr>
          <w:b/>
        </w:rPr>
        <w:t>Tipo:</w:t>
      </w:r>
      <w:r>
        <w:t xml:space="preserve"> Incongruencia interna</w:t>
      </w:r>
    </w:p>
    <w:p>
      <w:pPr>
        <w:pStyle w:val="ListBullet"/>
      </w:pPr>
      <w:r>
        <w:rPr>
          <w:b/>
        </w:rPr>
        <w:t>Severidad:</w:t>
      </w:r>
      <w:r>
        <w:t xml:space="preserve"> MEDIA</w:t>
      </w:r>
    </w:p>
    <w:p>
      <w:pPr>
        <w:pStyle w:val="ListBullet"/>
      </w:pPr>
      <w:r>
        <w:rPr>
          <w:b/>
        </w:rPr>
        <w:t>Ubicación:</w:t>
      </w:r>
      <w:r>
        <w:t xml:space="preserve"> PDF 140-141 / impr. 129-130 — Figs. 5.5 y 5.6; texto en PDF 128, 134 y 137</w:t>
      </w:r>
    </w:p>
    <w:p>
      <w:pPr>
        <w:pStyle w:val="ListBullet"/>
      </w:pPr>
      <w:r>
        <w:rPr>
          <w:b/>
        </w:rPr>
        <w:t>Cita:</w:t>
      </w:r>
      <w:r>
        <w:t xml:space="preserve"> Fig. 5.6: "Yearly · Electrocardiogram · NTproBNP" / "Every 3-5 years · Glucose &amp; HbA1c · Creatinine · GFR"; texto: "Measurement of hemoglobin A1c and fasting blood glucose for patients who have not had these tests in more than a year"</w:t>
      </w:r>
    </w:p>
    <w:p>
      <w:pPr>
        <w:pStyle w:val="ListBullet"/>
      </w:pPr>
      <w:r>
        <w:rPr>
          <w:b/>
        </w:rPr>
        <w:t>Problema:</w:t>
      </w:r>
    </w:p>
    <w:p>
      <w:pPr>
        <w:pStyle w:val="ListBullet2"/>
      </w:pPr>
      <w:r>
        <w:rPr>
          <w:b/>
        </w:rPr>
        <w:t>ECG y NT-proBNP:</w:t>
      </w:r>
      <w:r>
        <w:t xml:space="preserve"> las figuras los proponen </w:t>
      </w:r>
      <w:r>
        <w:rPr>
          <w:i/>
        </w:rPr>
        <w:t>anuales</w:t>
      </w:r>
      <w:r>
        <w:t xml:space="preserve"> en </w:t>
      </w:r>
      <w:r>
        <w:rPr>
          <w:i/>
        </w:rPr>
        <w:t>todos</w:t>
      </w:r>
      <w:r>
        <w:t xml:space="preserve"> los pacientes. El texto los reserva para el diagnóstico, cambios de síntomas o sospecha de IC, y reconoce el bajo VPP de los péptidos natriuréticos en la EPOC (PDF 127).</w:t>
      </w:r>
    </w:p>
    <w:p>
      <w:pPr>
        <w:pStyle w:val="ListBullet2"/>
      </w:pPr>
      <w:r>
        <w:rPr>
          <w:b/>
        </w:rPr>
        <w:t>Hs-troponina:</w:t>
      </w:r>
      <w:r>
        <w:t xml:space="preserve"> el texto la «recomienda» y no aparece en las figuras.</w:t>
      </w:r>
    </w:p>
    <w:p>
      <w:pPr>
        <w:pStyle w:val="ListBullet2"/>
      </w:pPr>
      <w:r>
        <w:rPr>
          <w:b/>
        </w:rPr>
        <w:t>HbA1c:</w:t>
      </w:r>
      <w:r>
        <w:t xml:space="preserve"> cada 3-5 años en la figura frente a un umbral de «más de un año» en el texto.</w:t>
      </w:r>
    </w:p>
    <w:p>
      <w:pPr>
        <w:pStyle w:val="ListBullet2"/>
      </w:pPr>
      <w:r>
        <w:rPr>
          <w:b/>
        </w:rPr>
        <w:t>Otras omisiones y asimetrías:</w:t>
      </w:r>
    </w:p>
    <w:p>
      <w:pPr>
        <w:pStyle w:val="ListBullet2"/>
      </w:pPr>
      <w:r>
        <w:t>no figuran el hemograma (Fig. 5.6), el perfil lipídico, la PA, el uACR ni la EAP;</w:t>
      </w:r>
    </w:p>
    <w:p>
      <w:pPr>
        <w:pStyle w:val="ListBullet2"/>
      </w:pPr>
      <w:r>
        <w:t>el GAD-2 se repite cada 3-5 años y el PHQ-2 cada año, sin justificación;</w:t>
      </w:r>
    </w:p>
    <w:p>
      <w:pPr>
        <w:pStyle w:val="ListBullet2"/>
      </w:pPr>
      <w:r>
        <w:t>el MMSE está en la Fig. 5.5 pero no en la 5.6;</w:t>
      </w:r>
    </w:p>
    <w:p>
      <w:pPr>
        <w:pStyle w:val="ListBullet2"/>
      </w:pPr>
      <w:r>
        <w:t>SARC-F aparece en la lista de abreviaturas de la Fig. 5.6 pero no en la figura.</w:t>
      </w:r>
    </w:p>
    <w:p>
      <w:pPr>
        <w:pStyle w:val="ListBullet"/>
      </w:pPr>
      <w:r>
        <w:rPr>
          <w:b/>
        </w:rPr>
        <w:t>Evidencia/justificación:</w:t>
      </w:r>
      <w:r>
        <w:t xml:space="preserve"> Contraste directo entre las figuras y el texto del propio capítulo. ADA 2025: HbA1c al menos 2 veces al año en diabéticos y cribado cada 3 años si es normal. KDIGO 2024: FG y uACR al menos anuales si hay riesgo.</w:t>
      </w:r>
    </w:p>
    <w:p>
      <w:pPr>
        <w:pStyle w:val="ListBullet"/>
      </w:pPr>
      <w:r>
        <w:rPr>
          <w:b/>
        </w:rPr>
        <w:t>Recomendación:</w:t>
      </w:r>
    </w:p>
    <w:p>
      <w:pPr>
        <w:pStyle w:val="ListBullet2"/>
      </w:pPr>
      <w:r>
        <w:t>Revisar las figuras para que reflejen el texto.</w:t>
      </w:r>
    </w:p>
    <w:p>
      <w:pPr>
        <w:pStyle w:val="ListBullet2"/>
      </w:pPr>
      <w:r>
        <w:t>Diferenciar el cribado del seguimiento de una enfermedad conocida.</w:t>
      </w:r>
    </w:p>
    <w:p>
      <w:pPr>
        <w:pStyle w:val="ListBullet2"/>
      </w:pPr>
      <w:r>
        <w:t>Añadir lípidos, PA, uACR y hemograma.</w:t>
      </w:r>
    </w:p>
    <w:p>
      <w:pPr>
        <w:pStyle w:val="ListBullet2"/>
      </w:pPr>
      <w:r>
        <w:t>Justificar las periodicidades o retirarlas.</w:t>
      </w:r>
    </w:p>
    <w:p>
      <w:pPr>
        <w:pStyle w:val="ListBullet"/>
      </w:pPr>
      <w:r>
        <w:rPr>
          <w:b/>
        </w:rPr>
        <w:t>Confianza:</w:t>
      </w:r>
      <w:r>
        <w:t xml:space="preserve"> 5/5</w:t>
      </w:r>
    </w:p>
    <w:p>
      <w:pPr>
        <w:pStyle w:val="Heading4"/>
      </w:pPr>
      <w:r>
        <w:t>REH-03 · Cap. 4: ventana de inicio de la RR distinta de las guías y referencias que no respaldan la afirmación</w:t>
      </w:r>
    </w:p>
    <w:p>
      <w:r>
        <w:rPr>
          <w:i/>
        </w:rPr>
        <w:t xml:space="preserve">Severidad final: </w:t>
      </w:r>
      <w:r>
        <w:rPr>
          <w:i/>
          <w:color w:val="FFC000"/>
        </w:rPr>
        <w:t>🟡</w:t>
      </w:r>
      <w:r>
        <w:rPr>
          <w:i/>
        </w:rPr>
        <w:t xml:space="preserve"> MEDIA · Tema T05: Rehabilitación iniciada en el ingreso y mortalidad</w:t>
      </w:r>
    </w:p>
    <w:p>
      <w:pPr>
        <w:pStyle w:val="ListBullet"/>
      </w:pPr>
      <w:r>
        <w:rPr>
          <w:b/>
        </w:rPr>
        <w:t>Tipo:</w:t>
      </w:r>
      <w:r>
        <w:t xml:space="preserve"> Evidencia mal representada / Incongruencia interna</w:t>
      </w:r>
    </w:p>
    <w:p>
      <w:pPr>
        <w:pStyle w:val="ListBullet"/>
      </w:pPr>
      <w:r>
        <w:rPr>
          <w:b/>
        </w:rPr>
        <w:t>Severidad:</w:t>
      </w:r>
      <w:r>
        <w:t xml:space="preserve"> MEDIA</w:t>
      </w:r>
    </w:p>
    <w:p>
      <w:pPr>
        <w:pStyle w:val="ListBullet"/>
      </w:pPr>
      <w:r>
        <w:rPr>
          <w:b/>
        </w:rPr>
        <w:t>Ubicación:</w:t>
      </w:r>
      <w:r>
        <w:t xml:space="preserve"> PDF 120 / impr. 109 — cap. 4, texto bajo la Figura 4.10; Figura A4.1 (PDF 172).</w:t>
      </w:r>
    </w:p>
    <w:p>
      <w:pPr>
        <w:pStyle w:val="ListBullet"/>
      </w:pPr>
      <w:r>
        <w:rPr>
          <w:b/>
        </w:rPr>
        <w:t>Cita:</w:t>
      </w:r>
      <w:r>
        <w:t xml:space="preserve"> «Early rehabilitation post hospital discharge (i.e., &lt; 4 weeks) is associated with improved quality of life… and improved survival,(1108) although the evidence regarding these two outcomes is heterogeneous.(1109,1110)»</w:t>
      </w:r>
    </w:p>
    <w:p>
      <w:pPr>
        <w:pStyle w:val="ListBullet"/>
      </w:pPr>
      <w:r>
        <w:rPr>
          <w:b/>
        </w:rPr>
        <w:t>Problema:</w:t>
      </w:r>
      <w:r>
        <w:t xml:space="preserve"> La ref. 1108 (Stergiopoulos 2024) trata de telemonitorización y reingresos en insuficiencia cardiaca/EPOC. La ref. 1109 (Jordan 2015) es una evaluación de tecnología sanitaria sobre autogestión con apoyo, y la ref. 1110 (Gavish 2015) trata del seguimiento por neumólogo. Ninguna estudia la RR precoz. Las ventanas temporales tampoco coinciden: «&lt; 4 weeks» (cap. 4), «≤ 4 weeks from prior hospitalization» (Figura A4.1) y «during or ≤ 4 weeks» (Figura 3.19), frente a las 3 semanas que recomiendan ATS 2023 y ERS/ATS 2017.</w:t>
      </w:r>
    </w:p>
    <w:p>
      <w:pPr>
        <w:pStyle w:val="ListBullet"/>
      </w:pPr>
      <w:r>
        <w:rPr>
          <w:b/>
        </w:rPr>
        <w:t>Evidencia/justificación:</w:t>
      </w:r>
      <w:r>
        <w:t xml:space="preserve"> Referencias comprobadas en la lista (PDF 175-248). Guías ATS 2023 (ref. 736) y ERS/ATS 2017 (véase REH-01). Las referencias correctas ya están en el propio documento: 779, 781, 782, 1723 y 1724.</w:t>
      </w:r>
    </w:p>
    <w:p>
      <w:pPr>
        <w:pStyle w:val="ListBullet"/>
      </w:pPr>
      <w:r>
        <w:rPr>
          <w:b/>
        </w:rPr>
        <w:t>Recomendación:</w:t>
      </w:r>
      <w:r>
        <w:t xml:space="preserve"> Sustituir 1108-1110 por 779/781/1723 (calidad de vida, capacidad de ejercicio, reingresos) y 782/1724 (supervivencia, observacional). Unificar la ventana («en las 3-4 semanas posteriores al alta, idealmente ≤ 3 semanas») en cap. 3, cap. 4, Figura 3.19, Figura 4.10 y Figura A4.1.</w:t>
      </w:r>
    </w:p>
    <w:p>
      <w:pPr>
        <w:pStyle w:val="ListBullet"/>
      </w:pPr>
      <w:r>
        <w:rPr>
          <w:b/>
        </w:rPr>
        <w:t>Confianza:</w:t>
      </w:r>
      <w:r>
        <w:t xml:space="preserve"> 5/5</w:t>
      </w:r>
    </w:p>
    <w:p>
      <w:pPr>
        <w:pStyle w:val="Heading4"/>
      </w:pPr>
      <w:r>
        <w:t>INT-14 · Trasplante: registro de 2018, referencia al LAS ya sustituido en EE. UU. y complicaciones citadas con un editorial de 1990</w:t>
      </w:r>
    </w:p>
    <w:p>
      <w:r>
        <w:rPr>
          <w:i/>
        </w:rPr>
        <w:t xml:space="preserve">Severidad final: </w:t>
      </w:r>
      <w:r>
        <w:rPr>
          <w:i/>
          <w:color w:val="FFC000"/>
        </w:rPr>
        <w:t>🟡</w:t>
      </w:r>
      <w:r>
        <w:rPr>
          <w:i/>
        </w:rPr>
        <w:t xml:space="preserve"> MEDIA · Tema T06: Trasplante pulmonar</w:t>
      </w:r>
    </w:p>
    <w:p>
      <w:pPr>
        <w:pStyle w:val="ListBullet"/>
      </w:pPr>
      <w:r>
        <w:rPr>
          <w:b/>
        </w:rPr>
        <w:t>Tipo:</w:t>
      </w:r>
      <w:r>
        <w:t xml:space="preserve"> Desactualización</w:t>
      </w:r>
    </w:p>
    <w:p>
      <w:pPr>
        <w:pStyle w:val="ListBullet"/>
      </w:pPr>
      <w:r>
        <w:rPr>
          <w:b/>
        </w:rPr>
        <w:t>Severidad:</w:t>
      </w:r>
      <w:r>
        <w:t xml:space="preserve"> MEDIA</w:t>
      </w:r>
    </w:p>
    <w:p>
      <w:pPr>
        <w:pStyle w:val="ListBullet"/>
      </w:pPr>
      <w:r>
        <w:rPr>
          <w:b/>
        </w:rPr>
        <w:t>Ubicación:</w:t>
      </w:r>
      <w:r>
        <w:t xml:space="preserve"> PDF 102 / impr. 91 — «Lung transplantation»</w:t>
      </w:r>
    </w:p>
    <w:p>
      <w:pPr>
        <w:pStyle w:val="ListBullet"/>
      </w:pPr>
      <w:r>
        <w:rPr>
          <w:b/>
        </w:rPr>
        <w:t>Cita:</w:t>
      </w:r>
      <w:r>
        <w:t xml:space="preserve"> "Since implementation of the LAS scoring system" / "The most frequent complications in patients with COPD after lung transplantation are acute rejection, bronchiolitis obliterans, opportunistic infections and lymphoproliferative disease.(921)"</w:t>
      </w:r>
    </w:p>
    <w:p>
      <w:pPr>
        <w:pStyle w:val="ListBullet"/>
      </w:pPr>
      <w:r>
        <w:rPr>
          <w:b/>
        </w:rPr>
        <w:t>Problema:</w:t>
      </w:r>
    </w:p>
    <w:p>
      <w:pPr>
        <w:pStyle w:val="ListBullet2"/>
      </w:pPr>
      <w:r>
        <w:rPr>
          <w:b/>
        </w:rPr>
        <w:t>Cifras de 2018.</w:t>
      </w:r>
      <w:r>
        <w:t xml:space="preserve"> «&gt; 1.000/año», «30,6 %» y la mediana de supervivencia de 5,9 años salen del informe ISHLT de 2018 (ref. 907).</w:t>
      </w:r>
    </w:p>
    <w:p>
      <w:pPr>
        <w:pStyle w:val="ListBullet2"/>
      </w:pPr>
      <w:r>
        <w:rPr>
          <w:b/>
        </w:rPr>
        <w:t>LAS ya sustituido.</w:t>
      </w:r>
      <w:r>
        <w:t xml:space="preserve"> En EE. UU., la OPTN reemplazó el LAS por el </w:t>
      </w:r>
      <w:r>
        <w:rPr>
          <w:b/>
        </w:rPr>
        <w:t>Composite Allocation Score</w:t>
      </w:r>
      <w:r>
        <w:t xml:space="preserve"> (marzo de 2023, «continuous distribution»).</w:t>
      </w:r>
    </w:p>
    <w:p>
      <w:pPr>
        <w:pStyle w:val="ListBullet2"/>
      </w:pPr>
      <w:r>
        <w:rPr>
          <w:b/>
        </w:rPr>
        <w:t>Complicaciones con fuente y terminología obsoletas.</w:t>
      </w:r>
      <w:r>
        <w:t xml:space="preserve"> Se citan con un editorial del </w:t>
      </w:r>
      <w:r>
        <w:rPr>
          <w:i/>
        </w:rPr>
        <w:t>NEJM</w:t>
      </w:r>
      <w:r>
        <w:t xml:space="preserve"> de 1990 y no usan la nomenclatura vigente: </w:t>
      </w:r>
      <w:r>
        <w:rPr>
          <w:b/>
        </w:rPr>
        <w:t>CLAD</w:t>
      </w:r>
      <w:r>
        <w:t xml:space="preserve"> (fenotipos BOS/RAS, ISHLT 2019) y disfunción primaria del injerto.</w:t>
      </w:r>
    </w:p>
    <w:p>
      <w:pPr>
        <w:pStyle w:val="ListBullet2"/>
      </w:pPr>
      <w:r>
        <w:rPr>
          <w:b/>
        </w:rPr>
        <w:t>Faltan complicaciones relevantes:</w:t>
      </w:r>
      <w:r>
        <w:t xml:space="preserve"> enfermedad renal crónica por anticalcineurínicos, neoplasias cutáneas, cáncer de pulmón en el pulmón nativo tras trasplante unipulmonar e hiperinsuflación del pulmón nativo.</w:t>
      </w:r>
    </w:p>
    <w:p>
      <w:pPr>
        <w:pStyle w:val="ListBullet"/>
      </w:pPr>
      <w:r>
        <w:rPr>
          <w:b/>
        </w:rPr>
        <w:t>Evidencia/justificación:</w:t>
      </w:r>
    </w:p>
    <w:p>
      <w:pPr>
        <w:pStyle w:val="ListBullet2"/>
      </w:pPr>
      <w:r>
        <w:t xml:space="preserve">Verleden GM et al., </w:t>
      </w:r>
      <w:r>
        <w:rPr>
          <w:i/>
        </w:rPr>
        <w:t>JHLT</w:t>
      </w:r>
      <w:r>
        <w:t xml:space="preserve"> 2019;38:493-503 (consenso CLAD).</w:t>
      </w:r>
    </w:p>
    <w:p>
      <w:pPr>
        <w:pStyle w:val="ListBullet2"/>
      </w:pPr>
      <w:r>
        <w:t>OPTN/UNOS, implantación del CAS pulmonar el 9-mar-2023.</w:t>
      </w:r>
    </w:p>
    <w:p>
      <w:pPr>
        <w:pStyle w:val="ListBullet2"/>
      </w:pPr>
      <w:r>
        <w:t>Leard 2021 (véase INT-01).</w:t>
      </w:r>
    </w:p>
    <w:p>
      <w:pPr>
        <w:pStyle w:val="ListBullet"/>
      </w:pPr>
      <w:r>
        <w:rPr>
          <w:b/>
        </w:rPr>
        <w:t>Recomendación:</w:t>
      </w:r>
    </w:p>
    <w:p>
      <w:pPr>
        <w:pStyle w:val="ListBullet2"/>
      </w:pPr>
      <w:r>
        <w:t>Actualizar las cifras con el registro ISHLT/OPTN más reciente.</w:t>
      </w:r>
    </w:p>
    <w:p>
      <w:pPr>
        <w:pStyle w:val="ListBullet2"/>
      </w:pPr>
      <w:r>
        <w:t>Sustituir «LAS» por «sistemas de asignación (LAS/CAS en EE. UU.; varían por país)».</w:t>
      </w:r>
    </w:p>
    <w:p>
      <w:pPr>
        <w:pStyle w:val="ListBullet2"/>
      </w:pPr>
      <w:r>
        <w:t>Reescribir las complicaciones según la terminología CLAD/PGD y añadir el seguimiento oncológico del pulmón nativo.</w:t>
      </w:r>
    </w:p>
    <w:p>
      <w:pPr>
        <w:pStyle w:val="ListBullet"/>
      </w:pPr>
      <w:r>
        <w:rPr>
          <w:b/>
        </w:rPr>
        <w:t>Confianza:</w:t>
      </w:r>
      <w:r>
        <w:t xml:space="preserve"> 4/5</w:t>
      </w:r>
    </w:p>
    <w:p>
      <w:pPr>
        <w:pStyle w:val="Heading4"/>
      </w:pPr>
      <w:r>
        <w:t>COH-08 · La Fig. A3.2 contradice el tratamiento inicial del grupo A</w:t>
      </w:r>
    </w:p>
    <w:p>
      <w:r>
        <w:rPr>
          <w:i/>
        </w:rPr>
        <w:t xml:space="preserve">Severidad final: </w:t>
      </w:r>
      <w:r>
        <w:rPr>
          <w:i/>
          <w:color w:val="FFC000"/>
        </w:rPr>
        <w:t>🟡</w:t>
      </w:r>
      <w:r>
        <w:rPr>
          <w:i/>
        </w:rPr>
        <w:t xml:space="preserve"> MEDIA · Tema T07: Algoritmo farmacológico inicial/seguimiento (ABE, Fig 3.8-3.9, ICS, roflumilast)</w:t>
      </w:r>
    </w:p>
    <w:p>
      <w:pPr>
        <w:pStyle w:val="ListBullet"/>
      </w:pPr>
      <w:r>
        <w:rPr>
          <w:b/>
        </w:rPr>
        <w:t>Tipo:</w:t>
      </w:r>
      <w:r>
        <w:t xml:space="preserve"> Incoherencia apéndice-capítulo</w:t>
      </w:r>
    </w:p>
    <w:p>
      <w:pPr>
        <w:pStyle w:val="ListBullet"/>
      </w:pPr>
      <w:r>
        <w:rPr>
          <w:b/>
        </w:rPr>
        <w:t>Severidad:</w:t>
      </w:r>
      <w:r>
        <w:t xml:space="preserve"> MEDIA</w:t>
      </w:r>
    </w:p>
    <w:p>
      <w:pPr>
        <w:pStyle w:val="ListBullet"/>
      </w:pPr>
      <w:r>
        <w:rPr>
          <w:b/>
        </w:rPr>
        <w:t>Ubicación:</w:t>
      </w:r>
      <w:r>
        <w:t xml:space="preserve"> Fig A3.2 (PDF 157 / impr. 146) frente a Fig 3.8 (PDF 73 / impr. 62) y el texto de PDF 75 / impr. 64</w:t>
      </w:r>
    </w:p>
    <w:p>
      <w:pPr>
        <w:pStyle w:val="ListBullet"/>
      </w:pPr>
      <w:r>
        <w:rPr>
          <w:b/>
        </w:rPr>
        <w:t>Cita:</w:t>
      </w:r>
      <w:r>
        <w:t xml:space="preserve"> "When initiating treatment with long acting bronchodilators the preferred choice is a combination of a LABA and a LAMA."</w:t>
      </w:r>
    </w:p>
    <w:p>
      <w:pPr>
        <w:pStyle w:val="ListBullet"/>
      </w:pPr>
      <w:r>
        <w:rPr>
          <w:b/>
        </w:rPr>
        <w:t>Problema:</w:t>
      </w:r>
      <w:r>
        <w:t xml:space="preserve"> el grupo A inicia con un solo broncodilatador. Leída literalmente, la viñeta (que además lleva "Evidence A") recomienda doble broncodilatación para todos los pacientes.</w:t>
      </w:r>
    </w:p>
    <w:p>
      <w:pPr>
        <w:pStyle w:val="ListBullet"/>
      </w:pPr>
      <w:r>
        <w:rPr>
          <w:b/>
        </w:rPr>
        <w:t>Evidencia/justificación:</w:t>
      </w:r>
      <w:r>
        <w:t xml:space="preserve"> Fig 3.8, algoritmo inicial de los grupos A, B y E.</w:t>
      </w:r>
    </w:p>
    <w:p>
      <w:pPr>
        <w:pStyle w:val="ListBullet"/>
      </w:pPr>
      <w:r>
        <w:rPr>
          <w:b/>
        </w:rPr>
        <w:t>Recomendación:</w:t>
      </w:r>
      <w:r>
        <w:t xml:space="preserve"> acotar a "patients in groups B and E" o "symptomatic patients".</w:t>
      </w:r>
    </w:p>
    <w:p>
      <w:pPr>
        <w:pStyle w:val="ListBullet"/>
      </w:pPr>
      <w:r>
        <w:rPr>
          <w:b/>
        </w:rPr>
        <w:t>Confianza:</w:t>
      </w:r>
      <w:r>
        <w:t xml:space="preserve"> 5</w:t>
      </w:r>
    </w:p>
    <w:p>
      <w:pPr>
        <w:pStyle w:val="Heading4"/>
      </w:pPr>
      <w:r>
        <w:t>COH-09 · Herramienta ABE: combinaciones discordantes de mMRC/CAAT sin regla, y Highlights que no remiten a la figura correcta</w:t>
      </w:r>
    </w:p>
    <w:p>
      <w:r>
        <w:rPr>
          <w:i/>
        </w:rPr>
        <w:t xml:space="preserve">Severidad final: </w:t>
      </w:r>
      <w:r>
        <w:rPr>
          <w:i/>
          <w:color w:val="FFC000"/>
        </w:rPr>
        <w:t>🟡</w:t>
      </w:r>
      <w:r>
        <w:rPr>
          <w:i/>
        </w:rPr>
        <w:t xml:space="preserve"> MEDIA · Tema T07: Algoritmo farmacológico inicial/seguimiento (ABE, Fig 3.8-3.9, ICS, roflumilast)</w:t>
      </w:r>
    </w:p>
    <w:p>
      <w:pPr>
        <w:pStyle w:val="ListBullet"/>
      </w:pPr>
      <w:r>
        <w:rPr>
          <w:b/>
        </w:rPr>
        <w:t>Tipo:</w:t>
      </w:r>
      <w:r>
        <w:t xml:space="preserve"> Ambigüedad de definición / referencia cruzada</w:t>
      </w:r>
    </w:p>
    <w:p>
      <w:pPr>
        <w:pStyle w:val="ListBullet"/>
      </w:pPr>
      <w:r>
        <w:rPr>
          <w:b/>
        </w:rPr>
        <w:t>Severidad:</w:t>
      </w:r>
      <w:r>
        <w:t xml:space="preserve"> MEDIA</w:t>
      </w:r>
    </w:p>
    <w:p>
      <w:pPr>
        <w:pStyle w:val="ListBullet"/>
      </w:pPr>
      <w:r>
        <w:rPr>
          <w:b/>
        </w:rPr>
        <w:t>Ubicación:</w:t>
      </w:r>
      <w:r>
        <w:t xml:space="preserve"> Fig 2.13 (PDF 54 / impr. 43); Fig 3.8 (PDF 73 / impr. 62); PDF 75 / impr. 64; Highlights iv (PDF 5)</w:t>
      </w:r>
    </w:p>
    <w:p>
      <w:pPr>
        <w:pStyle w:val="ListBullet"/>
      </w:pPr>
      <w:r>
        <w:rPr>
          <w:b/>
        </w:rPr>
        <w:t>Cita:</w:t>
      </w:r>
      <w:r>
        <w:t xml:space="preserve"> Highlights iv: "…increases the risk of subsequent events (Figure 3.7, 3.8 and 3.9)".</w:t>
      </w:r>
    </w:p>
    <w:p>
      <w:pPr>
        <w:pStyle w:val="ListBullet"/>
      </w:pPr>
      <w:r>
        <w:rPr>
          <w:b/>
        </w:rPr>
        <w:t>Problema:</w:t>
      </w:r>
    </w:p>
    <w:p>
      <w:pPr>
        <w:pStyle w:val="ListBullet2"/>
      </w:pPr>
      <w:r>
        <w:t>Las casillas "mMRC 0-1, CAAT™ &lt; 10" y "mMRC ≥ 2, CAAT™ ≥ 10" no clasifican, por ejemplo, a un paciente con mMRC ≥2 y CAAT &lt;10, y la coma no indica si se exige uno o ambos criterios.</w:t>
      </w:r>
    </w:p>
    <w:p>
      <w:pPr>
        <w:pStyle w:val="ListBullet2"/>
      </w:pPr>
      <w:r>
        <w:t>El grupo E pasa a incluir una exacerbación moderada, pero la evidencia que se cita para el grupo B (EMAX) incluyó pacientes con una exacerbación moderada previa. Se extrapola sin explicarlo.</w:t>
      </w:r>
    </w:p>
    <w:p>
      <w:pPr>
        <w:pStyle w:val="ListBullet2"/>
      </w:pPr>
      <w:r>
        <w:t>Highlights iv sitúa el cambio de criterios en las Fig 3.7-3.9, cuando la herramienta ABE es la Fig 2.13.</w:t>
      </w:r>
    </w:p>
    <w:p>
      <w:pPr>
        <w:pStyle w:val="ListBullet"/>
      </w:pPr>
      <w:r>
        <w:rPr>
          <w:b/>
        </w:rPr>
        <w:t>Evidencia/justificación:</w:t>
      </w:r>
      <w:r>
        <w:t xml:space="preserve"> lectura de las figuras y de PDF 75 (descripción de EMAX).</w:t>
      </w:r>
    </w:p>
    <w:p>
      <w:pPr>
        <w:pStyle w:val="ListBullet"/>
      </w:pPr>
      <w:r>
        <w:rPr>
          <w:b/>
        </w:rPr>
        <w:t>Recomendación:</w:t>
      </w:r>
    </w:p>
    <w:p>
      <w:pPr>
        <w:pStyle w:val="ListBullet2"/>
      </w:pPr>
      <w:r>
        <w:t>Sustituir la coma por "o" (o "y/o") y declarar qué escala prevalece si son discordantes.</w:t>
      </w:r>
    </w:p>
    <w:p>
      <w:pPr>
        <w:pStyle w:val="ListBullet2"/>
      </w:pPr>
      <w:r>
        <w:t>Citar la Fig 2.13 en Highlights iv.</w:t>
      </w:r>
    </w:p>
    <w:p>
      <w:pPr>
        <w:pStyle w:val="ListBullet2"/>
      </w:pPr>
      <w:r>
        <w:t>Comentar la extrapolación de EMAX.</w:t>
      </w:r>
    </w:p>
    <w:p>
      <w:pPr>
        <w:pStyle w:val="ListBullet"/>
      </w:pPr>
      <w:r>
        <w:rPr>
          <w:b/>
        </w:rPr>
        <w:t>Confianza:</w:t>
      </w:r>
      <w:r>
        <w:t xml:space="preserve"> 4</w:t>
      </w:r>
    </w:p>
    <w:p>
      <w:pPr>
        <w:pStyle w:val="Heading4"/>
      </w:pPr>
      <w:r>
        <w:t>COH-10 · Mensajes opuestos sobre el valor de los eosinófilos para predecir exacerbaciones</w:t>
      </w:r>
    </w:p>
    <w:p>
      <w:r>
        <w:rPr>
          <w:i/>
        </w:rPr>
        <w:t xml:space="preserve">Severidad final: </w:t>
      </w:r>
      <w:r>
        <w:rPr>
          <w:i/>
          <w:color w:val="FFC000"/>
        </w:rPr>
        <w:t>🟡</w:t>
      </w:r>
      <w:r>
        <w:rPr>
          <w:i/>
        </w:rPr>
        <w:t xml:space="preserve"> MEDIA · Tema T07: Algoritmo farmacológico inicial/seguimiento (ABE, Fig 3.8-3.9, ICS, roflumilast)</w:t>
      </w:r>
    </w:p>
    <w:p>
      <w:pPr>
        <w:pStyle w:val="ListBullet"/>
      </w:pPr>
      <w:r>
        <w:rPr>
          <w:b/>
        </w:rPr>
        <w:t>Tipo:</w:t>
      </w:r>
      <w:r>
        <w:t xml:space="preserve"> Contradicción intercapítulos</w:t>
      </w:r>
    </w:p>
    <w:p>
      <w:pPr>
        <w:pStyle w:val="ListBullet"/>
      </w:pPr>
      <w:r>
        <w:rPr>
          <w:b/>
        </w:rPr>
        <w:t>Severidad:</w:t>
      </w:r>
      <w:r>
        <w:t xml:space="preserve"> MEDIA</w:t>
      </w:r>
    </w:p>
    <w:p>
      <w:pPr>
        <w:pStyle w:val="ListBullet"/>
      </w:pPr>
      <w:r>
        <w:rPr>
          <w:b/>
        </w:rPr>
        <w:t>Ubicación:</w:t>
      </w:r>
      <w:r>
        <w:t xml:space="preserve"> PDF 51 / impr. 40 y PDF 111 / impr. 100 (texto idéntico) frente a PDF 60 / impr. 49</w:t>
      </w:r>
    </w:p>
    <w:p>
      <w:pPr>
        <w:pStyle w:val="ListBullet"/>
      </w:pPr>
      <w:r>
        <w:rPr>
          <w:b/>
        </w:rPr>
        <w:t>Cita:</w:t>
      </w:r>
    </w:p>
    <w:p>
      <w:pPr>
        <w:pStyle w:val="ListBullet2"/>
      </w:pPr>
      <w:r>
        <w:t>PDF 51 y 111: "There is insufficient evidence to recommend that blood eosinophils should be used to predict future exacerbation risk on an individual basis".</w:t>
      </w:r>
    </w:p>
    <w:p>
      <w:pPr>
        <w:pStyle w:val="ListBullet2"/>
      </w:pPr>
      <w:r>
        <w:t>PDF 60: "high circulating eosinophil levels (a biomarker) identify patients with COPD who are at risk of exacerbations (a treatable trait)".</w:t>
      </w:r>
    </w:p>
    <w:p>
      <w:pPr>
        <w:pStyle w:val="ListBullet"/>
      </w:pPr>
      <w:r>
        <w:rPr>
          <w:b/>
        </w:rPr>
        <w:t>Problema:</w:t>
      </w:r>
      <w:r>
        <w:t xml:space="preserve"> la guía niega y afirma a la vez el valor pronóstico individual de los eosinófilos. En el resto del documento se usan para predecir la </w:t>
      </w:r>
      <w:r>
        <w:rPr>
          <w:i/>
        </w:rPr>
        <w:t>respuesta</w:t>
      </w:r>
      <w:r>
        <w:t xml:space="preserve"> a los ICS, no el riesgo.</w:t>
      </w:r>
    </w:p>
    <w:p>
      <w:pPr>
        <w:pStyle w:val="ListBullet"/>
      </w:pPr>
      <w:r>
        <w:rPr>
          <w:b/>
        </w:rPr>
        <w:t>Evidencia/justificación:</w:t>
      </w:r>
      <w:r>
        <w:t xml:space="preserve"> coherente con PDF 161 / impr. 150 (eosinófilos como predictores de la respuesta a ICS).</w:t>
      </w:r>
    </w:p>
    <w:p>
      <w:pPr>
        <w:pStyle w:val="ListBullet"/>
      </w:pPr>
      <w:r>
        <w:rPr>
          <w:b/>
        </w:rPr>
        <w:t>Recomendación:</w:t>
      </w:r>
    </w:p>
    <w:p>
      <w:pPr>
        <w:pStyle w:val="ListBullet2"/>
      </w:pPr>
      <w:r>
        <w:t>Reformular PDF 60: "…identify patients more likely to benefit from ICS".</w:t>
      </w:r>
    </w:p>
    <w:p>
      <w:pPr>
        <w:pStyle w:val="ListBullet2"/>
      </w:pPr>
      <w:r>
        <w:t>Sustituir el duplicado de PDF 111 por una remisión al cap. 2.</w:t>
      </w:r>
    </w:p>
    <w:p>
      <w:pPr>
        <w:pStyle w:val="ListBullet"/>
      </w:pPr>
      <w:r>
        <w:rPr>
          <w:b/>
        </w:rPr>
        <w:t>Confianza:</w:t>
      </w:r>
      <w:r>
        <w:t xml:space="preserve"> 4</w:t>
      </w:r>
    </w:p>
    <w:p>
      <w:pPr>
        <w:pStyle w:val="Heading4"/>
      </w:pPr>
      <w:r>
        <w:t>DX-14 · Umbrales de síntomas: mMRC ≥2 y CAAT ≥10 tratados como intercambiables pese a su discordancia reconocida; afirmación histórica inexacta</w:t>
      </w:r>
    </w:p>
    <w:p>
      <w:r>
        <w:rPr>
          <w:i/>
        </w:rPr>
        <w:t xml:space="preserve">Severidad final: </w:t>
      </w:r>
      <w:r>
        <w:rPr>
          <w:i/>
          <w:color w:val="FFC000"/>
        </w:rPr>
        <w:t>🟡</w:t>
      </w:r>
      <w:r>
        <w:rPr>
          <w:i/>
        </w:rPr>
        <w:t xml:space="preserve"> MEDIA · Tema T07: Algoritmo farmacológico inicial/seguimiento (ABE, Fig 3.8-3.9, ICS, roflumilast)</w:t>
      </w:r>
    </w:p>
    <w:p>
      <w:pPr>
        <w:pStyle w:val="ListBullet"/>
      </w:pPr>
      <w:r>
        <w:rPr>
          <w:b/>
        </w:rPr>
        <w:t>Tipo:</w:t>
      </w:r>
      <w:r>
        <w:t xml:space="preserve"> Ambigüedad / Error factual menor</w:t>
      </w:r>
    </w:p>
    <w:p>
      <w:pPr>
        <w:pStyle w:val="ListBullet"/>
      </w:pPr>
      <w:r>
        <w:rPr>
          <w:b/>
        </w:rPr>
        <w:t>Severidad:</w:t>
      </w:r>
      <w:r>
        <w:t xml:space="preserve"> MEDIA</w:t>
      </w:r>
    </w:p>
    <w:p>
      <w:pPr>
        <w:pStyle w:val="ListBullet"/>
      </w:pPr>
      <w:r>
        <w:rPr>
          <w:b/>
        </w:rPr>
        <w:t>Ubicación:</w:t>
      </w:r>
      <w:r>
        <w:t xml:space="preserve"> PDF 51 / impr. 40; Fig. 2.13 (PDF 54 / impr. 43); Fig. 3.8 (PDF 73 / impr. 62); PDF 48 / impr. 37</w:t>
      </w:r>
    </w:p>
    <w:p>
      <w:pPr>
        <w:pStyle w:val="ListBullet"/>
      </w:pPr>
      <w:r>
        <w:rPr>
          <w:b/>
        </w:rPr>
        <w:t>Cita:</w:t>
      </w:r>
      <w:r>
        <w:t xml:space="preserve"> «The great majority of patients with an SGRQ of ≥ 25 will have an mMRC of ≥ 1… an mMRC of ≥ 2 is still included as a threshold…» / «The mMRC scale was the first questionnaire developed to measure breathlessness».</w:t>
      </w:r>
    </w:p>
    <w:p>
      <w:pPr>
        <w:pStyle w:val="ListBullet"/>
      </w:pPr>
      <w:r>
        <w:rPr>
          <w:b/>
        </w:rPr>
        <w:t>Problema:</w:t>
      </w:r>
    </w:p>
    <w:p>
      <w:pPr>
        <w:pStyle w:val="ListBullet2"/>
      </w:pPr>
      <w:r>
        <w:rPr>
          <w:b/>
        </w:rPr>
        <w:t>Umbrales no equivalentes.</w:t>
      </w:r>
      <w:r>
        <w:t xml:space="preserve"> El propio texto reconoce que el equivalente de SGRQ ≥25 sería mMRC ≥1, y aun así la Fig. 2.13 usa «mMRC ≥2 o CAAT ≥10» como equivalentes. Con mMRC 0-1 y CAAT ≥10 (situación frecuente) el paciente cae en A o en B según el instrumento usado, lo que cambia el tratamiento inicial («A bronchodilator» frente a «LABA+LAMA», Fig. 3.8), y no se dice cuál prevalece.</w:t>
      </w:r>
    </w:p>
    <w:p>
      <w:pPr>
        <w:pStyle w:val="ListBullet2"/>
      </w:pPr>
      <w:r>
        <w:rPr>
          <w:b/>
        </w:rPr>
        <w:t>Afirmación histórica inexacta.</w:t>
      </w:r>
      <w:r>
        <w:t xml:space="preserve"> La escala MRC original (Fletcher, 1959-1960) es anterior a la mMRC, y existieron otros instrumentos de disnea previos.</w:t>
      </w:r>
    </w:p>
    <w:p>
      <w:pPr>
        <w:pStyle w:val="ListBullet"/>
      </w:pPr>
      <w:r>
        <w:rPr>
          <w:b/>
        </w:rPr>
        <w:t>Evidencia/justificación:</w:t>
      </w:r>
    </w:p>
    <w:p>
      <w:pPr>
        <w:pStyle w:val="ListBullet2"/>
      </w:pPr>
      <w:r>
        <w:t>Jones PW et al. ERJ 2013;42:647-654 (ref. 439): discordancia mMRC/CAT en la clasificación GOLD.</w:t>
      </w:r>
    </w:p>
    <w:p>
      <w:pPr>
        <w:pStyle w:val="ListBullet2"/>
      </w:pPr>
      <w:r>
        <w:t>Fletcher CM et al. BMJ 1959;2:257-266.</w:t>
      </w:r>
    </w:p>
    <w:p>
      <w:pPr>
        <w:pStyle w:val="ListBullet"/>
      </w:pPr>
      <w:r>
        <w:rPr>
          <w:b/>
        </w:rPr>
        <w:t>Recomendación:</w:t>
      </w:r>
    </w:p>
    <w:p>
      <w:pPr>
        <w:pStyle w:val="ListBullet2"/>
      </w:pPr>
      <w:r>
        <w:t>Indicar que, si hay discordancia, debe primar el instrumento integral (CAAT), coherente con «the use of a comprehensive symptom assessment is recommended».</w:t>
      </w:r>
    </w:p>
    <w:p>
      <w:pPr>
        <w:pStyle w:val="ListBullet2"/>
      </w:pPr>
      <w:r>
        <w:t>Corregir: «la escala MRC (y su versión modificada) fue uno de los primeros instrumentos…».</w:t>
      </w:r>
    </w:p>
    <w:p>
      <w:pPr>
        <w:pStyle w:val="ListBullet"/>
      </w:pPr>
      <w:r>
        <w:rPr>
          <w:b/>
        </w:rPr>
        <w:t>Confianza:</w:t>
      </w:r>
      <w:r>
        <w:t xml:space="preserve"> 4/5</w:t>
      </w:r>
    </w:p>
    <w:p>
      <w:pPr>
        <w:pStyle w:val="Heading4"/>
      </w:pPr>
      <w:r>
        <w:t>DX-16 · Eosinófilos: mensajes contradictorios sobre su valor pronóstico y omisión de los biológicos</w:t>
      </w:r>
    </w:p>
    <w:p>
      <w:r>
        <w:rPr>
          <w:i/>
        </w:rPr>
        <w:t xml:space="preserve">Severidad final: </w:t>
      </w:r>
      <w:r>
        <w:rPr>
          <w:i/>
          <w:color w:val="FFC000"/>
        </w:rPr>
        <w:t>🟡</w:t>
      </w:r>
      <w:r>
        <w:rPr>
          <w:i/>
        </w:rPr>
        <w:t xml:space="preserve"> MEDIA · Tema T07: Algoritmo farmacológico inicial/seguimiento (ABE, Fig 3.8-3.9, ICS, roflumilast)</w:t>
      </w:r>
    </w:p>
    <w:p>
      <w:pPr>
        <w:pStyle w:val="ListBullet"/>
      </w:pPr>
      <w:r>
        <w:rPr>
          <w:b/>
        </w:rPr>
        <w:t>Tipo:</w:t>
      </w:r>
      <w:r>
        <w:t xml:space="preserve"> Incongruencia interna / Omisión</w:t>
      </w:r>
    </w:p>
    <w:p>
      <w:pPr>
        <w:pStyle w:val="ListBullet"/>
      </w:pPr>
      <w:r>
        <w:rPr>
          <w:b/>
        </w:rPr>
        <w:t>Severidad:</w:t>
      </w:r>
      <w:r>
        <w:t xml:space="preserve"> MEDIA</w:t>
      </w:r>
    </w:p>
    <w:p>
      <w:pPr>
        <w:pStyle w:val="ListBullet"/>
      </w:pPr>
      <w:r>
        <w:rPr>
          <w:b/>
        </w:rPr>
        <w:t>Ubicación:</w:t>
      </w:r>
      <w:r>
        <w:t xml:space="preserve"> PDF 51 / impr. 40; PDF 59-60 / impr. 48-49 (biomarcadores y rasgos tratables); cap. 3, PDF 76 / impr. 65; Figs. 3.9-3.11 (PDF 74, 78 y 79)</w:t>
      </w:r>
    </w:p>
    <w:p>
      <w:pPr>
        <w:pStyle w:val="ListBullet"/>
      </w:pPr>
      <w:r>
        <w:rPr>
          <w:b/>
        </w:rPr>
        <w:t>Cita:</w:t>
      </w:r>
      <w:r>
        <w:t xml:space="preserve"> PDF 51: «There is insufficient evidence to recommend that blood eosinophils should be used to predict future exacerbation risk on an individual basis». PDF 60: «high circulating eosinophil levels (a biomarker) identify patients with COPD who are at risk of exacerbations (a treatable trait)…».</w:t>
      </w:r>
    </w:p>
    <w:p>
      <w:pPr>
        <w:pStyle w:val="ListBullet"/>
      </w:pPr>
      <w:r>
        <w:rPr>
          <w:b/>
        </w:rPr>
        <w:t>Problema:</w:t>
      </w:r>
    </w:p>
    <w:p>
      <w:pPr>
        <w:pStyle w:val="ListBullet2"/>
      </w:pPr>
      <w:r>
        <w:rPr>
          <w:b/>
        </w:rPr>
        <w:t>Contradicción sobre el pronóstico.</w:t>
      </w:r>
      <w:r>
        <w:t xml:space="preserve"> La sección de rasgos tratables atribuye a los eosinófilos un valor pronóstico individual que el apartado específico niega. El cap. 3 (PDF 76) incluye además los eosinófilos al revisar el riesgo de exacerbación.</w:t>
      </w:r>
    </w:p>
    <w:p>
      <w:pPr>
        <w:pStyle w:val="ListBullet2"/>
      </w:pPr>
      <w:r>
        <w:rPr>
          <w:b/>
        </w:rPr>
        <w:t>Omisión de los biológicos.</w:t>
      </w:r>
      <w:r>
        <w:t xml:space="preserve"> La sección de biomarcadores dice que los eosinófilos solo guían los ICS. Omite que la Fig. 3.9 y la Fig. 3.11 los usan para indicar biológicos anti-IL-4Rα/IL-5 (≥300 células/µL), con remisión a las Figs. 3.8-3.10 pero no a la 3.11.</w:t>
      </w:r>
    </w:p>
    <w:p>
      <w:pPr>
        <w:pStyle w:val="ListBullet2"/>
      </w:pPr>
      <w:r>
        <w:rPr>
          <w:b/>
        </w:rPr>
        <w:t>Medición sin protocolo.</w:t>
      </w:r>
      <w:r>
        <w:t xml:space="preserve"> No se especifica cómo medir: número de determinaciones, situación clínica estable, efecto de los corticoides orales o ICS, ni valores absolutos frente a porcentaje.</w:t>
      </w:r>
    </w:p>
    <w:p>
      <w:pPr>
        <w:pStyle w:val="ListBullet"/>
      </w:pPr>
      <w:r>
        <w:rPr>
          <w:b/>
        </w:rPr>
        <w:t>Evidencia/justificación:</w:t>
      </w:r>
    </w:p>
    <w:p>
      <w:pPr>
        <w:pStyle w:val="ListBullet2"/>
      </w:pPr>
      <w:r>
        <w:t>Bhatt SP et al. NEJM 2023;389:205-214 (BOREAS) y NEJM 2024 (NOTUS): dupilumab, eosinófilos ≥300.</w:t>
      </w:r>
    </w:p>
    <w:p>
      <w:pPr>
        <w:pStyle w:val="ListBullet2"/>
      </w:pPr>
      <w:r>
        <w:t>Refs. 453-461 del propio informe.</w:t>
      </w:r>
    </w:p>
    <w:p>
      <w:pPr>
        <w:pStyle w:val="ListBullet"/>
      </w:pPr>
      <w:r>
        <w:rPr>
          <w:b/>
        </w:rPr>
        <w:t>Recomendación:</w:t>
      </w:r>
    </w:p>
    <w:p>
      <w:pPr>
        <w:pStyle w:val="ListBullet2"/>
      </w:pPr>
      <w:r>
        <w:t>Reformular PDF 60: «los eosinófilos elevados identifican a pacientes con exacerbaciones en quienes los ICS (y, en casos seleccionados, los biológicos) son más eficaces».</w:t>
      </w:r>
    </w:p>
    <w:p>
      <w:pPr>
        <w:pStyle w:val="ListBullet2"/>
      </w:pPr>
      <w:r>
        <w:t>Añadir la Fig. 3.11 a las remisiones.</w:t>
      </w:r>
    </w:p>
    <w:p>
      <w:pPr>
        <w:pStyle w:val="ListBullet2"/>
      </w:pPr>
      <w:r>
        <w:t>Incluir una nota práctica de medición: en fase estable, sin corticoides sistémicos recientes, repetir si el valor está cerca del umbral.</w:t>
      </w:r>
    </w:p>
    <w:p>
      <w:pPr>
        <w:pStyle w:val="ListBullet"/>
      </w:pPr>
      <w:r>
        <w:rPr>
          <w:b/>
        </w:rPr>
        <w:t>Confianza:</w:t>
      </w:r>
      <w:r>
        <w:t xml:space="preserve"> 4/5</w:t>
      </w:r>
    </w:p>
    <w:p>
      <w:pPr>
        <w:pStyle w:val="Heading4"/>
      </w:pPr>
      <w:r>
        <w:t>FARM-13 · Retirada de ICS: criterios divergentes y "no response" sin definir</w:t>
      </w:r>
    </w:p>
    <w:p>
      <w:r>
        <w:rPr>
          <w:i/>
        </w:rPr>
        <w:t xml:space="preserve">Severidad final: </w:t>
      </w:r>
      <w:r>
        <w:rPr>
          <w:i/>
          <w:color w:val="FFC000"/>
        </w:rPr>
        <w:t>🟡</w:t>
      </w:r>
      <w:r>
        <w:rPr>
          <w:i/>
        </w:rPr>
        <w:t xml:space="preserve"> MEDIA · Tema T07: Algoritmo farmacológico inicial/seguimiento (ABE, Fig 3.8-3.9, ICS, roflumilast)</w:t>
      </w:r>
    </w:p>
    <w:p>
      <w:pPr>
        <w:pStyle w:val="ListBullet"/>
      </w:pPr>
      <w:r>
        <w:rPr>
          <w:b/>
        </w:rPr>
        <w:t>Tipo:</w:t>
      </w:r>
      <w:r>
        <w:t xml:space="preserve"> Ambigüedad / Incongruencia interna</w:t>
      </w:r>
    </w:p>
    <w:p>
      <w:pPr>
        <w:pStyle w:val="ListBullet"/>
      </w:pPr>
      <w:r>
        <w:rPr>
          <w:b/>
        </w:rPr>
        <w:t>Severidad:</w:t>
      </w:r>
      <w:r>
        <w:t xml:space="preserve"> MEDIA</w:t>
      </w:r>
    </w:p>
    <w:p>
      <w:pPr>
        <w:pStyle w:val="ListBullet"/>
      </w:pPr>
      <w:r>
        <w:rPr>
          <w:b/>
        </w:rPr>
        <w:t>Ubicación:</w:t>
      </w:r>
      <w:r>
        <w:t xml:space="preserve"> PDF 77 / impr. 66 (texto); PDF 74 / impr. 63 (nota de la Fig 3.9); PDF 78 / impr. 67 (Fig 3.10)</w:t>
      </w:r>
    </w:p>
    <w:p>
      <w:pPr>
        <w:pStyle w:val="ListBullet"/>
      </w:pPr>
      <w:r>
        <w:rPr>
          <w:b/>
        </w:rPr>
        <w:t>Cita:</w:t>
      </w:r>
    </w:p>
    <w:p>
      <w:pPr>
        <w:pStyle w:val="ListBullet2"/>
      </w:pPr>
      <w:r>
        <w:t>Texto: "should not have the ICS component withdrawn unless the ICS was started inappropriately, there has been no response to ICS or they experience significant side-effects or severe or recurrent pneumonia".</w:t>
      </w:r>
    </w:p>
    <w:p>
      <w:pPr>
        <w:pStyle w:val="ListBullet2"/>
      </w:pPr>
      <w:r>
        <w:t>Fig 3.9: "Consider de-escalation of ICS if pneumonia or other considerable side-effects".</w:t>
      </w:r>
    </w:p>
    <w:p>
      <w:pPr>
        <w:pStyle w:val="ListBullet"/>
      </w:pPr>
      <w:r>
        <w:rPr>
          <w:b/>
        </w:rPr>
        <w:t>Problema:</w:t>
      </w:r>
    </w:p>
    <w:p>
      <w:pPr>
        <w:pStyle w:val="ListBullet2"/>
      </w:pPr>
      <w:r>
        <w:t>La figura invita a retirar el ICS tras cualquier neumonía; el texto exige que sea grave o recurrente, y la Fig 3.10 habla de "repeated pneumonia events".</w:t>
      </w:r>
    </w:p>
    <w:p>
      <w:pPr>
        <w:pStyle w:val="ListBullet2"/>
      </w:pPr>
      <w:r>
        <w:t>"No response to ICS" no tiene definición operativa: no se fijan periodo de observación ni número de exacerbaciones.</w:t>
      </w:r>
    </w:p>
    <w:p>
      <w:pPr>
        <w:pStyle w:val="ListBullet2"/>
      </w:pPr>
      <w:r>
        <w:t>Tampoco se indica cómo retirarlo (de forma escalonada o brusca) ni que se mantengan los dos broncodilatadores. Ambos aspectos son relevantes según WISDOM (Magnussen H et al., NEJM 2014;371:1285-94) y SUNSET (Chapman KR et al., AJRCCM 2018;198:329-339; ref 692/693).</w:t>
      </w:r>
    </w:p>
    <w:p>
      <w:pPr>
        <w:pStyle w:val="ListBullet2"/>
      </w:pPr>
      <w:r>
        <w:t>La Fig 3.10 se titula "Factors… when initiating ICS" y advierte que la retirada es distinta, pero no existe una figura equivalente para la retirada.</w:t>
      </w:r>
    </w:p>
    <w:p>
      <w:pPr>
        <w:pStyle w:val="ListBullet"/>
      </w:pPr>
      <w:r>
        <w:rPr>
          <w:b/>
        </w:rPr>
        <w:t>Evidencia/justificación:</w:t>
      </w:r>
      <w:r>
        <w:t xml:space="preserve"> en SUNSET y WISDOM, el riesgo de exacerbación tras la retirada se concentra en pacientes con eos ≥300; en el resto, la retirada a LABA+LAMA fue segura.</w:t>
      </w:r>
    </w:p>
    <w:p>
      <w:pPr>
        <w:pStyle w:val="ListBullet"/>
      </w:pPr>
      <w:r>
        <w:rPr>
          <w:b/>
        </w:rPr>
        <w:t>Recomendación:</w:t>
      </w:r>
    </w:p>
    <w:p>
      <w:pPr>
        <w:pStyle w:val="ListBullet2"/>
      </w:pPr>
      <w:r>
        <w:t>Unificar el criterio de neumonía ("neumonía grave o recurrente").</w:t>
      </w:r>
    </w:p>
    <w:p>
      <w:pPr>
        <w:pStyle w:val="ListBullet2"/>
      </w:pPr>
      <w:r>
        <w:t>Definir "ausencia de respuesta", p. ej., ≥1 exacerbación moderada/grave tras ≥6-12 meses de triple terapia con buena adherencia y técnica, y eos &lt;100.</w:t>
      </w:r>
    </w:p>
    <w:p>
      <w:pPr>
        <w:pStyle w:val="ListBullet2"/>
      </w:pPr>
      <w:r>
        <w:t>Añadir una minifigura de retirada: mantener LABA+LAMA, vigilar 3-6 meses y evitar retirar con eos ≥300.</w:t>
      </w:r>
    </w:p>
    <w:p>
      <w:pPr>
        <w:pStyle w:val="ListBullet"/>
      </w:pPr>
      <w:r>
        <w:rPr>
          <w:b/>
        </w:rPr>
        <w:t>Confianza:</w:t>
      </w:r>
      <w:r>
        <w:t xml:space="preserve"> 4/5</w:t>
      </w:r>
    </w:p>
    <w:p>
      <w:pPr>
        <w:pStyle w:val="Heading4"/>
      </w:pPr>
      <w:r>
        <w:t>FARM-16 · "Disease activity": concepto nuevo sin definición operativa</w:t>
      </w:r>
    </w:p>
    <w:p>
      <w:r>
        <w:rPr>
          <w:i/>
        </w:rPr>
        <w:t xml:space="preserve">Severidad final: </w:t>
      </w:r>
      <w:r>
        <w:rPr>
          <w:i/>
          <w:color w:val="FFC000"/>
        </w:rPr>
        <w:t>🟡</w:t>
      </w:r>
      <w:r>
        <w:rPr>
          <w:i/>
        </w:rPr>
        <w:t xml:space="preserve"> MEDIA · Tema T07: Algoritmo farmacológico inicial/seguimiento (ABE, Fig 3.8-3.9, ICS, roflumilast)</w:t>
      </w:r>
    </w:p>
    <w:p>
      <w:pPr>
        <w:pStyle w:val="ListBullet"/>
      </w:pPr>
      <w:r>
        <w:rPr>
          <w:b/>
        </w:rPr>
        <w:t>Tipo:</w:t>
      </w:r>
      <w:r>
        <w:t xml:space="preserve"> Ambigüedad / Evidencia mal representada</w:t>
      </w:r>
    </w:p>
    <w:p>
      <w:pPr>
        <w:pStyle w:val="ListBullet"/>
      </w:pPr>
      <w:r>
        <w:rPr>
          <w:b/>
        </w:rPr>
        <w:t>Severidad:</w:t>
      </w:r>
      <w:r>
        <w:t xml:space="preserve"> MEDIA</w:t>
      </w:r>
    </w:p>
    <w:p>
      <w:pPr>
        <w:pStyle w:val="ListBullet"/>
      </w:pPr>
      <w:r>
        <w:rPr>
          <w:b/>
        </w:rPr>
        <w:t>Ubicación:</w:t>
      </w:r>
      <w:r>
        <w:t xml:space="preserve"> PDF 62-64 / impr. 51-53 (Disease activity); PDF 63 (Fig 3.2); PDF 74 / impr. 63; Highlights (PDF 5)</w:t>
      </w:r>
    </w:p>
    <w:p>
      <w:pPr>
        <w:pStyle w:val="ListBullet"/>
      </w:pPr>
      <w:r>
        <w:rPr>
          <w:b/>
        </w:rPr>
        <w:t>Cita:</w:t>
      </w:r>
    </w:p>
    <w:p>
      <w:pPr>
        <w:pStyle w:val="ListBullet2"/>
      </w:pPr>
      <w:r>
        <w:t>"Pharmacological treatment with anti-inflammatory drugs can reduce disease activity and therefore potentially prevent organ damage in COPD".</w:t>
      </w:r>
    </w:p>
    <w:p>
      <w:pPr>
        <w:pStyle w:val="ListBullet2"/>
      </w:pPr>
      <w:r>
        <w:t>"disease control… symptoms below a threshold value.(557)"</w:t>
      </w:r>
    </w:p>
    <w:p>
      <w:pPr>
        <w:pStyle w:val="ListBullet"/>
      </w:pPr>
      <w:r>
        <w:rPr>
          <w:b/>
        </w:rPr>
        <w:t>Problema:</w:t>
      </w:r>
    </w:p>
    <w:p>
      <w:pPr>
        <w:pStyle w:val="ListNumber"/>
        <w:numPr>
          <w:ilvl w:val="0"/>
          <w:numId w:val="31"/>
        </w:numPr>
      </w:pPr>
      <w:r>
        <w:rPr>
          <w:b/>
        </w:rPr>
        <w:t>Falta una definición operativa:</w:t>
      </w:r>
      <w:r>
        <w:t xml:space="preserve"> no se fija la ventana temporal (6 o 12 meses), el umbral de "accelerated loss" de FEV1 (mL/año) ni el "threshold value" de síntomas (¿CAAT &lt;10?, ¿mMRC &lt;2?).</w:t>
      </w:r>
    </w:p>
    <w:p>
      <w:pPr>
        <w:pStyle w:val="ListNumber"/>
        <w:numPr>
          <w:ilvl w:val="0"/>
          <w:numId w:val="31"/>
        </w:numPr>
      </w:pPr>
      <w:r>
        <w:rPr>
          <w:b/>
        </w:rPr>
        <w:t>El seguimiento propuesto no basta:</w:t>
      </w:r>
      <w:r>
        <w:t xml:space="preserve"> la espirometría anual (PDF 74) no es suficiente para detectar una pérdida acelerada, dada la variabilidad intraindividual. En ECLIPSE hicieron falta ≥3 años de mediciones seriadas para estimar pendientes individuales.</w:t>
      </w:r>
    </w:p>
    <w:p>
      <w:pPr>
        <w:pStyle w:val="ListNumber"/>
        <w:numPr>
          <w:ilvl w:val="0"/>
          <w:numId w:val="31"/>
        </w:numPr>
      </w:pPr>
      <w:r>
        <w:rPr>
          <w:b/>
        </w:rPr>
        <w:t>Se mezclan planos conceptuales:</w:t>
      </w:r>
      <w:r>
        <w:t xml:space="preserve"> procesos biológicos ("biological pathways") con indicadores clínicos. Además, se atribuye a la reducción de volumen pulmonar una reducción de la "disease activity", cuando su efecto es mecánico.</w:t>
      </w:r>
    </w:p>
    <w:p>
      <w:pPr>
        <w:pStyle w:val="ListNumber"/>
        <w:numPr>
          <w:ilvl w:val="0"/>
          <w:numId w:val="31"/>
        </w:numPr>
      </w:pPr>
      <w:r>
        <w:rPr>
          <w:b/>
        </w:rPr>
        <w:t>Falta evidencia de modificación estructural:</w:t>
      </w:r>
      <w:r>
        <w:t xml:space="preserve"> ningún antiinflamatorio ha demostrado prevenir el daño estructural o la progresión del enfisema en la EPOC (ISOLDE, EUROSCOP, TORCH post hoc).</w:t>
      </w:r>
    </w:p>
    <w:p>
      <w:pPr>
        <w:pStyle w:val="ListBullet"/>
      </w:pPr>
      <w:r>
        <w:rPr>
          <w:b/>
        </w:rPr>
        <w:t>Evidencia/justificación:</w:t>
      </w:r>
      <w:r>
        <w:t xml:space="preserve"> Vestbo J et al., NEJM 2011;365:1184-92 (ECLIPSE: heterogeneidad del declive del FEV1 y necesidad de mediciones repetidas).</w:t>
      </w:r>
    </w:p>
    <w:p>
      <w:pPr>
        <w:pStyle w:val="ListBullet"/>
      </w:pPr>
      <w:r>
        <w:rPr>
          <w:b/>
        </w:rPr>
        <w:t>Recomendación:</w:t>
      </w:r>
      <w:r>
        <w:t xml:space="preserve"> definir "baja actividad", "estabilidad" y "control" con criterios medibles. Ejemplo:</w:t>
      </w:r>
    </w:p>
    <w:p>
      <w:pPr>
        <w:pStyle w:val="ListBullet2"/>
      </w:pPr>
      <w:r>
        <w:t>0 exacerbaciones moderadas o graves en 12 meses.</w:t>
      </w:r>
    </w:p>
    <w:p>
      <w:pPr>
        <w:pStyle w:val="ListBullet2"/>
      </w:pPr>
      <w:r>
        <w:t>Ausencia de empeoramiento del CAAT ≥2 puntos (diferencia mínima clínicamente importante).</w:t>
      </w:r>
    </w:p>
    <w:p>
      <w:pPr>
        <w:pStyle w:val="ListBullet2"/>
      </w:pPr>
      <w:r>
        <w:t>Declive del FEV1 &lt;40 mL/año estimado con ≥3 espirometrías.</w:t>
      </w:r>
    </w:p>
    <w:p>
      <w:pPr>
        <w:pStyle w:val="ListBullet2"/>
      </w:pPr>
      <w:r>
        <w:t>Para "control", además, CAAT &lt;10 o mMRC &lt;2.</w:t>
      </w:r>
    </w:p>
    <w:p>
      <w:pPr>
        <w:pStyle w:val="ListBullet2"/>
      </w:pPr>
      <w:r>
        <w:t>Rebajar "prevent organ damage" a hipótesis.</w:t>
      </w:r>
    </w:p>
    <w:p>
      <w:pPr>
        <w:pStyle w:val="ListBullet"/>
      </w:pPr>
      <w:r>
        <w:rPr>
          <w:b/>
        </w:rPr>
        <w:t>Confianza:</w:t>
      </w:r>
      <w:r>
        <w:t xml:space="preserve"> 4/5</w:t>
      </w:r>
    </w:p>
    <w:p>
      <w:pPr>
        <w:pStyle w:val="Heading4"/>
      </w:pPr>
      <w:r>
        <w:t>FARM-17 · Rehabilitación pulmonar "in severe patients" en la revisión del seguimiento</w:t>
      </w:r>
    </w:p>
    <w:p>
      <w:r>
        <w:rPr>
          <w:i/>
        </w:rPr>
        <w:t xml:space="preserve">Severidad final: </w:t>
      </w:r>
      <w:r>
        <w:rPr>
          <w:i/>
          <w:color w:val="FFC000"/>
        </w:rPr>
        <w:t>🟡</w:t>
      </w:r>
      <w:r>
        <w:rPr>
          <w:i/>
        </w:rPr>
        <w:t xml:space="preserve"> MEDIA · Tema T07: Algoritmo farmacológico inicial/seguimiento (ABE, Fig 3.8-3.9, ICS, roflumilast)</w:t>
      </w:r>
    </w:p>
    <w:p>
      <w:pPr>
        <w:pStyle w:val="ListBullet"/>
      </w:pPr>
      <w:r>
        <w:rPr>
          <w:b/>
        </w:rPr>
        <w:t>Tipo:</w:t>
      </w:r>
      <w:r>
        <w:t xml:space="preserve"> Incongruencia interna</w:t>
      </w:r>
    </w:p>
    <w:p>
      <w:pPr>
        <w:pStyle w:val="ListBullet"/>
      </w:pPr>
      <w:r>
        <w:rPr>
          <w:b/>
        </w:rPr>
        <w:t>Severidad:</w:t>
      </w:r>
      <w:r>
        <w:t xml:space="preserve"> MEDIA</w:t>
      </w:r>
    </w:p>
    <w:p>
      <w:pPr>
        <w:pStyle w:val="ListBullet"/>
      </w:pPr>
      <w:r>
        <w:rPr>
          <w:b/>
        </w:rPr>
        <w:t>Ubicación:</w:t>
      </w:r>
      <w:r>
        <w:t xml:space="preserve"> PDF 74 / impr. 63 vs PDF 61 / impr. 50 (key points) y PDF 85 / impr. 74</w:t>
      </w:r>
    </w:p>
    <w:p>
      <w:pPr>
        <w:pStyle w:val="ListBullet"/>
      </w:pPr>
      <w:r>
        <w:rPr>
          <w:b/>
        </w:rPr>
        <w:t>Cita:</w:t>
      </w:r>
      <w:r>
        <w:t xml:space="preserve"> "Physical activity should be encouraged and referral for pulmonary rehabilitation considered in severe patients."</w:t>
      </w:r>
    </w:p>
    <w:p>
      <w:pPr>
        <w:pStyle w:val="ListBullet"/>
      </w:pPr>
      <w:r>
        <w:rPr>
          <w:b/>
        </w:rPr>
        <w:t>Problema:</w:t>
      </w:r>
      <w:r>
        <w:t xml:space="preserve"> restringe la derivación a los pacientes "graves", en contradicción con:</w:t>
      </w:r>
    </w:p>
    <w:p>
      <w:pPr>
        <w:pStyle w:val="ListBullet2"/>
      </w:pPr>
      <w:r>
        <w:t>Key points: beneficio "across all grades of COPD severity".</w:t>
      </w:r>
    </w:p>
    <w:p>
      <w:pPr>
        <w:pStyle w:val="ListBullet2"/>
      </w:pPr>
      <w:r>
        <w:t>PDF 85: indicada en los grupos B y E.</w:t>
      </w:r>
    </w:p>
    <w:p>
      <w:pPr>
        <w:pStyle w:val="ListBullet2"/>
      </w:pPr>
      <w:r>
        <w:t>La Fig 3.9, que propone "implement or escalate non-pharmacological treatment(s)" ante disnea persistente.</w:t>
      </w:r>
    </w:p>
    <w:p>
      <w:r>
        <w:t>Esta restricción favorece la infrautilización de una intervención con evidencia A.</w:t>
      </w:r>
    </w:p>
    <w:p>
      <w:pPr>
        <w:pStyle w:val="ListBullet"/>
      </w:pPr>
      <w:r>
        <w:rPr>
          <w:b/>
        </w:rPr>
        <w:t>Evidencia/justificación:</w:t>
      </w:r>
      <w:r>
        <w:t xml:space="preserve"> propio documento (PDF 61 y 85); Cochrane McCarthy 2015 (CD003793).</w:t>
      </w:r>
    </w:p>
    <w:p>
      <w:pPr>
        <w:pStyle w:val="ListBullet"/>
      </w:pPr>
      <w:r>
        <w:rPr>
          <w:b/>
        </w:rPr>
        <w:t>Recomendación:</w:t>
      </w:r>
      <w:r>
        <w:t xml:space="preserve"> "considerar la derivación a rehabilitación en todo paciente con disnea relevante (grupo B) o tras una exacerbación (grupo E), con independencia del FEV1".</w:t>
      </w:r>
    </w:p>
    <w:p>
      <w:pPr>
        <w:pStyle w:val="ListBullet"/>
      </w:pPr>
      <w:r>
        <w:rPr>
          <w:b/>
        </w:rPr>
        <w:t>Confianza:</w:t>
      </w:r>
      <w:r>
        <w:t xml:space="preserve"> 5/5</w:t>
      </w:r>
    </w:p>
    <w:p>
      <w:pPr>
        <w:pStyle w:val="Heading4"/>
      </w:pPr>
      <w:r>
        <w:t>FARM-20 · Fig A3.1: nombres, presentaciones y omisiones con posible impacto en la prescripción</w:t>
      </w:r>
    </w:p>
    <w:p>
      <w:r>
        <w:rPr>
          <w:i/>
        </w:rPr>
        <w:t xml:space="preserve">Severidad final: </w:t>
      </w:r>
      <w:r>
        <w:rPr>
          <w:i/>
          <w:color w:val="FFC000"/>
        </w:rPr>
        <w:t>🟡</w:t>
      </w:r>
      <w:r>
        <w:rPr>
          <w:i/>
        </w:rPr>
        <w:t xml:space="preserve"> MEDIA · Tema T07: Algoritmo farmacológico inicial/seguimiento (ABE, Fig 3.8-3.9, ICS, roflumilast)</w:t>
      </w:r>
    </w:p>
    <w:p>
      <w:pPr>
        <w:pStyle w:val="ListBullet"/>
      </w:pPr>
      <w:r>
        <w:rPr>
          <w:b/>
        </w:rPr>
        <w:t>Tipo:</w:t>
      </w:r>
      <w:r>
        <w:t xml:space="preserve"> Error factual / Omisión</w:t>
      </w:r>
    </w:p>
    <w:p>
      <w:pPr>
        <w:pStyle w:val="ListBullet"/>
      </w:pPr>
      <w:r>
        <w:rPr>
          <w:b/>
        </w:rPr>
        <w:t>Severidad:</w:t>
      </w:r>
      <w:r>
        <w:t xml:space="preserve"> MEDIA</w:t>
      </w:r>
    </w:p>
    <w:p>
      <w:pPr>
        <w:pStyle w:val="ListBullet"/>
      </w:pPr>
      <w:r>
        <w:rPr>
          <w:b/>
        </w:rPr>
        <w:t>Ubicación:</w:t>
      </w:r>
      <w:r>
        <w:t xml:space="preserve"> PDF 156 / impr. 145 (Fig A3.1, "Maintenance Medications in COPD"); remitida desde el cap. 3 (PDF 78, 81)</w:t>
      </w:r>
    </w:p>
    <w:p>
      <w:pPr>
        <w:pStyle w:val="ListBullet"/>
      </w:pPr>
      <w:r>
        <w:rPr>
          <w:b/>
        </w:rPr>
        <w:t>Cita:</w:t>
      </w:r>
      <w:r>
        <w:t xml:space="preserve"> "Fluticasone/umeclidinium/vilanterol"; "Formoterol/mometasone — MDI"; "Glycopyrronium bromide… solution".</w:t>
      </w:r>
    </w:p>
    <w:p>
      <w:pPr>
        <w:pStyle w:val="ListBullet"/>
      </w:pPr>
      <w:r>
        <w:rPr>
          <w:b/>
        </w:rPr>
        <w:t>Problema:</w:t>
      </w:r>
    </w:p>
    <w:p>
      <w:pPr>
        <w:pStyle w:val="ListBullet2"/>
      </w:pPr>
      <w:r>
        <w:rPr>
          <w:b/>
        </w:rPr>
        <w:t>Nomenclatura:</w:t>
      </w:r>
      <w:r>
        <w:t xml:space="preserve"> "Fluticasone" en la triple terapia sin "furoate", cuando en la misma tabla sí se distingue "fluticasone propionate" o "furoate" en LABA+ICS. Puede confundirse con el propionato, que tiene otra dosis.</w:t>
      </w:r>
    </w:p>
    <w:p>
      <w:pPr>
        <w:pStyle w:val="ListBullet2"/>
      </w:pPr>
      <w:r>
        <w:rPr>
          <w:b/>
        </w:rPr>
        <w:t>Indicaciones:</w:t>
      </w:r>
      <w:r>
        <w:t xml:space="preserve"> formoterol/mometasona aparece entre los fármacos de EPOC aunque, en la mayoría de jurisdicciones (FDA, EMA), solo está autorizado para asma.</w:t>
      </w:r>
    </w:p>
    <w:p>
      <w:pPr>
        <w:pStyle w:val="ListBullet2"/>
      </w:pPr>
      <w:r>
        <w:rPr>
          <w:b/>
        </w:rPr>
        <w:t>Presentaciones:</w:t>
      </w:r>
      <w:r>
        <w:t xml:space="preserve"> el glicopirronio en "solution" (oral o inyectable) no tiene uso en EPOC. A fenoterol/ipratropio le falta la presentación MDI. No figura formoterol MDI.</w:t>
      </w:r>
    </w:p>
    <w:p>
      <w:pPr>
        <w:pStyle w:val="ListBullet2"/>
      </w:pPr>
      <w:r>
        <w:rPr>
          <w:b/>
        </w:rPr>
        <w:t>Ausencia de los macrólidos de mantenimiento</w:t>
      </w:r>
      <w:r>
        <w:t xml:space="preserve"> (azitromicina y eritromicina), a pesar de estar en las Figs 3.9 y 4.11.</w:t>
      </w:r>
    </w:p>
    <w:p>
      <w:pPr>
        <w:pStyle w:val="ListBullet2"/>
      </w:pPr>
      <w:r>
        <w:rPr>
          <w:b/>
        </w:rPr>
        <w:t>Sin dosis:</w:t>
      </w:r>
      <w:r>
        <w:t xml:space="preserve"> p. ej., roflumilast 500 µg/día con posible inicio a 250 µg durante 4 semanas.</w:t>
      </w:r>
    </w:p>
    <w:p>
      <w:pPr>
        <w:pStyle w:val="ListBullet"/>
      </w:pPr>
      <w:r>
        <w:rPr>
          <w:b/>
        </w:rPr>
        <w:t>Evidencia/justificación:</w:t>
      </w:r>
    </w:p>
    <w:p>
      <w:pPr>
        <w:pStyle w:val="ListBullet2"/>
      </w:pPr>
      <w:r>
        <w:t xml:space="preserve">Fichas técnicas FDA/EMA (Trelegy Ellipta: fluticasone </w:t>
      </w:r>
      <w:r>
        <w:rPr>
          <w:i/>
        </w:rPr>
        <w:t>furoate</w:t>
      </w:r>
      <w:r>
        <w:t>; Dulera/Zenhale: indicación de asma).</w:t>
      </w:r>
    </w:p>
    <w:p>
      <w:pPr>
        <w:pStyle w:val="ListBullet2"/>
      </w:pPr>
      <w:r>
        <w:t>Ficha técnica de Daxas (pauta de inicio con 250 µg).</w:t>
      </w:r>
    </w:p>
    <w:p>
      <w:pPr>
        <w:pStyle w:val="ListBullet"/>
      </w:pPr>
      <w:r>
        <w:rPr>
          <w:b/>
        </w:rPr>
        <w:t>Recomendación:</w:t>
      </w:r>
    </w:p>
    <w:p>
      <w:pPr>
        <w:pStyle w:val="ListBullet2"/>
      </w:pPr>
      <w:r>
        <w:t>Nombrar los ICS por su sal o éster en toda la tabla.</w:t>
      </w:r>
    </w:p>
    <w:p>
      <w:pPr>
        <w:pStyle w:val="ListBullet2"/>
      </w:pPr>
      <w:r>
        <w:t>Retirar o marcar las combinaciones sin indicación en EPOC y las formulaciones no respiratorias.</w:t>
      </w:r>
    </w:p>
    <w:p>
      <w:pPr>
        <w:pStyle w:val="ListBullet2"/>
      </w:pPr>
      <w:r>
        <w:t>Añadir los macrólidos y una columna de dosis habituales.</w:t>
      </w:r>
    </w:p>
    <w:p>
      <w:pPr>
        <w:pStyle w:val="ListBullet"/>
      </w:pPr>
      <w:r>
        <w:rPr>
          <w:b/>
        </w:rPr>
        <w:t>Confianza:</w:t>
      </w:r>
      <w:r>
        <w:t xml:space="preserve"> 4/5</w:t>
      </w:r>
    </w:p>
    <w:p>
      <w:pPr>
        <w:pStyle w:val="Heading4"/>
      </w:pPr>
      <w:r>
        <w:t>NOV-07 · Escalada desde monoterapia: la Fig. 3.9 permite pasar directamente a triple si eos ≥300, el texto no</w:t>
      </w:r>
    </w:p>
    <w:p>
      <w:r>
        <w:rPr>
          <w:i/>
        </w:rPr>
        <w:t xml:space="preserve">Severidad final: </w:t>
      </w:r>
      <w:r>
        <w:rPr>
          <w:i/>
          <w:color w:val="FFC000"/>
        </w:rPr>
        <w:t>🟡</w:t>
      </w:r>
      <w:r>
        <w:rPr>
          <w:i/>
        </w:rPr>
        <w:t xml:space="preserve"> MEDIA · Tema T07: Algoritmo farmacológico inicial/seguimiento (ABE, Fig 3.8-3.9, ICS, roflumilast)</w:t>
      </w:r>
    </w:p>
    <w:p>
      <w:pPr>
        <w:pStyle w:val="ListBullet"/>
      </w:pPr>
      <w:r>
        <w:rPr>
          <w:b/>
        </w:rPr>
        <w:t>Tipo:</w:t>
      </w:r>
      <w:r>
        <w:t xml:space="preserve"> Incongruencia interna</w:t>
      </w:r>
    </w:p>
    <w:p>
      <w:pPr>
        <w:pStyle w:val="ListBullet"/>
      </w:pPr>
      <w:r>
        <w:rPr>
          <w:b/>
        </w:rPr>
        <w:t>Severidad:</w:t>
      </w:r>
      <w:r>
        <w:t xml:space="preserve"> MEDIA</w:t>
      </w:r>
    </w:p>
    <w:p>
      <w:pPr>
        <w:pStyle w:val="ListBullet"/>
      </w:pPr>
      <w:r>
        <w:rPr>
          <w:b/>
        </w:rPr>
        <w:t>Ubicación:</w:t>
      </w:r>
    </w:p>
    <w:p>
      <w:pPr>
        <w:pStyle w:val="ListBullet2"/>
      </w:pPr>
      <w:r>
        <w:t>PDF 74 / impr. 63 — Fig. 3.9, rama de exacerbaciones.</w:t>
      </w:r>
    </w:p>
    <w:p>
      <w:pPr>
        <w:pStyle w:val="ListBullet2"/>
      </w:pPr>
      <w:r>
        <w:t>PDF 77 / impr. 66 — texto.</w:t>
      </w:r>
    </w:p>
    <w:p>
      <w:pPr>
        <w:pStyle w:val="ListBullet"/>
      </w:pPr>
      <w:r>
        <w:rPr>
          <w:b/>
        </w:rPr>
        <w:t>Cita:</w:t>
      </w:r>
      <w:r>
        <w:t xml:space="preserve"> Texto: "For patients who have an exacerbation on bronchodilator monotherapy, escalation to LABA+LAMA is recommended." Figura: flecha "LABA or LAMA → if blood eos ≥ 300 → LABA + LAMA + ICS".</w:t>
      </w:r>
    </w:p>
    <w:p>
      <w:pPr>
        <w:pStyle w:val="ListBullet"/>
      </w:pPr>
      <w:r>
        <w:rPr>
          <w:b/>
        </w:rPr>
        <w:t>Problema:</w:t>
      </w:r>
      <w:r>
        <w:t xml:space="preserve"> La figura ofrece dos caminos desde la monoterapia según los eosinófilos: &lt;300 lleva a LABA+LAMA y ≥300 lleva a la triple. El texto solo menciona LABA+LAMA. Además, la Fig. 3.9 utiliza el umbral de 300 para este paso, mientras el texto adyacente usa 100 para añadir ICS desde LABA+LAMA. Con esta ambigüedad, un clínico que siga el texto no consideraría ICS en un paciente con eos ≥300 que sufre exacerbaciones con monoterapia.</w:t>
      </w:r>
    </w:p>
    <w:p>
      <w:pPr>
        <w:pStyle w:val="ListBullet"/>
      </w:pPr>
      <w:r>
        <w:rPr>
          <w:b/>
        </w:rPr>
        <w:t>Evidencia/justificación:</w:t>
      </w:r>
      <w:r>
        <w:t xml:space="preserve"> Coherencia interna con la recomendación de tratamiento inicial del grupo E con eos ≥300 (PDF 76) y con IMPACT/ETHOS, donde el beneficio de ICS crece con los eosinófilos (ref. 467).</w:t>
      </w:r>
    </w:p>
    <w:p>
      <w:pPr>
        <w:pStyle w:val="ListBullet"/>
      </w:pPr>
      <w:r>
        <w:rPr>
          <w:b/>
        </w:rPr>
        <w:t>Recomendación:</w:t>
      </w:r>
      <w:r>
        <w:t xml:space="preserve"> Añadir al texto: "si eos ≥300 células/µL, considerar escalar directamente a LABA+LAMA+ICS".</w:t>
      </w:r>
    </w:p>
    <w:p>
      <w:pPr>
        <w:pStyle w:val="ListBullet"/>
      </w:pPr>
      <w:r>
        <w:rPr>
          <w:b/>
        </w:rPr>
        <w:t>Confianza:</w:t>
      </w:r>
      <w:r>
        <w:t xml:space="preserve"> 4/5</w:t>
      </w:r>
    </w:p>
    <w:p>
      <w:pPr>
        <w:pStyle w:val="Heading4"/>
      </w:pPr>
      <w:r>
        <w:t>NOV-14 · Roflumilast: criterios inconsistentes entre figura y texto, y posicionamiento según eosinófilos discutible</w:t>
      </w:r>
    </w:p>
    <w:p>
      <w:r>
        <w:rPr>
          <w:i/>
        </w:rPr>
        <w:t xml:space="preserve">Severidad final: </w:t>
      </w:r>
      <w:r>
        <w:rPr>
          <w:i/>
          <w:color w:val="FFC000"/>
        </w:rPr>
        <w:t>🟡</w:t>
      </w:r>
      <w:r>
        <w:rPr>
          <w:i/>
        </w:rPr>
        <w:t xml:space="preserve"> MEDIA · Tema T07: Algoritmo farmacológico inicial/seguimiento (ABE, Fig 3.8-3.9, ICS, roflumilast)</w:t>
      </w:r>
    </w:p>
    <w:p>
      <w:pPr>
        <w:pStyle w:val="ListBullet"/>
      </w:pPr>
      <w:r>
        <w:rPr>
          <w:b/>
        </w:rPr>
        <w:t>Tipo:</w:t>
      </w:r>
      <w:r>
        <w:t xml:space="preserve"> Incongruencia interna / Evidencia mal representada (el punto 2 es un punto debatible)</w:t>
      </w:r>
    </w:p>
    <w:p>
      <w:pPr>
        <w:pStyle w:val="ListBullet"/>
      </w:pPr>
      <w:r>
        <w:rPr>
          <w:b/>
        </w:rPr>
        <w:t>Severidad:</w:t>
      </w:r>
      <w:r>
        <w:t xml:space="preserve"> MEDIA</w:t>
      </w:r>
    </w:p>
    <w:p>
      <w:pPr>
        <w:pStyle w:val="ListBullet"/>
      </w:pPr>
      <w:r>
        <w:rPr>
          <w:b/>
        </w:rPr>
        <w:t>Ubicación:</w:t>
      </w:r>
    </w:p>
    <w:p>
      <w:pPr>
        <w:pStyle w:val="ListBullet2"/>
      </w:pPr>
      <w:r>
        <w:t>PDF 74 / impr. 63 — Fig. 3.9.</w:t>
      </w:r>
    </w:p>
    <w:p>
      <w:pPr>
        <w:pStyle w:val="ListBullet2"/>
      </w:pPr>
      <w:r>
        <w:t>PDF 77 / impr. 66 — texto.</w:t>
      </w:r>
    </w:p>
    <w:p>
      <w:pPr>
        <w:pStyle w:val="ListBullet2"/>
      </w:pPr>
      <w:r>
        <w:t>PDF 162 / impr. 151 — Apéndice 3.</w:t>
      </w:r>
    </w:p>
    <w:p>
      <w:pPr>
        <w:pStyle w:val="ListBullet"/>
      </w:pPr>
      <w:r>
        <w:rPr>
          <w:b/>
        </w:rPr>
        <w:t>Cita:</w:t>
      </w:r>
      <w:r>
        <w:t xml:space="preserve"> Fig. 3.9: "Roflumilast if FEV1 &lt; 50% &amp; chronic bronchitis"; texto: "…symptoms of chronic bronchitis and history of a prior exacerbation resulting in hospitalization, consider adding roflumilast" / "…history of prior severe exacerbation"</w:t>
      </w:r>
    </w:p>
    <w:p>
      <w:pPr>
        <w:pStyle w:val="ListBullet"/>
      </w:pPr>
      <w:r>
        <w:rPr>
          <w:b/>
        </w:rPr>
        <w:t>Problema:</w:t>
      </w:r>
    </w:p>
    <w:p>
      <w:pPr>
        <w:pStyle w:val="ListNumber"/>
        <w:numPr>
          <w:ilvl w:val="0"/>
          <w:numId w:val="32"/>
        </w:numPr>
      </w:pPr>
      <w:r>
        <w:rPr>
          <w:b/>
        </w:rPr>
        <w:t>Criterio de exacerbación:</w:t>
      </w:r>
      <w:r>
        <w:t xml:space="preserve"> la figura omite el antecedente de exacerbación grave u hospitalización, que el texto exige. Además, el texto usa dos redacciones distintas en dos viñetas consecutivas ("resulting in hospitalization" y "severe exacerbation").</w:t>
      </w:r>
    </w:p>
    <w:p>
      <w:pPr>
        <w:pStyle w:val="ListNumber"/>
        <w:numPr>
          <w:ilvl w:val="0"/>
          <w:numId w:val="32"/>
        </w:numPr>
      </w:pPr>
      <w:r>
        <w:rPr>
          <w:b/>
        </w:rPr>
        <w:t>Eosinófilos (punto debatible):</w:t>
      </w:r>
      <w:r>
        <w:t xml:space="preserve"> el algoritmo ofrece roflumilast sobre todo en la rama de eos &lt;100. Un análisis combinado de REACT y RE²SPOND mostró que el beneficio se concentraba en pacientes con eos ≥150 y era nulo con &lt;150. GOLD no lo menciona.</w:t>
      </w:r>
    </w:p>
    <w:p>
      <w:pPr>
        <w:pStyle w:val="ListNumber"/>
        <w:numPr>
          <w:ilvl w:val="0"/>
          <w:numId w:val="32"/>
        </w:numPr>
      </w:pPr>
      <w:r>
        <w:rPr>
          <w:b/>
        </w:rPr>
        <w:t>RE²SPOND:</w:t>
      </w:r>
      <w:r>
        <w:t xml:space="preserve"> la ref. 688 (RE²SPOND) no alcanzó su objetivo primario y se cita como apoyo sin matiz.</w:t>
      </w:r>
    </w:p>
    <w:p>
      <w:pPr>
        <w:pStyle w:val="ListBullet"/>
      </w:pPr>
      <w:r>
        <w:rPr>
          <w:b/>
        </w:rPr>
        <w:t>Evidencia/justificación:</w:t>
      </w:r>
    </w:p>
    <w:p>
      <w:pPr>
        <w:pStyle w:val="ListBullet2"/>
      </w:pPr>
      <w:r>
        <w:t>Martinez FJ et al., "Determinants of response to roflumilast in severe COPD", AJRCCM 2018;198:1268-78.</w:t>
      </w:r>
    </w:p>
    <w:p>
      <w:pPr>
        <w:pStyle w:val="ListBullet2"/>
      </w:pPr>
      <w:r>
        <w:t>REACT: Martinez, Lancet 2015 (ref. 687).</w:t>
      </w:r>
    </w:p>
    <w:p>
      <w:pPr>
        <w:pStyle w:val="ListBullet2"/>
      </w:pPr>
      <w:r>
        <w:t>RE²SPOND: Martinez, AJRCCM 2016 (ref. 688).</w:t>
      </w:r>
    </w:p>
    <w:p>
      <w:pPr>
        <w:pStyle w:val="ListBullet"/>
      </w:pPr>
      <w:r>
        <w:rPr>
          <w:b/>
        </w:rPr>
        <w:t>Recomendación:</w:t>
      </w:r>
    </w:p>
    <w:p>
      <w:pPr>
        <w:pStyle w:val="ListBullet2"/>
      </w:pPr>
      <w:r>
        <w:t>Unificar el criterio ("FEV1 &lt;50 %, bronquitis crónica y ≥1 hospitalización por exacerbación en el año previo") en la figura y en ambas viñetas.</w:t>
      </w:r>
    </w:p>
    <w:p>
      <w:pPr>
        <w:pStyle w:val="ListBullet2"/>
      </w:pPr>
      <w:r>
        <w:t>Añadir una nota sobre la menor respuesta con eosinófilos bajos y la naturaleza post hoc de esa observación.</w:t>
      </w:r>
    </w:p>
    <w:p>
      <w:pPr>
        <w:pStyle w:val="ListBullet"/>
      </w:pPr>
      <w:r>
        <w:rPr>
          <w:b/>
        </w:rPr>
        <w:t>Confianza:</w:t>
      </w:r>
      <w:r>
        <w:t xml:space="preserve"> 3/5</w:t>
      </w:r>
    </w:p>
    <w:p>
      <w:pPr>
        <w:pStyle w:val="Heading4"/>
      </w:pPr>
      <w:r>
        <w:t>INT-11 · Reducción de mortalidad con triple terapia: presentada como un hecho y con criterios de inclusión mal descritos</w:t>
      </w:r>
    </w:p>
    <w:p>
      <w:r>
        <w:rPr>
          <w:i/>
        </w:rPr>
        <w:t xml:space="preserve">Severidad final: </w:t>
      </w:r>
      <w:r>
        <w:rPr>
          <w:i/>
          <w:color w:val="FFC000"/>
        </w:rPr>
        <w:t>🟡</w:t>
      </w:r>
      <w:r>
        <w:rPr>
          <w:i/>
        </w:rPr>
        <w:t xml:space="preserve"> MEDIA · Tema T08: Terapia triple y mortalidad</w:t>
      </w:r>
    </w:p>
    <w:p>
      <w:pPr>
        <w:pStyle w:val="IntenseQuote"/>
      </w:pPr>
      <w:r>
        <w:rPr>
          <w:b/>
        </w:rPr>
        <w:t>Verificación independiente (CONFIRMADO PARCIAL):</w:t>
      </w:r>
      <w:r>
        <w:t xml:space="preserve"> 1. Presentar el efecto sobre la mortalidad como señal procedente de objetivos secundarios o análisis adicionales, no como efecto establecido. 2. En la Fig. 3.19, especificar "BGF 320 µg vs LAMA/LABA" y "vs ICS/LABA no significativo", y añadir que BGF 160 no fue significativo. 3. Mencionar el debate sobre la retirada de ICS. 4. Corregir los criterios de inclusión.</w:t>
      </w:r>
    </w:p>
    <w:p>
      <w:pPr>
        <w:pStyle w:val="ListBullet"/>
      </w:pPr>
      <w:r>
        <w:rPr>
          <w:b/>
        </w:rPr>
        <w:t>Tipo:</w:t>
      </w:r>
      <w:r>
        <w:t xml:space="preserve"> Evidencia mal representada / Incongruencia interna</w:t>
      </w:r>
    </w:p>
    <w:p>
      <w:pPr>
        <w:pStyle w:val="ListBullet"/>
      </w:pPr>
      <w:r>
        <w:rPr>
          <w:b/>
        </w:rPr>
        <w:t>Severidad:</w:t>
      </w:r>
      <w:r>
        <w:t xml:space="preserve"> MEDIA</w:t>
      </w:r>
    </w:p>
    <w:p>
      <w:pPr>
        <w:pStyle w:val="ListBullet"/>
      </w:pPr>
      <w:r>
        <w:rPr>
          <w:b/>
        </w:rPr>
        <w:t>Ubicación:</w:t>
      </w:r>
      <w:r>
        <w:t xml:space="preserve"> PDF 92 / impr. 81 — «Pharmacological therapy»; PDF 91 / impr. 80 — Fig. 3.19; PDF 162 / impr. 151 — Apéndice 3</w:t>
      </w:r>
    </w:p>
    <w:p>
      <w:pPr>
        <w:pStyle w:val="ListBullet"/>
      </w:pPr>
      <w:r>
        <w:rPr>
          <w:b/>
        </w:rPr>
        <w:t>Cita:</w:t>
      </w:r>
      <w:r>
        <w:t xml:space="preserve"> "fixed-dose inhaled triple combinations (LABA+LAMA+ICS) reduce all-cause mortality compared to dual inhaled LABD therapy" / "enriched for symptomatic patients (CAAT™ ≥ 10) with a history of frequent (≥ 2 moderate exacerbations) and/or severe exacerbations"</w:t>
      </w:r>
    </w:p>
    <w:p>
      <w:pPr>
        <w:pStyle w:val="ListBullet"/>
      </w:pPr>
      <w:r>
        <w:rPr>
          <w:b/>
        </w:rPr>
        <w:t>Problema:</w:t>
      </w:r>
    </w:p>
    <w:p>
      <w:pPr>
        <w:pStyle w:val="ListNumber"/>
        <w:numPr>
          <w:ilvl w:val="0"/>
          <w:numId w:val="33"/>
        </w:numPr>
      </w:pPr>
      <w:r>
        <w:rPr>
          <w:b/>
        </w:rPr>
        <w:t>La mortalidad fue un desenlace secundario</w:t>
      </w:r>
      <w:r>
        <w:t xml:space="preserve"> con análisis adicionales de estado vital, no el primario. En ETHOS el efecto solo fue significativo con </w:t>
      </w:r>
      <w:r>
        <w:rPr>
          <w:b/>
        </w:rPr>
        <w:t>budesonida 320 µg</w:t>
      </w:r>
      <w:r>
        <w:t xml:space="preserve"> (HR 0,51); con 160 µg no lo fue (HR ≈ 0,79, IC 0,52-1,20), y la figura y el texto no lo dicen. En IMPACT, el efecto se observó frente a UMEC/VI, no frente a FF/VI, y existe el debate sobre el efecto de la retirada de ICS en los primeros meses.</w:t>
      </w:r>
    </w:p>
    <w:p>
      <w:pPr>
        <w:pStyle w:val="ListNumber"/>
        <w:numPr>
          <w:ilvl w:val="0"/>
          <w:numId w:val="33"/>
        </w:numPr>
      </w:pPr>
      <w:r>
        <w:rPr>
          <w:b/>
        </w:rPr>
        <w:t>Los criterios de inclusión están mal descritos.</w:t>
      </w:r>
      <w:r>
        <w:t xml:space="preserve"> IMPACT y ETHOS también admitían pacientes con FEV1 &lt; 50 % y una sola exacerbación moderada.</w:t>
      </w:r>
    </w:p>
    <w:p>
      <w:pPr>
        <w:pStyle w:val="ListNumber"/>
        <w:numPr>
          <w:ilvl w:val="0"/>
          <w:numId w:val="33"/>
        </w:numPr>
      </w:pPr>
      <w:r>
        <w:rPr>
          <w:b/>
        </w:rPr>
        <w:t>Tono distinto entre secciones.</w:t>
      </w:r>
      <w:r>
        <w:t xml:space="preserve"> El Apéndice 3 habla de «non-significant trend» en un análisis agrupado y de «new evidence on mortality reduction».</w:t>
      </w:r>
    </w:p>
    <w:p>
      <w:pPr>
        <w:pStyle w:val="ListNumber"/>
        <w:numPr>
          <w:ilvl w:val="0"/>
          <w:numId w:val="33"/>
        </w:numPr>
      </w:pPr>
      <w:r>
        <w:rPr>
          <w:b/>
        </w:rPr>
        <w:t>Citas distintas.</w:t>
      </w:r>
      <w:r>
        <w:t xml:space="preserve"> El texto cita los artículos primarios (refs. 467/492), mientras que la Fig. 3.19 usa los reanálisis (Lipson 2020; Martinez 2021) sin que estos figuren en las referencias del texto.</w:t>
      </w:r>
    </w:p>
    <w:p>
      <w:pPr>
        <w:pStyle w:val="ListBullet"/>
      </w:pPr>
      <w:r>
        <w:rPr>
          <w:b/>
        </w:rPr>
        <w:t>Evidencia/justificación:</w:t>
      </w:r>
    </w:p>
    <w:p>
      <w:pPr>
        <w:pStyle w:val="ListBullet2"/>
      </w:pPr>
      <w:r>
        <w:t xml:space="preserve">Lipson DA et al., </w:t>
      </w:r>
      <w:r>
        <w:rPr>
          <w:i/>
        </w:rPr>
        <w:t>AJRCCM</w:t>
      </w:r>
      <w:r>
        <w:t xml:space="preserve"> 2020;201:1508-16.</w:t>
      </w:r>
    </w:p>
    <w:p>
      <w:pPr>
        <w:pStyle w:val="ListBullet2"/>
      </w:pPr>
      <w:r>
        <w:t xml:space="preserve">Martinez FJ et al., </w:t>
      </w:r>
      <w:r>
        <w:rPr>
          <w:i/>
        </w:rPr>
        <w:t>AJRCCM</w:t>
      </w:r>
      <w:r>
        <w:t xml:space="preserve"> 2021;203:553-64.</w:t>
      </w:r>
    </w:p>
    <w:p>
      <w:pPr>
        <w:pStyle w:val="ListBullet2"/>
      </w:pPr>
      <w:r>
        <w:t xml:space="preserve">Suissa S, Ariel A, </w:t>
      </w:r>
      <w:r>
        <w:rPr>
          <w:i/>
        </w:rPr>
        <w:t>Eur Respir J</w:t>
      </w:r>
      <w:r>
        <w:t xml:space="preserve"> 2018;52:1801848, sobre el sesgo por retirada de ICS (conf. 4 en la paginación).</w:t>
      </w:r>
    </w:p>
    <w:p>
      <w:pPr>
        <w:pStyle w:val="ListBullet"/>
      </w:pPr>
      <w:r>
        <w:rPr>
          <w:b/>
        </w:rPr>
        <w:t>Recomendación:</w:t>
      </w:r>
    </w:p>
    <w:p>
      <w:pPr>
        <w:pStyle w:val="ListBullet2"/>
      </w:pPr>
      <w:r>
        <w:t>Reformular: «Análisis prespecificados de desenlaces secundarios de IMPACT y ETHOS (solo con budesonida 320 µg) mostraron menor mortalidad por cualquier causa con triple terapia frente a LAMA+LABA».</w:t>
      </w:r>
    </w:p>
    <w:p>
      <w:pPr>
        <w:pStyle w:val="ListBullet2"/>
      </w:pPr>
      <w:r>
        <w:t>Corregir los criterios de inclusión, citar los reanálisis en el texto y armonizarlo con el Apéndice 3.</w:t>
      </w:r>
    </w:p>
    <w:p>
      <w:pPr>
        <w:pStyle w:val="ListBullet"/>
      </w:pPr>
      <w:r>
        <w:rPr>
          <w:b/>
        </w:rPr>
        <w:t>Confianza:</w:t>
      </w:r>
      <w:r>
        <w:t xml:space="preserve"> 4/5</w:t>
      </w:r>
    </w:p>
    <w:p>
      <w:pPr>
        <w:pStyle w:val="Heading4"/>
      </w:pPr>
      <w:r>
        <w:t>NOV-17 · Terapia triple tras hospitalización: afirmación causal apoyada en estudios observacionales y un póster</w:t>
      </w:r>
    </w:p>
    <w:p>
      <w:r>
        <w:rPr>
          <w:i/>
        </w:rPr>
        <w:t xml:space="preserve">Severidad final: </w:t>
      </w:r>
      <w:r>
        <w:rPr>
          <w:i/>
          <w:color w:val="FFC000"/>
        </w:rPr>
        <w:t>🟡</w:t>
      </w:r>
      <w:r>
        <w:rPr>
          <w:i/>
        </w:rPr>
        <w:t xml:space="preserve"> MEDIA · Tema T08: Terapia triple y mortalidad</w:t>
      </w:r>
    </w:p>
    <w:p>
      <w:pPr>
        <w:pStyle w:val="ListBullet"/>
      </w:pPr>
      <w:r>
        <w:rPr>
          <w:b/>
        </w:rPr>
        <w:t>Tipo:</w:t>
      </w:r>
      <w:r>
        <w:t xml:space="preserve"> Evidencia mal representada</w:t>
      </w:r>
    </w:p>
    <w:p>
      <w:pPr>
        <w:pStyle w:val="ListBullet"/>
      </w:pPr>
      <w:r>
        <w:rPr>
          <w:b/>
        </w:rPr>
        <w:t>Severidad:</w:t>
      </w:r>
      <w:r>
        <w:t xml:space="preserve"> MEDIA</w:t>
      </w:r>
    </w:p>
    <w:p>
      <w:pPr>
        <w:pStyle w:val="ListBullet"/>
      </w:pPr>
      <w:r>
        <w:rPr>
          <w:b/>
        </w:rPr>
        <w:t>Ubicación:</w:t>
      </w:r>
      <w:r>
        <w:t xml:space="preserve"> PDF 121 / impr. 110 — cap. 4, "Prevention of further exacerbations".</w:t>
      </w:r>
    </w:p>
    <w:p>
      <w:pPr>
        <w:pStyle w:val="ListBullet"/>
      </w:pPr>
      <w:r>
        <w:rPr>
          <w:b/>
        </w:rPr>
        <w:t>Cita:</w:t>
      </w:r>
      <w:r>
        <w:t xml:space="preserve"> "The use of a LABA+LAMA+ICS fixed combination following hospitalization showed a significant reduction in first moderate or severe COPD exacerbation and in the rate of re-hospitalizations.(1103,1104,1117)"</w:t>
      </w:r>
    </w:p>
    <w:p>
      <w:pPr>
        <w:pStyle w:val="ListBullet"/>
      </w:pPr>
      <w:r>
        <w:rPr>
          <w:b/>
        </w:rPr>
        <w:t>Problema:</w:t>
      </w:r>
    </w:p>
    <w:p>
      <w:pPr>
        <w:pStyle w:val="ListBullet2"/>
      </w:pPr>
      <w:r>
        <w:t>Las referencias son estudios retrospectivos de bases de datos de reclamaciones (Mannino 2022; EROS, Strange 2023) y un póster de congreso (ref. 1117), con riesgo de sesgo de indicación y de tiempo inmortal.</w:t>
      </w:r>
    </w:p>
    <w:p>
      <w:pPr>
        <w:pStyle w:val="ListBullet2"/>
      </w:pPr>
      <w:r>
        <w:t>La redacción ("showed a significant reduction") no lo indica y sugiere un efecto causal.</w:t>
      </w:r>
    </w:p>
    <w:p>
      <w:pPr>
        <w:pStyle w:val="ListBullet2"/>
      </w:pPr>
      <w:r>
        <w:t>La ref. 1116 (Drummond 2008, metaanálisis de ICS en EPOC estable) se cita en el mismo bloque como apoyo de la prevención tras exacerbación.</w:t>
      </w:r>
    </w:p>
    <w:p>
      <w:pPr>
        <w:pStyle w:val="ListBullet2"/>
      </w:pPr>
      <w:r>
        <w:t>No hay ECA de inicio de terapia triple tras el alta.</w:t>
      </w:r>
    </w:p>
    <w:p>
      <w:pPr>
        <w:pStyle w:val="ListBullet"/>
      </w:pPr>
      <w:r>
        <w:rPr>
          <w:b/>
        </w:rPr>
        <w:t>Evidencia/justificación:</w:t>
      </w:r>
      <w:r>
        <w:t xml:space="preserve"> GOLD, refs. 1103, 1104, 1116 y 1117 (comprobadas en la lista de referencias).</w:t>
      </w:r>
    </w:p>
    <w:p>
      <w:pPr>
        <w:pStyle w:val="ListBullet"/>
      </w:pPr>
      <w:r>
        <w:rPr>
          <w:b/>
        </w:rPr>
        <w:t>Recomendación:</w:t>
      </w:r>
      <w:r>
        <w:t xml:space="preserve"> Reformular como "estudios observacionales sugieren…" con Evidencia C. Indicar que la decisión debe seguir el algoritmo de la Fig. 3.9 (eosinófilos, tratamiento previo) y no un inicio sistemático de triple al alta.</w:t>
      </w:r>
    </w:p>
    <w:p>
      <w:pPr>
        <w:pStyle w:val="ListBullet"/>
      </w:pPr>
      <w:r>
        <w:rPr>
          <w:b/>
        </w:rPr>
        <w:t>Confianza:</w:t>
      </w:r>
      <w:r>
        <w:t xml:space="preserve"> 4/5</w:t>
      </w:r>
    </w:p>
    <w:p>
      <w:pPr>
        <w:pStyle w:val="Heading4"/>
      </w:pPr>
      <w:r>
        <w:t>FARM-14 · Fig 3.11 (biológicos): datos mal etiquetados y contradicción con el Apéndice 3</w:t>
      </w:r>
    </w:p>
    <w:p>
      <w:r>
        <w:rPr>
          <w:i/>
        </w:rPr>
        <w:t xml:space="preserve">Severidad final: </w:t>
      </w:r>
      <w:r>
        <w:rPr>
          <w:i/>
          <w:color w:val="FFC000"/>
        </w:rPr>
        <w:t>🟡</w:t>
      </w:r>
      <w:r>
        <w:rPr>
          <w:i/>
        </w:rPr>
        <w:t xml:space="preserve"> MEDIA · Tema T09: Biológicos, ensifentrina y nuevas terapias</w:t>
      </w:r>
    </w:p>
    <w:p>
      <w:pPr>
        <w:pStyle w:val="IntenseQuote"/>
      </w:pPr>
      <w:r>
        <w:rPr>
          <w:b/>
        </w:rPr>
        <w:t>Verificación independiente (CONFIRMADO):</w:t>
      </w:r>
      <w:r>
        <w:t xml:space="preserve"> Que los 83 mL de BOREAS correspondan a la semana 12 es [externo], aunque coincide con el resumen publicado (confianza alta).</w:t>
      </w:r>
    </w:p>
    <w:p>
      <w:pPr>
        <w:pStyle w:val="ListBullet"/>
      </w:pPr>
      <w:r>
        <w:rPr>
          <w:b/>
        </w:rPr>
        <w:t>Tipo:</w:t>
      </w:r>
      <w:r>
        <w:t xml:space="preserve"> Error factual / Incongruencia interna</w:t>
      </w:r>
    </w:p>
    <w:p>
      <w:pPr>
        <w:pStyle w:val="ListBullet"/>
      </w:pPr>
      <w:r>
        <w:rPr>
          <w:b/>
        </w:rPr>
        <w:t>Severidad:</w:t>
      </w:r>
      <w:r>
        <w:t xml:space="preserve"> MEDIA</w:t>
      </w:r>
    </w:p>
    <w:p>
      <w:pPr>
        <w:pStyle w:val="ListBullet"/>
      </w:pPr>
      <w:r>
        <w:rPr>
          <w:b/>
        </w:rPr>
        <w:t>Ubicación:</w:t>
      </w:r>
      <w:r>
        <w:t xml:space="preserve"> PDF 79 / impr. 68 (Fig 3.11) vs PDF 163 / impr. 152 (Apéndice 3)</w:t>
      </w:r>
    </w:p>
    <w:p>
      <w:pPr>
        <w:pStyle w:val="ListBullet"/>
      </w:pPr>
      <w:r>
        <w:rPr>
          <w:b/>
        </w:rPr>
        <w:t>Cita:</w:t>
      </w:r>
    </w:p>
    <w:p>
      <w:pPr>
        <w:pStyle w:val="ListBullet2"/>
      </w:pPr>
      <w:r>
        <w:t>Fig 3.11: "d: at 52 weeks"; BOREAS "83mL; P &lt; 0.001 (95% CI: 42, 125)"; "a: all studies recruited patients… while receiving inhaled triple therapy".</w:t>
      </w:r>
    </w:p>
    <w:p>
      <w:pPr>
        <w:pStyle w:val="ListBullet2"/>
      </w:pPr>
      <w:r>
        <w:t>Apéndice: "Across three phase III… trials… blood eosinophil count of ≥ 300 cells/μL who received mepolizumab".</w:t>
      </w:r>
    </w:p>
    <w:p>
      <w:pPr>
        <w:pStyle w:val="ListBullet"/>
      </w:pPr>
      <w:r>
        <w:rPr>
          <w:b/>
        </w:rPr>
        <w:t>Problema:</w:t>
      </w:r>
    </w:p>
    <w:p>
      <w:pPr>
        <w:pStyle w:val="ListBullet2"/>
      </w:pPr>
      <w:r>
        <w:t xml:space="preserve">El dato de BOREAS (83 mL, IC 42-125) corresponde a la </w:t>
      </w:r>
      <w:r>
        <w:rPr>
          <w:b/>
        </w:rPr>
        <w:t>semana 12</w:t>
      </w:r>
      <w:r>
        <w:t>, que es el criterio secundario clave, no a la semana 52. En NOTUS, en cambio, la figura muestra el de la semana 52 (62 mL; 11-113). Así, la misma columna mezcla dos momentos temporales.</w:t>
      </w:r>
    </w:p>
    <w:p>
      <w:pPr>
        <w:pStyle w:val="ListBullet2"/>
      </w:pPr>
      <w:r>
        <w:t>METREX figura con "n=836" (población total), pero el RR 0,82 (P=0,04) es de la subpoblación eosinofílica (~462). La nota "c" lo sugiere, pero no da el n.</w:t>
      </w:r>
    </w:p>
    <w:p>
      <w:pPr>
        <w:pStyle w:val="ListBullet2"/>
      </w:pPr>
      <w:r>
        <w:t>La nota "a" ("triple therapy") es inexacta para BOREAS/NOTUS, que admitían LABA+LAMA si el ICS estaba contraindicado.</w:t>
      </w:r>
    </w:p>
    <w:p>
      <w:pPr>
        <w:pStyle w:val="ListBullet2"/>
      </w:pPr>
      <w:r>
        <w:t>El Apéndice dice que los tres ensayos de mepolizumab exigían eos ≥300, mientras que la Fig 3.11 recoge correctamente ≥150 en el cribado o ≥300 el año previo (METREO/METREX), y ≥300 más ≥150 (MATINEE).</w:t>
      </w:r>
    </w:p>
    <w:p>
      <w:pPr>
        <w:pStyle w:val="ListBullet"/>
      </w:pPr>
      <w:r>
        <w:rPr>
          <w:b/>
        </w:rPr>
        <w:t>Evidencia/justificación:</w:t>
      </w:r>
    </w:p>
    <w:p>
      <w:pPr>
        <w:pStyle w:val="ListBullet2"/>
      </w:pPr>
      <w:r>
        <w:t>Bhatt SP et al., NEJM 2023;389:205-214 (BOREAS): diferencia en FEV1 pre-BD de 83 mL en la semana 12.</w:t>
      </w:r>
    </w:p>
    <w:p>
      <w:pPr>
        <w:pStyle w:val="ListBullet2"/>
      </w:pPr>
      <w:r>
        <w:t>Bhatt SP et al., NEJM 2024;390:2274-83 (NOTUS): 82 mL en la semana 12 y 62 mL en la semana 52.</w:t>
      </w:r>
    </w:p>
    <w:p>
      <w:pPr>
        <w:pStyle w:val="ListBullet2"/>
      </w:pPr>
      <w:r>
        <w:t>Pavord ID et al., NEJM 2017;377:1613-29.</w:t>
      </w:r>
    </w:p>
    <w:p>
      <w:pPr>
        <w:pStyle w:val="ListBullet2"/>
      </w:pPr>
      <w:r>
        <w:t>Sciurba FC et al., NEJM 2025;392:1710-20.</w:t>
      </w:r>
    </w:p>
    <w:p>
      <w:pPr>
        <w:pStyle w:val="ListBullet"/>
      </w:pPr>
      <w:r>
        <w:rPr>
          <w:b/>
        </w:rPr>
        <w:t>Recomendación:</w:t>
      </w:r>
    </w:p>
    <w:p>
      <w:pPr>
        <w:pStyle w:val="ListBullet2"/>
      </w:pPr>
      <w:r>
        <w:t>Mostrar el FEV1 en el mismo punto temporal para todos los ensayos, o señalar cada uno.</w:t>
      </w:r>
    </w:p>
    <w:p>
      <w:pPr>
        <w:pStyle w:val="ListBullet2"/>
      </w:pPr>
      <w:r>
        <w:t>Indicar el n de la subpoblación de METREX.</w:t>
      </w:r>
    </w:p>
    <w:p>
      <w:pPr>
        <w:pStyle w:val="ListBullet2"/>
      </w:pPr>
      <w:r>
        <w:t>Corregir la nota "a" y el texto del Apéndice sobre los criterios de eosinófilos.</w:t>
      </w:r>
    </w:p>
    <w:p>
      <w:pPr>
        <w:pStyle w:val="ListBullet"/>
      </w:pPr>
      <w:r>
        <w:rPr>
          <w:b/>
        </w:rPr>
        <w:t>Confianza:</w:t>
      </w:r>
      <w:r>
        <w:t xml:space="preserve"> 4/5</w:t>
      </w:r>
    </w:p>
    <w:p>
      <w:pPr>
        <w:pStyle w:val="Heading4"/>
      </w:pPr>
      <w:r>
        <w:t>FARM-15 · Ensifentrina tras LABA+LAMA: extrapolación sin ensayos en esa población</w:t>
      </w:r>
    </w:p>
    <w:p>
      <w:r>
        <w:rPr>
          <w:i/>
        </w:rPr>
        <w:t xml:space="preserve">Severidad final: </w:t>
      </w:r>
      <w:r>
        <w:rPr>
          <w:i/>
          <w:color w:val="FFC000"/>
        </w:rPr>
        <w:t>🟡</w:t>
      </w:r>
      <w:r>
        <w:rPr>
          <w:i/>
        </w:rPr>
        <w:t xml:space="preserve"> MEDIA · Tema T09: Biológicos, ensifentrina y nuevas terapias</w:t>
      </w:r>
    </w:p>
    <w:p>
      <w:pPr>
        <w:pStyle w:val="IntenseQuote"/>
      </w:pPr>
      <w:r>
        <w:rPr>
          <w:b/>
        </w:rPr>
        <w:t>Verificación independiente (CONFIRMADO):</w:t>
      </w:r>
      <w:r>
        <w:t xml:space="preserve"> 1. En la Fig. 3.9 y en el texto, indicar que no hay datos de ensayos aleatorizados con LABA+LAMA de base. 2. Posicionarla como opción basada en extrapolación (evidencia D o "consenso"), o como alternativa al segundo broncodilatador cuando este no se tolera. 3. Añadir "if available" en la figura.</w:t>
      </w:r>
    </w:p>
    <w:p>
      <w:pPr>
        <w:pStyle w:val="ListBullet"/>
      </w:pPr>
      <w:r>
        <w:rPr>
          <w:b/>
        </w:rPr>
        <w:t>Tipo:</w:t>
      </w:r>
      <w:r>
        <w:t xml:space="preserve"> Evidencia mal representada / Incongruencia interna</w:t>
      </w:r>
    </w:p>
    <w:p>
      <w:pPr>
        <w:pStyle w:val="ListBullet"/>
      </w:pPr>
      <w:r>
        <w:rPr>
          <w:b/>
        </w:rPr>
        <w:t>Severidad:</w:t>
      </w:r>
      <w:r>
        <w:t xml:space="preserve"> MEDIA</w:t>
      </w:r>
    </w:p>
    <w:p>
      <w:pPr>
        <w:pStyle w:val="ListBullet"/>
      </w:pPr>
      <w:r>
        <w:rPr>
          <w:b/>
        </w:rPr>
        <w:t>Ubicación:</w:t>
      </w:r>
      <w:r>
        <w:t xml:space="preserve"> PDF 74 / impr. 63 (Fig 3.9); PDF 77 / impr. 66 (texto); PDF 163 / impr. 152 (Apéndice 3)</w:t>
      </w:r>
    </w:p>
    <w:p>
      <w:pPr>
        <w:pStyle w:val="ListBullet"/>
      </w:pPr>
      <w:r>
        <w:rPr>
          <w:b/>
        </w:rPr>
        <w:t>Cita:</w:t>
      </w:r>
    </w:p>
    <w:p>
      <w:pPr>
        <w:pStyle w:val="ListBullet2"/>
      </w:pPr>
      <w:r>
        <w:t>Fig 3.9: "Consider adding ensifentrine" (tras LABA+LAMA en la rama de disnea).</w:t>
      </w:r>
    </w:p>
    <w:p>
      <w:pPr>
        <w:pStyle w:val="ListBullet2"/>
      </w:pPr>
      <w:r>
        <w:t>Apéndice: "the studies were not designed to assess the impact of ensifentrine on top of LABA+LAMA or LABA+LAMA+ICS".</w:t>
      </w:r>
    </w:p>
    <w:p>
      <w:pPr>
        <w:pStyle w:val="ListBullet"/>
      </w:pPr>
      <w:r>
        <w:rPr>
          <w:b/>
        </w:rPr>
        <w:t>Problema:</w:t>
      </w:r>
    </w:p>
    <w:p>
      <w:pPr>
        <w:pStyle w:val="ListBullet2"/>
      </w:pPr>
      <w:r>
        <w:t>El algoritmo sitúa la ensifentrina exactamente en el escenario donde no hay evidencia. En ENHANCE-1/2, el tratamiento de base permitido era LAMA o LABA, con o sin ICS, pero no LABA+LAMA.</w:t>
      </w:r>
    </w:p>
    <w:p>
      <w:pPr>
        <w:pStyle w:val="ListBullet2"/>
      </w:pPr>
      <w:r>
        <w:t>El texto dice "if available"; la figura, no.</w:t>
      </w:r>
    </w:p>
    <w:p>
      <w:pPr>
        <w:pStyle w:val="ListBullet2"/>
      </w:pPr>
      <w:r>
        <w:t>Nebulizada dos veces al día, conlleva una carga terapéutica y un coste que no se mencionan.</w:t>
      </w:r>
    </w:p>
    <w:p>
      <w:pPr>
        <w:pStyle w:val="ListBullet"/>
      </w:pPr>
      <w:r>
        <w:rPr>
          <w:b/>
        </w:rPr>
        <w:t>Evidencia/justificación:</w:t>
      </w:r>
      <w:r>
        <w:t xml:space="preserve"> Anzueto A et al., AJRCCM 2023;208:406-416 (ENHANCE-1/2).</w:t>
      </w:r>
    </w:p>
    <w:p>
      <w:pPr>
        <w:pStyle w:val="ListBullet"/>
      </w:pPr>
      <w:r>
        <w:rPr>
          <w:b/>
        </w:rPr>
        <w:t>Recomendación:</w:t>
      </w:r>
    </w:p>
    <w:p>
      <w:pPr>
        <w:pStyle w:val="ListBullet2"/>
      </w:pPr>
      <w:r>
        <w:t>Marcar en la figura "evidencia indirecta; no estudiada sobre LABA+LAMA; disponible solo en EE.UU." y añadir "if available".</w:t>
      </w:r>
    </w:p>
    <w:p>
      <w:pPr>
        <w:pStyle w:val="ListBullet2"/>
      </w:pPr>
      <w:r>
        <w:t>Valorar alternativas con evidencia en ese escenario: rehabilitación y revisión de técnica y adherencia.</w:t>
      </w:r>
    </w:p>
    <w:p>
      <w:pPr>
        <w:pStyle w:val="ListBullet"/>
      </w:pPr>
      <w:r>
        <w:rPr>
          <w:b/>
        </w:rPr>
        <w:t>Confianza:</w:t>
      </w:r>
      <w:r>
        <w:t xml:space="preserve"> 5/5</w:t>
      </w:r>
    </w:p>
    <w:p>
      <w:pPr>
        <w:pStyle w:val="Heading4"/>
      </w:pPr>
      <w:r>
        <w:t>MET-12 · Fig 3.11: el dato de FEV1 de BOREAS no corresponde a la semana 52 que indica la figura</w:t>
      </w:r>
    </w:p>
    <w:p>
      <w:r>
        <w:rPr>
          <w:i/>
        </w:rPr>
        <w:t xml:space="preserve">Severidad final: </w:t>
      </w:r>
      <w:r>
        <w:rPr>
          <w:i/>
          <w:color w:val="FFC000"/>
        </w:rPr>
        <w:t>🟡</w:t>
      </w:r>
      <w:r>
        <w:rPr>
          <w:i/>
        </w:rPr>
        <w:t xml:space="preserve"> MEDIA · Tema T09: Biológicos, ensifentrina y nuevas terapias</w:t>
      </w:r>
    </w:p>
    <w:p>
      <w:pPr>
        <w:pStyle w:val="IntenseQuote"/>
      </w:pPr>
      <w:r>
        <w:rPr>
          <w:b/>
        </w:rPr>
        <w:t>Verificación independiente (CONFIRMADO):</w:t>
      </w:r>
      <w:r>
        <w:t xml:space="preserve"> Que los 83 mL de BOREAS correspondan a la semana 12 es [externo], aunque coincide con el resumen publicado (confianza alta).</w:t>
      </w:r>
    </w:p>
    <w:p>
      <w:pPr>
        <w:pStyle w:val="ListBullet"/>
      </w:pPr>
      <w:r>
        <w:rPr>
          <w:b/>
        </w:rPr>
        <w:t>Tipo:</w:t>
      </w:r>
      <w:r>
        <w:t xml:space="preserve"> Error factual</w:t>
      </w:r>
    </w:p>
    <w:p>
      <w:pPr>
        <w:pStyle w:val="ListBullet"/>
      </w:pPr>
      <w:r>
        <w:rPr>
          <w:b/>
        </w:rPr>
        <w:t>Severidad:</w:t>
      </w:r>
      <w:r>
        <w:t xml:space="preserve"> MEDIA</w:t>
      </w:r>
    </w:p>
    <w:p>
      <w:pPr>
        <w:pStyle w:val="ListBullet"/>
      </w:pPr>
      <w:r>
        <w:rPr>
          <w:b/>
        </w:rPr>
        <w:t>Ubicación:</w:t>
      </w:r>
      <w:r>
        <w:t xml:space="preserve"> Fig 3.11 (PDF 79 / impr. 68)</w:t>
      </w:r>
    </w:p>
    <w:p>
      <w:pPr>
        <w:pStyle w:val="ListBullet"/>
      </w:pPr>
      <w:r>
        <w:rPr>
          <w:b/>
        </w:rPr>
        <w:t>Cita:</w:t>
      </w:r>
      <w:r>
        <w:t xml:space="preserve"> «Lung function improvement (pre-BD FEV1)d» … «83mL; P &lt; 0.001 (95% CI: 42, 125)» … «d: at 52 weeks»</w:t>
      </w:r>
    </w:p>
    <w:p>
      <w:pPr>
        <w:pStyle w:val="ListBullet"/>
      </w:pPr>
      <w:r>
        <w:rPr>
          <w:b/>
        </w:rPr>
        <w:t>Problema:</w:t>
      </w:r>
    </w:p>
    <w:p>
      <w:pPr>
        <w:pStyle w:val="ListBullet2"/>
      </w:pPr>
      <w:r>
        <w:t>El abstract de BOREAS (PMID 37272521) sitúa la diferencia de 83 ml (IC 95 %: 42-125) en la semana 12 («sustained through week 52»).</w:t>
      </w:r>
    </w:p>
    <w:p>
      <w:pPr>
        <w:pStyle w:val="ListBullet2"/>
      </w:pPr>
      <w:r>
        <w:t>En cambio, el dato de NOTUS (62 ml; IC 95 %: 11-113) sí es de la semana 52; su semana 12 fue de 82 ml.</w:t>
      </w:r>
    </w:p>
    <w:p>
      <w:pPr>
        <w:pStyle w:val="ListBullet2"/>
      </w:pPr>
      <w:r>
        <w:t>La columna compara así puntos temporales distintos bajo una nota común, lo que sobrestima el efecto de BOREAS a un año frente a NOTUS.</w:t>
      </w:r>
    </w:p>
    <w:p>
      <w:pPr>
        <w:pStyle w:val="ListBullet"/>
      </w:pPr>
      <w:r>
        <w:rPr>
          <w:b/>
        </w:rPr>
        <w:t>Evidencia/justificación:</w:t>
      </w:r>
      <w:r>
        <w:t xml:space="preserve"> Abstracts de PubMed de BOREAS y NOTUS (ref 681, PMID 38767614).</w:t>
      </w:r>
    </w:p>
    <w:p>
      <w:pPr>
        <w:pStyle w:val="ListBullet"/>
      </w:pPr>
      <w:r>
        <w:rPr>
          <w:b/>
        </w:rPr>
        <w:t>Recomendación:</w:t>
      </w:r>
      <w:r>
        <w:t xml:space="preserve"> Dar ambos ensayos en la semana 52, o indicar el punto temporal de cada celda.</w:t>
      </w:r>
    </w:p>
    <w:p>
      <w:pPr>
        <w:pStyle w:val="ListBullet"/>
      </w:pPr>
      <w:r>
        <w:rPr>
          <w:b/>
        </w:rPr>
        <w:t>Confianza:</w:t>
      </w:r>
      <w:r>
        <w:t xml:space="preserve"> 4</w:t>
      </w:r>
    </w:p>
    <w:p>
      <w:pPr>
        <w:pStyle w:val="Heading4"/>
      </w:pPr>
      <w:r>
        <w:t>NOV-02 · Nivel de evidencia "A" para mepolizumab y para la calidad de vida con dupilumab no se ajusta a la definición de GOLD</w:t>
      </w:r>
    </w:p>
    <w:p>
      <w:r>
        <w:rPr>
          <w:i/>
        </w:rPr>
        <w:t xml:space="preserve">Severidad final: </w:t>
      </w:r>
      <w:r>
        <w:rPr>
          <w:i/>
          <w:color w:val="FFC000"/>
        </w:rPr>
        <w:t>🟡</w:t>
      </w:r>
      <w:r>
        <w:rPr>
          <w:i/>
        </w:rPr>
        <w:t xml:space="preserve"> MEDIA · Tema T09: Biológicos, ensifentrina y nuevas terapias</w:t>
      </w:r>
    </w:p>
    <w:p>
      <w:pPr>
        <w:pStyle w:val="IntenseQuote"/>
      </w:pPr>
      <w:r>
        <w:rPr>
          <w:b/>
        </w:rPr>
        <w:t>Verificación independiente (CONFIRMADO PARCIAL):</w:t>
      </w:r>
      <w:r>
        <w:t xml:space="preserve"> Dupilumab, calidad de vida: bajar a nivel B. Mepolizumab: el nivel A es defendible para "reduce exacerbaciones" solo con MATINEE como ensayo único de calidad. "With and without chronic bronchitis" procede de subgrupos, lo que corresponde a un nivel B.</w:t>
      </w:r>
    </w:p>
    <w:p>
      <w:pPr>
        <w:pStyle w:val="ListBullet"/>
      </w:pPr>
      <w:r>
        <w:rPr>
          <w:b/>
        </w:rPr>
        <w:t>Tipo:</w:t>
      </w:r>
      <w:r>
        <w:t xml:space="preserve"> Evidencia mal representada</w:t>
      </w:r>
    </w:p>
    <w:p>
      <w:pPr>
        <w:pStyle w:val="ListBullet"/>
      </w:pPr>
      <w:r>
        <w:rPr>
          <w:b/>
        </w:rPr>
        <w:t>Severidad:</w:t>
      </w:r>
      <w:r>
        <w:t xml:space="preserve"> MEDIA</w:t>
      </w:r>
    </w:p>
    <w:p>
      <w:pPr>
        <w:pStyle w:val="ListBullet"/>
      </w:pPr>
      <w:r>
        <w:rPr>
          <w:b/>
        </w:rPr>
        <w:t>Ubicación:</w:t>
      </w:r>
    </w:p>
    <w:p>
      <w:pPr>
        <w:pStyle w:val="ListBullet2"/>
      </w:pPr>
      <w:r>
        <w:t>PDF 160 / impr. 149 — Fig. A3.3, bloque "Biologics".</w:t>
      </w:r>
    </w:p>
    <w:p>
      <w:pPr>
        <w:pStyle w:val="ListBullet2"/>
      </w:pPr>
      <w:r>
        <w:t>PDF 163 / impr. 152 — texto sobre dupilumab.</w:t>
      </w:r>
    </w:p>
    <w:p>
      <w:pPr>
        <w:pStyle w:val="ListBullet2"/>
      </w:pPr>
      <w:r>
        <w:t>PDF 14 — Tabla A (niveles de evidencia).</w:t>
      </w:r>
    </w:p>
    <w:p>
      <w:pPr>
        <w:pStyle w:val="ListBullet"/>
      </w:pPr>
      <w:r>
        <w:rPr>
          <w:b/>
        </w:rPr>
        <w:t>Cita:</w:t>
      </w:r>
      <w:r>
        <w:t xml:space="preserve"> "Mepolizumab reduces exacerbations in patients with and without chronic bronchitis (Evidence A)"; "Dupilumab reduces exacerbations, improves lung function and quality of life in patients with chronic bronchitis (Evidence A)"</w:t>
      </w:r>
    </w:p>
    <w:p>
      <w:pPr>
        <w:pStyle w:val="ListBullet"/>
      </w:pPr>
      <w:r>
        <w:rPr>
          <w:b/>
        </w:rPr>
        <w:t>Problema:</w:t>
      </w:r>
    </w:p>
    <w:p>
      <w:pPr>
        <w:pStyle w:val="ListBullet2"/>
      </w:pPr>
      <w:r>
        <w:rPr>
          <w:b/>
        </w:rPr>
        <w:t>Mepolizumab:</w:t>
      </w:r>
      <w:r>
        <w:t xml:space="preserve"> la Tabla A reserva el nivel A para ensayos que aportan un patrón consistente de resultados. En mepolizumab, 1 de 3 ensayos fase III fue negativo y otro solo fue positivo en un estrato, lo que corresponde mejor a un nivel B ("resultados algo inconsistentes" o pocos ensayos).</w:t>
      </w:r>
    </w:p>
    <w:p>
      <w:pPr>
        <w:pStyle w:val="ListBullet2"/>
      </w:pPr>
      <w:r>
        <w:rPr>
          <w:b/>
        </w:rPr>
        <w:t>Dupilumab:</w:t>
      </w:r>
    </w:p>
    <w:p>
      <w:pPr>
        <w:pStyle w:val="ListBullet2"/>
      </w:pPr>
      <w:r>
        <w:rPr>
          <w:b/>
        </w:rPr>
        <w:t>BOREAS:</w:t>
      </w:r>
      <w:r>
        <w:t xml:space="preserve"> la mejora de calidad de vida fue estadísticamente significativa (SGRQ −3,4), pero inferior a la diferencia mínima clínicamente importante (4 unidades).</w:t>
      </w:r>
    </w:p>
    <w:p>
      <w:pPr>
        <w:pStyle w:val="ListBullet2"/>
      </w:pPr>
      <w:r>
        <w:rPr>
          <w:b/>
        </w:rPr>
        <w:t>NOTUS:</w:t>
      </w:r>
      <w:r>
        <w:t xml:space="preserve"> el SGRQ no se contrastó por la jerarquía (la Fig. 3.11 lo reconoce en la nota "e").</w:t>
      </w:r>
    </w:p>
    <w:p>
      <w:pPr>
        <w:pStyle w:val="ListBullet2"/>
      </w:pPr>
      <w:r>
        <w:rPr>
          <w:b/>
        </w:rPr>
        <w:t>Apéndice 3:</w:t>
      </w:r>
      <w:r>
        <w:t xml:space="preserve"> aun así, el texto afirma "improved health status" para ambos ensayos.</w:t>
      </w:r>
    </w:p>
    <w:p>
      <w:pPr>
        <w:pStyle w:val="ListBullet2"/>
      </w:pPr>
      <w:r>
        <w:rPr>
          <w:b/>
        </w:rPr>
        <w:t>Población:</w:t>
      </w:r>
      <w:r>
        <w:t xml:space="preserve"> la Fig. A3.3 dice "moderate to severe COPD", pero los ensayos de mepolizumab incluyeron FEV1 &gt;20 %, es decir, enfermedad muy grave, como recoge el propio texto ("GOLD 2-4").</w:t>
      </w:r>
    </w:p>
    <w:p>
      <w:pPr>
        <w:pStyle w:val="ListBullet"/>
      </w:pPr>
      <w:r>
        <w:rPr>
          <w:b/>
        </w:rPr>
        <w:t>Evidencia/justificación:</w:t>
      </w:r>
    </w:p>
    <w:p>
      <w:pPr>
        <w:pStyle w:val="ListBullet2"/>
      </w:pPr>
      <w:r>
        <w:t>BOREAS: Bhatt SP et al., NEJM 2023;389:205-14 (PMID 37272521).</w:t>
      </w:r>
    </w:p>
    <w:p>
      <w:pPr>
        <w:pStyle w:val="ListBullet2"/>
      </w:pPr>
      <w:r>
        <w:t>NOTUS: Bhatt SP et al., NEJM 2024;390:2274-83 (PMID 38767614).</w:t>
      </w:r>
    </w:p>
    <w:p>
      <w:pPr>
        <w:pStyle w:val="ListBullet2"/>
      </w:pPr>
      <w:r>
        <w:t>METREX/METREO y MATINEE: ver NOV-01.</w:t>
      </w:r>
    </w:p>
    <w:p>
      <w:pPr>
        <w:pStyle w:val="ListBullet2"/>
      </w:pPr>
      <w:r>
        <w:t>Diferencia mínima clínicamente importante del SGRQ: 4 unidades (Jones, COPD 2005).</w:t>
      </w:r>
    </w:p>
    <w:p>
      <w:pPr>
        <w:pStyle w:val="ListBullet"/>
      </w:pPr>
      <w:r>
        <w:rPr>
          <w:b/>
        </w:rPr>
        <w:t>Recomendación:</w:t>
      </w:r>
    </w:p>
    <w:p>
      <w:pPr>
        <w:pStyle w:val="ListBullet2"/>
      </w:pPr>
      <w:r>
        <w:t>Mepolizumab: reclasificar a Evidencia B, o mantener A solo para la población MATINEE, especificando "eos ≥300 en el cribado".</w:t>
      </w:r>
    </w:p>
    <w:p>
      <w:pPr>
        <w:pStyle w:val="ListBullet2"/>
      </w:pPr>
      <w:r>
        <w:t>Dupilumab: separar los resultados, con exacerbaciones y FEV1 como Evidencia A y la calidad de vida como Evidencia B ("mejora estadísticamente significativa por debajo de la diferencia mínima clínicamente importante en un ensayo, no contrastada en el otro").</w:t>
      </w:r>
    </w:p>
    <w:p>
      <w:pPr>
        <w:pStyle w:val="ListBullet2"/>
      </w:pPr>
      <w:r>
        <w:t>Población: sustituir "moderate to severe" por los rangos de FEV1 de los ensayos.</w:t>
      </w:r>
    </w:p>
    <w:p>
      <w:pPr>
        <w:pStyle w:val="ListBullet"/>
      </w:pPr>
      <w:r>
        <w:rPr>
          <w:b/>
        </w:rPr>
        <w:t>Confianza:</w:t>
      </w:r>
      <w:r>
        <w:t xml:space="preserve"> 4/5</w:t>
      </w:r>
    </w:p>
    <w:p>
      <w:pPr>
        <w:pStyle w:val="Heading4"/>
      </w:pPr>
      <w:r>
        <w:t>NOV-03 · Fig. 3.11: datos de METREX y de FEV1 de BOREAS no corresponden a las poblaciones o momentos indicados</w:t>
      </w:r>
    </w:p>
    <w:p>
      <w:r>
        <w:rPr>
          <w:i/>
        </w:rPr>
        <w:t xml:space="preserve">Severidad final: </w:t>
      </w:r>
      <w:r>
        <w:rPr>
          <w:i/>
          <w:color w:val="FFC000"/>
        </w:rPr>
        <w:t>🟡</w:t>
      </w:r>
      <w:r>
        <w:rPr>
          <w:i/>
        </w:rPr>
        <w:t xml:space="preserve"> MEDIA · Tema T09: Biológicos, ensifentrina y nuevas terapias</w:t>
      </w:r>
    </w:p>
    <w:p>
      <w:pPr>
        <w:pStyle w:val="IntenseQuote"/>
      </w:pPr>
      <w:r>
        <w:rPr>
          <w:b/>
        </w:rPr>
        <w:t>Verificación independiente (CONFIRMADO):</w:t>
      </w:r>
      <w:r>
        <w:t xml:space="preserve"> Que los 83 mL de BOREAS correspondan a la semana 12 es [externo], aunque coincide con el resumen publicado (confianza alta).</w:t>
      </w:r>
    </w:p>
    <w:p>
      <w:pPr>
        <w:pStyle w:val="ListBullet"/>
      </w:pPr>
      <w:r>
        <w:rPr>
          <w:b/>
        </w:rPr>
        <w:t>Tipo:</w:t>
      </w:r>
      <w:r>
        <w:t xml:space="preserve"> Error factual</w:t>
      </w:r>
    </w:p>
    <w:p>
      <w:pPr>
        <w:pStyle w:val="ListBullet"/>
      </w:pPr>
      <w:r>
        <w:rPr>
          <w:b/>
        </w:rPr>
        <w:t>Severidad:</w:t>
      </w:r>
      <w:r>
        <w:t xml:space="preserve"> MEDIA</w:t>
      </w:r>
    </w:p>
    <w:p>
      <w:pPr>
        <w:pStyle w:val="ListBullet"/>
      </w:pPr>
      <w:r>
        <w:rPr>
          <w:b/>
        </w:rPr>
        <w:t>Ubicación:</w:t>
      </w:r>
      <w:r>
        <w:t xml:space="preserve"> PDF 79 / impr. 68 — Fig. 3.11, "Evidence Supporting Use of Biologics in the Treatment of COPD".</w:t>
      </w:r>
    </w:p>
    <w:p>
      <w:pPr>
        <w:pStyle w:val="ListBullet"/>
      </w:pPr>
      <w:r>
        <w:rPr>
          <w:b/>
        </w:rPr>
        <w:t>Cita:</w:t>
      </w:r>
      <w:r>
        <w:t xml:space="preserve"> "METREX (n=836) … RR 0.82; P = 0.04"; BOREAS "83mL; P &lt; 0.001 (95% CI: 42, 125)"; nota d: "at 52 weeks"</w:t>
      </w:r>
    </w:p>
    <w:p>
      <w:pPr>
        <w:pStyle w:val="ListBullet"/>
      </w:pPr>
      <w:r>
        <w:rPr>
          <w:b/>
        </w:rPr>
        <w:t>Problema:</w:t>
      </w:r>
    </w:p>
    <w:p>
      <w:pPr>
        <w:pStyle w:val="ListBullet2"/>
      </w:pPr>
      <w:r>
        <w:rPr>
          <w:b/>
        </w:rPr>
        <w:t>METREX:</w:t>
      </w:r>
      <w:r>
        <w:t xml:space="preserve"> la fila combina el tamaño muestral de la población mITT completa (n=836) con el RR del estrato eosinofílico (n=462). Para la población completa no hubo efecto (RR ≈0,98). La nota "c" ("pre-defined eosinophilic population") aparece en la columna de criterios, por lo que el lector asocia el RR 0,82 a los 836 pacientes.</w:t>
      </w:r>
    </w:p>
    <w:p>
      <w:pPr>
        <w:pStyle w:val="ListBullet2"/>
      </w:pPr>
      <w:r>
        <w:rPr>
          <w:b/>
        </w:rPr>
        <w:t>METREO:</w:t>
      </w:r>
      <w:r>
        <w:t xml:space="preserve"> n=674 incluye tres brazos (placebo, 100 mg y 300 mg), mientras que el RR 0,80 es solo 100 mg frente a placebo.</w:t>
      </w:r>
    </w:p>
    <w:p>
      <w:pPr>
        <w:pStyle w:val="ListBullet2"/>
      </w:pPr>
      <w:r>
        <w:rPr>
          <w:b/>
        </w:rPr>
        <w:t>BOREAS:</w:t>
      </w:r>
      <w:r>
        <w:t xml:space="preserve"> la nota "d" indica que el FEV1 corresponde a la semana 52. Sin embargo, la cifra de BOREAS (83 mL, IC 42-125) es la del análisis de la semana 12 publicado en el resumen. Para NOTUS sí se muestra la semana 52 (62 mL, IC 11-113; en la semana 12 fueron 82 mL). Se comparan, por tanto, momentos distintos.</w:t>
      </w:r>
    </w:p>
    <w:p>
      <w:pPr>
        <w:pStyle w:val="ListBullet"/>
      </w:pPr>
      <w:r>
        <w:rPr>
          <w:b/>
        </w:rPr>
        <w:t>Evidencia/justificación:</w:t>
      </w:r>
    </w:p>
    <w:p>
      <w:pPr>
        <w:pStyle w:val="ListBullet2"/>
      </w:pPr>
      <w:r>
        <w:t>Pavord 2017 (PMID 28893134): estrato eosinofílico de METREX, n=462.</w:t>
      </w:r>
    </w:p>
    <w:p>
      <w:pPr>
        <w:pStyle w:val="ListBullet2"/>
      </w:pPr>
      <w:r>
        <w:t>Bhatt 2023 (BOREAS): diferencia de 83 mL (IC 42-125) en la semana 12, "sustained through week 52".</w:t>
      </w:r>
    </w:p>
    <w:p>
      <w:pPr>
        <w:pStyle w:val="ListBullet2"/>
      </w:pPr>
      <w:r>
        <w:t>Bhatt 2024 (NOTUS): 82 mL en la semana 12 y 62 mL en la semana 52.</w:t>
      </w:r>
    </w:p>
    <w:p>
      <w:pPr>
        <w:pStyle w:val="ListBullet"/>
      </w:pPr>
      <w:r>
        <w:rPr>
          <w:b/>
        </w:rPr>
        <w:t>Recomendación:</w:t>
      </w:r>
    </w:p>
    <w:p>
      <w:pPr>
        <w:pStyle w:val="ListBullet2"/>
      </w:pPr>
      <w:r>
        <w:t>METREX: "n=462 (estrato eos ≥150)", o añadir una fila con la población global (RR 0,98, NS).</w:t>
      </w:r>
    </w:p>
    <w:p>
      <w:pPr>
        <w:pStyle w:val="ListBullet2"/>
      </w:pPr>
      <w:r>
        <w:t>METREO: indicar n por brazo.</w:t>
      </w:r>
    </w:p>
    <w:p>
      <w:pPr>
        <w:pStyle w:val="ListBullet2"/>
      </w:pPr>
      <w:r>
        <w:t>FEV1: homogeneizar el momento temporal (dos columnas, semana 12 y semana 52) o corregir la nota "d".</w:t>
      </w:r>
    </w:p>
    <w:p>
      <w:pPr>
        <w:pStyle w:val="ListBullet"/>
      </w:pPr>
      <w:r>
        <w:rPr>
          <w:b/>
        </w:rPr>
        <w:t>Confianza:</w:t>
      </w:r>
      <w:r>
        <w:t xml:space="preserve"> 4/5</w:t>
      </w:r>
    </w:p>
    <w:p>
      <w:pPr>
        <w:pStyle w:val="Heading4"/>
      </w:pPr>
      <w:r>
        <w:t>NOV-09 · Ensifentrina: referencias erróneas, mecanismo impreciso y disponibilidad desactualizada</w:t>
      </w:r>
    </w:p>
    <w:p>
      <w:r>
        <w:rPr>
          <w:i/>
        </w:rPr>
        <w:t xml:space="preserve">Severidad final: </w:t>
      </w:r>
      <w:r>
        <w:rPr>
          <w:i/>
          <w:color w:val="FFC000"/>
        </w:rPr>
        <w:t>🟡</w:t>
      </w:r>
      <w:r>
        <w:rPr>
          <w:i/>
        </w:rPr>
        <w:t xml:space="preserve"> MEDIA · Tema T09: Biológicos, ensifentrina y nuevas terapias</w:t>
      </w:r>
    </w:p>
    <w:p>
      <w:pPr>
        <w:pStyle w:val="ListBullet"/>
      </w:pPr>
      <w:r>
        <w:rPr>
          <w:b/>
        </w:rPr>
        <w:t>Tipo:</w:t>
      </w:r>
      <w:r>
        <w:t xml:space="preserve"> Error factual / Desactualización</w:t>
      </w:r>
    </w:p>
    <w:p>
      <w:pPr>
        <w:pStyle w:val="ListBullet"/>
      </w:pPr>
      <w:r>
        <w:rPr>
          <w:b/>
        </w:rPr>
        <w:t>Severidad:</w:t>
      </w:r>
      <w:r>
        <w:t xml:space="preserve"> MEDIA</w:t>
      </w:r>
    </w:p>
    <w:p>
      <w:pPr>
        <w:pStyle w:val="ListBullet"/>
      </w:pPr>
      <w:r>
        <w:rPr>
          <w:b/>
        </w:rPr>
        <w:t>Ubicación:</w:t>
      </w:r>
    </w:p>
    <w:p>
      <w:pPr>
        <w:pStyle w:val="ListBullet2"/>
      </w:pPr>
      <w:r>
        <w:t>PDF 163 / impr. 152 — Apéndice 3, "Phosphodiesterase-3 and -4 inhibitors".</w:t>
      </w:r>
    </w:p>
    <w:p>
      <w:pPr>
        <w:pStyle w:val="ListBullet2"/>
      </w:pPr>
      <w:r>
        <w:t>PDF 76-77 — cap. 3.</w:t>
      </w:r>
    </w:p>
    <w:p>
      <w:pPr>
        <w:pStyle w:val="ListBullet"/>
      </w:pPr>
      <w:r>
        <w:rPr>
          <w:b/>
        </w:rPr>
        <w:t>Cita:</w:t>
      </w:r>
      <w:r>
        <w:t xml:space="preserve"> "PDE3 inhibition, through modulation of cyclic guanosine monophosphate levels, causes smooth muscle relaxation"; "…in our treatment algorithm.(453,681-683)"; "Ensifentrine is currently only available in the US."</w:t>
      </w:r>
    </w:p>
    <w:p>
      <w:pPr>
        <w:pStyle w:val="ListBullet"/>
      </w:pPr>
      <w:r>
        <w:rPr>
          <w:b/>
        </w:rPr>
        <w:t>Problema:</w:t>
      </w:r>
    </w:p>
    <w:p>
      <w:pPr>
        <w:pStyle w:val="ListNumber"/>
        <w:numPr>
          <w:ilvl w:val="0"/>
          <w:numId w:val="34"/>
        </w:numPr>
      </w:pPr>
      <w:r>
        <w:rPr>
          <w:b/>
        </w:rPr>
        <w:t>Mecanismo:</w:t>
      </w:r>
      <w:r>
        <w:t xml:space="preserve"> la inhibición de PDE3 en el músculo liso bronquial actúa sobre todo aumentando el AMPc. La PDE3 hidroliza AMPc y GMPc, pero la relajación se atribuye al AMPc, que es el mismo mediador citado para la PDE4 en la página anterior.</w:t>
      </w:r>
    </w:p>
    <w:p>
      <w:pPr>
        <w:pStyle w:val="ListNumber"/>
        <w:numPr>
          <w:ilvl w:val="0"/>
          <w:numId w:val="34"/>
        </w:numPr>
      </w:pPr>
      <w:r>
        <w:rPr>
          <w:b/>
        </w:rPr>
        <w:t>Citas:</w:t>
      </w:r>
      <w:r>
        <w:t xml:space="preserve"> el bloque sobre ensifentrina cita las refs. 681-683, que son NOTUS, BOREAS (dupilumab) y una revisión sobre EPOC eosinofílica (Fieldes 2021), y la 453, una revisión de GOLD sobre eosinófilos. Ninguna trata de ensifentrina.</w:t>
      </w:r>
    </w:p>
    <w:p>
      <w:pPr>
        <w:pStyle w:val="ListNumber"/>
        <w:numPr>
          <w:ilvl w:val="0"/>
          <w:numId w:val="34"/>
        </w:numPr>
      </w:pPr>
      <w:r>
        <w:rPr>
          <w:b/>
        </w:rPr>
        <w:t>Seguridad:</w:t>
      </w:r>
      <w:r>
        <w:t xml:space="preserve"> la afirmación de seguridad cita la ref. 1606 (Singh, Drugs 2021), anterior a ENHANCE.</w:t>
      </w:r>
    </w:p>
    <w:p>
      <w:pPr>
        <w:pStyle w:val="ListNumber"/>
        <w:numPr>
          <w:ilvl w:val="0"/>
          <w:numId w:val="34"/>
        </w:numPr>
      </w:pPr>
      <w:r>
        <w:rPr>
          <w:b/>
        </w:rPr>
        <w:t>Disponibilidad:</w:t>
      </w:r>
    </w:p>
    <w:p>
      <w:pPr>
        <w:pStyle w:val="ListBullet2"/>
      </w:pPr>
      <w:r>
        <w:t>La afirmación "solo en EE. UU." estaba desactualizada en diciembre de 2025: hubo aprobación en Macao (2025, Nuance Pharma) y acceso temprano en Hainan y el Área de la Gran Bahía.</w:t>
      </w:r>
    </w:p>
    <w:p>
      <w:pPr>
        <w:pStyle w:val="ListBullet2"/>
      </w:pPr>
      <w:r>
        <w:t>La solicitud de comercialización en China (NMPA) está en curso: aceptada en enero de 2026, después del corte.</w:t>
      </w:r>
    </w:p>
    <w:p>
      <w:pPr>
        <w:pStyle w:val="ListBullet2"/>
      </w:pPr>
      <w:r>
        <w:t>Merck &amp; Co. adquirió Verona Pharma en octubre de 2025.</w:t>
      </w:r>
    </w:p>
    <w:p>
      <w:pPr>
        <w:pStyle w:val="ListBullet"/>
      </w:pPr>
      <w:r>
        <w:rPr>
          <w:b/>
        </w:rPr>
        <w:t>Evidencia/justificación:</w:t>
      </w:r>
    </w:p>
    <w:p>
      <w:pPr>
        <w:pStyle w:val="ListBullet2"/>
      </w:pPr>
      <w:r>
        <w:t>Revisión farmacológica: Anzueto 2023, introducción (PMID 37364283).</w:t>
      </w:r>
    </w:p>
    <w:p>
      <w:pPr>
        <w:pStyle w:val="ListBullet2"/>
      </w:pPr>
      <w:r>
        <w:t>Lista de referencias de GOLD: 453, 681, 682 y 683.</w:t>
      </w:r>
    </w:p>
    <w:p>
      <w:pPr>
        <w:pStyle w:val="ListBullet2"/>
      </w:pPr>
      <w:r>
        <w:t>Comunicados de Nuance Pharma (2025) y de Merck/Verona (julio-octubre de 2025).</w:t>
      </w:r>
    </w:p>
    <w:p>
      <w:pPr>
        <w:pStyle w:val="ListBullet"/>
      </w:pPr>
      <w:r>
        <w:rPr>
          <w:b/>
        </w:rPr>
        <w:t>Recomendación:</w:t>
      </w:r>
    </w:p>
    <w:p>
      <w:pPr>
        <w:pStyle w:val="ListBullet2"/>
      </w:pPr>
      <w:r>
        <w:t>Corregir el mecanismo a "AMPc".</w:t>
      </w:r>
    </w:p>
    <w:p>
      <w:pPr>
        <w:pStyle w:val="ListBullet2"/>
      </w:pPr>
      <w:r>
        <w:t>Sustituir las citas por la 1605 (ENHANCE) más la evidencia de fase II (estudios combinados con tiotropio).</w:t>
      </w:r>
    </w:p>
    <w:p>
      <w:pPr>
        <w:pStyle w:val="ListBullet2"/>
      </w:pPr>
      <w:r>
        <w:t>Citar los datos de seguridad de ENHANCE.</w:t>
      </w:r>
    </w:p>
    <w:p>
      <w:pPr>
        <w:pStyle w:val="ListBullet2"/>
      </w:pPr>
      <w:r>
        <w:t>Redactar la disponibilidad con fecha: "aprobada por la FDA (junio de 2024); disponibilidad limitada fuera de EE. UU. a dic-2025".</w:t>
      </w:r>
    </w:p>
    <w:p>
      <w:pPr>
        <w:pStyle w:val="ListBullet"/>
      </w:pPr>
      <w:r>
        <w:rPr>
          <w:b/>
        </w:rPr>
        <w:t>Confianza:</w:t>
      </w:r>
      <w:r>
        <w:t xml:space="preserve"> 4/5</w:t>
      </w:r>
    </w:p>
    <w:p>
      <w:pPr>
        <w:pStyle w:val="Heading4"/>
      </w:pPr>
      <w:r>
        <w:t>NOV-11 · Estado regulatorio de biológicos y ensifentrina no explicitado; discrepancias con las fichas técnicas</w:t>
      </w:r>
    </w:p>
    <w:p>
      <w:r>
        <w:rPr>
          <w:i/>
        </w:rPr>
        <w:t xml:space="preserve">Severidad final: </w:t>
      </w:r>
      <w:r>
        <w:rPr>
          <w:i/>
          <w:color w:val="FFC000"/>
        </w:rPr>
        <w:t>🟡</w:t>
      </w:r>
      <w:r>
        <w:rPr>
          <w:i/>
        </w:rPr>
        <w:t xml:space="preserve"> MEDIA · Tema T09: Biológicos, ensifentrina y nuevas terapias</w:t>
      </w:r>
    </w:p>
    <w:p>
      <w:pPr>
        <w:pStyle w:val="ListBullet"/>
      </w:pPr>
      <w:r>
        <w:rPr>
          <w:b/>
        </w:rPr>
        <w:t>Tipo:</w:t>
      </w:r>
      <w:r>
        <w:t xml:space="preserve"> Omisión / Desactualización</w:t>
      </w:r>
    </w:p>
    <w:p>
      <w:pPr>
        <w:pStyle w:val="ListBullet"/>
      </w:pPr>
      <w:r>
        <w:rPr>
          <w:b/>
        </w:rPr>
        <w:t>Severidad:</w:t>
      </w:r>
      <w:r>
        <w:t xml:space="preserve"> MEDIA</w:t>
      </w:r>
    </w:p>
    <w:p>
      <w:pPr>
        <w:pStyle w:val="ListBullet"/>
      </w:pPr>
      <w:r>
        <w:rPr>
          <w:b/>
        </w:rPr>
        <w:t>Ubicación:</w:t>
      </w:r>
    </w:p>
    <w:p>
      <w:pPr>
        <w:pStyle w:val="ListBullet2"/>
      </w:pPr>
      <w:r>
        <w:t>PDF 74 — Fig. 3.9, nota "b".</w:t>
      </w:r>
    </w:p>
    <w:p>
      <w:pPr>
        <w:pStyle w:val="ListBullet2"/>
      </w:pPr>
      <w:r>
        <w:t>PDF 79 — Fig. 3.11.</w:t>
      </w:r>
    </w:p>
    <w:p>
      <w:pPr>
        <w:pStyle w:val="ListBullet2"/>
      </w:pPr>
      <w:r>
        <w:t>PDF 163 — Apéndice 3.</w:t>
      </w:r>
    </w:p>
    <w:p>
      <w:pPr>
        <w:pStyle w:val="ListBullet"/>
      </w:pPr>
      <w:r>
        <w:rPr>
          <w:b/>
        </w:rPr>
        <w:t>Cita:</w:t>
      </w:r>
      <w:r>
        <w:t xml:space="preserve"> "Listed in order of approval in the US."</w:t>
      </w:r>
    </w:p>
    <w:p>
      <w:pPr>
        <w:pStyle w:val="ListBullet"/>
      </w:pPr>
      <w:r>
        <w:rPr>
          <w:b/>
        </w:rPr>
        <w:t>Problema:</w:t>
      </w:r>
      <w:r>
        <w:t xml:space="preserve"> La guía solo alude implícitamente a la regulación. No informa de:</w:t>
      </w:r>
    </w:p>
    <w:p>
      <w:pPr>
        <w:pStyle w:val="ListBullet2"/>
      </w:pPr>
      <w:r>
        <w:rPr>
          <w:b/>
        </w:rPr>
        <w:t>Dupilumab:</w:t>
      </w:r>
      <w:r>
        <w:t xml:space="preserve"> aprobación por la Comisión Europea (julio de 2024) y por la FDA (27-sep-2024).</w:t>
      </w:r>
    </w:p>
    <w:p>
      <w:pPr>
        <w:pStyle w:val="ListBullet2"/>
      </w:pPr>
      <w:r>
        <w:rPr>
          <w:b/>
        </w:rPr>
        <w:t>Mepolizumab:</w:t>
      </w:r>
    </w:p>
    <w:p>
      <w:pPr>
        <w:pStyle w:val="ListBullet2"/>
      </w:pPr>
      <w:r>
        <w:t>Aprobación por la FDA el 22-may-2025, con una indicación sin umbral fijo de eosinófilos ("eosinophilic phenotype"). El promotor comunica elegibilidad desde eos ≥150.</w:t>
      </w:r>
    </w:p>
    <w:p>
      <w:pPr>
        <w:pStyle w:val="ListBullet2"/>
      </w:pPr>
      <w:r>
        <w:t>Opinión positiva del CHMP en diciembre de 2025; la aprobación en la UE se produjo después del corte.</w:t>
      </w:r>
    </w:p>
    <w:p>
      <w:pPr>
        <w:pStyle w:val="ListBullet2"/>
      </w:pPr>
      <w:r>
        <w:rPr>
          <w:b/>
        </w:rPr>
        <w:t>Ensifentrina:</w:t>
      </w:r>
      <w:r>
        <w:t xml:space="preserve"> aprobación por la FDA el 26-jun-2024.</w:t>
      </w:r>
    </w:p>
    <w:p>
      <w:r>
        <w:t>Los criterios de GOLD son más restrictivos que las fichas técnicas de la FDA, lo cual es legítimo, pero no se explica:</w:t>
      </w:r>
    </w:p>
    <w:p>
      <w:pPr>
        <w:pStyle w:val="ListBullet2"/>
      </w:pPr>
      <w:r>
        <w:rPr>
          <w:b/>
        </w:rPr>
        <w:t>Dupilumab:</w:t>
      </w:r>
      <w:r>
        <w:t xml:space="preserve"> GOLD lo limita a "chronic bronchitis", mientras la ficha de la FDA no exige bronquitis crónica.</w:t>
      </w:r>
    </w:p>
    <w:p>
      <w:pPr>
        <w:pStyle w:val="ListBullet2"/>
      </w:pPr>
      <w:r>
        <w:rPr>
          <w:b/>
        </w:rPr>
        <w:t>Mepolizumab:</w:t>
      </w:r>
      <w:r>
        <w:t xml:space="preserve"> GOLD exige eos ≥300, mientras la ficha de la FDA no fija umbral.</w:t>
      </w:r>
    </w:p>
    <w:p>
      <w:pPr>
        <w:pStyle w:val="ListBullet2"/>
      </w:pPr>
      <w:r>
        <w:rPr>
          <w:b/>
        </w:rPr>
        <w:t>Consecuencias:</w:t>
      </w:r>
      <w:r>
        <w:t xml:space="preserve"> la discrepancia puede confundir al prescriptor y a los pagadores, y dificulta la adaptación a cada país.</w:t>
      </w:r>
    </w:p>
    <w:p>
      <w:pPr>
        <w:pStyle w:val="ListBullet"/>
      </w:pPr>
      <w:r>
        <w:rPr>
          <w:b/>
        </w:rPr>
        <w:t>Evidencia/justificación:</w:t>
      </w:r>
    </w:p>
    <w:p>
      <w:pPr>
        <w:pStyle w:val="ListBullet2"/>
      </w:pPr>
      <w:r>
        <w:t>Ficha técnica de la FDA de Dupixent (sep-2024): "add-on maintenance treatment of adult patients with inadequately controlled COPD and an eosinophilic phenotype".</w:t>
      </w:r>
    </w:p>
    <w:p>
      <w:pPr>
        <w:pStyle w:val="ListBullet2"/>
      </w:pPr>
      <w:r>
        <w:t>Ficha técnica de la UE (EPAR Dupixent, jul-2024).</w:t>
      </w:r>
    </w:p>
    <w:p>
      <w:pPr>
        <w:pStyle w:val="ListBullet2"/>
      </w:pPr>
      <w:r>
        <w:t>Comunicado de GSK del 22-may-2025 (Nucala, EPOC).</w:t>
      </w:r>
    </w:p>
    <w:p>
      <w:pPr>
        <w:pStyle w:val="ListBullet2"/>
      </w:pPr>
      <w:r>
        <w:t>Comunicado de Verona Pharma del 26-jun-2024 (Ohtuvayre).</w:t>
      </w:r>
    </w:p>
    <w:p>
      <w:pPr>
        <w:pStyle w:val="ListBullet"/>
      </w:pPr>
      <w:r>
        <w:rPr>
          <w:b/>
        </w:rPr>
        <w:t>Recomendación:</w:t>
      </w:r>
      <w:r>
        <w:t xml:space="preserve"> Añadir una tabla de estado regulatorio con fecha de corte que recoja:</w:t>
      </w:r>
    </w:p>
    <w:p>
      <w:pPr>
        <w:pStyle w:val="ListBullet2"/>
      </w:pPr>
      <w:r>
        <w:t>FDA y EMA, población autorizada y criterios de eosinófilos de la ficha técnica frente a los de los ensayos.</w:t>
      </w:r>
    </w:p>
    <w:p>
      <w:pPr>
        <w:pStyle w:val="ListBullet2"/>
      </w:pPr>
      <w:r>
        <w:t>Diferencias con la recomendación de GOLD y su justificación (p. ej., ≥300 porque es el criterio de MATINEE, BOREAS y NOTUS).</w:t>
      </w:r>
    </w:p>
    <w:p>
      <w:pPr>
        <w:pStyle w:val="ListBullet"/>
      </w:pPr>
      <w:r>
        <w:rPr>
          <w:b/>
        </w:rPr>
        <w:t>Confianza:</w:t>
      </w:r>
      <w:r>
        <w:t xml:space="preserve"> 4/5</w:t>
      </w:r>
    </w:p>
    <w:p>
      <w:pPr>
        <w:pStyle w:val="Heading4"/>
      </w:pPr>
      <w:r>
        <w:t>NOV-12 · Omisión de ensayos recientes negativos o mixtos de biológicos y alarminas</w:t>
      </w:r>
    </w:p>
    <w:p>
      <w:r>
        <w:rPr>
          <w:i/>
        </w:rPr>
        <w:t xml:space="preserve">Severidad final: </w:t>
      </w:r>
      <w:r>
        <w:rPr>
          <w:i/>
          <w:color w:val="FFC000"/>
        </w:rPr>
        <w:t>🟡</w:t>
      </w:r>
      <w:r>
        <w:rPr>
          <w:i/>
        </w:rPr>
        <w:t xml:space="preserve"> MEDIA · Tema T09: Biológicos, ensifentrina y nuevas terapias</w:t>
      </w:r>
    </w:p>
    <w:p>
      <w:pPr>
        <w:pStyle w:val="ListBullet"/>
      </w:pPr>
      <w:r>
        <w:rPr>
          <w:b/>
        </w:rPr>
        <w:t>Tipo:</w:t>
      </w:r>
      <w:r>
        <w:t xml:space="preserve"> Omisión / Desactualización</w:t>
      </w:r>
    </w:p>
    <w:p>
      <w:pPr>
        <w:pStyle w:val="ListBullet"/>
      </w:pPr>
      <w:r>
        <w:rPr>
          <w:b/>
        </w:rPr>
        <w:t>Severidad:</w:t>
      </w:r>
      <w:r>
        <w:t xml:space="preserve"> MEDIA</w:t>
      </w:r>
    </w:p>
    <w:p>
      <w:pPr>
        <w:pStyle w:val="ListBullet"/>
      </w:pPr>
      <w:r>
        <w:rPr>
          <w:b/>
        </w:rPr>
        <w:t>Ubicación:</w:t>
      </w:r>
    </w:p>
    <w:p>
      <w:pPr>
        <w:pStyle w:val="ListBullet2"/>
      </w:pPr>
      <w:r>
        <w:t>PDF 164 / impr. 153 — Apéndice 3 (benralizumab).</w:t>
      </w:r>
    </w:p>
    <w:p>
      <w:pPr>
        <w:pStyle w:val="ListBullet2"/>
      </w:pPr>
      <w:r>
        <w:t>PDF 79 — Fig. 3.11.</w:t>
      </w:r>
    </w:p>
    <w:p>
      <w:pPr>
        <w:pStyle w:val="ListBullet2"/>
      </w:pPr>
      <w:r>
        <w:t>Ausencia en todo el documento: tezepelumab, itepekimab, tozorakimab y astegolimab no aparecen en el texto.</w:t>
      </w:r>
    </w:p>
    <w:p>
      <w:pPr>
        <w:pStyle w:val="ListBullet"/>
      </w:pPr>
      <w:r>
        <w:rPr>
          <w:b/>
        </w:rPr>
        <w:t>Cita:</w:t>
      </w:r>
      <w:r>
        <w:t xml:space="preserve"> "found that add-on benralizumab was not associated with a lower annualized rate of COPD exacerbations.(1607)"</w:t>
      </w:r>
    </w:p>
    <w:p>
      <w:pPr>
        <w:pStyle w:val="ListBullet"/>
      </w:pPr>
      <w:r>
        <w:rPr>
          <w:b/>
        </w:rPr>
        <w:t>Problema:</w:t>
      </w:r>
      <w:r>
        <w:t xml:space="preserve"> La guía solo recoge los ensayos positivos más recientes y GALATHEA/TERRANOVA (2019). Omite:</w:t>
      </w:r>
    </w:p>
    <w:p>
      <w:pPr>
        <w:pStyle w:val="ListBullet2"/>
      </w:pPr>
      <w:r>
        <w:rPr>
          <w:b/>
        </w:rPr>
        <w:t>Benralizumab:</w:t>
      </w:r>
      <w:r>
        <w:t xml:space="preserve"> el criterio de eosinófilos ≥220 de GALATHEA/TERRANOVA y el ensayo RESOLUTE (eos ≥300, con tratamiento triple), que no alcanzó su objetivo primario (comunicado de AstraZeneca, sep-2025). RESOLUTE es relevante porque demuestra que un fenotipo eosinofílico ≥300 no garantiza el beneficio de cualquier anti-IL-5.</w:t>
      </w:r>
    </w:p>
    <w:p>
      <w:pPr>
        <w:pStyle w:val="ListBullet2"/>
      </w:pPr>
      <w:r>
        <w:rPr>
          <w:b/>
        </w:rPr>
        <w:t>Tezepelumab, COURSE (fase IIa):</w:t>
      </w:r>
      <w:r>
        <w:t xml:space="preserve"> no alcanzó el objetivo primario (−17 %, NS). Hubo una señal en eos ≥150 (−37 %) (Singh D et al., Lancet Respir Med 2025).</w:t>
      </w:r>
    </w:p>
    <w:p>
      <w:pPr>
        <w:pStyle w:val="ListBullet2"/>
      </w:pPr>
      <w:r>
        <w:rPr>
          <w:b/>
        </w:rPr>
        <w:t>Itepekimab, AERIFY-1/2 (anti-IL-33):</w:t>
      </w:r>
      <w:r>
        <w:t xml:space="preserve"> AERIFY-1 fue positivo (−27 %) y AERIFY-2 no significativo (Sanofi/Regeneron, 30-may-2025).</w:t>
      </w:r>
    </w:p>
    <w:p>
      <w:pPr>
        <w:pStyle w:val="ListBullet2"/>
      </w:pPr>
      <w:r>
        <w:rPr>
          <w:b/>
        </w:rPr>
        <w:t>Astegolimab (anti-ST2):</w:t>
      </w:r>
      <w:r>
        <w:t xml:space="preserve"> ALIENTO (fase IIb) mostró −15,4 % (significativo) y ARNASA (fase III) −14,5 % (NS) (Roche, jul-2025).</w:t>
      </w:r>
    </w:p>
    <w:p>
      <w:pPr>
        <w:pStyle w:val="ListBullet2"/>
      </w:pPr>
      <w:r>
        <w:rPr>
          <w:b/>
        </w:rPr>
        <w:t>Tozorakimab (anti-IL-33):</w:t>
      </w:r>
      <w:r>
        <w:t xml:space="preserve"> los resultados de OBERON/TITANIA se comunicaron después de la fecha de la guía, por lo que su omisión no es un error, pero conviene señalarlo como pendiente.</w:t>
      </w:r>
    </w:p>
    <w:p>
      <w:r>
        <w:t>Omitir estos resultados sesga la percepción hacia una eficacia homogénea de los biológicos, y en particular de las alarminas, en poblaciones con eosinófilos bajos.</w:t>
      </w:r>
    </w:p>
    <w:p>
      <w:pPr>
        <w:pStyle w:val="ListBullet"/>
      </w:pPr>
      <w:r>
        <w:rPr>
          <w:b/>
        </w:rPr>
        <w:t>Evidencia/justificación:</w:t>
      </w:r>
      <w:r>
        <w:t xml:space="preserve"> Fuentes citadas en el Problema. Ninguno de estos ensayos ni la vía IL-33/ST2/TSLP se mencionan en el documento (comprobado mediante búsqueda en gold_full.txt).</w:t>
      </w:r>
    </w:p>
    <w:p>
      <w:pPr>
        <w:pStyle w:val="ListBullet"/>
      </w:pPr>
      <w:r>
        <w:rPr>
          <w:b/>
        </w:rPr>
        <w:t>Recomendación:</w:t>
      </w:r>
    </w:p>
    <w:p>
      <w:pPr>
        <w:pStyle w:val="ListBullet2"/>
      </w:pPr>
      <w:r>
        <w:t>Añadir al Apéndice 3 un subapartado "Biológicos en investigación (a dic-2025)" con resultados positivos y negativos.</w:t>
      </w:r>
    </w:p>
    <w:p>
      <w:pPr>
        <w:pStyle w:val="ListBullet2"/>
      </w:pPr>
      <w:r>
        <w:t>Ampliar la Fig. 3.11 o crear una tabla con los ensayos negativos (METREO, GALATHEA, TERRANOVA, RESOLUTE, AERIFY-2 y ARNASA) para reflejar la heterogeneidad del efecto.</w:t>
      </w:r>
    </w:p>
    <w:p>
      <w:pPr>
        <w:pStyle w:val="ListBullet2"/>
      </w:pPr>
      <w:r>
        <w:t>Indicar el criterio de eos ≥220 en GALATHEA/TERRANOVA.</w:t>
      </w:r>
    </w:p>
    <w:p>
      <w:pPr>
        <w:pStyle w:val="ListBullet"/>
      </w:pPr>
      <w:r>
        <w:rPr>
          <w:b/>
        </w:rPr>
        <w:t>Confianza:</w:t>
      </w:r>
      <w:r>
        <w:t xml:space="preserve"> 4/5 (resultados de RESOLUTE, AERIFY y ARNASA verificados en comunicados del promotor; publicaciones completas pendientes)</w:t>
      </w:r>
    </w:p>
    <w:p>
      <w:pPr>
        <w:pStyle w:val="Heading4"/>
      </w:pPr>
      <w:r>
        <w:t>COH-07 · Soporte ventilatorio: HFNT como "primer modo" frente a NIV como "modo inicial", y límites gasométricos con operadores dispares</w:t>
      </w:r>
    </w:p>
    <w:p>
      <w:r>
        <w:rPr>
          <w:i/>
        </w:rPr>
        <w:t xml:space="preserve">Severidad final: </w:t>
      </w:r>
      <w:r>
        <w:rPr>
          <w:i/>
          <w:color w:val="FFC000"/>
        </w:rPr>
        <w:t>🟡</w:t>
      </w:r>
      <w:r>
        <w:rPr>
          <w:i/>
        </w:rPr>
        <w:t xml:space="preserve"> MEDIA · Tema T10: Soporte ventilatorio en la exacerbación (HFNT, VNI, VMI)</w:t>
      </w:r>
    </w:p>
    <w:p>
      <w:pPr>
        <w:pStyle w:val="IntenseQuote"/>
      </w:pPr>
      <w:r>
        <w:rPr>
          <w:b/>
        </w:rPr>
        <w:t>Verificación independiente (CONFIRMADO):</w:t>
      </w:r>
      <w:r>
        <w:t xml:space="preserve"> La contradicción se atenúa porque la figura se refiere a insuficiencia hipoxémica, pero sigue resultando confusa.</w:t>
      </w:r>
    </w:p>
    <w:p>
      <w:pPr>
        <w:pStyle w:val="ListBullet"/>
      </w:pPr>
      <w:r>
        <w:rPr>
          <w:b/>
        </w:rPr>
        <w:t>Tipo:</w:t>
      </w:r>
      <w:r>
        <w:t xml:space="preserve"> Incoherencia figura-texto</w:t>
      </w:r>
    </w:p>
    <w:p>
      <w:pPr>
        <w:pStyle w:val="ListBullet"/>
      </w:pPr>
      <w:r>
        <w:rPr>
          <w:b/>
        </w:rPr>
        <w:t>Severidad:</w:t>
      </w:r>
      <w:r>
        <w:t xml:space="preserve"> MEDIA</w:t>
      </w:r>
    </w:p>
    <w:p>
      <w:pPr>
        <w:pStyle w:val="ListBullet"/>
      </w:pPr>
      <w:r>
        <w:rPr>
          <w:b/>
        </w:rPr>
        <w:t>Ubicación:</w:t>
      </w:r>
      <w:r>
        <w:t xml:space="preserve"> Fig 4.6 (PDF 113 / impr. 102); PDF 118 / impr. 107; key points en PDF 103 / impr. 92; Fig 4.7-4.8 (PDF 117-118); PDF 105 / impr. 94</w:t>
      </w:r>
    </w:p>
    <w:p>
      <w:pPr>
        <w:pStyle w:val="ListBullet"/>
      </w:pPr>
      <w:r>
        <w:rPr>
          <w:b/>
        </w:rPr>
        <w:t>Cita:</w:t>
      </w:r>
    </w:p>
    <w:p>
      <w:pPr>
        <w:pStyle w:val="ListBullet2"/>
      </w:pPr>
      <w:r>
        <w:t>Fig 4.6: "High flow oxygen (HFNT) is the first mode of ventilation used in COPD patients with acute hypoxemic respiratory failure".</w:t>
      </w:r>
    </w:p>
    <w:p>
      <w:pPr>
        <w:pStyle w:val="ListBullet2"/>
      </w:pPr>
      <w:r>
        <w:t>Texto: "NIV is the initial mode of ventilation to treat acute respiratory failure in patients hospitalized for acute exacerbations of COPD".</w:t>
      </w:r>
    </w:p>
    <w:p>
      <w:pPr>
        <w:pStyle w:val="ListBullet"/>
      </w:pPr>
      <w:r>
        <w:rPr>
          <w:b/>
        </w:rPr>
        <w:t>Problema:</w:t>
      </w:r>
    </w:p>
    <w:p>
      <w:pPr>
        <w:pStyle w:val="ListBullet2"/>
      </w:pPr>
      <w:r>
        <w:t>El texto no distingue entre fallo hipoxémico e hipercápnico.</w:t>
      </w:r>
    </w:p>
    <w:p>
      <w:pPr>
        <w:pStyle w:val="ListBullet2"/>
      </w:pPr>
      <w:r>
        <w:t>La Fig 4.8 incluye "Persistent hypoxemia despite supplemental oxygen" como indicación de NIV, lo que se solapa con la HFNT de la Fig 4.7.</w:t>
      </w:r>
    </w:p>
    <w:p>
      <w:pPr>
        <w:pStyle w:val="ListBullet2"/>
      </w:pPr>
      <w:r>
        <w:t>Los key points de PDF 103 atribuyen "improve survival" también a los "high flow oxygen systems", un efecto que el texto solo documenta para la NIV.</w:t>
      </w:r>
    </w:p>
    <w:p>
      <w:pPr>
        <w:pStyle w:val="ListBullet2"/>
      </w:pPr>
      <w:r>
        <w:t>Los operadores de los umbrales no coinciden:</w:t>
      </w:r>
    </w:p>
    <w:p>
      <w:pPr>
        <w:pStyle w:val="ListBullet2"/>
      </w:pPr>
      <w:r>
        <w:t>NIV con "PaCO2 ≥ 6.0 kPa or 45 mmHg and pH ≤ 7.35" (Fig 4.8);</w:t>
      </w:r>
    </w:p>
    <w:p>
      <w:pPr>
        <w:pStyle w:val="ListBullet2"/>
      </w:pPr>
      <w:r>
        <w:t>"&gt;45" y "&lt;7.35" en la Fig 4.2;</w:t>
      </w:r>
    </w:p>
    <w:p>
      <w:pPr>
        <w:pStyle w:val="ListBullet2"/>
      </w:pPr>
      <w:r>
        <w:t>"pH ≤ 7.25" para el fallo ventilatorio (PDF 105).</w:t>
      </w:r>
    </w:p>
    <w:p>
      <w:pPr>
        <w:pStyle w:val="ListBullet2"/>
      </w:pPr>
      <w:r>
        <w:t>Llamar "ventilation" a la HFNT es impreciso.</w:t>
      </w:r>
    </w:p>
    <w:p>
      <w:pPr>
        <w:pStyle w:val="ListBullet"/>
      </w:pPr>
      <w:r>
        <w:rPr>
          <w:b/>
        </w:rPr>
        <w:t>Evidencia/justificación:</w:t>
      </w:r>
      <w:r>
        <w:t xml:space="preserve"> lectura de las Fig 4.6-4.8 frente al texto de PDF 116-118.</w:t>
      </w:r>
    </w:p>
    <w:p>
      <w:pPr>
        <w:pStyle w:val="ListBullet"/>
      </w:pPr>
      <w:r>
        <w:rPr>
          <w:b/>
        </w:rPr>
        <w:t>Recomendación:</w:t>
      </w:r>
    </w:p>
    <w:p>
      <w:pPr>
        <w:pStyle w:val="ListBullet2"/>
      </w:pPr>
      <w:r>
        <w:t>Adoptar una formulación única: NIV de primera línea en el fallo hipercápnico/acidótico; HFNT en el hipoxémico sin acidosis o con intolerancia a la NIV.</w:t>
      </w:r>
    </w:p>
    <w:p>
      <w:pPr>
        <w:pStyle w:val="ListBullet2"/>
      </w:pPr>
      <w:r>
        <w:t>Retirar "improve survival" para la HFNT.</w:t>
      </w:r>
    </w:p>
    <w:p>
      <w:pPr>
        <w:pStyle w:val="ListBullet2"/>
      </w:pPr>
      <w:r>
        <w:t>Unificar los operadores (&gt; / ≥).</w:t>
      </w:r>
    </w:p>
    <w:p>
      <w:pPr>
        <w:pStyle w:val="ListBullet"/>
      </w:pPr>
      <w:r>
        <w:rPr>
          <w:b/>
        </w:rPr>
        <w:t>Confianza:</w:t>
      </w:r>
      <w:r>
        <w:t xml:space="preserve"> 4</w:t>
      </w:r>
    </w:p>
    <w:p>
      <w:pPr>
        <w:pStyle w:val="Heading4"/>
      </w:pPr>
      <w:r>
        <w:t>EXA-18 · Sección HFNT: referencias mal asignadas, resultados intercambiados y descripción errónea de ensayos</w:t>
      </w:r>
    </w:p>
    <w:p>
      <w:r>
        <w:rPr>
          <w:i/>
        </w:rPr>
        <w:t xml:space="preserve">Severidad final: </w:t>
      </w:r>
      <w:r>
        <w:rPr>
          <w:i/>
          <w:color w:val="FFC000"/>
        </w:rPr>
        <w:t>🟡</w:t>
      </w:r>
      <w:r>
        <w:rPr>
          <w:i/>
        </w:rPr>
        <w:t xml:space="preserve"> MEDIA · Tema T10: Soporte ventilatorio en la exacerbación (HFNT, VNI, VMI)</w:t>
      </w:r>
    </w:p>
    <w:p>
      <w:pPr>
        <w:pStyle w:val="ListBullet"/>
      </w:pPr>
      <w:r>
        <w:rPr>
          <w:b/>
        </w:rPr>
        <w:t>Tipo:</w:t>
      </w:r>
      <w:r>
        <w:t xml:space="preserve"> Evidencia mal representada / Editorial</w:t>
      </w:r>
    </w:p>
    <w:p>
      <w:pPr>
        <w:pStyle w:val="ListBullet"/>
      </w:pPr>
      <w:r>
        <w:rPr>
          <w:b/>
        </w:rPr>
        <w:t>Severidad:</w:t>
      </w:r>
      <w:r>
        <w:t xml:space="preserve"> MEDIA</w:t>
      </w:r>
    </w:p>
    <w:p>
      <w:pPr>
        <w:pStyle w:val="ListBullet"/>
      </w:pPr>
      <w:r>
        <w:rPr>
          <w:b/>
        </w:rPr>
        <w:t>Ubicación:</w:t>
      </w:r>
      <w:r>
        <w:t xml:space="preserve"> PDF 117-118 / impr. 106-107.</w:t>
      </w:r>
    </w:p>
    <w:p>
      <w:pPr>
        <w:pStyle w:val="ListBullet"/>
      </w:pPr>
      <w:r>
        <w:rPr>
          <w:b/>
        </w:rPr>
        <w:t>Cita:</w:t>
      </w:r>
    </w:p>
    <w:p>
      <w:pPr>
        <w:pStyle w:val="ListBullet2"/>
      </w:pPr>
      <w:r>
        <w:t>"the rates of post-extubation respiratory failure and reintubation were high at 22% and 27%, respectively".</w:t>
      </w:r>
    </w:p>
    <w:p>
      <w:pPr>
        <w:pStyle w:val="ListBullet2"/>
      </w:pPr>
      <w:r>
        <w:t>"post-extubation HFNT with NIV was again non-inferior to HFNT alone… (1082)".</w:t>
      </w:r>
    </w:p>
    <w:p>
      <w:pPr>
        <w:pStyle w:val="ListBullet"/>
      </w:pPr>
      <w:r>
        <w:rPr>
          <w:b/>
        </w:rPr>
        <w:t>Problema:</w:t>
      </w:r>
    </w:p>
    <w:p>
      <w:pPr>
        <w:pStyle w:val="ListBullet2"/>
      </w:pPr>
      <w:r>
        <w:rPr>
          <w:b/>
        </w:rPr>
        <w:t>Hernández 2016 (ref. 1082; JAMA 2016;316:1565-74):</w:t>
      </w:r>
    </w:p>
    <w:p>
      <w:pPr>
        <w:pStyle w:val="ListBullet2"/>
      </w:pPr>
      <w:r>
        <w:t>En el brazo de HFNT, la reintubación fue del 22,8 % y la insuficiencia respiratoria post-extubación del 26,9 %; GOLD intercambia ambas cifras.</w:t>
      </w:r>
    </w:p>
    <w:p>
      <w:pPr>
        <w:pStyle w:val="ListBullet2"/>
      </w:pPr>
      <w:r>
        <w:t>Ese ensayo comparó HFNT frente a VNI, no "HFNT con VNI frente a HFNT sola". Esta última comparación es la de Thille 2019 (ref. 1083), que demostró superioridad y no no inferioridad.</w:t>
      </w:r>
    </w:p>
    <w:p>
      <w:pPr>
        <w:pStyle w:val="ListBullet2"/>
      </w:pPr>
      <w:r>
        <w:rPr>
          <w:b/>
        </w:rPr>
        <w:t>Ref. 1077 (Cortegiani):</w:t>
      </w:r>
      <w:r>
        <w:t xml:space="preserve"> es el protocolo publicado en Trials (2019), pero se cita dos veces por sus resultados. Los resultados están en Crit Care 2020;24:692 (PMID 33317579).</w:t>
      </w:r>
    </w:p>
    <w:p>
      <w:pPr>
        <w:pStyle w:val="ListBullet2"/>
      </w:pPr>
      <w:r>
        <w:rPr>
          <w:b/>
        </w:rPr>
        <w:t>Ref. 1078 (Tan 2020):</w:t>
      </w:r>
      <w:r>
        <w:t xml:space="preserve"> es un estudio post-extubación, pero aparece en el párrafo de primera línea.</w:t>
      </w:r>
    </w:p>
    <w:p>
      <w:pPr>
        <w:pStyle w:val="ListBullet2"/>
      </w:pPr>
      <w:r>
        <w:rPr>
          <w:b/>
        </w:rPr>
        <w:t>Ref. 1081:</w:t>
      </w:r>
      <w:r>
        <w:t xml:space="preserve"> se cita para post-extubación cuando es un estudio de primera línea en urgencias.</w:t>
      </w:r>
    </w:p>
    <w:p>
      <w:pPr>
        <w:pStyle w:val="ListBullet2"/>
      </w:pPr>
      <w:r>
        <w:rPr>
          <w:b/>
        </w:rPr>
        <w:t>Ref. 1074 (Li 2020):</w:t>
      </w:r>
      <w:r>
        <w:t xml:space="preserve"> incluyó pacientes con hipercapnia compensada, pero se describe como "hospitalized hypoxemic exacerbations".</w:t>
      </w:r>
    </w:p>
    <w:p>
      <w:pPr>
        <w:pStyle w:val="ListBullet2"/>
      </w:pPr>
      <w:r>
        <w:rPr>
          <w:b/>
        </w:rPr>
        <w:t>Errata:</w:t>
      </w:r>
      <w:r>
        <w:t xml:space="preserve"> "cardon dioxide".</w:t>
      </w:r>
    </w:p>
    <w:p>
      <w:pPr>
        <w:pStyle w:val="ListBullet"/>
      </w:pPr>
      <w:r>
        <w:rPr>
          <w:b/>
        </w:rPr>
        <w:t>Evidencia/justificación:</w:t>
      </w:r>
      <w:r>
        <w:t xml:space="preserve"> Verificación de las referencias en PubMed (PMID 27706464; Thille AW et al., JAMA 2019;322:1465-75; PMID 33317579).</w:t>
      </w:r>
    </w:p>
    <w:p>
      <w:pPr>
        <w:pStyle w:val="ListBullet"/>
      </w:pPr>
      <w:r>
        <w:rPr>
          <w:b/>
        </w:rPr>
        <w:t>Recomendación:</w:t>
      </w:r>
    </w:p>
    <w:p>
      <w:pPr>
        <w:pStyle w:val="ListBullet2"/>
      </w:pPr>
      <w:r>
        <w:t>Corregir las cifras y las referencias.</w:t>
      </w:r>
    </w:p>
    <w:p>
      <w:pPr>
        <w:pStyle w:val="ListBullet2"/>
      </w:pPr>
      <w:r>
        <w:t>Describir Thille 2019 como el ensayo HFNT+VNI frente a HFNT (superioridad de la combinación).</w:t>
      </w:r>
    </w:p>
    <w:p>
      <w:pPr>
        <w:pStyle w:val="ListBullet2"/>
      </w:pPr>
      <w:r>
        <w:t>Citar los resultados publicados de Cortegiani 2020.</w:t>
      </w:r>
    </w:p>
    <w:p>
      <w:pPr>
        <w:pStyle w:val="ListBullet"/>
      </w:pPr>
      <w:r>
        <w:rPr>
          <w:b/>
        </w:rPr>
        <w:t>Confianza:</w:t>
      </w:r>
      <w:r>
        <w:t xml:space="preserve"> 4/5</w:t>
      </w:r>
    </w:p>
    <w:p>
      <w:pPr>
        <w:pStyle w:val="Heading4"/>
      </w:pPr>
      <w:r>
        <w:t>EXA-19 · Indicaciones de VNI (Fig. 4.8): incluye la hipoxemia aislada y omite el contexto de tratamiento médico óptimo y las contraindicaciones</w:t>
      </w:r>
    </w:p>
    <w:p>
      <w:r>
        <w:rPr>
          <w:i/>
        </w:rPr>
        <w:t xml:space="preserve">Severidad final: </w:t>
      </w:r>
      <w:r>
        <w:rPr>
          <w:i/>
          <w:color w:val="FFC000"/>
        </w:rPr>
        <w:t>🟡</w:t>
      </w:r>
      <w:r>
        <w:rPr>
          <w:i/>
        </w:rPr>
        <w:t xml:space="preserve"> MEDIA · Tema T10: Soporte ventilatorio en la exacerbación (HFNT, VNI, VMI)</w:t>
      </w:r>
    </w:p>
    <w:p>
      <w:pPr>
        <w:pStyle w:val="ListBullet"/>
      </w:pPr>
      <w:r>
        <w:rPr>
          <w:b/>
        </w:rPr>
        <w:t>Tipo:</w:t>
      </w:r>
      <w:r>
        <w:t xml:space="preserve"> Evidencia mal representada / Omisión</w:t>
      </w:r>
    </w:p>
    <w:p>
      <w:pPr>
        <w:pStyle w:val="ListBullet"/>
      </w:pPr>
      <w:r>
        <w:rPr>
          <w:b/>
        </w:rPr>
        <w:t>Severidad:</w:t>
      </w:r>
      <w:r>
        <w:t xml:space="preserve"> MEDIA</w:t>
      </w:r>
    </w:p>
    <w:p>
      <w:pPr>
        <w:pStyle w:val="ListBullet"/>
      </w:pPr>
      <w:r>
        <w:rPr>
          <w:b/>
        </w:rPr>
        <w:t>Ubicación:</w:t>
      </w:r>
      <w:r>
        <w:t xml:space="preserve"> PDF 118 / impr. 107 — Fig. 4.8 y texto ("The indications for NIV(1092)").</w:t>
      </w:r>
    </w:p>
    <w:p>
      <w:pPr>
        <w:pStyle w:val="ListBullet"/>
      </w:pPr>
      <w:r>
        <w:rPr>
          <w:b/>
        </w:rPr>
        <w:t>Cita:</w:t>
      </w:r>
      <w:r>
        <w:t xml:space="preserve"> "Persistent hypoxemia despite supplemental oxygen therapy" (Fig. 4.8).</w:t>
      </w:r>
    </w:p>
    <w:p>
      <w:pPr>
        <w:pStyle w:val="ListBullet"/>
      </w:pPr>
      <w:r>
        <w:rPr>
          <w:b/>
        </w:rPr>
        <w:t>Problema:</w:t>
      </w:r>
    </w:p>
    <w:p>
      <w:pPr>
        <w:pStyle w:val="ListBullet2"/>
      </w:pPr>
      <w:r>
        <w:rPr>
          <w:b/>
        </w:rPr>
        <w:t>Hipoxemia aislada.</w:t>
      </w:r>
      <w:r>
        <w:t xml:space="preserve"> La Fig. 4.8 recoge la hipoxemia persistente como indicación de VNI. La guía ERS/ATS 2017 no hace ninguna recomendación sobre la VNI en la insuficiencia hipoxémica de novo, y en la EPOC la indicación con evidencia es la acidosis hipercápnica (pH ≤7,35 y PaCO2 &gt;45).</w:t>
      </w:r>
    </w:p>
    <w:p>
      <w:pPr>
        <w:pStyle w:val="ListBullet2"/>
      </w:pPr>
      <w:r>
        <w:rPr>
          <w:b/>
        </w:rPr>
        <w:t>Fuente.</w:t>
      </w:r>
      <w:r>
        <w:t xml:space="preserve"> La ref. 1092 que sustenta las indicaciones es un consenso de 1999 sobre VNI crónica.</w:t>
      </w:r>
    </w:p>
    <w:p>
      <w:pPr>
        <w:pStyle w:val="ListBullet2"/>
      </w:pPr>
      <w:r>
        <w:rPr>
          <w:b/>
        </w:rPr>
        <w:t>Contexto omitido:</w:t>
      </w:r>
    </w:p>
    <w:p>
      <w:pPr>
        <w:pStyle w:val="ListBullet2"/>
      </w:pPr>
      <w:r>
        <w:t>que la acidosis persista tras el tratamiento médico óptimo (BTS/ICS 2016);</w:t>
      </w:r>
    </w:p>
    <w:p>
      <w:pPr>
        <w:pStyle w:val="ListBullet2"/>
      </w:pPr>
      <w:r>
        <w:t>la ubicación y el umbral de escalada para pH &lt;7,25 (UCI/UCRI, con intubación disponible);</w:t>
      </w:r>
    </w:p>
    <w:p>
      <w:pPr>
        <w:pStyle w:val="ListBullet2"/>
      </w:pPr>
      <w:r>
        <w:t>las contraindicaciones, que solo se mencionan indirectamente ("unless absolutely contraindicated").</w:t>
      </w:r>
    </w:p>
    <w:p>
      <w:pPr>
        <w:pStyle w:val="ListBullet"/>
      </w:pPr>
      <w:r>
        <w:rPr>
          <w:b/>
        </w:rPr>
        <w:t>Evidencia/justificación:</w:t>
      </w:r>
    </w:p>
    <w:p>
      <w:pPr>
        <w:pStyle w:val="ListBullet2"/>
      </w:pPr>
      <w:r>
        <w:t>Rochwerg B et al., Eur Respir J 2017;50:1602426.</w:t>
      </w:r>
    </w:p>
    <w:p>
      <w:pPr>
        <w:pStyle w:val="ListBullet2"/>
      </w:pPr>
      <w:r>
        <w:t>Davidson AC et al., Thorax 2016;71 Suppl 2:ii1-35.</w:t>
      </w:r>
    </w:p>
    <w:p>
      <w:pPr>
        <w:pStyle w:val="ListBullet"/>
      </w:pPr>
      <w:r>
        <w:rPr>
          <w:b/>
        </w:rPr>
        <w:t>Recomendación:</w:t>
      </w:r>
      <w:r>
        <w:t xml:space="preserve"> Reescribir la Fig. 4.8:</w:t>
      </w:r>
    </w:p>
    <w:p>
      <w:pPr>
        <w:pStyle w:val="ListBullet2"/>
      </w:pPr>
      <w:r>
        <w:t>Acidosis respiratoria (pH ≤7,35 y PaCO2 &gt;45) persistente tras el tratamiento médico inicial.</w:t>
      </w:r>
    </w:p>
    <w:p>
      <w:pPr>
        <w:pStyle w:val="ListBullet2"/>
      </w:pPr>
      <w:r>
        <w:t>Disnea grave con signos de fatiga muscular.</w:t>
      </w:r>
    </w:p>
    <w:p>
      <w:pPr>
        <w:pStyle w:val="ListBullet2"/>
      </w:pPr>
      <w:r>
        <w:t>Hipoxemia persistente solo si se acompaña de hipercapnia o fatiga.</w:t>
      </w:r>
    </w:p>
    <w:p>
      <w:r>
        <w:t>Añadir además las contraindicaciones, el lugar de aplicación según el pH y un plan de escalada documentado desde el inicio.</w:t>
      </w:r>
    </w:p>
    <w:p>
      <w:pPr>
        <w:pStyle w:val="ListBullet"/>
      </w:pPr>
      <w:r>
        <w:rPr>
          <w:b/>
        </w:rPr>
        <w:t>Confianza:</w:t>
      </w:r>
      <w:r>
        <w:t xml:space="preserve"> 4/5</w:t>
      </w:r>
    </w:p>
    <w:p>
      <w:pPr>
        <w:pStyle w:val="Heading4"/>
      </w:pPr>
      <w:r>
        <w:t>REH-15 · HFNT domiciliaria: incoherencia entre cap. 3 y cap. 4 y referencia mal asignada</w:t>
      </w:r>
    </w:p>
    <w:p>
      <w:r>
        <w:rPr>
          <w:i/>
        </w:rPr>
        <w:t xml:space="preserve">Severidad final: </w:t>
      </w:r>
      <w:r>
        <w:rPr>
          <w:i/>
          <w:color w:val="FFC000"/>
        </w:rPr>
        <w:t>🟡</w:t>
      </w:r>
      <w:r>
        <w:rPr>
          <w:i/>
        </w:rPr>
        <w:t xml:space="preserve"> MEDIA · Tema T10: Soporte ventilatorio en la exacerbación (HFNT, VNI, VMI)</w:t>
      </w:r>
    </w:p>
    <w:p>
      <w:pPr>
        <w:pStyle w:val="ListBullet"/>
      </w:pPr>
      <w:r>
        <w:rPr>
          <w:b/>
        </w:rPr>
        <w:t>Tipo:</w:t>
      </w:r>
      <w:r>
        <w:t xml:space="preserve"> Incongruencia interna / Evidencia mal representada</w:t>
      </w:r>
    </w:p>
    <w:p>
      <w:pPr>
        <w:pStyle w:val="ListBullet"/>
      </w:pPr>
      <w:r>
        <w:rPr>
          <w:b/>
        </w:rPr>
        <w:t>Severidad:</w:t>
      </w:r>
      <w:r>
        <w:t xml:space="preserve"> MEDIA</w:t>
      </w:r>
    </w:p>
    <w:p>
      <w:pPr>
        <w:pStyle w:val="ListBullet"/>
      </w:pPr>
      <w:r>
        <w:rPr>
          <w:b/>
        </w:rPr>
        <w:t>Ubicación:</w:t>
      </w:r>
      <w:r>
        <w:t xml:space="preserve"> PDF 90 / impr. 79 — cap. 3; PDF 117-118 / impr. 106-107 — cap. 4, «High-flow nasal therapy»; Figura 3.17.</w:t>
      </w:r>
    </w:p>
    <w:p>
      <w:pPr>
        <w:pStyle w:val="ListBullet"/>
      </w:pPr>
      <w:r>
        <w:rPr>
          <w:b/>
        </w:rPr>
        <w:t>Cita:</w:t>
      </w:r>
      <w:r>
        <w:t xml:space="preserve"> Cap. 3: «in patients with chronic hypercapnic respiratory failure long-term treatment with HFNT may reduce acute exacerbations and improve SGRQ scores… its effect on mortality and hospitalizations is uncertain.(774,775)». Cap. 4: «Chronic use of home HFNT in addition to LTOT… However, there was no impact on mortality, together with inconsistent effects on quality of life».</w:t>
      </w:r>
    </w:p>
    <w:p>
      <w:pPr>
        <w:pStyle w:val="ListBullet"/>
      </w:pPr>
      <w:r>
        <w:rPr>
          <w:b/>
        </w:rPr>
        <w:t>Problema:</w:t>
      </w:r>
    </w:p>
    <w:p>
      <w:pPr>
        <w:pStyle w:val="ListBullet2"/>
      </w:pPr>
      <w:r>
        <w:rPr>
          <w:b/>
        </w:rPr>
        <w:t>Población:</w:t>
      </w:r>
      <w:r>
        <w:t xml:space="preserve"> el cap. 3 habla de pacientes hipercápnicos; el cap. 4 de pacientes en LTOT, hipoxémicos o hipercápnicos.</w:t>
      </w:r>
    </w:p>
    <w:p>
      <w:pPr>
        <w:pStyle w:val="ListBullet2"/>
      </w:pPr>
      <w:r>
        <w:rPr>
          <w:b/>
        </w:rPr>
        <w:t>Mortalidad:</w:t>
      </w:r>
      <w:r>
        <w:t xml:space="preserve"> «incierta» en el cap. 3 frente a «sin impacto» en el cap. 4.</w:t>
      </w:r>
    </w:p>
    <w:p>
      <w:pPr>
        <w:pStyle w:val="ListBullet2"/>
      </w:pPr>
      <w:r>
        <w:rPr>
          <w:b/>
        </w:rPr>
        <w:t>Calidad de vida:</w:t>
      </w:r>
      <w:r>
        <w:t xml:space="preserve"> mejora del SGRQ en el cap. 3 frente a efectos «inconsistentes» en el cap. 4.</w:t>
      </w:r>
    </w:p>
    <w:p>
      <w:pPr>
        <w:pStyle w:val="ListBullet2"/>
      </w:pPr>
      <w:r>
        <w:rPr>
          <w:b/>
        </w:rPr>
        <w:t>Referencia errónea:</w:t>
      </w:r>
      <w:r>
        <w:t xml:space="preserve"> la ref. 775 (Fu 2020) estudia HFNC </w:t>
      </w:r>
      <w:r>
        <w:rPr>
          <w:b/>
        </w:rPr>
        <w:t>durante la RR</w:t>
      </w:r>
      <w:r>
        <w:t>, no el tratamiento domiciliario a largo plazo.</w:t>
      </w:r>
    </w:p>
    <w:p>
      <w:pPr>
        <w:pStyle w:val="ListBullet2"/>
      </w:pPr>
      <w:r>
        <w:t>No hay referencia cruzada entre capítulos, la HFNT no figura en la Figura 3.17 y no se dice a quién considerarla (p. ej., intolerancia a la VMNI).</w:t>
      </w:r>
    </w:p>
    <w:p>
      <w:pPr>
        <w:pStyle w:val="ListBullet"/>
      </w:pPr>
      <w:r>
        <w:rPr>
          <w:b/>
        </w:rPr>
        <w:t>Evidencia/justificación:</w:t>
      </w:r>
    </w:p>
    <w:p>
      <w:pPr>
        <w:pStyle w:val="ListBullet2"/>
      </w:pPr>
      <w:r>
        <w:t>Nagata K et al., Am J Respir Crit Care Med 2022;206:1326-1335 (pacientes hipercápnicos; menos exacerbaciones moderadas o graves).</w:t>
      </w:r>
    </w:p>
    <w:p>
      <w:pPr>
        <w:pStyle w:val="ListBullet2"/>
      </w:pPr>
      <w:r>
        <w:t>Storgaard LH et al., Int J Chron Obstruct Pulmon Dis 2018;13:1195-1205 (pacientes hipoxémicos en LTOT).</w:t>
      </w:r>
    </w:p>
    <w:p>
      <w:pPr>
        <w:pStyle w:val="ListBullet2"/>
      </w:pPr>
      <w:r>
        <w:t>Pitre T et al., Respir Care 2024 (ref. 774).</w:t>
      </w:r>
    </w:p>
    <w:p>
      <w:pPr>
        <w:pStyle w:val="ListBullet"/>
      </w:pPr>
      <w:r>
        <w:rPr>
          <w:b/>
        </w:rPr>
        <w:t>Recomendación:</w:t>
      </w:r>
      <w:r>
        <w:t xml:space="preserve"> Unificar el mensaje en el cap. 3 («la HFNT domiciliaria, añadida a la LTOT, reduce las exacerbaciones en pacientes seleccionados, sin efecto demostrado en la mortalidad; puede considerarse si no se tolera la VMNI; hay ensayos en curso») con referencia cruzada al cap. 4. Sustituir la ref. 775 por 1085-1087 y añadir una viñeta en la Figura 3.17 (Evidencia B).</w:t>
      </w:r>
    </w:p>
    <w:p>
      <w:pPr>
        <w:pStyle w:val="ListBullet"/>
      </w:pPr>
      <w:r>
        <w:rPr>
          <w:b/>
        </w:rPr>
        <w:t>Confianza:</w:t>
      </w:r>
      <w:r>
        <w:t xml:space="preserve"> 4/5</w:t>
      </w:r>
    </w:p>
    <w:p>
      <w:pPr>
        <w:pStyle w:val="Heading4"/>
      </w:pPr>
      <w:r>
        <w:t>COH-11 · Antibióticos y corticoides en la exacerbación: la duración y las indicaciones no coinciden entre key points, figuras y texto</w:t>
      </w:r>
    </w:p>
    <w:p>
      <w:r>
        <w:rPr>
          <w:i/>
        </w:rPr>
        <w:t xml:space="preserve">Severidad final: </w:t>
      </w:r>
      <w:r>
        <w:rPr>
          <w:i/>
          <w:color w:val="FFC000"/>
        </w:rPr>
        <w:t>🟡</w:t>
      </w:r>
      <w:r>
        <w:rPr>
          <w:i/>
        </w:rPr>
        <w:t xml:space="preserve"> MEDIA · Tema T11: Tratamiento de la exacerbación: antimicrobianos, corticoides, TEP, riesgo CV</w:t>
      </w:r>
    </w:p>
    <w:p>
      <w:pPr>
        <w:pStyle w:val="ListBullet"/>
      </w:pPr>
      <w:r>
        <w:rPr>
          <w:b/>
        </w:rPr>
        <w:t>Tipo:</w:t>
      </w:r>
      <w:r>
        <w:t xml:space="preserve"> Incoherencia de parámetros</w:t>
      </w:r>
    </w:p>
    <w:p>
      <w:pPr>
        <w:pStyle w:val="ListBullet"/>
      </w:pPr>
      <w:r>
        <w:rPr>
          <w:b/>
        </w:rPr>
        <w:t>Severidad:</w:t>
      </w:r>
      <w:r>
        <w:t xml:space="preserve"> MEDIA</w:t>
      </w:r>
    </w:p>
    <w:p>
      <w:pPr>
        <w:pStyle w:val="ListBullet"/>
      </w:pPr>
      <w:r>
        <w:rPr>
          <w:b/>
        </w:rPr>
        <w:t>Ubicación:</w:t>
      </w:r>
      <w:r>
        <w:t xml:space="preserve"> PDF 103 / impr. 92; Fig 4.5-4.6 (PDF 113 / impr. 102); PDF 114-116 / impr. 103-105</w:t>
      </w:r>
    </w:p>
    <w:p>
      <w:pPr>
        <w:pStyle w:val="ListBullet"/>
      </w:pPr>
      <w:r>
        <w:rPr>
          <w:b/>
        </w:rPr>
        <w:t>Cita:</w:t>
      </w:r>
    </w:p>
    <w:p>
      <w:pPr>
        <w:pStyle w:val="ListBullet2"/>
      </w:pPr>
      <w:r>
        <w:t>PDF 116: "The recommended length of antibiotic therapy is 5-7 days.(1060) We recommend a duration of ≤ 5 days of antibiotic treatment for outpatient treatment".</w:t>
      </w:r>
    </w:p>
    <w:p>
      <w:pPr>
        <w:pStyle w:val="ListBullet2"/>
      </w:pPr>
      <w:r>
        <w:t>PDF 103: "Antibiotics are recommended for a total of 5 days".</w:t>
      </w:r>
    </w:p>
    <w:p>
      <w:pPr>
        <w:pStyle w:val="ListBullet"/>
      </w:pPr>
      <w:r>
        <w:rPr>
          <w:b/>
        </w:rPr>
        <w:t>Problema:</w:t>
      </w:r>
    </w:p>
    <w:p>
      <w:pPr>
        <w:pStyle w:val="ListBullet2"/>
      </w:pPr>
      <w:r>
        <w:rPr>
          <w:b/>
        </w:rPr>
        <w:t>Duración de los antibióticos:</w:t>
      </w:r>
      <w:r>
        <w:t xml:space="preserve"> tres versiones (5 días; 5-7 días; ≤5 días en ambulatorios).</w:t>
      </w:r>
    </w:p>
    <w:p>
      <w:pPr>
        <w:pStyle w:val="ListBullet2"/>
      </w:pPr>
      <w:r>
        <w:rPr>
          <w:b/>
        </w:rPr>
        <w:t>Indicaciones de los antibióticos:</w:t>
      </w:r>
      <w:r>
        <w:t xml:space="preserve"> cuatro listas distintas.</w:t>
      </w:r>
    </w:p>
    <w:p>
      <w:pPr>
        <w:pStyle w:val="ListBullet2"/>
      </w:pPr>
      <w:r>
        <w:t>Key points: "purulent sputum, prior history of lung infections, etc." ("prior history of lung infections" no aparece en el texto).</w:t>
      </w:r>
    </w:p>
    <w:p>
      <w:pPr>
        <w:pStyle w:val="ListBullet2"/>
      </w:pPr>
      <w:r>
        <w:t>Fig 4.5: "purulent oral secretions".</w:t>
      </w:r>
    </w:p>
    <w:p>
      <w:pPr>
        <w:pStyle w:val="ListBullet2"/>
      </w:pPr>
      <w:r>
        <w:t>Fig 4.6: "prior positive sputum bacteria culture, or requiring mechanical ventilation".</w:t>
      </w:r>
    </w:p>
    <w:p>
      <w:pPr>
        <w:pStyle w:val="ListBullet2"/>
      </w:pPr>
      <w:r>
        <w:t>Texto (PDF 115): "Have these at least two of these symptoms: increase in dyspnea, fever, sputum volume, and sputum purulence". Incluye la fiebre, que no es un criterio de Anthonisen, y la frase es agramatical.</w:t>
      </w:r>
    </w:p>
    <w:p>
      <w:pPr>
        <w:pStyle w:val="ListBullet2"/>
      </w:pPr>
      <w:r>
        <w:rPr>
          <w:b/>
        </w:rPr>
        <w:t>Corticoides:</w:t>
      </w:r>
      <w:r>
        <w:t xml:space="preserve"> "up to 5 days" (PDF 103) frente a "Duration of therapy 5 days" (Fig 4.6). Además, PDF 114 describe un ensayo con </w:t>
      </w:r>
      <w:r>
        <w:rPr>
          <w:i/>
        </w:rPr>
        <w:t>prednisolone</w:t>
      </w:r>
      <w:r>
        <w:t xml:space="preserve"> y concluye que "prednisone could be safely avoided".</w:t>
      </w:r>
    </w:p>
    <w:p>
      <w:pPr>
        <w:pStyle w:val="ListBullet"/>
      </w:pPr>
      <w:r>
        <w:rPr>
          <w:b/>
        </w:rPr>
        <w:t>Evidencia/justificación:</w:t>
      </w:r>
      <w:r>
        <w:t xml:space="preserve"> contraste literal de PDF 103, 113, 114, 115 y 116.</w:t>
      </w:r>
    </w:p>
    <w:p>
      <w:pPr>
        <w:pStyle w:val="ListBullet"/>
      </w:pPr>
      <w:r>
        <w:rPr>
          <w:b/>
        </w:rPr>
        <w:t>Recomendación:</w:t>
      </w:r>
      <w:r>
        <w:t xml:space="preserve"> fijar una única duración y una única lista de indicaciones (purulencia más otro criterio cardinal, ventilación mecánica o cultivo previo positivo) y repetirlas idénticas en key points, figuras y texto.</w:t>
      </w:r>
    </w:p>
    <w:p>
      <w:pPr>
        <w:pStyle w:val="ListBullet"/>
      </w:pPr>
      <w:r>
        <w:rPr>
          <w:b/>
        </w:rPr>
        <w:t>Confianza:</w:t>
      </w:r>
      <w:r>
        <w:t xml:space="preserve"> 5</w:t>
      </w:r>
    </w:p>
    <w:p>
      <w:pPr>
        <w:pStyle w:val="Heading4"/>
      </w:pPr>
      <w:r>
        <w:t>DX-17 · Riesgo cardiovascular: troponina/BNP «rutinarios» en exacerbaciones no recogidos en el cap. 4; omisión de la señal de daño de BLOCK-COPD</w:t>
      </w:r>
    </w:p>
    <w:p>
      <w:r>
        <w:rPr>
          <w:i/>
        </w:rPr>
        <w:t xml:space="preserve">Severidad final: </w:t>
      </w:r>
      <w:r>
        <w:rPr>
          <w:i/>
          <w:color w:val="FFC000"/>
        </w:rPr>
        <w:t>🟡</w:t>
      </w:r>
      <w:r>
        <w:rPr>
          <w:i/>
        </w:rPr>
        <w:t xml:space="preserve"> MEDIA · Tema T11: Tratamiento de la exacerbación: antimicrobianos, corticoides, TEP, riesgo CV</w:t>
      </w:r>
    </w:p>
    <w:p>
      <w:pPr>
        <w:pStyle w:val="ListBullet"/>
      </w:pPr>
      <w:r>
        <w:rPr>
          <w:b/>
        </w:rPr>
        <w:t>Tipo:</w:t>
      </w:r>
      <w:r>
        <w:t xml:space="preserve"> Incongruencia entre capítulos / Omisión</w:t>
      </w:r>
    </w:p>
    <w:p>
      <w:pPr>
        <w:pStyle w:val="ListBullet"/>
      </w:pPr>
      <w:r>
        <w:rPr>
          <w:b/>
        </w:rPr>
        <w:t>Severidad:</w:t>
      </w:r>
      <w:r>
        <w:t xml:space="preserve"> MEDIA</w:t>
      </w:r>
    </w:p>
    <w:p>
      <w:pPr>
        <w:pStyle w:val="ListBullet"/>
      </w:pPr>
      <w:r>
        <w:rPr>
          <w:b/>
        </w:rPr>
        <w:t>Ubicación:</w:t>
      </w:r>
      <w:r>
        <w:t xml:space="preserve"> PDF 53 / impr. 42. Cotejado con el cap. 4 (PDF 103-122: Fig. 4.2, PDF 107; Figs. 4.5/4.6, PDF 113), el cap. 5 (PDF 127 / impr. 116) y el apéndice 3 (PDF 164 / impr. 153).</w:t>
      </w:r>
    </w:p>
    <w:p>
      <w:pPr>
        <w:pStyle w:val="ListBullet"/>
      </w:pPr>
      <w:r>
        <w:rPr>
          <w:b/>
        </w:rPr>
        <w:t>Cita:</w:t>
      </w:r>
      <w:r>
        <w:t xml:space="preserve"> «It may be advisable to measure routinely during exacerbations markers of CVD, such as troponin and brain-natriuretic peptides.(480,481) The evidence supporting this proposal is still weak…» / «β-blockers and statins… did not show any benefit in clinically stable patients».</w:t>
      </w:r>
    </w:p>
    <w:p>
      <w:pPr>
        <w:pStyle w:val="ListBullet"/>
      </w:pPr>
      <w:r>
        <w:rPr>
          <w:b/>
        </w:rPr>
        <w:t>Problema:</w:t>
      </w:r>
    </w:p>
    <w:p>
      <w:pPr>
        <w:pStyle w:val="ListBullet2"/>
      </w:pPr>
      <w:r>
        <w:rPr>
          <w:b/>
        </w:rPr>
        <w:t>Biomarcadores cardiacos.</w:t>
      </w:r>
      <w:r>
        <w:t xml:space="preserve"> El cap. 4 (evaluación y manejo de exacerbaciones) no menciona la troponina ni el BNP/NT-proBNP en ninguna figura o tabla de evaluación hospitalaria. El clínico que consulte el cap. 4 no encontrará esta propuesta.</w:t>
      </w:r>
    </w:p>
    <w:p>
      <w:pPr>
        <w:pStyle w:val="ListBullet2"/>
      </w:pPr>
      <w:r>
        <w:rPr>
          <w:b/>
        </w:rPr>
        <w:t>β-bloqueantes.</w:t>
      </w:r>
      <w:r>
        <w:t xml:space="preserve"> Decir que «no mostraron beneficio» omite que, en BLOCK-COPD, el metoprolol en pacientes sin indicación cardiovascular aumentó las exacerbaciones graves u hospitalizaciones. El apéndice 3 (PDF 164) sí lo menciona.</w:t>
      </w:r>
    </w:p>
    <w:p>
      <w:pPr>
        <w:pStyle w:val="ListBullet"/>
      </w:pPr>
      <w:r>
        <w:rPr>
          <w:b/>
        </w:rPr>
        <w:t>Evidencia/justificación:</w:t>
      </w:r>
    </w:p>
    <w:p>
      <w:pPr>
        <w:pStyle w:val="ListBullet2"/>
      </w:pPr>
      <w:r>
        <w:t>Dransfield MT et al. NEJM 2019;381:2304-2314 (doi:10.1056/NEJMoa1908142).</w:t>
      </w:r>
    </w:p>
    <w:p>
      <w:pPr>
        <w:pStyle w:val="ListBullet2"/>
      </w:pPr>
      <w:r>
        <w:t xml:space="preserve">Grep en </w:t>
      </w:r>
      <w:r>
        <w:rPr>
          <w:rFonts w:ascii="Consolas" w:hAnsi="Consolas"/>
        </w:rPr>
        <w:t>gold_full.txt</w:t>
      </w:r>
      <w:r>
        <w:t>: sin coincidencias de «troponin», «natriuretic» ni «BNP» en el cap. 4 (PDF 103-122).</w:t>
      </w:r>
    </w:p>
    <w:p>
      <w:pPr>
        <w:pStyle w:val="ListBullet"/>
      </w:pPr>
      <w:r>
        <w:rPr>
          <w:b/>
        </w:rPr>
        <w:t>Recomendación:</w:t>
      </w:r>
    </w:p>
    <w:p>
      <w:pPr>
        <w:pStyle w:val="ListBullet2"/>
      </w:pPr>
      <w:r>
        <w:t>Incorporar a la Fig. 4.2 o 4.5 «considerar troponina y NT-proBNP si hay sospecha de evento cardiovascular o de insuficiencia cardiaca».</w:t>
      </w:r>
    </w:p>
    <w:p>
      <w:pPr>
        <w:pStyle w:val="ListBullet2"/>
      </w:pPr>
      <w:r>
        <w:t>Reformular el punto 3: «sin beneficio y con posible aumento de exacerbaciones graves (metoprolol, BLOCK-COPD) cuando no hay indicación cardiovascular».</w:t>
      </w:r>
    </w:p>
    <w:p>
      <w:pPr>
        <w:pStyle w:val="ListBullet"/>
      </w:pPr>
      <w:r>
        <w:rPr>
          <w:b/>
        </w:rPr>
        <w:t>Confianza:</w:t>
      </w:r>
      <w:r>
        <w:t xml:space="preserve"> 4/5</w:t>
      </w:r>
    </w:p>
    <w:p>
      <w:pPr>
        <w:pStyle w:val="Heading4"/>
      </w:pPr>
      <w:r>
        <w:t>EXA-10 · Evidencia sobre procalcitonina mal representada</w:t>
      </w:r>
    </w:p>
    <w:p>
      <w:r>
        <w:rPr>
          <w:i/>
        </w:rPr>
        <w:t xml:space="preserve">Severidad final: </w:t>
      </w:r>
      <w:r>
        <w:rPr>
          <w:i/>
          <w:color w:val="FFC000"/>
        </w:rPr>
        <w:t>🟡</w:t>
      </w:r>
      <w:r>
        <w:rPr>
          <w:i/>
        </w:rPr>
        <w:t xml:space="preserve"> MEDIA · Tema T11: Tratamiento de la exacerbación: antimicrobianos, corticoides, TEP, riesgo CV</w:t>
      </w:r>
    </w:p>
    <w:p>
      <w:pPr>
        <w:pStyle w:val="ListBullet"/>
      </w:pPr>
      <w:r>
        <w:rPr>
          <w:b/>
        </w:rPr>
        <w:t>Tipo:</w:t>
      </w:r>
      <w:r>
        <w:t xml:space="preserve"> Evidencia mal representada</w:t>
      </w:r>
    </w:p>
    <w:p>
      <w:pPr>
        <w:pStyle w:val="ListBullet"/>
      </w:pPr>
      <w:r>
        <w:rPr>
          <w:b/>
        </w:rPr>
        <w:t>Severidad:</w:t>
      </w:r>
      <w:r>
        <w:t xml:space="preserve"> MEDIA</w:t>
      </w:r>
    </w:p>
    <w:p>
      <w:pPr>
        <w:pStyle w:val="ListBullet"/>
      </w:pPr>
      <w:r>
        <w:rPr>
          <w:b/>
        </w:rPr>
        <w:t>Ubicación:</w:t>
      </w:r>
      <w:r>
        <w:t xml:space="preserve"> PDF 115 / impr. 104.</w:t>
      </w:r>
    </w:p>
    <w:p>
      <w:pPr>
        <w:pStyle w:val="ListBullet"/>
      </w:pPr>
      <w:r>
        <w:rPr>
          <w:b/>
        </w:rPr>
        <w:t>Cita:</w:t>
      </w:r>
      <w:r>
        <w:t xml:space="preserve"> "was associated with a higher mortality rate… (1054) Based on these conflicting results at this time we cannot recommend the use of procalcitonin-based protocols… (1055)".</w:t>
      </w:r>
    </w:p>
    <w:p>
      <w:pPr>
        <w:pStyle w:val="ListBullet"/>
      </w:pPr>
      <w:r>
        <w:rPr>
          <w:b/>
        </w:rPr>
        <w:t>Problema:</w:t>
      </w:r>
    </w:p>
    <w:p>
      <w:pPr>
        <w:pStyle w:val="ListBullet2"/>
      </w:pPr>
      <w:r>
        <w:rPr>
          <w:b/>
        </w:rPr>
        <w:t>Daubin 2018 (ref. 1054), ensayo en UCI:</w:t>
      </w:r>
    </w:p>
    <w:p>
      <w:pPr>
        <w:pStyle w:val="ListBullet2"/>
      </w:pPr>
      <w:r>
        <w:t>No alcanzó la no inferioridad: mortalidad a 3 meses 20 % frente a 14 %, diferencia ajustada 6,6 %, IC 90 % −0,3 a 13,5.</w:t>
      </w:r>
    </w:p>
    <w:p>
      <w:pPr>
        <w:pStyle w:val="ListBullet2"/>
      </w:pPr>
      <w:r>
        <w:t>La diferencia significativa solo se observó en el subgrupo sin antibiótico basal (31 % frente a 12 %).</w:t>
      </w:r>
    </w:p>
    <w:p>
      <w:pPr>
        <w:pStyle w:val="ListBullet2"/>
      </w:pPr>
      <w:r>
        <w:t>Tampoco redujo la exposición antibiótica.</w:t>
      </w:r>
    </w:p>
    <w:p>
      <w:r>
        <w:t>Afirmar sin matices "higher mortality" sobreinterpreta el resultado.</w:t>
      </w:r>
    </w:p>
    <w:p>
      <w:pPr>
        <w:pStyle w:val="ListBullet2"/>
      </w:pPr>
      <w:r>
        <w:rPr>
          <w:b/>
        </w:rPr>
        <w:t>Sheng 2025 (ref. 1055, Clin Microbiol Infect; PMID 39662822):</w:t>
      </w:r>
      <w:r>
        <w:t xml:space="preserve"> ensayo aleatorizado positivo en 455 hospitalizados. La prescripción antibiótica fue del 38 % frente al 59 %, el éxito terapéutico no fue inferior (97 % frente a 94 %) y no hubo diferencias en estancia, reingreso, ingreso en UCI ni mortalidad. Se cita como apoyo a "cannot recommend", es decir, en sentido opuesto a su resultado.</w:t>
      </w:r>
    </w:p>
    <w:p>
      <w:pPr>
        <w:pStyle w:val="ListBullet"/>
      </w:pPr>
      <w:r>
        <w:rPr>
          <w:b/>
        </w:rPr>
        <w:t>Evidencia/justificación:</w:t>
      </w:r>
      <w:r>
        <w:t xml:space="preserve"> Daubin C et al., Intensive Care Med 2018 (PMID 29663044); Sheng et al., CMI 2025 (PMID 39662822).</w:t>
      </w:r>
    </w:p>
    <w:p>
      <w:pPr>
        <w:pStyle w:val="ListBullet"/>
      </w:pPr>
      <w:r>
        <w:rPr>
          <w:b/>
        </w:rPr>
        <w:t>Recomendación:</w:t>
      </w:r>
      <w:r>
        <w:t xml:space="preserve"> Reescribir el párrafo:</w:t>
      </w:r>
    </w:p>
    <w:p>
      <w:pPr>
        <w:pStyle w:val="ListBullet2"/>
      </w:pPr>
      <w:r>
        <w:t>En el paciente ambulatorio y en el hospitalizado no crítico, los protocolos guiados por PCT reducen el uso de antibióticos sin peores resultados (incluido Sheng 2025).</w:t>
      </w:r>
    </w:p>
    <w:p>
      <w:pPr>
        <w:pStyle w:val="ListBullet2"/>
      </w:pPr>
      <w:r>
        <w:t>En la UCI, no se recomienda la PCT para decidir no iniciar el antibiótico (Daubin 2018, no inferioridad no demostrada).</w:t>
      </w:r>
    </w:p>
    <w:p>
      <w:pPr>
        <w:pStyle w:val="ListBullet"/>
      </w:pPr>
      <w:r>
        <w:rPr>
          <w:b/>
        </w:rPr>
        <w:t>Confianza:</w:t>
      </w:r>
      <w:r>
        <w:t xml:space="preserve"> 5/5</w:t>
      </w:r>
    </w:p>
    <w:p>
      <w:pPr>
        <w:pStyle w:val="Heading4"/>
      </w:pPr>
      <w:r>
        <w:t>EXA-11 · Duración del tratamiento antibiótico: cifras y referencias inconsistentes</w:t>
      </w:r>
    </w:p>
    <w:p>
      <w:r>
        <w:rPr>
          <w:i/>
        </w:rPr>
        <w:t xml:space="preserve">Severidad final: </w:t>
      </w:r>
      <w:r>
        <w:rPr>
          <w:i/>
          <w:color w:val="FFC000"/>
        </w:rPr>
        <w:t>🟡</w:t>
      </w:r>
      <w:r>
        <w:rPr>
          <w:i/>
        </w:rPr>
        <w:t xml:space="preserve"> MEDIA · Tema T11: Tratamiento de la exacerbación: antimicrobianos, corticoides, TEP, riesgo CV</w:t>
      </w:r>
    </w:p>
    <w:p>
      <w:pPr>
        <w:pStyle w:val="ListBullet"/>
      </w:pPr>
      <w:r>
        <w:rPr>
          <w:b/>
        </w:rPr>
        <w:t>Tipo:</w:t>
      </w:r>
      <w:r>
        <w:t xml:space="preserve"> Incongruencia interna</w:t>
      </w:r>
    </w:p>
    <w:p>
      <w:pPr>
        <w:pStyle w:val="ListBullet"/>
      </w:pPr>
      <w:r>
        <w:rPr>
          <w:b/>
        </w:rPr>
        <w:t>Severidad:</w:t>
      </w:r>
      <w:r>
        <w:t xml:space="preserve"> MEDIA</w:t>
      </w:r>
    </w:p>
    <w:p>
      <w:pPr>
        <w:pStyle w:val="ListBullet"/>
      </w:pPr>
      <w:r>
        <w:rPr>
          <w:b/>
        </w:rPr>
        <w:t>Ubicación:</w:t>
      </w:r>
      <w:r>
        <w:t xml:space="preserve"> PDF 103 (puntos clave), PDF 113 (Fig. 4.6) y PDF 116 / impr. 105.</w:t>
      </w:r>
    </w:p>
    <w:p>
      <w:pPr>
        <w:pStyle w:val="ListBullet"/>
      </w:pPr>
      <w:r>
        <w:rPr>
          <w:b/>
        </w:rPr>
        <w:t>Cita:</w:t>
      </w:r>
    </w:p>
    <w:p>
      <w:pPr>
        <w:pStyle w:val="ListBullet2"/>
      </w:pPr>
      <w:r>
        <w:t>Puntos clave: "Antibiotics are recommended for a total of 5 days".</w:t>
      </w:r>
    </w:p>
    <w:p>
      <w:pPr>
        <w:pStyle w:val="ListBullet2"/>
      </w:pPr>
      <w:r>
        <w:t>Texto: "recommended length of antibiotic therapy is 5-7 days.(1060) We recommend a duration of ≤ 5 days… outpatient… (1054,1059)".</w:t>
      </w:r>
    </w:p>
    <w:p>
      <w:pPr>
        <w:pStyle w:val="ListBullet2"/>
      </w:pPr>
      <w:r>
        <w:t>Fig. 4.6: "5 days (Evidence B)".</w:t>
      </w:r>
    </w:p>
    <w:p>
      <w:pPr>
        <w:pStyle w:val="ListBullet"/>
      </w:pPr>
      <w:r>
        <w:rPr>
          <w:b/>
        </w:rPr>
        <w:t>Problema:</w:t>
      </w:r>
    </w:p>
    <w:p>
      <w:pPr>
        <w:pStyle w:val="ListBullet2"/>
      </w:pPr>
      <w:r>
        <w:t>Hay tres mensajes distintos: 5 días, 5-7 días y ≤5 días.</w:t>
      </w:r>
    </w:p>
    <w:p>
      <w:pPr>
        <w:pStyle w:val="ListBullet2"/>
      </w:pPr>
      <w:r>
        <w:rPr>
          <w:b/>
        </w:rPr>
        <w:t>Ref. 1060:</w:t>
      </w:r>
      <w:r>
        <w:t xml:space="preserve"> un único ensayo de levofloxacino de 2001 en bronquitis crónica.</w:t>
      </w:r>
    </w:p>
    <w:p>
      <w:pPr>
        <w:pStyle w:val="ListBullet2"/>
      </w:pPr>
      <w:r>
        <w:rPr>
          <w:b/>
        </w:rPr>
        <w:t>Ref. 1054:</w:t>
      </w:r>
      <w:r>
        <w:t xml:space="preserve"> el ensayo de procalcitonina en UCI (Daubin), citado para la duración en el paciente ambulatorio.</w:t>
      </w:r>
    </w:p>
    <w:p>
      <w:pPr>
        <w:pStyle w:val="ListBullet2"/>
      </w:pPr>
      <w:r>
        <w:rPr>
          <w:b/>
        </w:rPr>
        <w:t>Pacientes sin pauta.</w:t>
      </w:r>
      <w:r>
        <w:t xml:space="preserve"> No se da una duración para el hospitalizado ni para el ventilado, que son los que más dudas generan.</w:t>
      </w:r>
    </w:p>
    <w:p>
      <w:pPr>
        <w:pStyle w:val="ListBullet"/>
      </w:pPr>
      <w:r>
        <w:rPr>
          <w:b/>
        </w:rPr>
        <w:t>Evidencia/justificación:</w:t>
      </w:r>
    </w:p>
    <w:p>
      <w:pPr>
        <w:pStyle w:val="ListBullet2"/>
      </w:pPr>
      <w:r>
        <w:t>Llor C et al., Pulm Pharmacol Ther 2022 (ref. 1059): los ciclos cortos (≤5 días) son igual de eficaces.</w:t>
      </w:r>
    </w:p>
    <w:p>
      <w:pPr>
        <w:pStyle w:val="ListBullet2"/>
      </w:pPr>
      <w:r>
        <w:t>Woodhead 2011 (Clin Microbiol Infect, Suppl 6).</w:t>
      </w:r>
    </w:p>
    <w:p>
      <w:pPr>
        <w:pStyle w:val="ListBullet"/>
      </w:pPr>
      <w:r>
        <w:rPr>
          <w:b/>
        </w:rPr>
        <w:t>Recomendación:</w:t>
      </w:r>
    </w:p>
    <w:p>
      <w:pPr>
        <w:pStyle w:val="ListBullet2"/>
      </w:pPr>
      <w:r>
        <w:t xml:space="preserve">Unificar en "5 días en general (ampliable a 7 si la respuesta es lenta, en caso de </w:t>
      </w:r>
      <w:r>
        <w:rPr>
          <w:i/>
        </w:rPr>
        <w:t>Pseudomonas</w:t>
      </w:r>
      <w:r>
        <w:t xml:space="preserve"> o en ventilados)".</w:t>
      </w:r>
    </w:p>
    <w:p>
      <w:pPr>
        <w:pStyle w:val="ListBullet2"/>
      </w:pPr>
      <w:r>
        <w:t>Retirar la ref. 1054 de esta frase y sustituir la 1060 por las revisiones sistemáticas.</w:t>
      </w:r>
    </w:p>
    <w:p>
      <w:pPr>
        <w:pStyle w:val="ListBullet"/>
      </w:pPr>
      <w:r>
        <w:rPr>
          <w:b/>
        </w:rPr>
        <w:t>Confianza:</w:t>
      </w:r>
      <w:r>
        <w:t xml:space="preserve"> 5/5</w:t>
      </w:r>
    </w:p>
    <w:p>
      <w:pPr>
        <w:pStyle w:val="Heading4"/>
      </w:pPr>
      <w:r>
        <w:t>EXA-13 · Corticoides sistémicos: referencias mal usadas, eosinófilos sin umbral y evidencia hospitalaria infravalorada</w:t>
      </w:r>
    </w:p>
    <w:p>
      <w:r>
        <w:rPr>
          <w:i/>
        </w:rPr>
        <w:t xml:space="preserve">Severidad final: </w:t>
      </w:r>
      <w:r>
        <w:rPr>
          <w:i/>
          <w:color w:val="FFC000"/>
        </w:rPr>
        <w:t>🟡</w:t>
      </w:r>
      <w:r>
        <w:rPr>
          <w:i/>
        </w:rPr>
        <w:t xml:space="preserve"> MEDIA · Tema T11: Tratamiento de la exacerbación: antimicrobianos, corticoides, TEP, riesgo CV</w:t>
      </w:r>
    </w:p>
    <w:p>
      <w:pPr>
        <w:pStyle w:val="ListBullet"/>
      </w:pPr>
      <w:r>
        <w:rPr>
          <w:b/>
        </w:rPr>
        <w:t>Tipo:</w:t>
      </w:r>
      <w:r>
        <w:t xml:space="preserve"> Evidencia mal representada / Ambigüedad</w:t>
      </w:r>
    </w:p>
    <w:p>
      <w:pPr>
        <w:pStyle w:val="ListBullet"/>
      </w:pPr>
      <w:r>
        <w:rPr>
          <w:b/>
        </w:rPr>
        <w:t>Severidad:</w:t>
      </w:r>
      <w:r>
        <w:t xml:space="preserve"> MEDIA</w:t>
      </w:r>
    </w:p>
    <w:p>
      <w:pPr>
        <w:pStyle w:val="ListBullet"/>
      </w:pPr>
      <w:r>
        <w:rPr>
          <w:b/>
        </w:rPr>
        <w:t>Ubicación:</w:t>
      </w:r>
      <w:r>
        <w:t xml:space="preserve"> PDF 114 / impr. 103; PDF 103; PDF 113 (Fig. 4.5 y 4.6).</w:t>
      </w:r>
    </w:p>
    <w:p>
      <w:pPr>
        <w:pStyle w:val="ListBullet"/>
      </w:pPr>
      <w:r>
        <w:rPr>
          <w:b/>
        </w:rPr>
        <w:t>Cita:</w:t>
      </w:r>
      <w:r>
        <w:t xml:space="preserve"> "Even short bursts of glucocorticoids are associated with subsequent increased risk of pneumonia, sepsis and death(1034)"; "there is a need for further prospective studies in hospitalized patients".</w:t>
      </w:r>
    </w:p>
    <w:p>
      <w:pPr>
        <w:pStyle w:val="ListBullet"/>
      </w:pPr>
      <w:r>
        <w:rPr>
          <w:b/>
        </w:rPr>
        <w:t>Problema:</w:t>
      </w:r>
    </w:p>
    <w:p>
      <w:pPr>
        <w:pStyle w:val="ListBullet2"/>
      </w:pPr>
      <w:r>
        <w:rPr>
          <w:b/>
        </w:rPr>
        <w:t>Ref. 1034 (Waljee, BMJ 2017;357:j1415):</w:t>
      </w:r>
      <w:r>
        <w:t xml:space="preserve"> estudió adultos de 18-64 años de una base de reclamaciones, no específicamente EPOC, y los desenlaces fueron sepsis, tromboembolismo venoso y fractura, no neumonía ni muerte.</w:t>
      </w:r>
    </w:p>
    <w:p>
      <w:pPr>
        <w:pStyle w:val="ListBullet2"/>
      </w:pPr>
      <w:r>
        <w:rPr>
          <w:b/>
        </w:rPr>
        <w:t>Ref. 445 (Hurst, ECLIPSE, susceptibilidad a exacerbaciones):</w:t>
      </w:r>
      <w:r>
        <w:t xml:space="preserve"> se cita para la eficacia de los corticoides según los eosinófilos.</w:t>
      </w:r>
    </w:p>
    <w:p>
      <w:pPr>
        <w:pStyle w:val="ListBullet2"/>
      </w:pPr>
      <w:r>
        <w:rPr>
          <w:b/>
        </w:rPr>
        <w:t>CORTICO-COP (ref. 1035):</w:t>
      </w:r>
      <w:r>
        <w:t xml:space="preserve"> ensayo en pacientes hospitalizados con pauta guiada por eosinófilos ≥0,3×10⁹/L. Se cita y, a la vez, se afirma que faltan estudios en hospitalizados.</w:t>
      </w:r>
    </w:p>
    <w:p>
      <w:pPr>
        <w:pStyle w:val="ListBullet2"/>
      </w:pPr>
      <w:r>
        <w:rPr>
          <w:b/>
        </w:rPr>
        <w:t>STARR2 (ref. 1036; Lancet Respir Med 2024;12:67-77):</w:t>
      </w:r>
      <w:r>
        <w:t xml:space="preserve"> se omiten detalles esenciales:</w:t>
      </w:r>
    </w:p>
    <w:p>
      <w:pPr>
        <w:pStyle w:val="ListBullet2"/>
      </w:pPr>
      <w:r>
        <w:t>umbral de eosinófilos ≥2 %;</w:t>
      </w:r>
    </w:p>
    <w:p>
      <w:pPr>
        <w:pStyle w:val="ListBullet2"/>
      </w:pPr>
      <w:r>
        <w:t>prednisolona 30 mg × 14 días (no 40 mg × 5);</w:t>
      </w:r>
    </w:p>
    <w:p>
      <w:pPr>
        <w:pStyle w:val="ListBullet2"/>
      </w:pPr>
      <w:r>
        <w:t>todos los pacientes recibieron antibiótico;</w:t>
      </w:r>
    </w:p>
    <w:p>
      <w:pPr>
        <w:pStyle w:val="ListBullet2"/>
      </w:pPr>
      <w:r>
        <w:t>muestra pequeña (144 exacerbaciones) y conversión a no inferioridad tras un error de aleatorización.</w:t>
      </w:r>
    </w:p>
    <w:p>
      <w:pPr>
        <w:pStyle w:val="ListBullet2"/>
      </w:pPr>
      <w:r>
        <w:rPr>
          <w:b/>
        </w:rPr>
        <w:t>Pauta.</w:t>
      </w:r>
      <w:r>
        <w:t xml:space="preserve"> Hay mezcla de "prednisolone/prednisone" y ningún umbral de eosinófilos operativo.</w:t>
      </w:r>
    </w:p>
    <w:p>
      <w:pPr>
        <w:pStyle w:val="ListBullet2"/>
      </w:pPr>
      <w:r>
        <w:rPr>
          <w:b/>
        </w:rPr>
        <w:t>Dosis y duración en las figuras.</w:t>
      </w:r>
      <w:r>
        <w:t xml:space="preserve"> La Fig. 4.5 dice "Consider oral corticosteroids" sin dosis. La Fig. 4.6 dice "5 days (Evidence A)" y los puntos clave "up to 5 days".</w:t>
      </w:r>
    </w:p>
    <w:p>
      <w:pPr>
        <w:pStyle w:val="ListBullet2"/>
      </w:pPr>
      <w:r>
        <w:rPr>
          <w:b/>
        </w:rPr>
        <w:t>Benralizumab (ABRA).</w:t>
      </w:r>
      <w:r>
        <w:t xml:space="preserve"> No se menciona el ensayo ABRA (Lancet Respir Med 2025;13:59-68): en exacerbaciones eosinofílicas, el fracaso terapéutico a 90 días fue del 45 % con benralizumab frente al 74 % con prednisolona. Es relevante para la línea de investigación y de dic-2025.</w:t>
      </w:r>
    </w:p>
    <w:p>
      <w:pPr>
        <w:pStyle w:val="ListBullet"/>
      </w:pPr>
      <w:r>
        <w:rPr>
          <w:b/>
        </w:rPr>
        <w:t>Evidencia/justificación:</w:t>
      </w:r>
    </w:p>
    <w:p>
      <w:pPr>
        <w:pStyle w:val="ListBullet2"/>
      </w:pPr>
      <w:r>
        <w:t>REDUCE (Leuppi, JAMA 2013;309:2223-31): prednisona 40 mg × 5 días.</w:t>
      </w:r>
    </w:p>
    <w:p>
      <w:pPr>
        <w:pStyle w:val="ListBullet2"/>
      </w:pPr>
      <w:r>
        <w:t>CORTICO-COP (Sivapalan, Lancet Respir Med 2019;7:699-709).</w:t>
      </w:r>
    </w:p>
    <w:p>
      <w:pPr>
        <w:pStyle w:val="ListBullet2"/>
      </w:pPr>
      <w:r>
        <w:t>STARR2 (PMID 37924830).</w:t>
      </w:r>
    </w:p>
    <w:p>
      <w:pPr>
        <w:pStyle w:val="ListBullet2"/>
      </w:pPr>
      <w:r>
        <w:t>ABRA (PMID 39615502).</w:t>
      </w:r>
    </w:p>
    <w:p>
      <w:pPr>
        <w:pStyle w:val="ListBullet"/>
      </w:pPr>
      <w:r>
        <w:rPr>
          <w:b/>
        </w:rPr>
        <w:t>Recomendación:</w:t>
      </w:r>
    </w:p>
    <w:p>
      <w:pPr>
        <w:pStyle w:val="ListBullet2"/>
      </w:pPr>
      <w:r>
        <w:t>Explicitar "prednisona 40 mg/día (o equivalente) durante 5 días (REDUCE)" en el texto y en la Fig. 4.5.</w:t>
      </w:r>
    </w:p>
    <w:p>
      <w:pPr>
        <w:pStyle w:val="ListBullet2"/>
      </w:pPr>
      <w:r>
        <w:t>Corregir la descripción de Waljee y retirar la ref. 445.</w:t>
      </w:r>
    </w:p>
    <w:p>
      <w:pPr>
        <w:pStyle w:val="ListBullet2"/>
      </w:pPr>
      <w:r>
        <w:t>Resumir CORTICO-COP y STARR2 con sus umbrales y limitaciones, y precisar el umbral de eosinófilos a partir del cual se puede considerar omitir los corticoides.</w:t>
      </w:r>
    </w:p>
    <w:p>
      <w:pPr>
        <w:pStyle w:val="ListBullet"/>
      </w:pPr>
      <w:r>
        <w:rPr>
          <w:b/>
        </w:rPr>
        <w:t>Confianza:</w:t>
      </w:r>
      <w:r>
        <w:t xml:space="preserve"> 4/5</w:t>
      </w:r>
    </w:p>
    <w:p>
      <w:pPr>
        <w:pStyle w:val="Heading4"/>
      </w:pPr>
      <w:r>
        <w:t>EXA-17 · Tromboembolismo pulmonar: prevalencia mal citada, ausencia de algoritmo diagnóstico y profilaxis con mensajes discordantes</w:t>
      </w:r>
    </w:p>
    <w:p>
      <w:r>
        <w:rPr>
          <w:i/>
        </w:rPr>
        <w:t xml:space="preserve">Severidad final: </w:t>
      </w:r>
      <w:r>
        <w:rPr>
          <w:i/>
          <w:color w:val="FFC000"/>
        </w:rPr>
        <w:t>🟡</w:t>
      </w:r>
      <w:r>
        <w:rPr>
          <w:i/>
        </w:rPr>
        <w:t xml:space="preserve"> MEDIA · Tema T11: Tratamiento de la exacerbación: antimicrobianos, corticoides, TEP, riesgo CV</w:t>
      </w:r>
    </w:p>
    <w:p>
      <w:pPr>
        <w:pStyle w:val="ListBullet"/>
      </w:pPr>
      <w:r>
        <w:rPr>
          <w:b/>
        </w:rPr>
        <w:t>Tipo:</w:t>
      </w:r>
      <w:r>
        <w:t xml:space="preserve"> Evidencia mal representada / Omisión / Incongruencia interna</w:t>
      </w:r>
    </w:p>
    <w:p>
      <w:pPr>
        <w:pStyle w:val="ListBullet"/>
      </w:pPr>
      <w:r>
        <w:rPr>
          <w:b/>
        </w:rPr>
        <w:t>Severidad:</w:t>
      </w:r>
      <w:r>
        <w:t xml:space="preserve"> MEDIA</w:t>
      </w:r>
    </w:p>
    <w:p>
      <w:pPr>
        <w:pStyle w:val="ListBullet"/>
      </w:pPr>
      <w:r>
        <w:rPr>
          <w:b/>
        </w:rPr>
        <w:t>Ubicación:</w:t>
      </w:r>
      <w:r>
        <w:t xml:space="preserve"> PDF 116 / impr. 105; PDF 108 / impr. 97 (Fig. 4.3); PDF 113 (Fig. 4.5).</w:t>
      </w:r>
    </w:p>
    <w:p>
      <w:pPr>
        <w:pStyle w:val="ListBullet"/>
      </w:pPr>
      <w:r>
        <w:rPr>
          <w:b/>
        </w:rPr>
        <w:t>Cita:</w:t>
      </w:r>
      <w:r>
        <w:t xml:space="preserve"> "up to 5.9% were found to have pulmonary embolism.(950,1064,1065) Prophylactic measures for thromboembolism should be instituted".</w:t>
      </w:r>
    </w:p>
    <w:p>
      <w:pPr>
        <w:pStyle w:val="ListBullet"/>
      </w:pPr>
      <w:r>
        <w:rPr>
          <w:b/>
        </w:rPr>
        <w:t>Problema:</w:t>
      </w:r>
    </w:p>
    <w:p>
      <w:pPr>
        <w:pStyle w:val="ListBullet2"/>
      </w:pPr>
      <w:r>
        <w:rPr>
          <w:b/>
        </w:rPr>
        <w:t>"Up to 5.9 %".</w:t>
      </w:r>
      <w:r>
        <w:t xml:space="preserve"> Corresponde al estudio prospectivo PEP (Couturaud, JAMA 2021, ref. 950), pero se cita junto a dos estudios con prevalencias muy superiores:</w:t>
      </w:r>
    </w:p>
    <w:p>
      <w:pPr>
        <w:pStyle w:val="ListBullet2"/>
      </w:pPr>
      <w:r>
        <w:t>Rizkallah 2009 (ref. 1064, metaanálisis): 19,9 % en conjunto y 24,7 % en hospitalizados.</w:t>
      </w:r>
    </w:p>
    <w:p>
      <w:pPr>
        <w:pStyle w:val="ListBullet2"/>
      </w:pPr>
      <w:r>
        <w:t>Gunen 2010 (ref. 1065): TEP en ≈14 %.</w:t>
      </w:r>
    </w:p>
    <w:p>
      <w:r>
        <w:t>"Up to" es, por tanto, incorrecto.</w:t>
      </w:r>
    </w:p>
    <w:p>
      <w:pPr>
        <w:pStyle w:val="ListBullet2"/>
      </w:pPr>
      <w:r>
        <w:rPr>
          <w:b/>
        </w:rPr>
        <w:t>Diagnóstico.</w:t>
      </w:r>
      <w:r>
        <w:t xml:space="preserve"> La Fig. 4.3 sitúa el TEP entre los diagnósticos "Most frequent", pero no propone ninguna estrategia diagnóstica: no menciona escalas de Wells o Ginebra, ni el dímero D ajustado, ni la angio-TC. Esa estrategia es la que se usó precisamente en el estudio PEP.</w:t>
      </w:r>
    </w:p>
    <w:p>
      <w:pPr>
        <w:pStyle w:val="ListBullet2"/>
      </w:pPr>
      <w:r>
        <w:rPr>
          <w:b/>
        </w:rPr>
        <w:t>Profilaxis.</w:t>
      </w:r>
      <w:r>
        <w:t xml:space="preserve"> El texto dice "should be instituted" y la Fig. 4.5 "Consider".</w:t>
      </w:r>
    </w:p>
    <w:p>
      <w:pPr>
        <w:pStyle w:val="ListBullet2"/>
      </w:pPr>
      <w:r>
        <w:rPr>
          <w:b/>
        </w:rPr>
        <w:t>Ref. 1067 (ACCP 2012) desactualizada:</w:t>
      </w:r>
      <w:r>
        <w:t xml:space="preserve"> existe la guía ASH 2018 (Schünemann, Blood Adv 2018;2:3198-225).</w:t>
      </w:r>
    </w:p>
    <w:p>
      <w:pPr>
        <w:pStyle w:val="ListBullet"/>
      </w:pPr>
      <w:r>
        <w:rPr>
          <w:b/>
        </w:rPr>
        <w:t>Evidencia/justificación:</w:t>
      </w:r>
    </w:p>
    <w:p>
      <w:pPr>
        <w:pStyle w:val="ListBullet2"/>
      </w:pPr>
      <w:r>
        <w:t>Couturaud F et al., JAMA 2021;325:59-68.</w:t>
      </w:r>
    </w:p>
    <w:p>
      <w:pPr>
        <w:pStyle w:val="ListBullet2"/>
      </w:pPr>
      <w:r>
        <w:t>Rizkallah J et al., Chest 2009;135:786-93.</w:t>
      </w:r>
    </w:p>
    <w:p>
      <w:pPr>
        <w:pStyle w:val="ListBullet2"/>
      </w:pPr>
      <w:r>
        <w:t>Gunen H et al., Eur Respir J 2010;35:1243-8.</w:t>
      </w:r>
    </w:p>
    <w:p>
      <w:pPr>
        <w:pStyle w:val="ListBullet"/>
      </w:pPr>
      <w:r>
        <w:rPr>
          <w:b/>
        </w:rPr>
        <w:t>Recomendación:</w:t>
      </w:r>
    </w:p>
    <w:p>
      <w:pPr>
        <w:pStyle w:val="ListBullet2"/>
      </w:pPr>
      <w:r>
        <w:t>Reformular: "5,9 % en el único estudio prospectivo con algoritmo sistemático (PEP); 14-25 % en series y metaanálisis previos con mayor sesgo de selección".</w:t>
      </w:r>
    </w:p>
    <w:p>
      <w:pPr>
        <w:pStyle w:val="ListBullet2"/>
      </w:pPr>
      <w:r>
        <w:t>Añadir en la Fig. 4.3 un algoritmo con probabilidad clínica, dímero D y angio-TC.</w:t>
      </w:r>
    </w:p>
    <w:p>
      <w:pPr>
        <w:pStyle w:val="ListBullet2"/>
      </w:pPr>
      <w:r>
        <w:t>Unificar la profilaxis farmacológica en el hospitalizado sin contraindicación como recomendación firme, citando la guía ASH 2018.</w:t>
      </w:r>
    </w:p>
    <w:p>
      <w:pPr>
        <w:pStyle w:val="ListBullet"/>
      </w:pPr>
      <w:r>
        <w:rPr>
          <w:b/>
        </w:rPr>
        <w:t>Confianza:</w:t>
      </w:r>
      <w:r>
        <w:t xml:space="preserve"> 5/5</w:t>
      </w:r>
    </w:p>
    <w:p>
      <w:pPr>
        <w:pStyle w:val="Heading4"/>
      </w:pPr>
      <w:r>
        <w:t>EXA-20 · Broncodilatadores de acción corta: pauta sin dosis, afirmaciones sin soporte y referencia errónea</w:t>
      </w:r>
    </w:p>
    <w:p>
      <w:r>
        <w:rPr>
          <w:i/>
        </w:rPr>
        <w:t xml:space="preserve">Severidad final: </w:t>
      </w:r>
      <w:r>
        <w:rPr>
          <w:i/>
          <w:color w:val="FFC000"/>
        </w:rPr>
        <w:t>🟡</w:t>
      </w:r>
      <w:r>
        <w:rPr>
          <w:i/>
        </w:rPr>
        <w:t xml:space="preserve"> MEDIA · Tema T11: Tratamiento de la exacerbación: antimicrobianos, corticoides, TEP, riesgo CV</w:t>
      </w:r>
    </w:p>
    <w:p>
      <w:pPr>
        <w:pStyle w:val="ListBullet"/>
      </w:pPr>
      <w:r>
        <w:rPr>
          <w:b/>
        </w:rPr>
        <w:t>Tipo:</w:t>
      </w:r>
      <w:r>
        <w:t xml:space="preserve"> Ambigüedad/Claridad / Evidencia mal representada</w:t>
      </w:r>
    </w:p>
    <w:p>
      <w:pPr>
        <w:pStyle w:val="ListBullet"/>
      </w:pPr>
      <w:r>
        <w:rPr>
          <w:b/>
        </w:rPr>
        <w:t>Severidad:</w:t>
      </w:r>
      <w:r>
        <w:t xml:space="preserve"> MEDIA</w:t>
      </w:r>
    </w:p>
    <w:p>
      <w:pPr>
        <w:pStyle w:val="ListBullet"/>
      </w:pPr>
      <w:r>
        <w:rPr>
          <w:b/>
        </w:rPr>
        <w:t>Ubicación:</w:t>
      </w:r>
      <w:r>
        <w:t xml:space="preserve"> PDF 114 / impr. 103.</w:t>
      </w:r>
    </w:p>
    <w:p>
      <w:pPr>
        <w:pStyle w:val="ListBullet"/>
      </w:pPr>
      <w:r>
        <w:rPr>
          <w:b/>
        </w:rPr>
        <w:t>Cita:</w:t>
      </w:r>
      <w:r>
        <w:t xml:space="preserve"> "Patients can receive one dose of nebulized medication every hour for 2-3 doses or use a pMDI one or two puffs every one hour for two or three doses".</w:t>
      </w:r>
    </w:p>
    <w:p>
      <w:pPr>
        <w:pStyle w:val="ListBullet"/>
      </w:pPr>
      <w:r>
        <w:rPr>
          <w:b/>
        </w:rPr>
        <w:t>Problema:</w:t>
      </w:r>
    </w:p>
    <w:p>
      <w:pPr>
        <w:pStyle w:val="ListBullet2"/>
      </w:pPr>
      <w:r>
        <w:rPr>
          <w:b/>
        </w:rPr>
        <w:t>Pauta sin dosis.</w:t>
      </w:r>
      <w:r>
        <w:t xml:space="preserve"> No se dan dosis en mg o µg; por ejemplo, salbutamol 2,5-5 mg nebulizado, o 4-8 inhalaciones de 100 µg con cámara (BTS/NICE).</w:t>
      </w:r>
    </w:p>
    <w:p>
      <w:pPr>
        <w:pStyle w:val="ListBullet2"/>
      </w:pPr>
      <w:r>
        <w:rPr>
          <w:b/>
        </w:rPr>
        <w:t>"One or two puffs" cada hora</w:t>
      </w:r>
      <w:r>
        <w:t xml:space="preserve"> es una dosis claramente infraterapéutica en una exacerbación tratada en urgencias.</w:t>
      </w:r>
    </w:p>
    <w:p>
      <w:pPr>
        <w:pStyle w:val="ListBullet2"/>
      </w:pPr>
      <w:r>
        <w:rPr>
          <w:b/>
        </w:rPr>
        <w:t>Afirmaciones sin soporte:</w:t>
      </w:r>
    </w:p>
    <w:p>
      <w:pPr>
        <w:pStyle w:val="ListBullet2"/>
      </w:pPr>
      <w:r>
        <w:t>"do not receive high doses of SABA due to possible side effects" no lleva referencia.</w:t>
      </w:r>
    </w:p>
    <w:p>
      <w:pPr>
        <w:pStyle w:val="ListBullet2"/>
      </w:pPr>
      <w:r>
        <w:t>Que revefenacina tenga un inicio de acción "similar to albuterol" es discutible: es un LAMA de inicio más lento (Punto debatible).</w:t>
      </w:r>
    </w:p>
    <w:p>
      <w:pPr>
        <w:pStyle w:val="ListBullet2"/>
      </w:pPr>
      <w:r>
        <w:rPr>
          <w:b/>
        </w:rPr>
        <w:t>Ref. 565:</w:t>
      </w:r>
      <w:r>
        <w:t xml:space="preserve"> se cita para la comparación nebulizador frente a pMDI, pero es una revisión sobre cesación tabáquica (véase su uso en PDF 64).</w:t>
      </w:r>
    </w:p>
    <w:p>
      <w:pPr>
        <w:pStyle w:val="ListBullet"/>
      </w:pPr>
      <w:r>
        <w:rPr>
          <w:b/>
        </w:rPr>
        <w:t>Evidencia/justificación:</w:t>
      </w:r>
    </w:p>
    <w:p>
      <w:pPr>
        <w:pStyle w:val="ListBullet2"/>
      </w:pPr>
      <w:r>
        <w:t>NICE NG115 (ref. 1013).</w:t>
      </w:r>
    </w:p>
    <w:p>
      <w:pPr>
        <w:pStyle w:val="ListBullet2"/>
      </w:pPr>
      <w:r>
        <w:t>Revisión Cochrane van Geffen 2016 (CD011826): nebulizador frente a pMDI con cámara sin diferencias claras.</w:t>
      </w:r>
    </w:p>
    <w:p>
      <w:pPr>
        <w:pStyle w:val="ListBullet"/>
      </w:pPr>
      <w:r>
        <w:rPr>
          <w:b/>
        </w:rPr>
        <w:t>Recomendación:</w:t>
      </w:r>
    </w:p>
    <w:p>
      <w:pPr>
        <w:pStyle w:val="ListBullet2"/>
      </w:pPr>
      <w:r>
        <w:t>Dar una pauta con dosis (p. ej., salbutamol 2,5-5 mg nebulizado con aire ± ipratropio 0,5 mg, cada 20 min-1 h al inicio, o 4-8 inhalaciones con cámara).</w:t>
      </w:r>
    </w:p>
    <w:p>
      <w:pPr>
        <w:pStyle w:val="ListBullet2"/>
      </w:pPr>
      <w:r>
        <w:t>Referenciar o suprimir la advertencia sobre "high doses".</w:t>
      </w:r>
    </w:p>
    <w:p>
      <w:pPr>
        <w:pStyle w:val="ListBullet2"/>
      </w:pPr>
      <w:r>
        <w:t>Corregir la ref. 565.</w:t>
      </w:r>
    </w:p>
    <w:p>
      <w:pPr>
        <w:pStyle w:val="ListBullet"/>
      </w:pPr>
      <w:r>
        <w:rPr>
          <w:b/>
        </w:rPr>
        <w:t>Confianza:</w:t>
      </w:r>
      <w:r>
        <w:t xml:space="preserve"> 3/5 (Punto debatible en cuanto a la cinética de revefenacina)</w:t>
      </w:r>
    </w:p>
    <w:p>
      <w:pPr>
        <w:pStyle w:val="Heading4"/>
      </w:pPr>
      <w:r>
        <w:t>COH-13 · Criterios de la oxigenoterapia crónica (LTOT) internamente contradictorios</w:t>
      </w:r>
    </w:p>
    <w:p>
      <w:r>
        <w:rPr>
          <w:i/>
        </w:rPr>
        <w:t xml:space="preserve">Severidad final: </w:t>
      </w:r>
      <w:r>
        <w:rPr>
          <w:i/>
          <w:color w:val="FFC000"/>
        </w:rPr>
        <w:t>🟡</w:t>
      </w:r>
      <w:r>
        <w:rPr>
          <w:i/>
        </w:rPr>
        <w:t xml:space="preserve"> MEDIA · Tema T12: Oxigenoterapia crónica domiciliaria (LTOT)</w:t>
      </w:r>
    </w:p>
    <w:p>
      <w:pPr>
        <w:pStyle w:val="ListBullet"/>
      </w:pPr>
      <w:r>
        <w:rPr>
          <w:b/>
        </w:rPr>
        <w:t>Tipo:</w:t>
      </w:r>
      <w:r>
        <w:t xml:space="preserve"> Incoherencia de parámetros</w:t>
      </w:r>
    </w:p>
    <w:p>
      <w:pPr>
        <w:pStyle w:val="ListBullet"/>
      </w:pPr>
      <w:r>
        <w:rPr>
          <w:b/>
        </w:rPr>
        <w:t>Severidad:</w:t>
      </w:r>
      <w:r>
        <w:t xml:space="preserve"> MEDIA</w:t>
      </w:r>
    </w:p>
    <w:p>
      <w:pPr>
        <w:pStyle w:val="ListBullet"/>
      </w:pPr>
      <w:r>
        <w:rPr>
          <w:b/>
        </w:rPr>
        <w:t>Ubicación:</w:t>
      </w:r>
      <w:r>
        <w:t xml:space="preserve"> PDF 87 / impr. 76; Fig 3.18 (PDF 89 / impr. 78); key points en PDF 61 / impr. 50 y PDF 92 / impr. 81</w:t>
      </w:r>
    </w:p>
    <w:p>
      <w:pPr>
        <w:pStyle w:val="ListBullet"/>
      </w:pPr>
      <w:r>
        <w:rPr>
          <w:b/>
        </w:rPr>
        <w:t>Cita:</w:t>
      </w:r>
    </w:p>
    <w:p>
      <w:pPr>
        <w:pStyle w:val="ListBullet2"/>
      </w:pPr>
      <w:r>
        <w:t>"The long-term administration of oxygen (&gt; 15 hours per day; LTOT) is indicated…"</w:t>
      </w:r>
    </w:p>
    <w:p>
      <w:pPr>
        <w:pStyle w:val="ListBullet2"/>
      </w:pPr>
      <w:r>
        <w:t>Dos párrafos después: "Thus, the recommendation to use oxygen &gt; 15 hours per day is not supported by newer evidence."</w:t>
      </w:r>
    </w:p>
    <w:p>
      <w:pPr>
        <w:pStyle w:val="ListBullet"/>
      </w:pPr>
      <w:r>
        <w:rPr>
          <w:b/>
        </w:rPr>
        <w:t>Problema:</w:t>
      </w:r>
    </w:p>
    <w:p>
      <w:pPr>
        <w:pStyle w:val="ListNumber"/>
        <w:numPr>
          <w:ilvl w:val="0"/>
          <w:numId w:val="35"/>
        </w:numPr>
      </w:pPr>
      <w:r>
        <w:t>La LTOT se define como &gt;15 h/día y a continuación se dice que eso no tiene apoyo. Lo que el ensayo citado (Ekström) mostró es que 24 h no supera a 15 h.</w:t>
      </w:r>
    </w:p>
    <w:p>
      <w:pPr>
        <w:pStyle w:val="ListNumber"/>
        <w:numPr>
          <w:ilvl w:val="0"/>
          <w:numId w:val="35"/>
        </w:numPr>
      </w:pPr>
      <w:r>
        <w:t>El umbral de saturación es "SaO2 at or below 88%" en el texto y "SaO₂ &lt; 88%" en la Fig 3.18.</w:t>
      </w:r>
    </w:p>
    <w:p>
      <w:pPr>
        <w:pStyle w:val="ListNumber"/>
        <w:numPr>
          <w:ilvl w:val="0"/>
          <w:numId w:val="35"/>
        </w:numPr>
      </w:pPr>
      <w:r>
        <w:t>El segundo criterio usa "SaO2 of 88%", un valor que ya cumple el primer criterio, así que es redundante.</w:t>
      </w:r>
    </w:p>
    <w:p>
      <w:pPr>
        <w:pStyle w:val="ListNumber"/>
        <w:numPr>
          <w:ilvl w:val="0"/>
          <w:numId w:val="35"/>
        </w:numPr>
      </w:pPr>
      <w:r>
        <w:t>El rango de PaO2 es "between 55 and 60" en el texto y "&gt;55 but &lt;60" en la figura.</w:t>
      </w:r>
    </w:p>
    <w:p>
      <w:pPr>
        <w:pStyle w:val="ListNumber"/>
        <w:numPr>
          <w:ilvl w:val="0"/>
          <w:numId w:val="35"/>
        </w:numPr>
      </w:pPr>
      <w:r>
        <w:t>Los key points omiten la SaO2 y usan "cor pulmonale/secondary polycythemia", mientras que el texto dice "pulmonary hypertension, peripheral edema… hematocrit &gt; 55%".</w:t>
      </w:r>
    </w:p>
    <w:p>
      <w:pPr>
        <w:pStyle w:val="ListBullet"/>
      </w:pPr>
      <w:r>
        <w:rPr>
          <w:b/>
        </w:rPr>
        <w:t>Evidencia/justificación:</w:t>
      </w:r>
      <w:r>
        <w:t xml:space="preserve"> lectura directa de PDF 61, 87, 89 y 92.</w:t>
      </w:r>
    </w:p>
    <w:p>
      <w:pPr>
        <w:pStyle w:val="ListBullet"/>
      </w:pPr>
      <w:r>
        <w:rPr>
          <w:b/>
        </w:rPr>
        <w:t>Recomendación:</w:t>
      </w:r>
    </w:p>
    <w:p>
      <w:pPr>
        <w:pStyle w:val="ListBullet2"/>
      </w:pPr>
      <w:r>
        <w:t>Armonizar los operadores y los valores, precisando el valor de SaO2 del segundo criterio (p. ej., 89 %).</w:t>
      </w:r>
    </w:p>
    <w:p>
      <w:pPr>
        <w:pStyle w:val="ListBullet2"/>
      </w:pPr>
      <w:r>
        <w:t>Reescribir la frase de Ekström como "24 h no aporta beneficio frente a 15 h".</w:t>
      </w:r>
    </w:p>
    <w:p>
      <w:pPr>
        <w:pStyle w:val="ListBullet"/>
      </w:pPr>
      <w:r>
        <w:rPr>
          <w:b/>
        </w:rPr>
        <w:t>Confianza:</w:t>
      </w:r>
      <w:r>
        <w:t xml:space="preserve"> 5</w:t>
      </w:r>
    </w:p>
    <w:p>
      <w:pPr>
        <w:pStyle w:val="Heading4"/>
      </w:pPr>
      <w:r>
        <w:t>INT-13 · Oxigenoterapia: la Fig. 3.19 y la PDF 92 destacan «≥ 19 h» mientras la PDF 87 (REDOX) rebaja el umbral a 15 h</w:t>
      </w:r>
    </w:p>
    <w:p>
      <w:r>
        <w:rPr>
          <w:i/>
        </w:rPr>
        <w:t xml:space="preserve">Severidad final: </w:t>
      </w:r>
      <w:r>
        <w:rPr>
          <w:i/>
          <w:color w:val="FFC000"/>
        </w:rPr>
        <w:t>🟡</w:t>
      </w:r>
      <w:r>
        <w:rPr>
          <w:i/>
        </w:rPr>
        <w:t xml:space="preserve"> MEDIA · Tema T12: Oxigenoterapia crónica domiciliaria (LTOT)</w:t>
      </w:r>
    </w:p>
    <w:p>
      <w:pPr>
        <w:pStyle w:val="ListBullet"/>
      </w:pPr>
      <w:r>
        <w:rPr>
          <w:b/>
        </w:rPr>
        <w:t>Tipo:</w:t>
      </w:r>
      <w:r>
        <w:t xml:space="preserve"> Incongruencia interna</w:t>
      </w:r>
    </w:p>
    <w:p>
      <w:pPr>
        <w:pStyle w:val="ListBullet"/>
      </w:pPr>
      <w:r>
        <w:rPr>
          <w:b/>
        </w:rPr>
        <w:t>Severidad:</w:t>
      </w:r>
      <w:r>
        <w:t xml:space="preserve"> MEDIA</w:t>
      </w:r>
    </w:p>
    <w:p>
      <w:pPr>
        <w:pStyle w:val="ListBullet"/>
      </w:pPr>
      <w:r>
        <w:rPr>
          <w:b/>
        </w:rPr>
        <w:t>Ubicación:</w:t>
      </w:r>
      <w:r>
        <w:t xml:space="preserve"> PDF 91 / impr. 80 (Fig. 3.19) y PDF 92 / impr. 81, frente a PDF 87 / impr. 76</w:t>
      </w:r>
    </w:p>
    <w:p>
      <w:pPr>
        <w:pStyle w:val="ListBullet"/>
      </w:pPr>
      <w:r>
        <w:rPr>
          <w:b/>
        </w:rPr>
        <w:t>Cita:</w:t>
      </w:r>
      <w:r>
        <w:t xml:space="preserve"> Fig. 3.19: "NOTT: ≥ 19 hours of continuous oxygen vs ≤ 13 hours: 50% reduction". PDF 87: "the recommendation to use oxygen &gt; 15 hours per day is not supported by newer evidence."</w:t>
      </w:r>
    </w:p>
    <w:p>
      <w:pPr>
        <w:pStyle w:val="ListBullet"/>
      </w:pPr>
      <w:r>
        <w:rPr>
          <w:b/>
        </w:rPr>
        <w:t>Problema:</w:t>
      </w:r>
    </w:p>
    <w:p>
      <w:pPr>
        <w:pStyle w:val="ListBullet2"/>
      </w:pPr>
      <w:r>
        <w:t>El capítulo da dos mensajes sobre la dosis horaria. La tabla de mortalidad sugiere una relación dosis-respuesta (≥ 19 h), mientras REDOX no encontró beneficio de 24 h frente a 15 h.</w:t>
      </w:r>
    </w:p>
    <w:p>
      <w:pPr>
        <w:pStyle w:val="ListBullet2"/>
      </w:pPr>
      <w:r>
        <w:t>NOTT comparó O2 «continuo» (uso real medio ≈ 18 h) con O2 nocturno (≈ 12 h). No fue un ensayo de dosis.</w:t>
      </w:r>
    </w:p>
    <w:p>
      <w:pPr>
        <w:pStyle w:val="ListBullet"/>
      </w:pPr>
      <w:r>
        <w:rPr>
          <w:b/>
        </w:rPr>
        <w:t>Evidencia/justificación:</w:t>
      </w:r>
    </w:p>
    <w:p>
      <w:pPr>
        <w:pStyle w:val="ListBullet2"/>
      </w:pPr>
      <w:r>
        <w:t xml:space="preserve">Ekström M et al., </w:t>
      </w:r>
      <w:r>
        <w:rPr>
          <w:b/>
        </w:rPr>
        <w:t>REDOX</w:t>
      </w:r>
      <w:r>
        <w:t xml:space="preserve">, </w:t>
      </w:r>
      <w:r>
        <w:rPr>
          <w:i/>
        </w:rPr>
        <w:t>NEJM</w:t>
      </w:r>
      <w:r>
        <w:t xml:space="preserve"> 2024;391:977-88 (ref. 751).</w:t>
      </w:r>
    </w:p>
    <w:p>
      <w:pPr>
        <w:pStyle w:val="ListBullet2"/>
      </w:pPr>
      <w:r>
        <w:t xml:space="preserve">NOTT Group, </w:t>
      </w:r>
      <w:r>
        <w:rPr>
          <w:i/>
        </w:rPr>
        <w:t>Ann Intern Med</w:t>
      </w:r>
      <w:r>
        <w:t xml:space="preserve"> 1980 (ref. 783).</w:t>
      </w:r>
    </w:p>
    <w:p>
      <w:pPr>
        <w:pStyle w:val="ListBullet"/>
      </w:pPr>
      <w:r>
        <w:rPr>
          <w:b/>
        </w:rPr>
        <w:t>Recomendación:</w:t>
      </w:r>
      <w:r>
        <w:t xml:space="preserve"> Añadir a la Fig. 3.19 una nota: «REDOX 2024: 24 h/día no superior a 15 h/día en hospitalización o muerte a 1 año; objetivo ≥ 15 h/día». Así se armoniza con la PDF 87.</w:t>
      </w:r>
    </w:p>
    <w:p>
      <w:pPr>
        <w:pStyle w:val="ListBullet"/>
      </w:pPr>
      <w:r>
        <w:rPr>
          <w:b/>
        </w:rPr>
        <w:t>Confianza:</w:t>
      </w:r>
      <w:r>
        <w:t xml:space="preserve"> 5/5</w:t>
      </w:r>
    </w:p>
    <w:p>
      <w:pPr>
        <w:pStyle w:val="Heading4"/>
      </w:pPr>
      <w:r>
        <w:t>REH-06 · «LTOT (&gt; 15 h/día)» contradicho en el mismo apartado por la lectura de REDOX</w:t>
      </w:r>
    </w:p>
    <w:p>
      <w:r>
        <w:rPr>
          <w:i/>
        </w:rPr>
        <w:t xml:space="preserve">Severidad final: </w:t>
      </w:r>
      <w:r>
        <w:rPr>
          <w:i/>
          <w:color w:val="FFC000"/>
        </w:rPr>
        <w:t>🟡</w:t>
      </w:r>
      <w:r>
        <w:rPr>
          <w:i/>
        </w:rPr>
        <w:t xml:space="preserve"> MEDIA · Tema T12: Oxigenoterapia crónica domiciliaria (LTOT)</w:t>
      </w:r>
    </w:p>
    <w:p>
      <w:pPr>
        <w:pStyle w:val="IntenseQuote"/>
      </w:pPr>
      <w:r>
        <w:rPr>
          <w:b/>
        </w:rPr>
        <w:t>Verificación independiente (CONFIRMADO):</w:t>
      </w:r>
      <w:r>
        <w:t xml:space="preserve"> Es una ambigüedad (admite la lectura «no hace falta más de 15 h»), no una contradicción frontal. Rebajar de ALTA a MEDIA. | Definir la LTOT como «≥15 h/día». Reescribir así: «24 h/día no aporta beneficio adicional frente a 15 h/día (REDOX)». Matiz: la incoherencia es real, pero de redacción. La guía mantiene las indicaciones de la LTOT, así que el riesgo de que se lea «la LTOT ya no está indicada» es bajo. Por eso rebajo la severidad.</w:t>
      </w:r>
    </w:p>
    <w:p>
      <w:pPr>
        <w:pStyle w:val="IntenseQuote"/>
      </w:pPr>
      <w:r>
        <w:rPr>
          <w:b/>
        </w:rPr>
        <w:t>Severidad ajustada en la consolidación:</w:t>
      </w:r>
      <w:r>
        <w:t xml:space="preserve"> ALTA → MEDIA</w:t>
      </w:r>
    </w:p>
    <w:p>
      <w:pPr>
        <w:pStyle w:val="ListBullet"/>
      </w:pPr>
      <w:r>
        <w:rPr>
          <w:b/>
        </w:rPr>
        <w:t>Tipo:</w:t>
      </w:r>
      <w:r>
        <w:t xml:space="preserve"> Incongruencia interna / Ambigüedad</w:t>
      </w:r>
    </w:p>
    <w:p>
      <w:pPr>
        <w:pStyle w:val="ListBullet"/>
      </w:pPr>
      <w:r>
        <w:rPr>
          <w:b/>
        </w:rPr>
        <w:t>Severidad:</w:t>
      </w:r>
      <w:r>
        <w:t xml:space="preserve"> ALTA</w:t>
      </w:r>
    </w:p>
    <w:p>
      <w:pPr>
        <w:pStyle w:val="ListBullet"/>
      </w:pPr>
      <w:r>
        <w:rPr>
          <w:b/>
        </w:rPr>
        <w:t>Ubicación:</w:t>
      </w:r>
      <w:r>
        <w:t xml:space="preserve"> PDF 87 / impr. 76 — cap. 3, «Oxygen therapy».</w:t>
      </w:r>
    </w:p>
    <w:p>
      <w:pPr>
        <w:pStyle w:val="ListBullet"/>
      </w:pPr>
      <w:r>
        <w:rPr>
          <w:b/>
        </w:rPr>
        <w:t>Cita:</w:t>
      </w:r>
      <w:r>
        <w:t xml:space="preserve"> «The long-term administration of oxygen (&gt; 15 hours per day; LTOT)…» y, cuatro líneas después: «Thus, the recommendation to use oxygen &gt; 15 hours per day is not supported by newer evidence.»</w:t>
      </w:r>
    </w:p>
    <w:p>
      <w:pPr>
        <w:pStyle w:val="ListBullet"/>
      </w:pPr>
      <w:r>
        <w:rPr>
          <w:b/>
        </w:rPr>
        <w:t>Problema:</w:t>
      </w:r>
      <w:r>
        <w:t xml:space="preserve"> El mismo párrafo define la LTOT como &gt; 15 h/día y luego dice que usar &gt; 15 h/día «no está respaldado». La frase puede leerse como «limitar el O2 a ≤ 15 h» o como «la LTOT ya no está indicada», ninguna de las cuales es correcta. REDOX comparó 24 h frente a 15 h. No demostró beneficio adicional de 24 h, pero tampoco cuestionó la recomendación de un uso mínimo de 15 h/día.</w:t>
      </w:r>
    </w:p>
    <w:p>
      <w:pPr>
        <w:pStyle w:val="ListBullet"/>
      </w:pPr>
      <w:r>
        <w:rPr>
          <w:b/>
        </w:rPr>
        <w:t>Evidencia/justificación:</w:t>
      </w:r>
      <w:r>
        <w:t xml:space="preserve"> Ekström M et al., REDOX, N Engl J Med 2024;391:977-988 (ref. 751; PMID 39254466). Hospitalización o muerte a 1 año: 64,1 % frente a 63,7 %; HR 0,99 (0,72-1,36). La población era mayoritariamente con EPOC, con registro nacional sueco y seguimiento de 12 meses. NOTT (Ann Intern Med 1980;93:391-398) y MRC (Lancet 1981) sustentan el mínimo de ~15 h/día.</w:t>
      </w:r>
    </w:p>
    <w:p>
      <w:pPr>
        <w:pStyle w:val="ListBullet"/>
      </w:pPr>
      <w:r>
        <w:rPr>
          <w:b/>
        </w:rPr>
        <w:t>Recomendación:</w:t>
      </w:r>
      <w:r>
        <w:t xml:space="preserve"> Definir la LTOT como «≥ 15 h/día» y reescribir: «prescribir ≥ 15 h/día; no se ha demostrado beneficio adicional de 24 h/día frente a 15 h/día (REDOX) en hospitalización o muerte a 1 año; el uso más prolongado puede individualizarse según síntomas o preferencias». Mencionar las limitaciones de REDOX (no ciego, seguimiento de 1 año, potencia limitada para mortalidad).</w:t>
      </w:r>
    </w:p>
    <w:p>
      <w:pPr>
        <w:pStyle w:val="ListBullet"/>
      </w:pPr>
      <w:r>
        <w:rPr>
          <w:b/>
        </w:rPr>
        <w:t>Confianza:</w:t>
      </w:r>
      <w:r>
        <w:t xml:space="preserve"> 5/5</w:t>
      </w:r>
    </w:p>
    <w:p>
      <w:pPr>
        <w:pStyle w:val="Heading4"/>
      </w:pPr>
      <w:r>
        <w:t>REH-08 · Faltan el O2 nocturno aislado (INOX) y el O2 ambulatorio/portátil</w:t>
      </w:r>
    </w:p>
    <w:p>
      <w:r>
        <w:rPr>
          <w:i/>
        </w:rPr>
        <w:t xml:space="preserve">Severidad final: </w:t>
      </w:r>
      <w:r>
        <w:rPr>
          <w:i/>
          <w:color w:val="FFC000"/>
        </w:rPr>
        <w:t>🟡</w:t>
      </w:r>
      <w:r>
        <w:rPr>
          <w:i/>
        </w:rPr>
        <w:t xml:space="preserve"> MEDIA · Tema T12: Oxigenoterapia crónica domiciliaria (LTOT)</w:t>
      </w:r>
    </w:p>
    <w:p>
      <w:pPr>
        <w:pStyle w:val="ListBullet"/>
      </w:pPr>
      <w:r>
        <w:rPr>
          <w:b/>
        </w:rPr>
        <w:t>Tipo:</w:t>
      </w:r>
      <w:r>
        <w:t xml:space="preserve"> Omisión / Desactualización</w:t>
      </w:r>
    </w:p>
    <w:p>
      <w:pPr>
        <w:pStyle w:val="ListBullet"/>
      </w:pPr>
      <w:r>
        <w:rPr>
          <w:b/>
        </w:rPr>
        <w:t>Severidad:</w:t>
      </w:r>
      <w:r>
        <w:t xml:space="preserve"> MEDIA</w:t>
      </w:r>
    </w:p>
    <w:p>
      <w:pPr>
        <w:pStyle w:val="ListBullet"/>
      </w:pPr>
      <w:r>
        <w:rPr>
          <w:b/>
        </w:rPr>
        <w:t>Ubicación:</w:t>
      </w:r>
      <w:r>
        <w:t xml:space="preserve"> PDF 87-88 / impr. 76-77 — «Oxygen therapy»; Figura 3.17.</w:t>
      </w:r>
    </w:p>
    <w:p>
      <w:pPr>
        <w:pStyle w:val="ListBullet"/>
      </w:pPr>
      <w:r>
        <w:rPr>
          <w:b/>
        </w:rPr>
        <w:t>Cita:</w:t>
      </w:r>
      <w:r>
        <w:t xml:space="preserve"> «In patients with moderate resting or exercise-induced arterial oxygen desaturation LTOT does not lengthen time to death or first hospitalization… (752)»</w:t>
      </w:r>
    </w:p>
    <w:p>
      <w:pPr>
        <w:pStyle w:val="ListBullet"/>
      </w:pPr>
      <w:r>
        <w:rPr>
          <w:b/>
        </w:rPr>
        <w:t>Problema:</w:t>
      </w:r>
      <w:r>
        <w:t xml:space="preserve"> No se aborda la desaturación nocturna aislada, ni se cita el ensayo INOX. Tampoco hay recomendación sobre O2 ambulatorio o portátil (concentradores portátiles, flujo pulsado frente a continuo, titulación con la prueba de marcha de 6 minutos), aunque se cita la guía ATS 2020 (ref. 754), que sí la formula. El clínico se queda sin orientación en dos situaciones muy frecuentes.</w:t>
      </w:r>
    </w:p>
    <w:p>
      <w:pPr>
        <w:pStyle w:val="ListBullet"/>
      </w:pPr>
      <w:r>
        <w:rPr>
          <w:b/>
        </w:rPr>
        <w:t>Evidencia/justificación:</w:t>
      </w:r>
    </w:p>
    <w:p>
      <w:pPr>
        <w:pStyle w:val="ListBullet2"/>
      </w:pPr>
      <w:r>
        <w:t>Lacasse Y et al., INOX, N Engl J Med 2020;383:1129-1138 (doi:10.1056/NEJMoa2013219): el O2 nocturno en desaturación nocturna aislada no reduce mortalidad ni progresión a LTOT. No figura en las referencias de GOLD.</w:t>
      </w:r>
    </w:p>
    <w:p>
      <w:pPr>
        <w:pStyle w:val="ListBullet2"/>
      </w:pPr>
      <w:r>
        <w:t>Jacobs SS et al., guía ATS 2020 de oxígeno domiciliario, Am J Respir Crit Care Med 2020;202:e121-e141 (ref. 754): sugiere O2 ambulatorio en la hipoxemia grave de esfuerzo (recomendación condicional) y no prescribirlo en la desaturación moderada de esfuerzo.</w:t>
      </w:r>
    </w:p>
    <w:p>
      <w:pPr>
        <w:pStyle w:val="ListBullet"/>
      </w:pPr>
      <w:r>
        <w:rPr>
          <w:b/>
        </w:rPr>
        <w:t>Recomendación:</w:t>
      </w:r>
      <w:r>
        <w:t xml:space="preserve"> Añadir: «no se recomienda O2 nocturno aislado en la desaturación nocturna sin hipoxemia diurna (INOX); descartar SAOS/hipoventilación». Añadir también: «en la desaturación grave de esfuerzo puede considerarse O2 ambulatorio tras titulación con prueba de marcha, con reevaluación del beneficio sintomático (ATS 2020, condicional)». Incluir ambos puntos en la Figura 3.17.</w:t>
      </w:r>
    </w:p>
    <w:p>
      <w:pPr>
        <w:pStyle w:val="ListBullet"/>
      </w:pPr>
      <w:r>
        <w:rPr>
          <w:b/>
        </w:rPr>
        <w:t>Confianza:</w:t>
      </w:r>
      <w:r>
        <w:t xml:space="preserve"> 4/5</w:t>
      </w:r>
    </w:p>
    <w:p>
      <w:pPr>
        <w:pStyle w:val="Heading4"/>
      </w:pPr>
      <w:r>
        <w:t>REH-09 · Seguridad de la oxigenoterapia domiciliaria: tabaquismo activo, incendios y quemaduras no mencionados</w:t>
      </w:r>
    </w:p>
    <w:p>
      <w:r>
        <w:rPr>
          <w:i/>
        </w:rPr>
        <w:t xml:space="preserve">Severidad final: </w:t>
      </w:r>
      <w:r>
        <w:rPr>
          <w:i/>
          <w:color w:val="FFC000"/>
        </w:rPr>
        <w:t>🟡</w:t>
      </w:r>
      <w:r>
        <w:rPr>
          <w:i/>
        </w:rPr>
        <w:t xml:space="preserve"> MEDIA · Tema T12: Oxigenoterapia crónica domiciliaria (LTOT)</w:t>
      </w:r>
    </w:p>
    <w:p>
      <w:pPr>
        <w:pStyle w:val="ListBullet"/>
      </w:pPr>
      <w:r>
        <w:rPr>
          <w:b/>
        </w:rPr>
        <w:t>Tipo:</w:t>
      </w:r>
      <w:r>
        <w:t xml:space="preserve"> Omisión</w:t>
      </w:r>
    </w:p>
    <w:p>
      <w:pPr>
        <w:pStyle w:val="ListBullet"/>
      </w:pPr>
      <w:r>
        <w:rPr>
          <w:b/>
        </w:rPr>
        <w:t>Severidad:</w:t>
      </w:r>
      <w:r>
        <w:t xml:space="preserve"> MEDIA</w:t>
      </w:r>
    </w:p>
    <w:p>
      <w:pPr>
        <w:pStyle w:val="ListBullet"/>
      </w:pPr>
      <w:r>
        <w:rPr>
          <w:b/>
        </w:rPr>
        <w:t>Ubicación:</w:t>
      </w:r>
      <w:r>
        <w:t xml:space="preserve"> PDF 87-89 / impr. 76-78 — «Oxygen therapy» y Figura 3.18. La búsqueda en </w:t>
      </w:r>
      <w:r>
        <w:rPr>
          <w:rFonts w:ascii="Consolas" w:hAnsi="Consolas"/>
        </w:rPr>
        <w:t>gold_full.txt</w:t>
      </w:r>
      <w:r>
        <w:t xml:space="preserve"> de «fire/burn» en contexto de oxígeno no devuelve resultados.</w:t>
      </w:r>
    </w:p>
    <w:p>
      <w:pPr>
        <w:pStyle w:val="ListBullet"/>
      </w:pPr>
      <w:r>
        <w:rPr>
          <w:b/>
        </w:rPr>
        <w:t>Cita:</w:t>
      </w:r>
      <w:r>
        <w:t xml:space="preserve"> «Prescribe supplemental oxygen and titrate to keep SaO2 ≥ 90%» (la figura no incluye ninguna consideración de seguridad).</w:t>
      </w:r>
    </w:p>
    <w:p>
      <w:pPr>
        <w:pStyle w:val="ListBullet"/>
      </w:pPr>
      <w:r>
        <w:rPr>
          <w:b/>
        </w:rPr>
        <w:t>Problema:</w:t>
      </w:r>
      <w:r>
        <w:t xml:space="preserve"> No se exige una evaluación de riesgos antes de prescribir O2 a un fumador activo o a un conviviente fumador (quemaduras faciales, incendios domésticos), ni se mencionan el riesgo de caídas con los tubos o la educación sobre el uso seguro. Es un aspecto de seguridad del paciente y de terceros.</w:t>
      </w:r>
    </w:p>
    <w:p>
      <w:pPr>
        <w:pStyle w:val="ListBullet"/>
      </w:pPr>
      <w:r>
        <w:rPr>
          <w:b/>
        </w:rPr>
        <w:t>Evidencia/justificación:</w:t>
      </w:r>
      <w:r>
        <w:t xml:space="preserve"> Hardinge 2015 (BTS) recomienda una evaluación formal de riesgos (tabaquismo, riesgo de incendio, caídas) antes de prescribir oxigenoterapia domiciliaria y advierte del riesgo de quemaduras e incendios con el tabaquismo activo.</w:t>
      </w:r>
    </w:p>
    <w:p>
      <w:pPr>
        <w:pStyle w:val="ListBullet"/>
      </w:pPr>
      <w:r>
        <w:rPr>
          <w:b/>
        </w:rPr>
        <w:t>Recomendación:</w:t>
      </w:r>
      <w:r>
        <w:t xml:space="preserve"> Añadir a la Figura 3.18 un paso previo («evaluación de riesgos: tabaquismo activo propio o de convivientes, riesgo de caídas, capacidad de uso») y una frase en el texto con apoyo a la cesación tabáquica antes de la prescripción.</w:t>
      </w:r>
    </w:p>
    <w:p>
      <w:pPr>
        <w:pStyle w:val="ListBullet"/>
      </w:pPr>
      <w:r>
        <w:rPr>
          <w:b/>
        </w:rPr>
        <w:t>Confianza:</w:t>
      </w:r>
      <w:r>
        <w:t xml:space="preserve"> 4/5</w:t>
      </w:r>
    </w:p>
    <w:p>
      <w:pPr>
        <w:pStyle w:val="Heading4"/>
      </w:pPr>
      <w:r>
        <w:t>REH-10 · Recomendaciones para viajes aéreos desactualizadas e incompletas</w:t>
      </w:r>
    </w:p>
    <w:p>
      <w:r>
        <w:rPr>
          <w:i/>
        </w:rPr>
        <w:t xml:space="preserve">Severidad final: </w:t>
      </w:r>
      <w:r>
        <w:rPr>
          <w:i/>
          <w:color w:val="FFC000"/>
        </w:rPr>
        <w:t>🟡</w:t>
      </w:r>
      <w:r>
        <w:rPr>
          <w:i/>
        </w:rPr>
        <w:t xml:space="preserve"> MEDIA · Tema T12: Oxigenoterapia crónica domiciliaria (LTOT)</w:t>
      </w:r>
    </w:p>
    <w:p>
      <w:pPr>
        <w:pStyle w:val="ListBullet"/>
      </w:pPr>
      <w:r>
        <w:rPr>
          <w:b/>
        </w:rPr>
        <w:t>Tipo:</w:t>
      </w:r>
      <w:r>
        <w:t xml:space="preserve"> Desactualización / Ambigüedad</w:t>
      </w:r>
    </w:p>
    <w:p>
      <w:pPr>
        <w:pStyle w:val="ListBullet"/>
      </w:pPr>
      <w:r>
        <w:rPr>
          <w:b/>
        </w:rPr>
        <w:t>Severidad:</w:t>
      </w:r>
      <w:r>
        <w:t xml:space="preserve"> MEDIA</w:t>
      </w:r>
    </w:p>
    <w:p>
      <w:pPr>
        <w:pStyle w:val="ListBullet"/>
      </w:pPr>
      <w:r>
        <w:rPr>
          <w:b/>
        </w:rPr>
        <w:t>Ubicación:</w:t>
      </w:r>
      <w:r>
        <w:t xml:space="preserve"> PDF 88 / impr. 77 — texto tras la Figura 3.17; Figura 3.17 (Evidencia C).</w:t>
      </w:r>
    </w:p>
    <w:p>
      <w:pPr>
        <w:pStyle w:val="ListBullet"/>
      </w:pPr>
      <w:r>
        <w:rPr>
          <w:b/>
        </w:rPr>
        <w:t>Cita:</w:t>
      </w:r>
      <w:r>
        <w:t xml:space="preserve"> «…supplementary oxygen at 3 liters/min by nasal cannula or 31% by Venturi facemask.(757) Those with a resting oxygen saturation &gt; 95% and 6MWD oxygen saturation &gt; 84% may travel without further assessment,(758)»</w:t>
      </w:r>
    </w:p>
    <w:p>
      <w:pPr>
        <w:pStyle w:val="ListBullet"/>
      </w:pPr>
      <w:r>
        <w:rPr>
          <w:b/>
        </w:rPr>
        <w:t>Problema:</w:t>
      </w:r>
    </w:p>
    <w:p>
      <w:pPr>
        <w:pStyle w:val="ListBullet2"/>
      </w:pPr>
      <w:r>
        <w:t>Se apoya en la guía BTS 2011 (ref. 756) y en un estudio de 1992 (ref. 757). La mascarilla Venturi al 31 % no es aplicable a bordo, donde se usan concentradores portátiles con flujo pulsado.</w:t>
      </w:r>
    </w:p>
    <w:p>
      <w:pPr>
        <w:pStyle w:val="ListBullet2"/>
      </w:pPr>
      <w:r>
        <w:t>Solo se describe una rama del algoritmo de Edvardsen: falta qué hacer con SpO2 92-95 % o SpO2 en esfuerzo ≤ 84 % (prueba de hipoxia simulada).</w:t>
      </w:r>
    </w:p>
    <w:p>
      <w:pPr>
        <w:pStyle w:val="ListBullet2"/>
      </w:pPr>
      <w:r>
        <w:t xml:space="preserve">No se dice explícitamente que </w:t>
      </w:r>
      <w:r>
        <w:rPr>
          <w:b/>
        </w:rPr>
        <w:t>los usuarios de LTOT necesitan O2 durante el vuelo</w:t>
      </w:r>
      <w:r>
        <w:t>, habitualmente con mayor flujo que el basal, ni se mencionan la equivalencia entre flujo continuo y pulsado o la planificación con la aerolínea.</w:t>
      </w:r>
    </w:p>
    <w:p>
      <w:pPr>
        <w:pStyle w:val="ListBullet"/>
      </w:pPr>
      <w:r>
        <w:rPr>
          <w:b/>
        </w:rPr>
        <w:t>Evidencia/justificación:</w:t>
      </w:r>
      <w:r>
        <w:t xml:space="preserve"> Coker RK et al., declaración clínica de la BTS sobre viajes aéreos, Thorax 2022;77:329-350 (doi:10.1136/thoraxjnl-2021-218110). Sustituye a la de 2011 y propone una evaluación estructurada (incluida la prueba de hipoxia simulada) y el aumento del flujo en vuelo para los usuarios de LTOT. Los detalles numéricos deben comprobarse en el texto original.</w:t>
      </w:r>
    </w:p>
    <w:p>
      <w:pPr>
        <w:pStyle w:val="ListBullet"/>
      </w:pPr>
      <w:r>
        <w:rPr>
          <w:b/>
        </w:rPr>
        <w:t>Recomendación:</w:t>
      </w:r>
      <w:r>
        <w:t xml:space="preserve"> Actualizar a la BTS 2022 e incluir un mini-algoritmo: usuarios de LTOT → O2 en vuelo con flujo aumentado; SpO2 en reposo &gt; 95 % → bajo riesgo; casos intermedios → prueba de hipoxia simulada o valoración especializada. Sustituir la Venturi por las opciones disponibles a bordo (concentradores portátiles aprobados).</w:t>
      </w:r>
    </w:p>
    <w:p>
      <w:pPr>
        <w:pStyle w:val="ListBullet"/>
      </w:pPr>
      <w:r>
        <w:rPr>
          <w:b/>
        </w:rPr>
        <w:t>Confianza:</w:t>
      </w:r>
      <w:r>
        <w:t xml:space="preserve"> 4/5</w:t>
      </w:r>
    </w:p>
    <w:p>
      <w:pPr>
        <w:pStyle w:val="Heading4"/>
      </w:pPr>
      <w:r>
        <w:t>INT-12 · VNI domiciliaria: se atribuye a McEvoy 2009 («higher IPAP levels») un resultado que no muestra</w:t>
      </w:r>
    </w:p>
    <w:p>
      <w:r>
        <w:rPr>
          <w:i/>
        </w:rPr>
        <w:t xml:space="preserve">Severidad final: </w:t>
      </w:r>
      <w:r>
        <w:rPr>
          <w:i/>
          <w:color w:val="FFC000"/>
        </w:rPr>
        <w:t>🟡</w:t>
      </w:r>
      <w:r>
        <w:rPr>
          <w:i/>
        </w:rPr>
        <w:t xml:space="preserve"> MEDIA · Tema T13: Ventilación no invasiva domiciliaria</w:t>
      </w:r>
    </w:p>
    <w:p>
      <w:pPr>
        <w:pStyle w:val="ListBullet"/>
      </w:pPr>
      <w:r>
        <w:rPr>
          <w:b/>
        </w:rPr>
        <w:t>Tipo:</w:t>
      </w:r>
      <w:r>
        <w:t xml:space="preserve"> Evidencia mal representada (cita)</w:t>
      </w:r>
    </w:p>
    <w:p>
      <w:pPr>
        <w:pStyle w:val="ListBullet"/>
      </w:pPr>
      <w:r>
        <w:rPr>
          <w:b/>
        </w:rPr>
        <w:t>Severidad:</w:t>
      </w:r>
      <w:r>
        <w:t xml:space="preserve"> MEDIA</w:t>
      </w:r>
    </w:p>
    <w:p>
      <w:pPr>
        <w:pStyle w:val="ListBullet"/>
      </w:pPr>
      <w:r>
        <w:rPr>
          <w:b/>
        </w:rPr>
        <w:t>Ubicación:</w:t>
      </w:r>
      <w:r>
        <w:t xml:space="preserve"> PDF 92 / impr. 81 — «Non-invasive positive pressure ventilation»; PDF 91 / impr. 80 — Fig. 3.19</w:t>
      </w:r>
    </w:p>
    <w:p>
      <w:pPr>
        <w:pStyle w:val="ListBullet"/>
      </w:pPr>
      <w:r>
        <w:rPr>
          <w:b/>
        </w:rPr>
        <w:t>Cita:</w:t>
      </w:r>
      <w:r>
        <w:t xml:space="preserve"> "larger trials with mortality as the primary outcome that enrolled patients with marked hypercapnia and applying higher IPAP levels demonstrated a reduction of mortality.(768,787)"</w:t>
      </w:r>
    </w:p>
    <w:p>
      <w:pPr>
        <w:pStyle w:val="ListBullet"/>
      </w:pPr>
      <w:r>
        <w:rPr>
          <w:b/>
        </w:rPr>
        <w:t>Problema:</w:t>
      </w:r>
    </w:p>
    <w:p>
      <w:pPr>
        <w:pStyle w:val="ListBullet2"/>
      </w:pPr>
      <w:r>
        <w:rPr>
          <w:b/>
        </w:rPr>
        <w:t>McEvoy 2009 (ref. 787) no encaja en esa descripción.</w:t>
      </w:r>
      <w:r>
        <w:t xml:space="preserve"> Usó IPAP </w:t>
      </w:r>
      <w:r>
        <w:rPr>
          <w:b/>
        </w:rPr>
        <w:t>bajas</w:t>
      </w:r>
      <w:r>
        <w:t xml:space="preserve"> (≈ 13 cmH2O) y la hipercapnia no era marcada en todos los pacientes. El beneficio en supervivencia solo apareció en el análisis ajustado, con empeoramiento de algunas dimensiones de calidad de vida.</w:t>
      </w:r>
    </w:p>
    <w:p>
      <w:pPr>
        <w:pStyle w:val="ListBullet2"/>
      </w:pPr>
      <w:r>
        <w:rPr>
          <w:b/>
        </w:rPr>
        <w:t>Solo Köhnlein 2014 (ref. 768) cumple «IPAP alta / hipercapnia marcada»</w:t>
      </w:r>
      <w:r>
        <w:t>, con una IPAP media de ≈ 21,6 cmH2O.</w:t>
      </w:r>
    </w:p>
    <w:p>
      <w:pPr>
        <w:pStyle w:val="ListBullet2"/>
      </w:pPr>
      <w:r>
        <w:rPr>
          <w:b/>
        </w:rPr>
        <w:t>Falta HOT-HMV</w:t>
      </w:r>
      <w:r>
        <w:t xml:space="preserve"> (Murphy 2017, </w:t>
      </w:r>
      <w:r>
        <w:rPr>
          <w:i/>
        </w:rPr>
        <w:t>JAMA</w:t>
      </w:r>
      <w:r>
        <w:t>), relevante para la VNI tras una exacerbación hipercápnica. Su desenlace fue combinado (reingreso o muerte), no la mortalidad sola.</w:t>
      </w:r>
    </w:p>
    <w:p>
      <w:pPr>
        <w:pStyle w:val="ListBullet"/>
      </w:pPr>
      <w:r>
        <w:rPr>
          <w:b/>
        </w:rPr>
        <w:t>Evidencia/justificación:</w:t>
      </w:r>
    </w:p>
    <w:p>
      <w:pPr>
        <w:pStyle w:val="ListBullet2"/>
      </w:pPr>
      <w:r>
        <w:t xml:space="preserve">McEvoy RD et al., </w:t>
      </w:r>
      <w:r>
        <w:rPr>
          <w:i/>
        </w:rPr>
        <w:t>Thorax</w:t>
      </w:r>
      <w:r>
        <w:t xml:space="preserve"> 2009;64:561-6.</w:t>
      </w:r>
    </w:p>
    <w:p>
      <w:pPr>
        <w:pStyle w:val="ListBullet2"/>
      </w:pPr>
      <w:r>
        <w:t xml:space="preserve">Köhnlein T et al., </w:t>
      </w:r>
      <w:r>
        <w:rPr>
          <w:i/>
        </w:rPr>
        <w:t>Lancet Respir Med</w:t>
      </w:r>
      <w:r>
        <w:t xml:space="preserve"> 2014;2:698-705.</w:t>
      </w:r>
    </w:p>
    <w:p>
      <w:pPr>
        <w:pStyle w:val="ListBullet2"/>
      </w:pPr>
      <w:r>
        <w:t xml:space="preserve">Murphy PB et al., </w:t>
      </w:r>
      <w:r>
        <w:rPr>
          <w:i/>
        </w:rPr>
        <w:t>JAMA</w:t>
      </w:r>
      <w:r>
        <w:t xml:space="preserve"> 2017;317:2177-86.</w:t>
      </w:r>
    </w:p>
    <w:p>
      <w:pPr>
        <w:pStyle w:val="ListBullet"/>
      </w:pPr>
      <w:r>
        <w:rPr>
          <w:b/>
        </w:rPr>
        <w:t>Recomendación:</w:t>
      </w:r>
      <w:r>
        <w:t xml:space="preserve"> Reescribir así: «Un ECA con VNI de alta intensidad en hipercapnia marcada (Köhnlein 2014) redujo la mortalidad a 1 año; un ECA previo con presiones bajas mostró beneficio solo en el análisis ajustado (McEvoy 2009)». Añadir HOT-HMV, con una remisión cruzada a la sección de ventilación.</w:t>
      </w:r>
    </w:p>
    <w:p>
      <w:pPr>
        <w:pStyle w:val="ListBullet"/>
      </w:pPr>
      <w:r>
        <w:rPr>
          <w:b/>
        </w:rPr>
        <w:t>Confianza:</w:t>
      </w:r>
      <w:r>
        <w:t xml:space="preserve"> 4/5</w:t>
      </w:r>
    </w:p>
    <w:p>
      <w:pPr>
        <w:pStyle w:val="Heading4"/>
      </w:pPr>
      <w:r>
        <w:t>EQ-14 · Oxigenoterapia y cuidados paliativos: no se tiene en cuenta la altitud ni el acceso</w:t>
      </w:r>
    </w:p>
    <w:p>
      <w:r>
        <w:rPr>
          <w:i/>
        </w:rPr>
        <w:t xml:space="preserve">Severidad final: </w:t>
      </w:r>
      <w:r>
        <w:rPr>
          <w:i/>
          <w:color w:val="FFC000"/>
        </w:rPr>
        <w:t>🟡</w:t>
      </w:r>
      <w:r>
        <w:rPr>
          <w:i/>
        </w:rPr>
        <w:t xml:space="preserve"> MEDIA · Tema T14: Cuidados paliativos y disnea refractaria</w:t>
      </w:r>
    </w:p>
    <w:p>
      <w:pPr>
        <w:pStyle w:val="ListBullet"/>
      </w:pPr>
      <w:r>
        <w:rPr>
          <w:b/>
        </w:rPr>
        <w:t>Tipo:</w:t>
      </w:r>
      <w:r>
        <w:t xml:space="preserve"> Omisión / Sesgo-Equidad</w:t>
      </w:r>
    </w:p>
    <w:p>
      <w:pPr>
        <w:pStyle w:val="ListBullet"/>
      </w:pPr>
      <w:r>
        <w:rPr>
          <w:b/>
        </w:rPr>
        <w:t>Severidad:</w:t>
      </w:r>
      <w:r>
        <w:t xml:space="preserve"> MEDIA</w:t>
      </w:r>
    </w:p>
    <w:p>
      <w:pPr>
        <w:pStyle w:val="ListBullet"/>
      </w:pPr>
      <w:r>
        <w:rPr>
          <w:b/>
        </w:rPr>
        <w:t>Ubicación:</w:t>
      </w:r>
    </w:p>
    <w:p>
      <w:pPr>
        <w:pStyle w:val="ListBullet2"/>
      </w:pPr>
      <w:r>
        <w:t>PDF 87-88 / impr. 76-77 (OCD).</w:t>
      </w:r>
    </w:p>
    <w:p>
      <w:pPr>
        <w:pStyle w:val="ListBullet2"/>
      </w:pPr>
      <w:r>
        <w:t>PDF 137 / impr. 126 (altitud).</w:t>
      </w:r>
    </w:p>
    <w:p>
      <w:pPr>
        <w:pStyle w:val="ListBullet2"/>
      </w:pPr>
      <w:r>
        <w:t>PDF 93 / impr. 82 (morfina para la disnea).</w:t>
      </w:r>
    </w:p>
    <w:p>
      <w:pPr>
        <w:pStyle w:val="ListBullet"/>
      </w:pPr>
      <w:r>
        <w:rPr>
          <w:b/>
        </w:rPr>
        <w:t>Cita:</w:t>
      </w:r>
      <w:r>
        <w:t xml:space="preserve"> "living at high altitude (e.g., Denver, Colorado, USA)" (PDF 137 — la única mención de altitud en todo el texto principal).</w:t>
      </w:r>
    </w:p>
    <w:p>
      <w:pPr>
        <w:pStyle w:val="ListBullet"/>
      </w:pPr>
      <w:r>
        <w:rPr>
          <w:b/>
        </w:rPr>
        <w:t>Problema:</w:t>
      </w:r>
    </w:p>
    <w:p>
      <w:pPr>
        <w:pStyle w:val="ListBullet2"/>
      </w:pPr>
      <w:r>
        <w:t>Los criterios de OCD (PaO2 ≤ 55 mmHg o saturación ≤ 88 %) se dan sin ninguna indicación sobre cómo interpretarlos a gran altitud. Grandes poblaciones viven a más de 2.500 m (La Paz, Quito, Bogotá, Adís Abeba, Altiplano andino, Tíbet), con valores normales de PaO2 y SpO2 más bajos. El único ejemplo de altitud es Denver (~1.600 m).</w:t>
      </w:r>
    </w:p>
    <w:p>
      <w:pPr>
        <w:pStyle w:val="ListBullet2"/>
      </w:pPr>
      <w:r>
        <w:t>No se menciona el acceso al oxígeno: concentradores frente a bombonas, dependencia eléctrica, coste de bolsillo o coste para el sistema.</w:t>
      </w:r>
    </w:p>
    <w:p>
      <w:pPr>
        <w:pStyle w:val="ListBullet2"/>
      </w:pPr>
      <w:r>
        <w:t>Recomienda la morfina para la disnea refractaria sin mencionar las barreras de acceso a opioides en la mayoría de los LMIC.</w:t>
      </w:r>
    </w:p>
    <w:p>
      <w:pPr>
        <w:pStyle w:val="ListBullet"/>
      </w:pPr>
      <w:r>
        <w:rPr>
          <w:b/>
        </w:rPr>
        <w:t>Evidencia/justificación:</w:t>
      </w:r>
    </w:p>
    <w:p>
      <w:pPr>
        <w:pStyle w:val="ListBullet2"/>
      </w:pPr>
      <w:r>
        <w:t xml:space="preserve">Comisión de </w:t>
      </w:r>
      <w:r>
        <w:rPr>
          <w:i/>
        </w:rPr>
        <w:t>The Lancet Global Health</w:t>
      </w:r>
      <w:r>
        <w:t xml:space="preserve"> sobre la seguridad del oxígeno medicinal (2025): más de 5.000 millones de personas carecen de acceso a oxígeno medicinal seguro y asequible, y la cobertura en LMIC es aproximadamente del 30 %. La EPOC figura entre las enfermedades afectadas.</w:t>
      </w:r>
    </w:p>
    <w:p>
      <w:pPr>
        <w:pStyle w:val="ListBullet2"/>
      </w:pPr>
      <w:r>
        <w:t>Comisión Lancet sobre Cuidados Paliativos y Alivio del Dolor (Knaul FM et al., Lancet 2018;391:1391-454): el "abismo de acceso" a la morfina en países de ingresos bajos y medios.</w:t>
      </w:r>
    </w:p>
    <w:p>
      <w:pPr>
        <w:pStyle w:val="ListBullet"/>
      </w:pPr>
      <w:r>
        <w:rPr>
          <w:b/>
        </w:rPr>
        <w:t>Recomendación:</w:t>
      </w:r>
    </w:p>
    <w:p>
      <w:pPr>
        <w:pStyle w:val="ListBullet2"/>
      </w:pPr>
      <w:r>
        <w:t>Añadir una nota sobre la interpretación de la oximetría y la gasometría en altitud, con remisión a guías regionales.</w:t>
      </w:r>
    </w:p>
    <w:p>
      <w:pPr>
        <w:pStyle w:val="ListBullet2"/>
      </w:pPr>
      <w:r>
        <w:t>Incluir un párrafo sobre el acceso al oxígeno: concentradores como opción preferente cuando hay electricidad, y planes nacionales de oxígeno.</w:t>
      </w:r>
    </w:p>
    <w:p>
      <w:pPr>
        <w:pStyle w:val="ListBullet2"/>
      </w:pPr>
      <w:r>
        <w:t>Mencionar la morfina oral de liberación inmediata de la LME y la necesidad de políticas de acceso a opioides.</w:t>
      </w:r>
    </w:p>
    <w:p>
      <w:pPr>
        <w:pStyle w:val="ListBullet"/>
      </w:pPr>
      <w:r>
        <w:rPr>
          <w:b/>
        </w:rPr>
        <w:t>Confianza:</w:t>
      </w:r>
      <w:r>
        <w:t xml:space="preserve"> 4/5</w:t>
      </w:r>
    </w:p>
    <w:p>
      <w:pPr>
        <w:pStyle w:val="Heading4"/>
      </w:pPr>
      <w:r>
        <w:t>INT-15 · Otros fármacos paliativos: omisión de BETTER-B (mirtazapina) y del ECA de sertralina; benzodiacepinas con una Cochrane superada y sin advertencia de seguridad</w:t>
      </w:r>
    </w:p>
    <w:p>
      <w:r>
        <w:rPr>
          <w:i/>
        </w:rPr>
        <w:t xml:space="preserve">Severidad final: </w:t>
      </w:r>
      <w:r>
        <w:rPr>
          <w:i/>
          <w:color w:val="FFC000"/>
        </w:rPr>
        <w:t>🟡</w:t>
      </w:r>
      <w:r>
        <w:rPr>
          <w:i/>
        </w:rPr>
        <w:t xml:space="preserve"> MEDIA · Tema T14: Cuidados paliativos y disnea refractaria</w:t>
      </w:r>
    </w:p>
    <w:p>
      <w:pPr>
        <w:pStyle w:val="ListBullet"/>
      </w:pPr>
      <w:r>
        <w:rPr>
          <w:b/>
        </w:rPr>
        <w:t>Tipo:</w:t>
      </w:r>
      <w:r>
        <w:t xml:space="preserve"> Omisión / Desactualización</w:t>
      </w:r>
    </w:p>
    <w:p>
      <w:pPr>
        <w:pStyle w:val="ListBullet"/>
      </w:pPr>
      <w:r>
        <w:rPr>
          <w:b/>
        </w:rPr>
        <w:t>Severidad:</w:t>
      </w:r>
      <w:r>
        <w:t xml:space="preserve"> MEDIA</w:t>
      </w:r>
    </w:p>
    <w:p>
      <w:pPr>
        <w:pStyle w:val="ListBullet"/>
      </w:pPr>
      <w:r>
        <w:rPr>
          <w:b/>
        </w:rPr>
        <w:t>Ubicación:</w:t>
      </w:r>
      <w:r>
        <w:t xml:space="preserve"> PDF 94 / impr. 83; PDF 94 / impr. 83 («Panic, anxiety &amp; depression»)</w:t>
      </w:r>
    </w:p>
    <w:p>
      <w:pPr>
        <w:pStyle w:val="ListBullet"/>
      </w:pPr>
      <w:r>
        <w:rPr>
          <w:b/>
        </w:rPr>
        <w:t>Cita:</w:t>
      </w:r>
      <w:r>
        <w:t xml:space="preserve"> "There is no evidence for a beneficial effect of benzodiazepines(812)"</w:t>
      </w:r>
    </w:p>
    <w:p>
      <w:pPr>
        <w:pStyle w:val="ListBullet"/>
      </w:pPr>
      <w:r>
        <w:rPr>
          <w:b/>
        </w:rPr>
        <w:t>Problema:</w:t>
      </w:r>
    </w:p>
    <w:p>
      <w:pPr>
        <w:pStyle w:val="ListBullet2"/>
      </w:pPr>
      <w:r>
        <w:rPr>
          <w:b/>
        </w:rPr>
        <w:t>Benzodiacepinas.</w:t>
      </w:r>
      <w:r>
        <w:t xml:space="preserve"> La ref. 812 es la Cochrane de 2010, actualizada en 2016 con la misma conclusión. Falta la advertencia de seguridad: mayor mortalidad asociada en EPOC grave con LTOT.</w:t>
      </w:r>
    </w:p>
    <w:p>
      <w:pPr>
        <w:pStyle w:val="ListBullet2"/>
      </w:pPr>
      <w:r>
        <w:rPr>
          <w:b/>
        </w:rPr>
        <w:t>Mirtazapina.</w:t>
      </w:r>
      <w:r>
        <w:t xml:space="preserve"> No se menciona BETTER-B (2024), un ECA de fase III que no mostró beneficio sobre la disnea grave en EPOC/EPID y sí más efectos adversos. Sin embargo, la mirtazapina se usa fuera de ficha técnica en la práctica.</w:t>
      </w:r>
    </w:p>
    <w:p>
      <w:pPr>
        <w:pStyle w:val="ListBullet2"/>
      </w:pPr>
      <w:r>
        <w:rPr>
          <w:b/>
        </w:rPr>
        <w:t>Sertralina.</w:t>
      </w:r>
      <w:r>
        <w:t xml:space="preserve"> Tampoco se menciona su ECA, también negativo.</w:t>
      </w:r>
    </w:p>
    <w:p>
      <w:pPr>
        <w:pStyle w:val="ListBullet2"/>
      </w:pPr>
      <w:r>
        <w:rPr>
          <w:b/>
        </w:rPr>
        <w:t>Antidepresivos.</w:t>
      </w:r>
      <w:r>
        <w:t xml:space="preserve"> El texto los describe como «inconclusive» sin referencias recientes.</w:t>
      </w:r>
    </w:p>
    <w:p>
      <w:pPr>
        <w:pStyle w:val="ListBullet"/>
      </w:pPr>
      <w:r>
        <w:rPr>
          <w:b/>
        </w:rPr>
        <w:t>Evidencia/justificación:</w:t>
      </w:r>
    </w:p>
    <w:p>
      <w:pPr>
        <w:pStyle w:val="ListBullet2"/>
      </w:pPr>
      <w:r>
        <w:t>Simon ST et al., Cochrane 2016;CD007354 (actualización).</w:t>
      </w:r>
    </w:p>
    <w:p>
      <w:pPr>
        <w:pStyle w:val="ListBullet2"/>
      </w:pPr>
      <w:r>
        <w:t xml:space="preserve">Higginson IJ et al., </w:t>
      </w:r>
      <w:r>
        <w:rPr>
          <w:b/>
        </w:rPr>
        <w:t>BETTER-B</w:t>
      </w:r>
      <w:r>
        <w:t xml:space="preserve">, </w:t>
      </w:r>
      <w:r>
        <w:rPr>
          <w:i/>
        </w:rPr>
        <w:t>Lancet Respir Med</w:t>
      </w:r>
      <w:r>
        <w:t xml:space="preserve"> 2024 (conf. 4 en volumen/página).</w:t>
      </w:r>
    </w:p>
    <w:p>
      <w:pPr>
        <w:pStyle w:val="ListBullet2"/>
      </w:pPr>
      <w:r>
        <w:t xml:space="preserve">Currow DC et al., </w:t>
      </w:r>
      <w:r>
        <w:rPr>
          <w:i/>
        </w:rPr>
        <w:t>Eur Respir J</w:t>
      </w:r>
      <w:r>
        <w:t xml:space="preserve"> 2019;53:1801270 (sertralina).</w:t>
      </w:r>
    </w:p>
    <w:p>
      <w:pPr>
        <w:pStyle w:val="ListBullet2"/>
      </w:pPr>
      <w:r>
        <w:t xml:space="preserve">Ekström MP et al., </w:t>
      </w:r>
      <w:r>
        <w:rPr>
          <w:i/>
        </w:rPr>
        <w:t>BMJ</w:t>
      </w:r>
      <w:r>
        <w:t xml:space="preserve"> 2014;348:g445.</w:t>
      </w:r>
    </w:p>
    <w:p>
      <w:pPr>
        <w:pStyle w:val="ListBullet"/>
      </w:pPr>
      <w:r>
        <w:rPr>
          <w:b/>
        </w:rPr>
        <w:t>Recomendación:</w:t>
      </w:r>
      <w:r>
        <w:t xml:space="preserve"> Añadir: «Mirtazapina (BETTER-B) y sertralina no mejoran la disnea crónica y no se recomiendan para ese fin; las benzodiacepinas no alivian la disnea y se asocian a riesgo (caídas, depresión respiratoria, mortalidad); valorarlas solo para la ansiedad o el pánico, o en la fase agónica». Actualizar la ref. 812.</w:t>
      </w:r>
    </w:p>
    <w:p>
      <w:pPr>
        <w:pStyle w:val="ListBullet"/>
      </w:pPr>
      <w:r>
        <w:rPr>
          <w:b/>
        </w:rPr>
        <w:t>Confianza:</w:t>
      </w:r>
      <w:r>
        <w:t xml:space="preserve"> 4/5</w:t>
      </w:r>
    </w:p>
    <w:p>
      <w:pPr>
        <w:pStyle w:val="Heading4"/>
      </w:pPr>
      <w:r>
        <w:t>INT-16 · Cuidados paliativos y hospice: enfoque centrado en EE. UU. basado en el pronóstico, con omisiones clave</w:t>
      </w:r>
    </w:p>
    <w:p>
      <w:r>
        <w:rPr>
          <w:i/>
        </w:rPr>
        <w:t xml:space="preserve">Severidad final: </w:t>
      </w:r>
      <w:r>
        <w:rPr>
          <w:i/>
          <w:color w:val="FFC000"/>
        </w:rPr>
        <w:t>🟡</w:t>
      </w:r>
      <w:r>
        <w:rPr>
          <w:i/>
        </w:rPr>
        <w:t xml:space="preserve"> MEDIA · Tema T14: Cuidados paliativos y disnea refractaria</w:t>
      </w:r>
    </w:p>
    <w:p>
      <w:pPr>
        <w:pStyle w:val="ListBullet"/>
      </w:pPr>
      <w:r>
        <w:rPr>
          <w:b/>
        </w:rPr>
        <w:t>Tipo:</w:t>
      </w:r>
      <w:r>
        <w:t xml:space="preserve"> Omisión / Sesgo-Equidad</w:t>
      </w:r>
    </w:p>
    <w:p>
      <w:pPr>
        <w:pStyle w:val="ListBullet"/>
      </w:pPr>
      <w:r>
        <w:rPr>
          <w:b/>
        </w:rPr>
        <w:t>Severidad:</w:t>
      </w:r>
      <w:r>
        <w:t xml:space="preserve"> MEDIA</w:t>
      </w:r>
    </w:p>
    <w:p>
      <w:pPr>
        <w:pStyle w:val="ListBullet"/>
      </w:pPr>
      <w:r>
        <w:rPr>
          <w:b/>
        </w:rPr>
        <w:t>Ubicación:</w:t>
      </w:r>
      <w:r>
        <w:t xml:space="preserve"> PDF 93 / impr. 82; PDF 95 / impr. 84 — «End-of-life and hospice care»</w:t>
      </w:r>
    </w:p>
    <w:p>
      <w:pPr>
        <w:pStyle w:val="ListBullet"/>
      </w:pPr>
      <w:r>
        <w:rPr>
          <w:b/>
        </w:rPr>
        <w:t>Cita:</w:t>
      </w:r>
      <w:r>
        <w:t xml:space="preserve"> "hospice care (a model for delivery of end-of-life care for patients who are terminally ill and predicted to have less than 6 months to live)"</w:t>
      </w:r>
    </w:p>
    <w:p>
      <w:pPr>
        <w:pStyle w:val="ListBullet"/>
      </w:pPr>
      <w:r>
        <w:rPr>
          <w:b/>
        </w:rPr>
        <w:t>Problema:</w:t>
      </w:r>
    </w:p>
    <w:p>
      <w:pPr>
        <w:pStyle w:val="ListBullet2"/>
      </w:pPr>
      <w:r>
        <w:rPr>
          <w:b/>
        </w:rPr>
        <w:t>Criterios de hospice ligados al pronóstico y a EE. UU.</w:t>
      </w:r>
      <w:r>
        <w:t xml:space="preserve"> La definición de hospice («&lt; 6 meses») y los criterios de la NHPCO responden al modelo Medicare estadounidense. El propio texto reconoce que el pronóstico a 6 meses en EPOC «is unreliable».</w:t>
      </w:r>
    </w:p>
    <w:p>
      <w:pPr>
        <w:pStyle w:val="ListBullet2"/>
      </w:pPr>
      <w:r>
        <w:rPr>
          <w:b/>
        </w:rPr>
        <w:t>Falta un modelo basado en necesidades:</w:t>
      </w:r>
      <w:r>
        <w:t xml:space="preserve"> no hay disparadores como una hospitalización por exacerbación, LTOT o VNI, BODE alto, la «pregunta sorpresa» o SPICT.</w:t>
      </w:r>
    </w:p>
    <w:p>
      <w:pPr>
        <w:pStyle w:val="ListBullet2"/>
      </w:pPr>
      <w:r>
        <w:rPr>
          <w:b/>
        </w:rPr>
        <w:t>Faltan las intervenciones con evidencia reciente:</w:t>
      </w:r>
    </w:p>
    <w:p>
      <w:pPr>
        <w:pStyle w:val="ListBullet2"/>
      </w:pPr>
      <w:r>
        <w:t>Servicios integrados de disnea: la ref. 811 se cita, pero sin resultados.</w:t>
      </w:r>
    </w:p>
    <w:p>
      <w:pPr>
        <w:pStyle w:val="ListBullet2"/>
      </w:pPr>
      <w:r>
        <w:t>Telecuidado paliativo (ADAPT 2024).</w:t>
      </w:r>
    </w:p>
    <w:p>
      <w:pPr>
        <w:pStyle w:val="ListBullet2"/>
      </w:pPr>
      <w:r>
        <w:t>Planificación del techo terapéutico (VNI/IOT) y VNI u oxigenoterapia de alto flujo con intención paliativa.</w:t>
      </w:r>
    </w:p>
    <w:p>
      <w:pPr>
        <w:pStyle w:val="ListBullet2"/>
      </w:pPr>
      <w:r>
        <w:t>Manejo de la disnea en la fase agónica (opioide/midazolam subcutáneos).</w:t>
      </w:r>
    </w:p>
    <w:p>
      <w:pPr>
        <w:pStyle w:val="ListBullet2"/>
      </w:pPr>
      <w:r>
        <w:t>Desprescripción.</w:t>
      </w:r>
    </w:p>
    <w:p>
      <w:pPr>
        <w:pStyle w:val="ListBullet2"/>
      </w:pPr>
      <w:r>
        <w:t>Apoyo al cuidador y al duelo.</w:t>
      </w:r>
    </w:p>
    <w:p>
      <w:pPr>
        <w:pStyle w:val="ListBullet2"/>
      </w:pPr>
      <w:r>
        <w:rPr>
          <w:b/>
        </w:rPr>
        <w:t>No se aborda el acceso</w:t>
      </w:r>
      <w:r>
        <w:t xml:space="preserve"> a opioides y cuidados paliativos en países de ingresos bajos y medios (LMIC).</w:t>
      </w:r>
    </w:p>
    <w:p>
      <w:pPr>
        <w:pStyle w:val="ListBullet"/>
      </w:pPr>
      <w:r>
        <w:rPr>
          <w:b/>
        </w:rPr>
        <w:t>Evidencia/justificación:</w:t>
      </w:r>
    </w:p>
    <w:p>
      <w:pPr>
        <w:pStyle w:val="ListBullet2"/>
      </w:pPr>
      <w:r>
        <w:t xml:space="preserve">Bekelman DB et al., </w:t>
      </w:r>
      <w:r>
        <w:rPr>
          <w:b/>
        </w:rPr>
        <w:t>ADAPT</w:t>
      </w:r>
      <w:r>
        <w:t xml:space="preserve">, </w:t>
      </w:r>
      <w:r>
        <w:rPr>
          <w:i/>
        </w:rPr>
        <w:t>JAMA</w:t>
      </w:r>
      <w:r>
        <w:t xml:space="preserve"> 2024;331:212-23: el telecuidado enfermería/trabajo social mejoró la calidad de vida en EPOC, IC y EPID.</w:t>
      </w:r>
    </w:p>
    <w:p>
      <w:pPr>
        <w:pStyle w:val="ListBullet2"/>
      </w:pPr>
      <w:r>
        <w:t xml:space="preserve">Higginson IJ et al., </w:t>
      </w:r>
      <w:r>
        <w:rPr>
          <w:i/>
        </w:rPr>
        <w:t>Lancet Respir Med</w:t>
      </w:r>
      <w:r>
        <w:t xml:space="preserve"> 2014;2:979-87 (ref. 811).</w:t>
      </w:r>
    </w:p>
    <w:p>
      <w:pPr>
        <w:pStyle w:val="ListBullet2"/>
      </w:pPr>
      <w:r>
        <w:t>ERS 2024 (Holland).</w:t>
      </w:r>
    </w:p>
    <w:p>
      <w:pPr>
        <w:pStyle w:val="ListBullet2"/>
      </w:pPr>
      <w:r>
        <w:t xml:space="preserve">Fox E et al., </w:t>
      </w:r>
      <w:r>
        <w:rPr>
          <w:i/>
        </w:rPr>
        <w:t>JAMA</w:t>
      </w:r>
      <w:r>
        <w:t xml:space="preserve"> 1999;282:1638-45: los criterios de hospice predicen mal la supervivencia en EPOC (conf. 4).</w:t>
      </w:r>
    </w:p>
    <w:p>
      <w:pPr>
        <w:pStyle w:val="ListBullet"/>
      </w:pPr>
      <w:r>
        <w:rPr>
          <w:b/>
        </w:rPr>
        <w:t>Recomendación:</w:t>
      </w:r>
    </w:p>
    <w:p>
      <w:pPr>
        <w:pStyle w:val="ListBullet2"/>
      </w:pPr>
      <w:r>
        <w:t>Sustituir la definición de hospice por un enfoque internacional basado en necesidades, con disparadores explícitos de derivación a cuidados paliativos especializados.</w:t>
      </w:r>
    </w:p>
    <w:p>
      <w:pPr>
        <w:pStyle w:val="ListBullet2"/>
      </w:pPr>
      <w:r>
        <w:t>Añadir un párrafo sobre techo terapéutico, VNI paliativa y control sintomático en la fase final.</w:t>
      </w:r>
    </w:p>
    <w:p>
      <w:pPr>
        <w:pStyle w:val="ListBullet2"/>
      </w:pPr>
      <w:r>
        <w:t>Citar ADAPT y la guía ERS 2024.</w:t>
      </w:r>
    </w:p>
    <w:p>
      <w:pPr>
        <w:pStyle w:val="ListBullet"/>
      </w:pPr>
      <w:r>
        <w:rPr>
          <w:b/>
        </w:rPr>
        <w:t>Confianza:</w:t>
      </w:r>
      <w:r>
        <w:t xml:space="preserve"> 4/5</w:t>
      </w:r>
    </w:p>
    <w:p>
      <w:pPr>
        <w:pStyle w:val="Heading4"/>
      </w:pPr>
      <w:r>
        <w:t>INT-18 · Mortalidad tras hospitalización «del 23 % al 80 %» sin horizonte temporal</w:t>
      </w:r>
    </w:p>
    <w:p>
      <w:r>
        <w:rPr>
          <w:i/>
        </w:rPr>
        <w:t xml:space="preserve">Severidad final: </w:t>
      </w:r>
      <w:r>
        <w:rPr>
          <w:i/>
          <w:color w:val="FFC000"/>
        </w:rPr>
        <w:t>🟡</w:t>
      </w:r>
      <w:r>
        <w:rPr>
          <w:i/>
        </w:rPr>
        <w:t xml:space="preserve"> MEDIA · Tema T14: Cuidados paliativos y disnea refractaria</w:t>
      </w:r>
    </w:p>
    <w:p>
      <w:pPr>
        <w:pStyle w:val="ListBullet"/>
      </w:pPr>
      <w:r>
        <w:rPr>
          <w:b/>
        </w:rPr>
        <w:t>Tipo:</w:t>
      </w:r>
      <w:r>
        <w:t xml:space="preserve"> Ambigüedad/Claridad</w:t>
      </w:r>
    </w:p>
    <w:p>
      <w:pPr>
        <w:pStyle w:val="ListBullet"/>
      </w:pPr>
      <w:r>
        <w:rPr>
          <w:b/>
        </w:rPr>
        <w:t>Severidad:</w:t>
      </w:r>
      <w:r>
        <w:t xml:space="preserve"> MEDIA</w:t>
      </w:r>
    </w:p>
    <w:p>
      <w:pPr>
        <w:pStyle w:val="ListBullet"/>
      </w:pPr>
      <w:r>
        <w:rPr>
          <w:b/>
        </w:rPr>
        <w:t>Ubicación:</w:t>
      </w:r>
      <w:r>
        <w:t xml:space="preserve"> PDF 94 / impr. 83 — «End-of-life and hospice care»</w:t>
      </w:r>
    </w:p>
    <w:p>
      <w:pPr>
        <w:pStyle w:val="ListBullet"/>
      </w:pPr>
      <w:r>
        <w:rPr>
          <w:b/>
        </w:rPr>
        <w:t>Cita:</w:t>
      </w:r>
      <w:r>
        <w:t xml:space="preserve"> "reported rates still vary from 23%(823) to 80%.(824)"</w:t>
      </w:r>
    </w:p>
    <w:p>
      <w:pPr>
        <w:pStyle w:val="ListBullet"/>
      </w:pPr>
      <w:r>
        <w:rPr>
          <w:b/>
        </w:rPr>
        <w:t>Problema:</w:t>
      </w:r>
    </w:p>
    <w:p>
      <w:pPr>
        <w:pStyle w:val="ListBullet2"/>
      </w:pPr>
      <w:r>
        <w:t xml:space="preserve">Las dos cifras se refieren a horizontes muy distintos: Groenewegen 2003 da la </w:t>
      </w:r>
      <w:r>
        <w:rPr>
          <w:b/>
        </w:rPr>
        <w:t>mortalidad a 1 año (23 %)</w:t>
      </w:r>
      <w:r>
        <w:t xml:space="preserve"> y Gudmundsson 2012 da la mortalidad acumulada en un </w:t>
      </w:r>
      <w:r>
        <w:rPr>
          <w:b/>
        </w:rPr>
        <w:t>seguimiento de varios años</w:t>
      </w:r>
      <w:r>
        <w:t>.</w:t>
      </w:r>
    </w:p>
    <w:p>
      <w:pPr>
        <w:pStyle w:val="ListBullet2"/>
      </w:pPr>
      <w:r>
        <w:t>Sin indicar el plazo, el rango parece una incertidumbre enorme sobre el mismo dato. Eso perjudica la comunicación del pronóstico, que es precisamente el objetivo de la sección.</w:t>
      </w:r>
    </w:p>
    <w:p>
      <w:pPr>
        <w:pStyle w:val="ListBullet"/>
      </w:pPr>
      <w:r>
        <w:rPr>
          <w:b/>
        </w:rPr>
        <w:t>Evidencia/justificación:</w:t>
      </w:r>
    </w:p>
    <w:p>
      <w:pPr>
        <w:pStyle w:val="ListBullet2"/>
      </w:pPr>
      <w:r>
        <w:t xml:space="preserve">Groenewegen KH et al., </w:t>
      </w:r>
      <w:r>
        <w:rPr>
          <w:i/>
        </w:rPr>
        <w:t>Chest</w:t>
      </w:r>
      <w:r>
        <w:t xml:space="preserve"> 2003;124:459-67 (mortalidad intrahospitalaria 8 %, a 1 año 23 %).</w:t>
      </w:r>
    </w:p>
    <w:p>
      <w:pPr>
        <w:pStyle w:val="ListBullet2"/>
      </w:pPr>
      <w:r>
        <w:t xml:space="preserve">Gudmundsson G et al., </w:t>
      </w:r>
      <w:r>
        <w:rPr>
          <w:i/>
        </w:rPr>
        <w:t>Int J COPD</w:t>
      </w:r>
      <w:r>
        <w:t xml:space="preserve"> 2012;7:571-6 (seguimiento a largo plazo; el horizonte exacto del 80 % es «Punto debatible», conf. 3).</w:t>
      </w:r>
    </w:p>
    <w:p>
      <w:pPr>
        <w:pStyle w:val="ListBullet"/>
      </w:pPr>
      <w:r>
        <w:rPr>
          <w:b/>
        </w:rPr>
        <w:t>Recomendación:</w:t>
      </w:r>
      <w:r>
        <w:t xml:space="preserve"> Reescribir: «≈ 20-25 % a 1 año; &gt; 50 % a 5 años y hasta ≈ 80 % en seguimientos prolongados», y citar las cifras recientes de mortalidad a 1 y 5 años.</w:t>
      </w:r>
    </w:p>
    <w:p>
      <w:pPr>
        <w:pStyle w:val="ListBullet"/>
      </w:pPr>
      <w:r>
        <w:rPr>
          <w:b/>
        </w:rPr>
        <w:t>Confianza:</w:t>
      </w:r>
      <w:r>
        <w:t xml:space="preserve"> 4/5</w:t>
      </w:r>
    </w:p>
    <w:p>
      <w:pPr>
        <w:pStyle w:val="Heading4"/>
      </w:pPr>
      <w:r>
        <w:t>MET-13 · Paliación de la disnea: nivel C que oculta ECA negativos y contradice el texto</w:t>
      </w:r>
    </w:p>
    <w:p>
      <w:r>
        <w:rPr>
          <w:i/>
        </w:rPr>
        <w:t xml:space="preserve">Severidad final: </w:t>
      </w:r>
      <w:r>
        <w:rPr>
          <w:i/>
          <w:color w:val="FFC000"/>
        </w:rPr>
        <w:t>🟡</w:t>
      </w:r>
      <w:r>
        <w:rPr>
          <w:i/>
        </w:rPr>
        <w:t xml:space="preserve"> MEDIA · Tema T14: Cuidados paliativos y disnea refractaria</w:t>
      </w:r>
    </w:p>
    <w:p>
      <w:pPr>
        <w:pStyle w:val="ListBullet"/>
      </w:pPr>
      <w:r>
        <w:rPr>
          <w:b/>
        </w:rPr>
        <w:t>Tipo:</w:t>
      </w:r>
      <w:r>
        <w:t xml:space="preserve"> Evidencia mal representada</w:t>
      </w:r>
    </w:p>
    <w:p>
      <w:pPr>
        <w:pStyle w:val="ListBullet"/>
      </w:pPr>
      <w:r>
        <w:rPr>
          <w:b/>
        </w:rPr>
        <w:t>Severidad:</w:t>
      </w:r>
      <w:r>
        <w:t xml:space="preserve"> MEDIA</w:t>
      </w:r>
    </w:p>
    <w:p>
      <w:pPr>
        <w:pStyle w:val="ListBullet"/>
      </w:pPr>
      <w:r>
        <w:rPr>
          <w:b/>
        </w:rPr>
        <w:t>Ubicación:</w:t>
      </w:r>
      <w:r>
        <w:t xml:space="preserve"> Fig 3.20 y texto (PDF 93 / impr. 82)</w:t>
      </w:r>
    </w:p>
    <w:p>
      <w:pPr>
        <w:pStyle w:val="ListBullet"/>
      </w:pPr>
      <w:r>
        <w:rPr>
          <w:b/>
        </w:rPr>
        <w:t>Cita:</w:t>
      </w:r>
      <w:r>
        <w:t xml:space="preserve"> «Opiates, neuromuscular electrical stimulation (NMES), oxygen and fans blowing air onto the face can relieve breathlessness (Evidence C)»</w:t>
      </w:r>
    </w:p>
    <w:p>
      <w:pPr>
        <w:pStyle w:val="ListBullet"/>
      </w:pPr>
      <w:r>
        <w:rPr>
          <w:b/>
        </w:rPr>
        <w:t>Problema:</w:t>
      </w:r>
    </w:p>
    <w:p>
      <w:pPr>
        <w:pStyle w:val="ListBullet2"/>
      </w:pPr>
      <w:r>
        <w:rPr>
          <w:b/>
        </w:rPr>
        <w:t>Opiáceos.</w:t>
      </w:r>
      <w:r>
        <w:t xml:space="preserve"> Existen ECA y metaanálisis, así que no corresponde C. El mayor ECA reciente (BEAMS, ref 805) fue negativo, y el propio texto lo describe así.</w:t>
      </w:r>
    </w:p>
    <w:p>
      <w:pPr>
        <w:pStyle w:val="ListBullet2"/>
      </w:pPr>
      <w:r>
        <w:rPr>
          <w:b/>
        </w:rPr>
        <w:t>Oxígeno.</w:t>
      </w:r>
      <w:r>
        <w:t xml:space="preserve"> El texto de la misma página dice «The roles of oxygen therapy, HFNT and NIV for palliation of dyspnea are debated.(797)», mientras que la figura afirma que el oxígeno alivia la disnea.</w:t>
      </w:r>
    </w:p>
    <w:p>
      <w:pPr>
        <w:pStyle w:val="ListBullet2"/>
      </w:pPr>
      <w:r>
        <w:rPr>
          <w:b/>
        </w:rPr>
        <w:t>Una sola etiqueta para cuatro intervenciones</w:t>
      </w:r>
      <w:r>
        <w:t xml:space="preserve"> con evidencia heterogénea (ECA negativos o mixtos para opiáceos y oxígeno; ECA pequeños para ventiladores).</w:t>
      </w:r>
    </w:p>
    <w:p>
      <w:pPr>
        <w:pStyle w:val="ListBullet"/>
      </w:pPr>
      <w:r>
        <w:rPr>
          <w:b/>
        </w:rPr>
        <w:t>Evidencia/justificación:</w:t>
      </w:r>
      <w:r>
        <w:t xml:space="preserve"> Abstract de BEAMS (PMID 36413230); Tabla A.</w:t>
      </w:r>
    </w:p>
    <w:p>
      <w:pPr>
        <w:pStyle w:val="ListBullet"/>
      </w:pPr>
      <w:r>
        <w:rPr>
          <w:b/>
        </w:rPr>
        <w:t>Recomendación:</w:t>
      </w:r>
      <w:r>
        <w:t xml:space="preserve"> Una viñeta por intervención, con un nivel acorde a los ECA y reflejando los resultados negativos; armonizar con el texto.</w:t>
      </w:r>
    </w:p>
    <w:p>
      <w:pPr>
        <w:pStyle w:val="ListBullet"/>
      </w:pPr>
      <w:r>
        <w:rPr>
          <w:b/>
        </w:rPr>
        <w:t>Confianza:</w:t>
      </w:r>
      <w:r>
        <w:t xml:space="preserve"> 4</w:t>
      </w:r>
    </w:p>
    <w:p>
      <w:pPr>
        <w:pStyle w:val="Heading4"/>
      </w:pPr>
      <w:r>
        <w:t>REH-11 · O2 paliativo en pacientes no hipoxémicos: contradicción con el cap. 3 y referencia cruzada errónea</w:t>
      </w:r>
    </w:p>
    <w:p>
      <w:r>
        <w:rPr>
          <w:i/>
        </w:rPr>
        <w:t xml:space="preserve">Severidad final: </w:t>
      </w:r>
      <w:r>
        <w:rPr>
          <w:i/>
          <w:color w:val="FFC000"/>
        </w:rPr>
        <w:t>🟡</w:t>
      </w:r>
      <w:r>
        <w:rPr>
          <w:i/>
        </w:rPr>
        <w:t xml:space="preserve"> MEDIA · Tema T14: Cuidados paliativos y disnea refractaria</w:t>
      </w:r>
    </w:p>
    <w:p>
      <w:pPr>
        <w:pStyle w:val="ListBullet"/>
      </w:pPr>
      <w:r>
        <w:rPr>
          <w:b/>
        </w:rPr>
        <w:t>Tipo:</w:t>
      </w:r>
      <w:r>
        <w:t xml:space="preserve"> Incongruencia interna / Evidencia mal representada</w:t>
      </w:r>
    </w:p>
    <w:p>
      <w:pPr>
        <w:pStyle w:val="ListBullet"/>
      </w:pPr>
      <w:r>
        <w:rPr>
          <w:b/>
        </w:rPr>
        <w:t>Severidad:</w:t>
      </w:r>
      <w:r>
        <w:t xml:space="preserve"> MEDIA</w:t>
      </w:r>
    </w:p>
    <w:p>
      <w:pPr>
        <w:pStyle w:val="ListBullet"/>
      </w:pPr>
      <w:r>
        <w:rPr>
          <w:b/>
        </w:rPr>
        <w:t>Ubicación:</w:t>
      </w:r>
      <w:r>
        <w:t xml:space="preserve"> PDF 94 / impr. 83 — cap. 3, cuidados paliativos, frente a PDF 87 / impr. 76 y Figura 3.17.</w:t>
      </w:r>
    </w:p>
    <w:p>
      <w:pPr>
        <w:pStyle w:val="ListBullet"/>
      </w:pPr>
      <w:r>
        <w:rPr>
          <w:b/>
        </w:rPr>
        <w:t>Cita:</w:t>
      </w:r>
      <w:r>
        <w:t xml:space="preserve"> «Oxygen may offer some benefit even if the patient is not hypoxemic (SpO2 &gt; 92%) (Figure 3.17).(809)»</w:t>
      </w:r>
    </w:p>
    <w:p>
      <w:pPr>
        <w:pStyle w:val="ListBullet"/>
      </w:pPr>
      <w:r>
        <w:rPr>
          <w:b/>
        </w:rPr>
        <w:t>Problema:</w:t>
      </w:r>
    </w:p>
    <w:p>
      <w:pPr>
        <w:pStyle w:val="ListBullet2"/>
      </w:pPr>
      <w:r>
        <w:t>Contradice el apartado de oxigenoterapia, que dice: «no improvement of breathlessness in daily life and no benefit on health-related quality of life» en los pacientes no hipoxémicos.</w:t>
      </w:r>
    </w:p>
    <w:p>
      <w:pPr>
        <w:pStyle w:val="ListBullet2"/>
      </w:pPr>
      <w:r>
        <w:t>La Figura 3.17 no contiene ese contenido, por lo que la referencia cruzada es errónea.</w:t>
      </w:r>
    </w:p>
    <w:p>
      <w:pPr>
        <w:pStyle w:val="ListBullet2"/>
      </w:pPr>
      <w:r>
        <w:t>El umbral «SpO2 &gt; 92 %» no coincide con ninguna definición del documento: LOTT incluyó pacientes con SpO2 89-93 %.</w:t>
      </w:r>
    </w:p>
    <w:p>
      <w:pPr>
        <w:pStyle w:val="ListBullet2"/>
      </w:pPr>
      <w:r>
        <w:t>La ref. 809 (Uronis 2015) muestra un beneficio modesto, sobre todo durante pruebas de esfuerzo.</w:t>
      </w:r>
    </w:p>
    <w:p>
      <w:pPr>
        <w:pStyle w:val="ListBullet2"/>
      </w:pPr>
      <w:r>
        <w:t>Puede inducir a prescribir O2 en pacientes no hipoxémicos, con costes, carga y riesgo de incendio.</w:t>
      </w:r>
    </w:p>
    <w:p>
      <w:pPr>
        <w:pStyle w:val="ListBullet"/>
      </w:pPr>
      <w:r>
        <w:rPr>
          <w:b/>
        </w:rPr>
        <w:t>Evidencia/justificación:</w:t>
      </w:r>
    </w:p>
    <w:p>
      <w:pPr>
        <w:pStyle w:val="ListBullet2"/>
      </w:pPr>
      <w:r>
        <w:t>Abernethy AP et al., Lancet 2010;376:784-793 (doi:10.1016/S0140-6736(10)61115-4): en la disnea refractaria, el O2 no es superior al aire medicinal.</w:t>
      </w:r>
    </w:p>
    <w:p>
      <w:pPr>
        <w:pStyle w:val="ListBullet2"/>
      </w:pPr>
      <w:r>
        <w:t>Ekström M et al., Cochrane 2016 (ref. 753): alivio de la disnea durante el ejercicio, pero no en la vida diaria.</w:t>
      </w:r>
    </w:p>
    <w:p>
      <w:pPr>
        <w:pStyle w:val="ListBullet"/>
      </w:pPr>
      <w:r>
        <w:rPr>
          <w:b/>
        </w:rPr>
        <w:t>Recomendación:</w:t>
      </w:r>
      <w:r>
        <w:t xml:space="preserve"> Reformular así: «en pacientes no hipoxémicos, el O2 puede aliviar la disnea durante el esfuerzo, pero no mejora la disnea diaria ni la calidad de vida; priorizar ventilador de mano o flujo de aire facial, opioides y RR; valorar O2 solo como prueba terapéutica individual (n = 1)». Corregir la referencia a la figura.</w:t>
      </w:r>
    </w:p>
    <w:p>
      <w:pPr>
        <w:pStyle w:val="ListBullet"/>
      </w:pPr>
      <w:r>
        <w:rPr>
          <w:b/>
        </w:rPr>
        <w:t>Confianza:</w:t>
      </w:r>
      <w:r>
        <w:t xml:space="preserve"> 4/5</w:t>
      </w:r>
    </w:p>
    <w:p>
      <w:pPr>
        <w:pStyle w:val="Heading4"/>
      </w:pPr>
      <w:r>
        <w:t>DX-19 · DLCO y cirugía de resección: «preclude» sobrestima su papel</w:t>
      </w:r>
    </w:p>
    <w:p>
      <w:r>
        <w:rPr>
          <w:i/>
        </w:rPr>
        <w:t xml:space="preserve">Severidad final: </w:t>
      </w:r>
      <w:r>
        <w:rPr>
          <w:i/>
          <w:color w:val="FFC000"/>
        </w:rPr>
        <w:t>🟡</w:t>
      </w:r>
      <w:r>
        <w:rPr>
          <w:i/>
        </w:rPr>
        <w:t xml:space="preserve"> MEDIA · Tema T15: Intervenciones broncoscópicas y quirúrgicas</w:t>
      </w:r>
    </w:p>
    <w:p>
      <w:pPr>
        <w:pStyle w:val="ListBullet"/>
      </w:pPr>
      <w:r>
        <w:rPr>
          <w:b/>
        </w:rPr>
        <w:t>Tipo:</w:t>
      </w:r>
      <w:r>
        <w:t xml:space="preserve"> Ambigüedad / Evidencia mal representada</w:t>
      </w:r>
    </w:p>
    <w:p>
      <w:pPr>
        <w:pStyle w:val="ListBullet"/>
      </w:pPr>
      <w:r>
        <w:rPr>
          <w:b/>
        </w:rPr>
        <w:t>Severidad:</w:t>
      </w:r>
      <w:r>
        <w:t xml:space="preserve"> MEDIA</w:t>
      </w:r>
    </w:p>
    <w:p>
      <w:pPr>
        <w:pStyle w:val="ListBullet"/>
      </w:pPr>
      <w:r>
        <w:rPr>
          <w:b/>
        </w:rPr>
        <w:t>Ubicación:</w:t>
      </w:r>
      <w:r>
        <w:t xml:space="preserve"> PDF 56 / impr. 45 — «Carbon monoxide diffusing capacity»</w:t>
      </w:r>
    </w:p>
    <w:p>
      <w:pPr>
        <w:pStyle w:val="ListBullet"/>
      </w:pPr>
      <w:r>
        <w:rPr>
          <w:b/>
        </w:rPr>
        <w:t>Cita:</w:t>
      </w:r>
      <w:r>
        <w:t xml:space="preserve"> «…in patients with COPD, low DLco values help preclude surgical lung resection in patients with lung cancer(512)…»</w:t>
      </w:r>
    </w:p>
    <w:p>
      <w:pPr>
        <w:pStyle w:val="ListBullet"/>
      </w:pPr>
      <w:r>
        <w:rPr>
          <w:b/>
        </w:rPr>
        <w:t>Problema:</w:t>
      </w:r>
    </w:p>
    <w:p>
      <w:pPr>
        <w:pStyle w:val="ListBullet2"/>
      </w:pPr>
      <w:r>
        <w:t xml:space="preserve">Las guías ERS/ESTS y ACCP usan la DLCO, y sobre todo la ppo-DLCO, para </w:t>
      </w:r>
      <w:r>
        <w:rPr>
          <w:b/>
        </w:rPr>
        <w:t>estratificar</w:t>
      </w:r>
      <w:r>
        <w:t xml:space="preserve"> el riesgo. Una ppo-DLCO &lt;60% (o &lt;30%) obliga a pruebas adicionales (escaleras, lanzadera, ergoespirometría con VO2pico), no excluye la cirugía.</w:t>
      </w:r>
    </w:p>
    <w:p>
      <w:pPr>
        <w:pStyle w:val="ListBullet2"/>
      </w:pPr>
      <w:r>
        <w:t>Además, la reducción de volumen asociada a la lobectomía puede mejorar la función en pacientes con enfisema.</w:t>
      </w:r>
    </w:p>
    <w:p>
      <w:pPr>
        <w:pStyle w:val="ListBullet2"/>
      </w:pPr>
      <w:r>
        <w:t>«Preclude» puede llevar a denegar una cirugía curativa.</w:t>
      </w:r>
    </w:p>
    <w:p>
      <w:pPr>
        <w:pStyle w:val="ListBullet"/>
      </w:pPr>
      <w:r>
        <w:rPr>
          <w:b/>
        </w:rPr>
        <w:t>Evidencia/justificación:</w:t>
      </w:r>
    </w:p>
    <w:p>
      <w:pPr>
        <w:pStyle w:val="ListBullet2"/>
      </w:pPr>
      <w:r>
        <w:t>Brunelli A et al. ERS/ESTS clinical guidelines. ERJ 2009;34:17-41.</w:t>
      </w:r>
    </w:p>
    <w:p>
      <w:pPr>
        <w:pStyle w:val="ListBullet2"/>
      </w:pPr>
      <w:r>
        <w:t>Brunelli A et al. ACCP Guidelines. Chest 2013;143(5 Suppl):e166S-e190S.</w:t>
      </w:r>
    </w:p>
    <w:p>
      <w:pPr>
        <w:pStyle w:val="ListBullet"/>
      </w:pPr>
      <w:r>
        <w:rPr>
          <w:b/>
        </w:rPr>
        <w:t>Recomendación:</w:t>
      </w:r>
      <w:r>
        <w:t xml:space="preserve"> Reformular: «la DLCO (y la ppo-DLCO) es esencial para estratificar el riesgo quirúrgico; valores bajos obligan a una evaluación funcional adicional (ergoespirometría)».</w:t>
      </w:r>
    </w:p>
    <w:p>
      <w:pPr>
        <w:pStyle w:val="ListBullet"/>
      </w:pPr>
      <w:r>
        <w:rPr>
          <w:b/>
        </w:rPr>
        <w:t>Confianza:</w:t>
      </w:r>
      <w:r>
        <w:t xml:space="preserve"> 4/5</w:t>
      </w:r>
    </w:p>
    <w:p>
      <w:pPr>
        <w:pStyle w:val="Heading4"/>
      </w:pPr>
      <w:r>
        <w:t>INT-06 · Los coils endobronquiales (LVRC) siguen apareciendo como opción terapéutica pese a no estar aprobados por la FDA y no comercializarse</w:t>
      </w:r>
    </w:p>
    <w:p>
      <w:r>
        <w:rPr>
          <w:i/>
        </w:rPr>
        <w:t xml:space="preserve">Severidad final: </w:t>
      </w:r>
      <w:r>
        <w:rPr>
          <w:i/>
          <w:color w:val="FFC000"/>
        </w:rPr>
        <w:t>🟡</w:t>
      </w:r>
      <w:r>
        <w:rPr>
          <w:i/>
        </w:rPr>
        <w:t xml:space="preserve"> MEDIA · Tema T15: Intervenciones broncoscópicas y quirúrgicas</w:t>
      </w:r>
    </w:p>
    <w:p>
      <w:pPr>
        <w:pStyle w:val="IntenseQuote"/>
      </w:pPr>
      <w:r>
        <w:rPr>
          <w:b/>
        </w:rPr>
        <w:t>Verificación independiente (CONFIRMADO):</w:t>
      </w:r>
      <w:r>
        <w:t xml:space="preserve"> El estado ante la FDA y la ausencia de comercialización de los coils son [externo, no verificable con figuras]. | 1. Indicar que los coils no están aprobados por la FDA y que se han retirado del mercado. 2. Retirarlos de la Fig. 3.22 o marcarlos como "no disponible / histórico". 3. Mantener la evidencia como información histórica.</w:t>
      </w:r>
    </w:p>
    <w:p>
      <w:pPr>
        <w:pStyle w:val="IntenseQuote"/>
      </w:pPr>
      <w:r>
        <w:rPr>
          <w:b/>
        </w:rPr>
        <w:t>Severidad ajustada en la consolidación:</w:t>
      </w:r>
      <w:r>
        <w:t xml:space="preserve"> ALTA → MEDIA</w:t>
      </w:r>
    </w:p>
    <w:p>
      <w:pPr>
        <w:pStyle w:val="ListBullet"/>
      </w:pPr>
      <w:r>
        <w:rPr>
          <w:b/>
        </w:rPr>
        <w:t>Tipo:</w:t>
      </w:r>
      <w:r>
        <w:t xml:space="preserve"> Desactualización / Incongruencia con la metodología GOLD</w:t>
      </w:r>
    </w:p>
    <w:p>
      <w:pPr>
        <w:pStyle w:val="ListBullet"/>
      </w:pPr>
      <w:r>
        <w:rPr>
          <w:b/>
        </w:rPr>
        <w:t>Severidad:</w:t>
      </w:r>
      <w:r>
        <w:t xml:space="preserve"> ALTA</w:t>
      </w:r>
    </w:p>
    <w:p>
      <w:pPr>
        <w:pStyle w:val="ListBullet"/>
      </w:pPr>
      <w:r>
        <w:rPr>
          <w:b/>
        </w:rPr>
        <w:t>Ubicación:</w:t>
      </w:r>
      <w:r>
        <w:t xml:space="preserve"> PDF 98 / impr. 87 — recuadro «Lung volume reduction surgery»; PDF 97 / impr. 86 — Fig. 3.22; PDF 99 / impr. 88 — Fig. 3.23; PDF 100 / impr. 89 — «Self-activating coils»</w:t>
      </w:r>
    </w:p>
    <w:p>
      <w:pPr>
        <w:pStyle w:val="ListBullet"/>
      </w:pPr>
      <w:r>
        <w:rPr>
          <w:b/>
        </w:rPr>
        <w:t>Cita:</w:t>
      </w:r>
      <w:r>
        <w:t xml:space="preserve"> "surgical or bronchoscopic modes of lung volume reduction (e.g., endobronchial one-way valves, lung coils or thermal ablation) may be considered.(859)" / Fig. 3.22: "Lung coils (Evidence B)"</w:t>
      </w:r>
    </w:p>
    <w:p>
      <w:pPr>
        <w:pStyle w:val="ListBullet"/>
      </w:pPr>
      <w:r>
        <w:rPr>
          <w:b/>
        </w:rPr>
        <w:t>Problema:</w:t>
      </w:r>
    </w:p>
    <w:p>
      <w:pPr>
        <w:pStyle w:val="ListBullet2"/>
      </w:pPr>
      <w:r>
        <w:rPr>
          <w:b/>
        </w:rPr>
        <w:t>Presencia en las recomendaciones:</w:t>
      </w:r>
      <w:r>
        <w:t xml:space="preserve"> los coils figuran en los puntos clave y en las </w:t>
      </w:r>
      <w:r>
        <w:rPr>
          <w:b/>
        </w:rPr>
        <w:t>cuatro ramas</w:t>
      </w:r>
      <w:r>
        <w:t xml:space="preserve"> del algoritmo, tanto en enfisema heterogéneo como homogéneo y con o sin ventilación colateral.</w:t>
      </w:r>
    </w:p>
    <w:p>
      <w:pPr>
        <w:pStyle w:val="ListBullet2"/>
      </w:pPr>
      <w:r>
        <w:rPr>
          <w:b/>
        </w:rPr>
        <w:t>El texto solo dice «limited clinical availability».</w:t>
      </w:r>
      <w:r>
        <w:t xml:space="preserve"> En realidad, el panel asesor de la FDA votó en contra (jun-2018), la FDA emitió una carta de «no aprobable» (ago-2018) y el dispositivo dejó de comercializarse tras la adquisición de BTG por Boston Scientific.</w:t>
      </w:r>
    </w:p>
    <w:p>
      <w:pPr>
        <w:pStyle w:val="ListBullet2"/>
      </w:pPr>
      <w:r>
        <w:rPr>
          <w:b/>
        </w:rPr>
        <w:t>Beneficio modesto y más eventos adversos graves en RENEW</w:t>
      </w:r>
      <w:r>
        <w:t>, sin control simulado.</w:t>
      </w:r>
    </w:p>
    <w:p>
      <w:pPr>
        <w:pStyle w:val="ListBullet2"/>
      </w:pPr>
      <w:r>
        <w:rPr>
          <w:b/>
        </w:rPr>
        <w:t>Choca con la metodología de la propia GOLD:</w:t>
      </w:r>
      <w:r>
        <w:t xml:space="preserve"> «The Committee does not make recommendations for therapies that have not been approved by at least one major regulatory agency» (PDF 7 / impr. vi). El marcado CE histórico de 2010 hace este punto debatible, pero la falta de disponibilidad real no lo es.</w:t>
      </w:r>
    </w:p>
    <w:p>
      <w:pPr>
        <w:pStyle w:val="ListBullet2"/>
      </w:pPr>
      <w:r>
        <w:rPr>
          <w:b/>
        </w:rPr>
        <w:t>La cita de apoyo del recuadro (ref. 859) es una Cochrane de 2006 sobre LVRS quirúrgica.</w:t>
      </w:r>
    </w:p>
    <w:p>
      <w:pPr>
        <w:pStyle w:val="ListBullet2"/>
      </w:pPr>
      <w:r>
        <w:t>La ablación por vapor también está disponible solo en algunos países, sin aprobación de la FDA, y el documento no lo especifica.</w:t>
      </w:r>
    </w:p>
    <w:p>
      <w:pPr>
        <w:pStyle w:val="ListBullet"/>
      </w:pPr>
      <w:r>
        <w:rPr>
          <w:b/>
        </w:rPr>
        <w:t>Evidencia/justificación:</w:t>
      </w:r>
    </w:p>
    <w:p>
      <w:pPr>
        <w:pStyle w:val="ListBullet2"/>
      </w:pPr>
      <w:r>
        <w:t xml:space="preserve">Sciurba FC et al., </w:t>
      </w:r>
      <w:r>
        <w:rPr>
          <w:b/>
        </w:rPr>
        <w:t>RENEW</w:t>
      </w:r>
      <w:r>
        <w:t xml:space="preserve">, </w:t>
      </w:r>
      <w:r>
        <w:rPr>
          <w:i/>
        </w:rPr>
        <w:t>JAMA</w:t>
      </w:r>
      <w:r>
        <w:t xml:space="preserve"> 2016;315:175-84 (ref. 878): diferencia mediana de 6MWD de unos 14,6 m, por debajo de la diferencia mínima clínicamente importante; más complicaciones mayores.</w:t>
      </w:r>
    </w:p>
    <w:p>
      <w:pPr>
        <w:pStyle w:val="ListBullet2"/>
      </w:pPr>
      <w:r>
        <w:t xml:space="preserve">Deslee G et al., </w:t>
      </w:r>
      <w:r>
        <w:rPr>
          <w:b/>
        </w:rPr>
        <w:t>REVOLENS</w:t>
      </w:r>
      <w:r>
        <w:t xml:space="preserve">, </w:t>
      </w:r>
      <w:r>
        <w:rPr>
          <w:i/>
        </w:rPr>
        <w:t>JAMA</w:t>
      </w:r>
      <w:r>
        <w:t xml:space="preserve"> 2016 (ref. 877).</w:t>
      </w:r>
    </w:p>
    <w:p>
      <w:pPr>
        <w:pStyle w:val="ListBullet2"/>
      </w:pPr>
      <w:r>
        <w:t>Comunicados públicos de BTG (agosto de 2018: «not approvable letter» para ELEVAIR); panel FDA de junio de 2018.</w:t>
      </w:r>
    </w:p>
    <w:p>
      <w:pPr>
        <w:pStyle w:val="ListBullet"/>
      </w:pPr>
      <w:r>
        <w:rPr>
          <w:b/>
        </w:rPr>
        <w:t>Recomendación:</w:t>
      </w:r>
    </w:p>
    <w:p>
      <w:pPr>
        <w:pStyle w:val="ListBullet2"/>
      </w:pPr>
      <w:r>
        <w:t>Retirar los coils del recuadro de puntos clave y del algoritmo, o mantenerlos en una nota como «no disponibles comercialmente / sin aprobación de la FDA».</w:t>
      </w:r>
    </w:p>
    <w:p>
      <w:pPr>
        <w:pStyle w:val="ListBullet2"/>
      </w:pPr>
      <w:r>
        <w:t xml:space="preserve">Añadir una </w:t>
      </w:r>
      <w:r>
        <w:rPr>
          <w:b/>
        </w:rPr>
        <w:t>tabla de estado regulatorio a dic-2025</w:t>
      </w:r>
      <w:r>
        <w:t xml:space="preserve"> para cada técnica:</w:t>
      </w:r>
    </w:p>
    <w:p>
      <w:pPr>
        <w:pStyle w:val="ListBullet2"/>
      </w:pPr>
      <w:r>
        <w:t>EBV Zephyr y Spiration: FDA 2018 y CE.</w:t>
      </w:r>
    </w:p>
    <w:p>
      <w:pPr>
        <w:pStyle w:val="ListBullet2"/>
      </w:pPr>
      <w:r>
        <w:t>Vapor: CE, sin aprobación de la FDA.</w:t>
      </w:r>
    </w:p>
    <w:p>
      <w:pPr>
        <w:pStyle w:val="ListBullet2"/>
      </w:pPr>
      <w:r>
        <w:t>Coils: sin comercializar.</w:t>
      </w:r>
    </w:p>
    <w:p>
      <w:pPr>
        <w:pStyle w:val="ListBullet2"/>
      </w:pPr>
      <w:r>
        <w:t>Sellantes y stents de bypass: abandonados.</w:t>
      </w:r>
    </w:p>
    <w:p>
      <w:pPr>
        <w:pStyle w:val="ListBullet2"/>
      </w:pPr>
      <w:r>
        <w:t>Denervación pulmonar, crioespray y reoplastia: investigacionales.</w:t>
      </w:r>
    </w:p>
    <w:p>
      <w:pPr>
        <w:pStyle w:val="ListBullet2"/>
      </w:pPr>
      <w:r>
        <w:t>Corregir la cita 859.</w:t>
      </w:r>
    </w:p>
    <w:p>
      <w:pPr>
        <w:pStyle w:val="ListBullet"/>
      </w:pPr>
      <w:r>
        <w:rPr>
          <w:b/>
        </w:rPr>
        <w:t>Confianza:</w:t>
      </w:r>
      <w:r>
        <w:t xml:space="preserve"> 4/5 (discontinuación comercial, por comunicados y revisiones; no he localizado una nota oficial de retirada).</w:t>
      </w:r>
    </w:p>
    <w:p>
      <w:pPr>
        <w:pStyle w:val="Heading4"/>
      </w:pPr>
      <w:r>
        <w:t>INT-08 · Faltan criterios operativos de selección para LVRS/ELVR; «low exercise capacity» no se define</w:t>
      </w:r>
    </w:p>
    <w:p>
      <w:r>
        <w:rPr>
          <w:i/>
        </w:rPr>
        <w:t xml:space="preserve">Severidad final: </w:t>
      </w:r>
      <w:r>
        <w:rPr>
          <w:i/>
          <w:color w:val="FFC000"/>
        </w:rPr>
        <w:t>🟡</w:t>
      </w:r>
      <w:r>
        <w:rPr>
          <w:i/>
        </w:rPr>
        <w:t xml:space="preserve"> MEDIA · Tema T15: Intervenciones broncoscópicas y quirúrgicas</w:t>
      </w:r>
    </w:p>
    <w:p>
      <w:pPr>
        <w:pStyle w:val="ListBullet"/>
      </w:pPr>
      <w:r>
        <w:rPr>
          <w:b/>
        </w:rPr>
        <w:t>Tipo:</w:t>
      </w:r>
      <w:r>
        <w:t xml:space="preserve"> Omisión / Ambigüedad</w:t>
      </w:r>
    </w:p>
    <w:p>
      <w:pPr>
        <w:pStyle w:val="ListBullet"/>
      </w:pPr>
      <w:r>
        <w:rPr>
          <w:b/>
        </w:rPr>
        <w:t>Severidad:</w:t>
      </w:r>
      <w:r>
        <w:t xml:space="preserve"> MEDIA</w:t>
      </w:r>
    </w:p>
    <w:p>
      <w:pPr>
        <w:pStyle w:val="ListBullet"/>
      </w:pPr>
      <w:r>
        <w:rPr>
          <w:b/>
        </w:rPr>
        <w:t>Ubicación:</w:t>
      </w:r>
      <w:r>
        <w:t xml:space="preserve"> PDF 92 / impr. 81; PDF 97-100 / impr. 86-89; cap. 2, PDF 58 / impr. 47</w:t>
      </w:r>
    </w:p>
    <w:p>
      <w:pPr>
        <w:pStyle w:val="ListBullet"/>
      </w:pPr>
      <w:r>
        <w:rPr>
          <w:b/>
        </w:rPr>
        <w:t>Cita:</w:t>
      </w:r>
      <w:r>
        <w:t xml:space="preserve"> "low exercise capacity post-rehabilitation.(789)" / recuadro PDF 98: "significant hyperinflation refractory to optimized medical care"</w:t>
      </w:r>
    </w:p>
    <w:p>
      <w:pPr>
        <w:pStyle w:val="ListBullet"/>
      </w:pPr>
      <w:r>
        <w:rPr>
          <w:b/>
        </w:rPr>
        <w:t>Problema:</w:t>
      </w:r>
    </w:p>
    <w:p>
      <w:pPr>
        <w:pStyle w:val="ListBullet2"/>
      </w:pPr>
      <w:r>
        <w:t>El cap. 3 no define los umbrales de selección. Solo el cap. 2 menciona «FEV1 between 15% and 45% predicted with significant hyperinflation» como motivo para pedir una TC.</w:t>
      </w:r>
    </w:p>
    <w:p>
      <w:pPr>
        <w:pStyle w:val="ListBullet2"/>
      </w:pPr>
      <w:r>
        <w:t>No se indica qué es una «capacidad de ejercicio baja» en el NETT: ≤ 25 W en mujeres y ≤ 40 W en hombres en cicloergometría tras rehabilitación.</w:t>
      </w:r>
    </w:p>
    <w:p>
      <w:pPr>
        <w:pStyle w:val="ListBullet2"/>
      </w:pPr>
      <w:r>
        <w:t>Tampoco se recogen los criterios EBV de los ECA pivotales: FEV1 15-45 %, RV ≥ 175-200 %, TLC ≥ 100 %, 6MWD 100-500 m, PaCO2 &lt; 50-55 mmHg, PaO2 &gt; 45 mmHg, abstinencia tabáquica ≥ 4 meses, ausencia de HP significativa, bronquiectasias o infecciones frecuentes, cuantificación de la integridad de cisuras (&gt; 90-95 %) o Chartis.</w:t>
      </w:r>
    </w:p>
    <w:p>
      <w:pPr>
        <w:pStyle w:val="ListBullet"/>
      </w:pPr>
      <w:r>
        <w:rPr>
          <w:b/>
        </w:rPr>
        <w:t>Evidencia/justificación:</w:t>
      </w:r>
    </w:p>
    <w:p>
      <w:pPr>
        <w:pStyle w:val="ListBullet2"/>
      </w:pPr>
      <w:r>
        <w:t>Criterios de inclusión de LIBERATE (ref. 862), TRANSFORM (ref. 863), EMPROVE (ref. 865) e IMPACT (ref. 864).</w:t>
      </w:r>
    </w:p>
    <w:p>
      <w:pPr>
        <w:pStyle w:val="ListBullet2"/>
      </w:pPr>
      <w:r>
        <w:t>Fishman 2003 (ref. 789).</w:t>
      </w:r>
    </w:p>
    <w:p>
      <w:pPr>
        <w:pStyle w:val="ListBullet2"/>
      </w:pPr>
      <w:r>
        <w:t xml:space="preserve">Consenso de expertos en ELVR: Slebos DJ, Herth FJF et al., </w:t>
      </w:r>
      <w:r>
        <w:rPr>
          <w:i/>
        </w:rPr>
        <w:t>Respiration</w:t>
      </w:r>
      <w:r>
        <w:t xml:space="preserve"> 2017/2019 (actualizaciones del panel de expertos).</w:t>
      </w:r>
    </w:p>
    <w:p>
      <w:pPr>
        <w:pStyle w:val="ListBullet"/>
      </w:pPr>
      <w:r>
        <w:rPr>
          <w:b/>
        </w:rPr>
        <w:t>Recomendación:</w:t>
      </w:r>
      <w:r>
        <w:t xml:space="preserve"> Incluir una tabla «¿Cuándo derivar a un centro de reducción de volumen?» con estos umbrales, con remisión cruzada al cap. 2 (TC cuantitativa, análisis de cisuras) y la recomendación de discutir cada caso en un equipo multidisciplinar.</w:t>
      </w:r>
    </w:p>
    <w:p>
      <w:pPr>
        <w:pStyle w:val="ListBullet"/>
      </w:pPr>
      <w:r>
        <w:rPr>
          <w:b/>
        </w:rPr>
        <w:t>Confianza:</w:t>
      </w:r>
      <w:r>
        <w:t xml:space="preserve"> 5/5</w:t>
      </w:r>
    </w:p>
    <w:p>
      <w:pPr>
        <w:pStyle w:val="Heading4"/>
      </w:pPr>
      <w:r>
        <w:t>INT-09 · Denervación pulmonar dirigida: la Fig. 3.22 la presenta «en fase III en curso» y el texto describe AIRFLOW-3 de forma imprecisa</w:t>
      </w:r>
    </w:p>
    <w:p>
      <w:r>
        <w:rPr>
          <w:i/>
        </w:rPr>
        <w:t xml:space="preserve">Severidad final: </w:t>
      </w:r>
      <w:r>
        <w:rPr>
          <w:i/>
          <w:color w:val="FFC000"/>
        </w:rPr>
        <w:t>🟡</w:t>
      </w:r>
      <w:r>
        <w:rPr>
          <w:i/>
        </w:rPr>
        <w:t xml:space="preserve"> MEDIA · Tema T15: Intervenciones broncoscópicas y quirúrgicas</w:t>
      </w:r>
    </w:p>
    <w:p>
      <w:pPr>
        <w:pStyle w:val="IntenseQuote"/>
      </w:pPr>
      <w:r>
        <w:rPr>
          <w:b/>
        </w:rPr>
        <w:t>Verificación independiente (CONFIRMADO):</w:t>
      </w:r>
      <w:r>
        <w:t xml:space="preserve"> Precisar que solo la denervación está desactualizada en la figura. El objetivo primario de AIRFLOW-3 es [externo, no verificable con figuras].</w:t>
      </w:r>
    </w:p>
    <w:p>
      <w:pPr>
        <w:pStyle w:val="ListBullet"/>
      </w:pPr>
      <w:r>
        <w:rPr>
          <w:b/>
        </w:rPr>
        <w:t>Tipo:</w:t>
      </w:r>
      <w:r>
        <w:t xml:space="preserve"> Incongruencia interna / Evidencia mal representada</w:t>
      </w:r>
    </w:p>
    <w:p>
      <w:pPr>
        <w:pStyle w:val="ListBullet"/>
      </w:pPr>
      <w:r>
        <w:rPr>
          <w:b/>
        </w:rPr>
        <w:t>Severidad:</w:t>
      </w:r>
      <w:r>
        <w:t xml:space="preserve"> MEDIA</w:t>
      </w:r>
    </w:p>
    <w:p>
      <w:pPr>
        <w:pStyle w:val="ListBullet"/>
      </w:pPr>
      <w:r>
        <w:rPr>
          <w:b/>
        </w:rPr>
        <w:t>Ubicación:</w:t>
      </w:r>
      <w:r>
        <w:t xml:space="preserve"> PDF 97 / impr. 86 — Fig. 3.22 («Bronchoscopic Interventions Under Study»); PDF 101 / impr. 90 — «Lung denervation»; PDF 96 / impr. 85 — Fig. 3.21</w:t>
      </w:r>
    </w:p>
    <w:p>
      <w:pPr>
        <w:pStyle w:val="ListBullet"/>
      </w:pPr>
      <w:r>
        <w:rPr>
          <w:b/>
        </w:rPr>
        <w:t>Cita:</w:t>
      </w:r>
      <w:r>
        <w:t xml:space="preserve"> Fig. 3.22: "Phase III trials are currently being conducted to determine the efficacy of treatments ... using cryospray, rheoplasty and targeted lung denervation technology". Texto: "did not reduce the annualized rate of moderate and severe exacerbations compared to sham but did show an improvement in dyspnea and less decline in FVC and FEV1 and increase in residual volume.(906)"</w:t>
      </w:r>
    </w:p>
    <w:p>
      <w:pPr>
        <w:pStyle w:val="ListBullet"/>
      </w:pPr>
      <w:r>
        <w:rPr>
          <w:b/>
        </w:rPr>
        <w:t>Problema:</w:t>
      </w:r>
    </w:p>
    <w:p>
      <w:pPr>
        <w:pStyle w:val="ListNumber"/>
        <w:numPr>
          <w:ilvl w:val="0"/>
          <w:numId w:val="36"/>
        </w:numPr>
      </w:pPr>
      <w:r>
        <w:t>La figura y el texto son incoherentes: la figura habla de ensayos en curso y el texto de un ensayo ya publicado.</w:t>
      </w:r>
    </w:p>
    <w:p>
      <w:pPr>
        <w:pStyle w:val="ListNumber"/>
        <w:numPr>
          <w:ilvl w:val="0"/>
          <w:numId w:val="36"/>
        </w:numPr>
      </w:pPr>
      <w:r>
        <w:t xml:space="preserve">El desenlace primario de AIRFLOW-3 fue el </w:t>
      </w:r>
      <w:r>
        <w:rPr>
          <w:b/>
        </w:rPr>
        <w:t>tiempo hasta la primera exacerbación</w:t>
      </w:r>
      <w:r>
        <w:t xml:space="preserve"> moderada/grave, no la tasa anualizada. La HR fue 1,268 (IC 0,988-1,628), con una estimación puntual desfavorable para la denervación.</w:t>
      </w:r>
    </w:p>
    <w:p>
      <w:pPr>
        <w:pStyle w:val="ListNumber"/>
        <w:numPr>
          <w:ilvl w:val="0"/>
          <w:numId w:val="36"/>
        </w:numPr>
      </w:pPr>
      <w:r>
        <w:t>Según el editorial acompañante, los desenlaces secundarios de síntomas y calidad de vida no difirieron significativamente, así que «improvement in dyspnea» puede sobrevalorar el resultado (Punto debatible).</w:t>
      </w:r>
    </w:p>
    <w:p>
      <w:pPr>
        <w:pStyle w:val="ListNumber"/>
        <w:numPr>
          <w:ilvl w:val="0"/>
          <w:numId w:val="36"/>
        </w:numPr>
      </w:pPr>
      <w:r>
        <w:t>«Increase in residual volume» es ambiguo: no se sabe en qué grupo ni en qué dirección.</w:t>
      </w:r>
    </w:p>
    <w:p>
      <w:pPr>
        <w:pStyle w:val="ListNumber"/>
        <w:numPr>
          <w:ilvl w:val="0"/>
          <w:numId w:val="36"/>
        </w:numPr>
      </w:pPr>
      <w:r>
        <w:t xml:space="preserve">El subgrupo favorable (RV ≥ 175 %, LAA ≤ 20 %) es </w:t>
      </w:r>
      <w:r>
        <w:rPr>
          <w:b/>
        </w:rPr>
        <w:t>post hoc</w:t>
      </w:r>
      <w:r>
        <w:t xml:space="preserve"> y debe tratarse solo como generador de hipótesis.</w:t>
      </w:r>
    </w:p>
    <w:p>
      <w:pPr>
        <w:pStyle w:val="ListNumber"/>
        <w:numPr>
          <w:ilvl w:val="0"/>
          <w:numId w:val="36"/>
        </w:numPr>
      </w:pPr>
      <w:r>
        <w:t>La Fig. 3.21 coloca la denervación bajo «Exacerbations» al mismo nivel que las terapias establecidas, sin marcarla como investigacional.</w:t>
      </w:r>
    </w:p>
    <w:p>
      <w:pPr>
        <w:pStyle w:val="ListBullet"/>
      </w:pPr>
      <w:r>
        <w:rPr>
          <w:b/>
        </w:rPr>
        <w:t>Evidencia/justificación:</w:t>
      </w:r>
    </w:p>
    <w:p>
      <w:pPr>
        <w:pStyle w:val="ListBullet2"/>
      </w:pPr>
      <w:r>
        <w:t xml:space="preserve">Shah PL et al., </w:t>
      </w:r>
      <w:r>
        <w:rPr>
          <w:b/>
        </w:rPr>
        <w:t>AIRFLOW-3</w:t>
      </w:r>
      <w:r>
        <w:t xml:space="preserve">, </w:t>
      </w:r>
      <w:r>
        <w:rPr>
          <w:i/>
        </w:rPr>
        <w:t>AJRCCM</w:t>
      </w:r>
      <w:r>
        <w:t xml:space="preserve"> 2025;211:2318-29 (ref. 906): 388 pacientes, ECA con control simulado.</w:t>
      </w:r>
    </w:p>
    <w:p>
      <w:pPr>
        <w:pStyle w:val="ListBullet2"/>
      </w:pPr>
      <w:r>
        <w:t xml:space="preserve">Editorial acompañante en </w:t>
      </w:r>
      <w:r>
        <w:rPr>
          <w:i/>
        </w:rPr>
        <w:t>AJRCCM</w:t>
      </w:r>
      <w:r>
        <w:t xml:space="preserve"> 2025 (PMC12700267).</w:t>
      </w:r>
    </w:p>
    <w:p>
      <w:pPr>
        <w:pStyle w:val="ListBullet"/>
      </w:pPr>
      <w:r>
        <w:rPr>
          <w:b/>
        </w:rPr>
        <w:t>Recomendación:</w:t>
      </w:r>
    </w:p>
    <w:p>
      <w:pPr>
        <w:pStyle w:val="ListBullet2"/>
      </w:pPr>
      <w:r>
        <w:t>Actualizar la Fig. 3.22: «AIRFLOW-3 (fase III) negativo en su desenlace primario; un análisis post hoc sugiere un posible fenotipo respondedor, en estudio».</w:t>
      </w:r>
    </w:p>
    <w:p>
      <w:pPr>
        <w:pStyle w:val="ListBullet2"/>
      </w:pPr>
      <w:r>
        <w:t>Corregir el desenlace primario y la frase sobre el volumen residual.</w:t>
      </w:r>
    </w:p>
    <w:p>
      <w:pPr>
        <w:pStyle w:val="ListBullet2"/>
      </w:pPr>
      <w:r>
        <w:t xml:space="preserve">Marcar la denervación como </w:t>
      </w:r>
      <w:r>
        <w:rPr>
          <w:b/>
        </w:rPr>
        <w:t>investigacional, no recomendada fuera de ensayos</w:t>
      </w:r>
      <w:r>
        <w:t xml:space="preserve"> en las Figs. 3.21 y 3.22.</w:t>
      </w:r>
    </w:p>
    <w:p>
      <w:pPr>
        <w:pStyle w:val="ListBullet"/>
      </w:pPr>
      <w:r>
        <w:rPr>
          <w:b/>
        </w:rPr>
        <w:t>Confianza:</w:t>
      </w:r>
      <w:r>
        <w:t xml:space="preserve"> 4/5</w:t>
      </w:r>
    </w:p>
    <w:p>
      <w:pPr>
        <w:pStyle w:val="Heading4"/>
      </w:pPr>
      <w:r>
        <w:t>INT-10 · Crioespray y reoplastia bronquial: estado desactualizado («Phase III en curso») y sin advertencia de que son investigacionales</w:t>
      </w:r>
    </w:p>
    <w:p>
      <w:r>
        <w:rPr>
          <w:i/>
        </w:rPr>
        <w:t xml:space="preserve">Severidad final: </w:t>
      </w:r>
      <w:r>
        <w:rPr>
          <w:i/>
          <w:color w:val="FFC000"/>
        </w:rPr>
        <w:t>🟡</w:t>
      </w:r>
      <w:r>
        <w:rPr>
          <w:i/>
        </w:rPr>
        <w:t xml:space="preserve"> MEDIA · Tema T15: Intervenciones broncoscópicas y quirúrgicas</w:t>
      </w:r>
    </w:p>
    <w:p>
      <w:pPr>
        <w:pStyle w:val="ListBullet"/>
      </w:pPr>
      <w:r>
        <w:rPr>
          <w:b/>
        </w:rPr>
        <w:t>Tipo:</w:t>
      </w:r>
      <w:r>
        <w:t xml:space="preserve"> Desactualización</w:t>
      </w:r>
    </w:p>
    <w:p>
      <w:pPr>
        <w:pStyle w:val="ListBullet"/>
      </w:pPr>
      <w:r>
        <w:rPr>
          <w:b/>
        </w:rPr>
        <w:t>Severidad:</w:t>
      </w:r>
      <w:r>
        <w:t xml:space="preserve"> MEDIA</w:t>
      </w:r>
    </w:p>
    <w:p>
      <w:pPr>
        <w:pStyle w:val="ListBullet"/>
      </w:pPr>
      <w:r>
        <w:rPr>
          <w:b/>
        </w:rPr>
        <w:t>Ubicación:</w:t>
      </w:r>
      <w:r>
        <w:t xml:space="preserve"> PDF 96 / impr. 85 (texto y Fig. 3.21); PDF 101 / impr. 90; PDF 97 / impr. 86 (Fig. 3.22)</w:t>
      </w:r>
    </w:p>
    <w:p>
      <w:pPr>
        <w:pStyle w:val="ListBullet"/>
      </w:pPr>
      <w:r>
        <w:rPr>
          <w:b/>
        </w:rPr>
        <w:t>Cita:</w:t>
      </w:r>
      <w:r>
        <w:t xml:space="preserve"> "Airway predominant treatments are currently the subject of Phase III clinical trials" / "Ongoing Phase III RCTs are evaluating the efficacy of these therapies.(899,900)"</w:t>
      </w:r>
    </w:p>
    <w:p>
      <w:pPr>
        <w:pStyle w:val="ListBullet"/>
      </w:pPr>
      <w:r>
        <w:rPr>
          <w:b/>
        </w:rPr>
        <w:t>Problema:</w:t>
      </w:r>
    </w:p>
    <w:p>
      <w:pPr>
        <w:pStyle w:val="ListBullet2"/>
      </w:pPr>
      <w:r>
        <w:t>Las refs. 899 y 900 son fichas de ClinicalTrials.gov con URL antiguas («ct2»).</w:t>
      </w:r>
    </w:p>
    <w:p>
      <w:pPr>
        <w:pStyle w:val="ListBullet2"/>
      </w:pPr>
      <w:r>
        <w:rPr>
          <w:b/>
        </w:rPr>
        <w:t>RheSolve</w:t>
      </w:r>
      <w:r>
        <w:t xml:space="preserve"> (reoplastia frente a procedimiento simulado, n = 273) se presentó en el congreso ERS de septiembre de 2025 sin alcanzar su desenlace primario. El CAT a 6 meses fue −7,6 frente a −7,0 (p = 0,643), con un efecto simulado grande. Es posterior al corte bibliográfico de GOLD (julio de 2025), pero anterior a la v1.3.</w:t>
      </w:r>
    </w:p>
    <w:p>
      <w:pPr>
        <w:pStyle w:val="ListBullet2"/>
      </w:pPr>
      <w:r>
        <w:rPr>
          <w:b/>
        </w:rPr>
        <w:t>SPRAY-CB</w:t>
      </w:r>
      <w:r>
        <w:t xml:space="preserve"> (crioespray) ya había completado el reclutamiento. Los resultados aparecieron después del corte (Punto debatible para dic-2025).</w:t>
      </w:r>
    </w:p>
    <w:p>
      <w:pPr>
        <w:pStyle w:val="ListBullet2"/>
      </w:pPr>
      <w:r>
        <w:t>Presentar estas técnicas junto a las terapias estándar en la Fig. 3.21, sin etiqueta, puede generar expectativas o derivaciones fuera de ensayo.</w:t>
      </w:r>
    </w:p>
    <w:p>
      <w:pPr>
        <w:pStyle w:val="ListBullet"/>
      </w:pPr>
      <w:r>
        <w:rPr>
          <w:b/>
        </w:rPr>
        <w:t>Evidencia/justificación:</w:t>
      </w:r>
    </w:p>
    <w:p>
      <w:pPr>
        <w:pStyle w:val="ListBullet2"/>
      </w:pPr>
      <w:r>
        <w:t xml:space="preserve">Late-breaking abstract RheSolve, </w:t>
      </w:r>
      <w:r>
        <w:rPr>
          <w:i/>
        </w:rPr>
        <w:t>Eur Respir J</w:t>
      </w:r>
      <w:r>
        <w:t xml:space="preserve"> 2025;66(Suppl 69):PA4775.</w:t>
      </w:r>
    </w:p>
    <w:p>
      <w:pPr>
        <w:pStyle w:val="ListBullet2"/>
      </w:pPr>
      <w:r>
        <w:t xml:space="preserve">Garner JL et al., </w:t>
      </w:r>
      <w:r>
        <w:rPr>
          <w:i/>
        </w:rPr>
        <w:t>ERJ</w:t>
      </w:r>
      <w:r>
        <w:t xml:space="preserve"> 2020 (ref. 896).</w:t>
      </w:r>
    </w:p>
    <w:p>
      <w:pPr>
        <w:pStyle w:val="ListBullet2"/>
      </w:pPr>
      <w:r>
        <w:t xml:space="preserve">Valipour A et al., </w:t>
      </w:r>
      <w:r>
        <w:rPr>
          <w:i/>
        </w:rPr>
        <w:t>AJRCCM</w:t>
      </w:r>
      <w:r>
        <w:t xml:space="preserve"> 2020 (ref. 898): estudios abiertos de un solo brazo.</w:t>
      </w:r>
    </w:p>
    <w:p>
      <w:pPr>
        <w:pStyle w:val="ListBullet"/>
      </w:pPr>
      <w:r>
        <w:rPr>
          <w:b/>
        </w:rPr>
        <w:t>Recomendación:</w:t>
      </w:r>
    </w:p>
    <w:p>
      <w:pPr>
        <w:pStyle w:val="ListBullet2"/>
      </w:pPr>
      <w:r>
        <w:t>Etiquetar ambas técnicas como «investigacionales; no disponibles fuera de ensayos clínicos».</w:t>
      </w:r>
    </w:p>
    <w:p>
      <w:pPr>
        <w:pStyle w:val="ListBullet2"/>
      </w:pPr>
      <w:r>
        <w:t>Actualizar las URL y describir el estado de cada ensayo: «RheSolve: primario negativo (ERS 2025); SPRAY-CB: resultados pendientes de publicación».</w:t>
      </w:r>
    </w:p>
    <w:p>
      <w:pPr>
        <w:pStyle w:val="ListBullet2"/>
      </w:pPr>
      <w:r>
        <w:t>Eliminar la afirmación genérica «Phase III en curso».</w:t>
      </w:r>
    </w:p>
    <w:p>
      <w:pPr>
        <w:pStyle w:val="ListBullet"/>
      </w:pPr>
      <w:r>
        <w:rPr>
          <w:b/>
        </w:rPr>
        <w:t>Confianza:</w:t>
      </w:r>
      <w:r>
        <w:t xml:space="preserve"> 4/5 (RheSolve); 3/5 (estado de SPRAY-CB a dic-2025)</w:t>
      </w:r>
    </w:p>
    <w:p>
      <w:pPr>
        <w:pStyle w:val="Heading4"/>
      </w:pPr>
      <w:r>
        <w:t>INT-17 · «Evidence A» para la supervivencia con LVRS: incoherente con la Tabla A (subgrupo de un único ECA)</w:t>
      </w:r>
    </w:p>
    <w:p>
      <w:r>
        <w:rPr>
          <w:i/>
        </w:rPr>
        <w:t xml:space="preserve">Severidad final: </w:t>
      </w:r>
      <w:r>
        <w:rPr>
          <w:i/>
          <w:color w:val="FFC000"/>
        </w:rPr>
        <w:t>🟡</w:t>
      </w:r>
      <w:r>
        <w:rPr>
          <w:i/>
        </w:rPr>
        <w:t xml:space="preserve"> MEDIA · Tema T15: Intervenciones broncoscópicas y quirúrgicas</w:t>
      </w:r>
    </w:p>
    <w:p>
      <w:pPr>
        <w:pStyle w:val="ListBullet"/>
      </w:pPr>
      <w:r>
        <w:rPr>
          <w:b/>
        </w:rPr>
        <w:t>Tipo:</w:t>
      </w:r>
      <w:r>
        <w:t xml:space="preserve"> Evidencia mal representada / Incongruencia interna</w:t>
      </w:r>
    </w:p>
    <w:p>
      <w:pPr>
        <w:pStyle w:val="ListBullet"/>
      </w:pPr>
      <w:r>
        <w:rPr>
          <w:b/>
        </w:rPr>
        <w:t>Severidad:</w:t>
      </w:r>
      <w:r>
        <w:t xml:space="preserve"> MEDIA</w:t>
      </w:r>
    </w:p>
    <w:p>
      <w:pPr>
        <w:pStyle w:val="ListBullet"/>
      </w:pPr>
      <w:r>
        <w:rPr>
          <w:b/>
        </w:rPr>
        <w:t>Ubicación:</w:t>
      </w:r>
      <w:r>
        <w:t xml:space="preserve"> PDF 97 / impr. 86 — Fig. 3.22; PDF 14 / impr. 3 — Tabla A</w:t>
      </w:r>
    </w:p>
    <w:p>
      <w:pPr>
        <w:pStyle w:val="ListBullet"/>
      </w:pPr>
      <w:r>
        <w:rPr>
          <w:b/>
        </w:rPr>
        <w:t>Cita:</w:t>
      </w:r>
      <w:r>
        <w:t xml:space="preserve"> Fig. 3.22: "Lung volume reduction surgery improves survival in patients with severe emphysema who have an upper-lobe and low post-rehabilitation exercise capacity (Evidence A)". La Tabla A asigna a la «B» las "post hoc or subgroup analyses of RCTs".</w:t>
      </w:r>
    </w:p>
    <w:p>
      <w:pPr>
        <w:pStyle w:val="ListBullet"/>
      </w:pPr>
      <w:r>
        <w:rPr>
          <w:b/>
        </w:rPr>
        <w:t>Problema:</w:t>
      </w:r>
    </w:p>
    <w:p>
      <w:pPr>
        <w:pStyle w:val="ListBullet2"/>
      </w:pPr>
      <w:r>
        <w:t xml:space="preserve">El beneficio en supervivencia procede del </w:t>
      </w:r>
      <w:r>
        <w:rPr>
          <w:b/>
        </w:rPr>
        <w:t>análisis de subgrupos</w:t>
      </w:r>
      <w:r>
        <w:t xml:space="preserve"> (lóbulo superior y baja capacidad de ejercicio) de un único ECA, el NETT. Según la Tabla A de la propia GOLD, eso es Evidence B.</w:t>
      </w:r>
    </w:p>
    <w:p>
      <w:pPr>
        <w:pStyle w:val="ListBullet2"/>
      </w:pPr>
      <w:r>
        <w:t>En la población global del NETT no hubo diferencia en mortalidad, y el beneficio se ha replicado solo en series observacionales.</w:t>
      </w:r>
    </w:p>
    <w:p>
      <w:pPr>
        <w:pStyle w:val="ListBullet2"/>
      </w:pPr>
      <w:r>
        <w:t>En cambio, la mejora de la función, el ejercicio y la calidad de vida sí está respaldada por varios ECA.</w:t>
      </w:r>
    </w:p>
    <w:p>
      <w:pPr>
        <w:pStyle w:val="ListBullet"/>
      </w:pPr>
      <w:r>
        <w:rPr>
          <w:b/>
        </w:rPr>
        <w:t>Evidencia/justificación:</w:t>
      </w:r>
    </w:p>
    <w:p>
      <w:pPr>
        <w:pStyle w:val="ListBullet2"/>
      </w:pPr>
      <w:r>
        <w:t>Fishman 2003 (ref. 789).</w:t>
      </w:r>
    </w:p>
    <w:p>
      <w:pPr>
        <w:pStyle w:val="ListBullet2"/>
      </w:pPr>
      <w:r>
        <w:t xml:space="preserve">Naunheim KS et al., </w:t>
      </w:r>
      <w:r>
        <w:rPr>
          <w:i/>
        </w:rPr>
        <w:t>Ann Thorac Surg</w:t>
      </w:r>
      <w:r>
        <w:t xml:space="preserve"> 2006 (ref. 872).</w:t>
      </w:r>
    </w:p>
    <w:p>
      <w:pPr>
        <w:pStyle w:val="ListBullet2"/>
      </w:pPr>
      <w:r>
        <w:t>Tabla A de GOLD (PDF 14).</w:t>
      </w:r>
    </w:p>
    <w:p>
      <w:pPr>
        <w:pStyle w:val="ListBullet"/>
      </w:pPr>
      <w:r>
        <w:rPr>
          <w:b/>
        </w:rPr>
        <w:t>Recomendación:</w:t>
      </w:r>
      <w:r>
        <w:t xml:space="preserve"> Separar dos afirmaciones: «LVRS mejora la función pulmonar, la tolerancia al ejercicio y la calidad de vida en enfisema seleccionado (Evidence A)» y «mejora la supervivencia en enfisema de lóbulo superior con baja capacidad de ejercicio tras rehabilitación (Evidence B, subgrupo del NETT)».</w:t>
      </w:r>
    </w:p>
    <w:p>
      <w:pPr>
        <w:pStyle w:val="ListBullet"/>
      </w:pPr>
      <w:r>
        <w:rPr>
          <w:b/>
        </w:rPr>
        <w:t>Confianza:</w:t>
      </w:r>
      <w:r>
        <w:t xml:space="preserve"> 4/5 (Punto debatible: algunos consideran el subgrupo prespecificado).</w:t>
      </w:r>
    </w:p>
    <w:p>
      <w:pPr>
        <w:pStyle w:val="Heading4"/>
      </w:pPr>
      <w:r>
        <w:t>EPI-15 · Cannabis presentado como factor de riesgo establecido con evidencia insuficiente</w:t>
      </w:r>
    </w:p>
    <w:p>
      <w:r>
        <w:rPr>
          <w:i/>
        </w:rPr>
        <w:t xml:space="preserve">Severidad final: </w:t>
      </w:r>
      <w:r>
        <w:rPr>
          <w:i/>
          <w:color w:val="FFC000"/>
        </w:rPr>
        <w:t>🟡</w:t>
      </w:r>
      <w:r>
        <w:rPr>
          <w:i/>
        </w:rPr>
        <w:t xml:space="preserve"> MEDIA · Tema T16: Tabaquismo y otros factores de riesgo inhalados</w:t>
      </w:r>
    </w:p>
    <w:p>
      <w:pPr>
        <w:pStyle w:val="ListBullet"/>
      </w:pPr>
      <w:r>
        <w:rPr>
          <w:b/>
        </w:rPr>
        <w:t>Tipo:</w:t>
      </w:r>
      <w:r>
        <w:t xml:space="preserve"> Evidencia mal representada</w:t>
      </w:r>
    </w:p>
    <w:p>
      <w:pPr>
        <w:pStyle w:val="ListBullet"/>
      </w:pPr>
      <w:r>
        <w:rPr>
          <w:b/>
        </w:rPr>
        <w:t>Severidad:</w:t>
      </w:r>
      <w:r>
        <w:t xml:space="preserve"> MEDIA</w:t>
      </w:r>
    </w:p>
    <w:p>
      <w:pPr>
        <w:pStyle w:val="ListBullet"/>
      </w:pPr>
      <w:r>
        <w:rPr>
          <w:b/>
        </w:rPr>
        <w:t>Ubicación:</w:t>
      </w:r>
      <w:r>
        <w:t xml:space="preserve"> PDF 16 / impr. 5 — Tobacco; Figure 1.3 (PDF 31 / impr. 20)</w:t>
      </w:r>
    </w:p>
    <w:p>
      <w:pPr>
        <w:pStyle w:val="ListBullet"/>
      </w:pPr>
      <w:r>
        <w:rPr>
          <w:b/>
        </w:rPr>
        <w:t>Cita:</w:t>
      </w:r>
      <w:r>
        <w:t xml:space="preserve"> «Other types of tobacco (e.g., pipe, cigar, water pipe)(16-18) and marijuana(19) are also risk factors for COPD.»</w:t>
      </w:r>
    </w:p>
    <w:p>
      <w:pPr>
        <w:pStyle w:val="ListBullet"/>
      </w:pPr>
      <w:r>
        <w:rPr>
          <w:b/>
        </w:rPr>
        <w:t>Problema:</w:t>
      </w:r>
      <w:r>
        <w:t xml:space="preserve"> La afirmación categórica descansa en una única cohorte transversal y poblacional (Tan, </w:t>
      </w:r>
      <w:r>
        <w:rPr>
          <w:i/>
        </w:rPr>
        <w:t>CMAJ</w:t>
      </w:r>
      <w:r>
        <w:t xml:space="preserve"> 2009, ref 19), en la que el efecto independiente del cannabis es difícil de separar del tabaco. Las revisiones sistemáticas concluyen que la evidencia es insuficiente para asociar el cannabis con la EPOC o con el deterioro de la función pulmonar (sí hay asociación, de baja certeza, con síntomas bronquíticos). A pesar de ello, la Figure 1.3 lo eleva a etiotipo.</w:t>
      </w:r>
    </w:p>
    <w:p>
      <w:pPr>
        <w:pStyle w:val="ListBullet"/>
      </w:pPr>
      <w:r>
        <w:rPr>
          <w:b/>
        </w:rPr>
        <w:t>Evidencia/justificación:</w:t>
      </w:r>
      <w:r>
        <w:t xml:space="preserve"> Ghasemiesfe M et al., «Marijuana Use, Respiratory Symptoms, and Pulmonary Function», </w:t>
      </w:r>
      <w:r>
        <w:rPr>
          <w:i/>
        </w:rPr>
        <w:t>Ann Intern Med</w:t>
      </w:r>
      <w:r>
        <w:t xml:space="preserve"> 2018;169:106-115 (PMID 29971337): «insufficient» evidence para enfermedad obstructiva y función pulmonar.</w:t>
      </w:r>
    </w:p>
    <w:p>
      <w:pPr>
        <w:pStyle w:val="ListBullet"/>
      </w:pPr>
      <w:r>
        <w:rPr>
          <w:b/>
        </w:rPr>
        <w:t>Recomendación:</w:t>
      </w:r>
      <w:r>
        <w:t xml:space="preserve"> Reformular: «el cannabis fumado se asocia a síntomas de bronquitis crónica; la evidencia sobre EPOC es limitada y está confundida por el tabaco». Citar la revisión sistemática. Matizar su inclusión en la Figure 1.3.</w:t>
      </w:r>
    </w:p>
    <w:p>
      <w:pPr>
        <w:pStyle w:val="ListBullet"/>
      </w:pPr>
      <w:r>
        <w:rPr>
          <w:b/>
        </w:rPr>
        <w:t>Confianza:</w:t>
      </w:r>
      <w:r>
        <w:t xml:space="preserve"> 4/5</w:t>
      </w:r>
    </w:p>
    <w:p>
      <w:pPr>
        <w:pStyle w:val="Heading4"/>
      </w:pPr>
      <w:r>
        <w:t>EPI-16 · Vapeo/cigarrillo electrónico ausente del texto de factores de riesgo</w:t>
      </w:r>
    </w:p>
    <w:p>
      <w:r>
        <w:rPr>
          <w:i/>
        </w:rPr>
        <w:t xml:space="preserve">Severidad final: </w:t>
      </w:r>
      <w:r>
        <w:rPr>
          <w:i/>
          <w:color w:val="FFC000"/>
        </w:rPr>
        <w:t>🟡</w:t>
      </w:r>
      <w:r>
        <w:rPr>
          <w:i/>
        </w:rPr>
        <w:t xml:space="preserve"> MEDIA · Tema T16: Tabaquismo y otros factores de riesgo inhalados</w:t>
      </w:r>
    </w:p>
    <w:p>
      <w:pPr>
        <w:pStyle w:val="ListBullet"/>
      </w:pPr>
      <w:r>
        <w:rPr>
          <w:b/>
        </w:rPr>
        <w:t>Tipo:</w:t>
      </w:r>
      <w:r>
        <w:t xml:space="preserve"> Omisión / Incongruencia interna</w:t>
      </w:r>
    </w:p>
    <w:p>
      <w:pPr>
        <w:pStyle w:val="ListBullet"/>
      </w:pPr>
      <w:r>
        <w:rPr>
          <w:b/>
        </w:rPr>
        <w:t>Severidad:</w:t>
      </w:r>
      <w:r>
        <w:t xml:space="preserve"> MEDIA</w:t>
      </w:r>
    </w:p>
    <w:p>
      <w:pPr>
        <w:pStyle w:val="ListBullet"/>
      </w:pPr>
      <w:r>
        <w:rPr>
          <w:b/>
        </w:rPr>
        <w:t>Ubicación:</w:t>
      </w:r>
      <w:r>
        <w:t xml:space="preserve"> PDF 16-17 / impr. 5-6 (Causes and risk factors), frente a la Figure 1.3 (PDF 31 / impr. 20) y el Apéndice 3 (PDF 153-154 / impr. 142-143)</w:t>
      </w:r>
    </w:p>
    <w:p>
      <w:pPr>
        <w:pStyle w:val="ListBullet"/>
      </w:pPr>
      <w:r>
        <w:rPr>
          <w:b/>
        </w:rPr>
        <w:t>Cita:</w:t>
      </w:r>
      <w:r>
        <w:t xml:space="preserve"> Figure 1.3, COPD-C: «Vaping or e-cigarette use»</w:t>
      </w:r>
    </w:p>
    <w:p>
      <w:pPr>
        <w:pStyle w:val="ListBullet"/>
      </w:pPr>
      <w:r>
        <w:rPr>
          <w:b/>
        </w:rPr>
        <w:t>Problema:</w:t>
      </w:r>
    </w:p>
    <w:p>
      <w:pPr>
        <w:pStyle w:val="ListBullet2"/>
      </w:pPr>
      <w:r>
        <w:rPr>
          <w:b/>
        </w:rPr>
        <w:t>El texto del cap. 1 no menciona el vapeo como exposición</w:t>
      </w:r>
      <w:r>
        <w:t>, pese al alcance anunciado de factores no tabáquicos.</w:t>
      </w:r>
    </w:p>
    <w:p>
      <w:pPr>
        <w:pStyle w:val="ListBullet2"/>
      </w:pPr>
      <w:r>
        <w:rPr>
          <w:b/>
        </w:rPr>
        <w:t>La figura del mismo capítulo lo clasifica como etiotipo de EPOC.</w:t>
      </w:r>
    </w:p>
    <w:p>
      <w:pPr>
        <w:pStyle w:val="ListBullet2"/>
      </w:pPr>
      <w:r>
        <w:rPr>
          <w:b/>
        </w:rPr>
        <w:t>El Apéndice 3 declara incierto</w:t>
      </w:r>
      <w:r>
        <w:t xml:space="preserve"> si es un factor de riesgo independiente.</w:t>
      </w:r>
    </w:p>
    <w:p>
      <w:pPr>
        <w:pStyle w:val="ListBullet2"/>
      </w:pPr>
      <w:r>
        <w:rPr>
          <w:b/>
        </w:rPr>
        <w:t>Resultado:</w:t>
      </w:r>
      <w:r>
        <w:t xml:space="preserve"> tres mensajes diferentes. El tema tiene relevancia clínica y de salud pública (uso creciente en jóvenes y uso dual con tabaco).</w:t>
      </w:r>
    </w:p>
    <w:p>
      <w:pPr>
        <w:pStyle w:val="ListBullet"/>
      </w:pPr>
      <w:r>
        <w:rPr>
          <w:b/>
        </w:rPr>
        <w:t>Evidencia/justificación:</w:t>
      </w:r>
      <w:r>
        <w:t xml:space="preserve"> Xie W et al., </w:t>
      </w:r>
      <w:r>
        <w:rPr>
          <w:i/>
        </w:rPr>
        <w:t>JAMA Netw Open</w:t>
      </w:r>
      <w:r>
        <w:t xml:space="preserve"> 2020;3(11):e2020816 (cohorte PATH, 2013-2018): uso actual de cigarrillo electrónico asociado a EPOC incidente (IRR ≈1,57; IC 95% 1,15-2,13) tras ajustar por tabaco combustible. Es evidencia observacional con riesgo de confusión residual.</w:t>
      </w:r>
    </w:p>
    <w:p>
      <w:pPr>
        <w:pStyle w:val="ListBullet"/>
      </w:pPr>
      <w:r>
        <w:rPr>
          <w:b/>
        </w:rPr>
        <w:t>Recomendación:</w:t>
      </w:r>
      <w:r>
        <w:t xml:space="preserve"> Añadir al cap. 1 un párrafo breve sobre el vapeo: evidencia observacional emergente, confusión por uso dual, ausencia de datos a largo plazo y recomendación de registrar la exposición. Armonizarlo con el Apéndice 3 y con la Figure 1.3 (indicar «posible/en estudio»).</w:t>
      </w:r>
    </w:p>
    <w:p>
      <w:pPr>
        <w:pStyle w:val="ListBullet"/>
      </w:pPr>
      <w:r>
        <w:rPr>
          <w:b/>
        </w:rPr>
        <w:t>Confianza:</w:t>
      </w:r>
      <w:r>
        <w:t xml:space="preserve"> 5/5 (incongruencia); 3/5 (magnitud del riesgo)</w:t>
      </w:r>
    </w:p>
    <w:p>
      <w:pPr>
        <w:pStyle w:val="Heading4"/>
      </w:pPr>
      <w:r>
        <w:t>EQ-18 · Cesación tabáquica: falta la citisina, la base es la guía de EE. UU. de 2000 y se ignoran productos de tabaco frecuentes en LMIC</w:t>
      </w:r>
    </w:p>
    <w:p>
      <w:r>
        <w:rPr>
          <w:i/>
        </w:rPr>
        <w:t xml:space="preserve">Severidad final: </w:t>
      </w:r>
      <w:r>
        <w:rPr>
          <w:i/>
          <w:color w:val="FFC000"/>
        </w:rPr>
        <w:t>🟡</w:t>
      </w:r>
      <w:r>
        <w:rPr>
          <w:i/>
        </w:rPr>
        <w:t xml:space="preserve"> MEDIA · Tema T16: Tabaquismo y otros factores de riesgo inhalados</w:t>
      </w:r>
    </w:p>
    <w:p>
      <w:pPr>
        <w:pStyle w:val="ListBullet"/>
      </w:pPr>
      <w:r>
        <w:rPr>
          <w:b/>
        </w:rPr>
        <w:t>Tipo:</w:t>
      </w:r>
      <w:r>
        <w:t xml:space="preserve"> Desactualización / Omisión</w:t>
      </w:r>
    </w:p>
    <w:p>
      <w:pPr>
        <w:pStyle w:val="ListBullet"/>
      </w:pPr>
      <w:r>
        <w:rPr>
          <w:b/>
        </w:rPr>
        <w:t>Severidad:</w:t>
      </w:r>
      <w:r>
        <w:t xml:space="preserve"> MEDIA</w:t>
      </w:r>
    </w:p>
    <w:p>
      <w:pPr>
        <w:pStyle w:val="ListBullet"/>
      </w:pPr>
      <w:r>
        <w:rPr>
          <w:b/>
        </w:rPr>
        <w:t>Ubicación:</w:t>
      </w:r>
      <w:r>
        <w:t xml:space="preserve"> PDF 153 / impr. 142 (fármacos para la cesación) y PDF 16 / impr. 5 (tipos de tabaco).</w:t>
      </w:r>
    </w:p>
    <w:p>
      <w:pPr>
        <w:pStyle w:val="ListBullet"/>
      </w:pPr>
      <w:r>
        <w:rPr>
          <w:b/>
        </w:rPr>
        <w:t>Cita:</w:t>
      </w:r>
      <w:r>
        <w:t xml:space="preserve"> "controller medications aimed at achieving long-term abstinence (nicotine patch, bupropion, and varenicline)" (PDF 153)</w:t>
      </w:r>
    </w:p>
    <w:p>
      <w:pPr>
        <w:pStyle w:val="ListBullet"/>
      </w:pPr>
      <w:r>
        <w:rPr>
          <w:b/>
        </w:rPr>
        <w:t>Problema:</w:t>
      </w:r>
    </w:p>
    <w:p>
      <w:pPr>
        <w:pStyle w:val="ListBullet2"/>
      </w:pPr>
      <w:r>
        <w:t>La citisina no aparece en todo el documento, aunque es eficaz, mucho más barata que la vareniclina y especialmente relevante en LMIC.</w:t>
      </w:r>
    </w:p>
    <w:p>
      <w:pPr>
        <w:pStyle w:val="ListBullet2"/>
      </w:pPr>
      <w:r>
        <w:t>El marco de la intervención breve se basa en la guía del US Public Health Service de 2000 (ref. 571).</w:t>
      </w:r>
    </w:p>
    <w:p>
      <w:pPr>
        <w:pStyle w:val="ListBullet2"/>
      </w:pPr>
      <w:r>
        <w:t>Entre los "other types of tobacco" (PDF 16) solo se citan pipa, puro y pipa de agua. No se menciona el tabaco sin humo, los bidis ni el kretek, de uso masivo en el sur y el sudeste de Asia.</w:t>
      </w:r>
    </w:p>
    <w:p>
      <w:pPr>
        <w:pStyle w:val="ListBullet"/>
      </w:pPr>
      <w:r>
        <w:rPr>
          <w:b/>
        </w:rPr>
        <w:t>Evidencia/justificación:</w:t>
      </w:r>
      <w:r>
        <w:t xml:space="preserve"> OMS, "WHO clinical treatment guideline for tobacco cessation in adults" (julio de 2024): recomienda vareniclina, terapia sustitutiva con nicotina, bupropión y citisina como tratamientos farmacológicos.</w:t>
      </w:r>
    </w:p>
    <w:p>
      <w:pPr>
        <w:pStyle w:val="ListBullet"/>
      </w:pPr>
      <w:r>
        <w:rPr>
          <w:b/>
        </w:rPr>
        <w:t>Recomendación:</w:t>
      </w:r>
    </w:p>
    <w:p>
      <w:pPr>
        <w:pStyle w:val="ListBullet2"/>
      </w:pPr>
      <w:r>
        <w:t>Añadir la citisina a la lista de fármacos y a la figura correspondiente del apéndice 3.</w:t>
      </w:r>
    </w:p>
    <w:p>
      <w:pPr>
        <w:pStyle w:val="ListBullet2"/>
      </w:pPr>
      <w:r>
        <w:t>Citar la guía de la OMS de 2024.</w:t>
      </w:r>
    </w:p>
    <w:p>
      <w:pPr>
        <w:pStyle w:val="ListBullet2"/>
      </w:pPr>
      <w:r>
        <w:t>Ampliar los tipos de tabaco (tabaco sin humo, bidis, kretek).</w:t>
      </w:r>
    </w:p>
    <w:p>
      <w:pPr>
        <w:pStyle w:val="ListBullet2"/>
      </w:pPr>
      <w:r>
        <w:t>Considerar los programas de cesación de bajo coste (líneas telefónicas, mCessation de la OMS).</w:t>
      </w:r>
    </w:p>
    <w:p>
      <w:pPr>
        <w:pStyle w:val="ListBullet"/>
      </w:pPr>
      <w:r>
        <w:rPr>
          <w:b/>
        </w:rPr>
        <w:t>Confianza:</w:t>
      </w:r>
      <w:r>
        <w:t xml:space="preserve"> 5/5</w:t>
      </w:r>
    </w:p>
    <w:p>
      <w:pPr>
        <w:pStyle w:val="Heading4"/>
      </w:pPr>
      <w:r>
        <w:t>FARM-08 · Fig 3.5: fuente de 2000, contenido híbrido y nortriptilina como "primera línea"</w:t>
      </w:r>
    </w:p>
    <w:p>
      <w:r>
        <w:rPr>
          <w:i/>
        </w:rPr>
        <w:t xml:space="preserve">Severidad final: </w:t>
      </w:r>
      <w:r>
        <w:rPr>
          <w:i/>
          <w:color w:val="FFC000"/>
        </w:rPr>
        <w:t>🟡</w:t>
      </w:r>
      <w:r>
        <w:rPr>
          <w:i/>
        </w:rPr>
        <w:t xml:space="preserve"> MEDIA · Tema T16: Tabaquismo y otros factores de riesgo inhalados</w:t>
      </w:r>
    </w:p>
    <w:p>
      <w:pPr>
        <w:pStyle w:val="IntenseQuote"/>
      </w:pPr>
      <w:r>
        <w:rPr>
          <w:b/>
        </w:rPr>
        <w:t>Verificación independiente (CONFIRMADO):</w:t>
      </w:r>
      <w:r>
        <w:t xml:space="preserve"> El contenido híbrido se confirma: la vareniclina (2006) no estaba en la guía PHS 2000, donde la nortriptilina era de segunda línea. Sugiero rebajar de ALTA a MEDIA (figura de apoyo, sin riesgo grave inmediato).</w:t>
      </w:r>
    </w:p>
    <w:p>
      <w:pPr>
        <w:pStyle w:val="IntenseQuote"/>
      </w:pPr>
      <w:r>
        <w:rPr>
          <w:b/>
        </w:rPr>
        <w:t>Severidad ajustada en la consolidación:</w:t>
      </w:r>
      <w:r>
        <w:t xml:space="preserve"> ALTA → MEDIA</w:t>
      </w:r>
    </w:p>
    <w:p>
      <w:pPr>
        <w:pStyle w:val="ListBullet"/>
      </w:pPr>
      <w:r>
        <w:rPr>
          <w:b/>
        </w:rPr>
        <w:t>Tipo:</w:t>
      </w:r>
      <w:r>
        <w:t xml:space="preserve"> Desactualización / Incongruencia interna</w:t>
      </w:r>
    </w:p>
    <w:p>
      <w:pPr>
        <w:pStyle w:val="ListBullet"/>
      </w:pPr>
      <w:r>
        <w:rPr>
          <w:b/>
        </w:rPr>
        <w:t>Severidad:</w:t>
      </w:r>
      <w:r>
        <w:t xml:space="preserve"> ALTA</w:t>
      </w:r>
    </w:p>
    <w:p>
      <w:pPr>
        <w:pStyle w:val="ListBullet"/>
      </w:pPr>
      <w:r>
        <w:rPr>
          <w:b/>
        </w:rPr>
        <w:t>Ubicación:</w:t>
      </w:r>
      <w:r>
        <w:t xml:space="preserve"> PDF 66 / impr. 55 (Fig 3.5) vs PDF 154 / impr. 143 (Apéndice 3)</w:t>
      </w:r>
    </w:p>
    <w:p>
      <w:pPr>
        <w:pStyle w:val="ListBullet"/>
      </w:pPr>
      <w:r>
        <w:rPr>
          <w:b/>
        </w:rPr>
        <w:t>Cita:</w:t>
      </w:r>
      <w:r>
        <w:t xml:space="preserve"> "First-line pharmacotherapies for tobacco dependence — varenicline, nortriptyline, bupropion sustained release, nicotine gum, nicotine inhaler, nicotine nasal spray, and nicotine patch" (Reference: … JAMA 2000).</w:t>
      </w:r>
    </w:p>
    <w:p>
      <w:pPr>
        <w:pStyle w:val="ListBullet"/>
      </w:pPr>
      <w:r>
        <w:rPr>
          <w:b/>
        </w:rPr>
        <w:t>Problema:</w:t>
      </w:r>
    </w:p>
    <w:p>
      <w:pPr>
        <w:pStyle w:val="ListBullet2"/>
      </w:pPr>
      <w:r>
        <w:t>La figura cita la guía PHS de 2000 (ref 571), pero incluye vareniclina, aprobada en 2006.</w:t>
      </w:r>
    </w:p>
    <w:p>
      <w:pPr>
        <w:pStyle w:val="ListBullet2"/>
      </w:pPr>
      <w:r>
        <w:t>Eleva la nortriptilina a primera línea, cuando la guía PHS de 2000 y la actualización de 2008 la consideraban de segunda línea, junto con la clonidina.</w:t>
      </w:r>
    </w:p>
    <w:p>
      <w:pPr>
        <w:pStyle w:val="ListBullet2"/>
      </w:pPr>
      <w:r>
        <w:t>El Apéndice 3 dice que la nortriptilina no superó al placebo en EPOC (ref 565, Cochrane van Eerd 2016).</w:t>
      </w:r>
    </w:p>
    <w:p>
      <w:pPr>
        <w:pStyle w:val="ListBullet2"/>
      </w:pPr>
      <w:r>
        <w:t>Omite la pastilla (</w:t>
      </w:r>
      <w:r>
        <w:rPr>
          <w:i/>
        </w:rPr>
        <w:t>lozenge</w:t>
      </w:r>
      <w:r>
        <w:t>) de nicotina, la TSN combinada (parche + forma rápida) y la combinación vareniclina + parche.</w:t>
      </w:r>
    </w:p>
    <w:p>
      <w:pPr>
        <w:pStyle w:val="ListBullet2"/>
      </w:pPr>
      <w:r>
        <w:t>El texto del capítulo no nombra ningún fármaco; todo queda en esta figura obsoleta.</w:t>
      </w:r>
    </w:p>
    <w:p>
      <w:pPr>
        <w:pStyle w:val="ListBullet2"/>
      </w:pPr>
      <w:r>
        <w:t>La actualización de 2008 (ref 573) está en la bibliografía, pero no se usa en la figura.</w:t>
      </w:r>
    </w:p>
    <w:p>
      <w:pPr>
        <w:pStyle w:val="ListBullet"/>
      </w:pPr>
      <w:r>
        <w:rPr>
          <w:b/>
        </w:rPr>
        <w:t>Evidencia/justificación:</w:t>
      </w:r>
    </w:p>
    <w:p>
      <w:pPr>
        <w:pStyle w:val="ListBullet2"/>
      </w:pPr>
      <w:r>
        <w:t>Leone FT et al., guía ATS, AJRCCM 2020;202(2):e5-e31: vareniclina preferida frente a parche y bupropión; vareniclina + parche; tratamiento &gt;12 semanas; iniciar aunque el paciente no esté listo para dejarlo.</w:t>
      </w:r>
    </w:p>
    <w:p>
      <w:pPr>
        <w:pStyle w:val="ListBullet2"/>
      </w:pPr>
      <w:r>
        <w:t>USPSTF 2021 (Krist AH et al., JAMA 2021;325:265-279).</w:t>
      </w:r>
    </w:p>
    <w:p>
      <w:pPr>
        <w:pStyle w:val="ListBullet2"/>
      </w:pPr>
      <w:r>
        <w:t>Theodoulou A et al., Cochrane 2023: la TSN combinada es superior a la simple.</w:t>
      </w:r>
    </w:p>
    <w:p>
      <w:pPr>
        <w:pStyle w:val="ListBullet2"/>
      </w:pPr>
      <w:r>
        <w:t>EAGLES (Anthenelli RM et al., Lancet 2016;387:2507-20): seguridad neuropsiquiátrica de vareniclina y bupropión.</w:t>
      </w:r>
    </w:p>
    <w:p>
      <w:pPr>
        <w:pStyle w:val="ListBullet"/>
      </w:pPr>
      <w:r>
        <w:rPr>
          <w:b/>
        </w:rPr>
        <w:t>Recomendación:</w:t>
      </w:r>
    </w:p>
    <w:p>
      <w:pPr>
        <w:pStyle w:val="ListBullet2"/>
      </w:pPr>
      <w:r>
        <w:t>Sustituir la Fig 3.5 por una tabla actual: vareniclina (preferente), TSN combinada, citisina (FARM-09) y bupropión; nortriptilina solo como segunda línea.</w:t>
      </w:r>
    </w:p>
    <w:p>
      <w:pPr>
        <w:pStyle w:val="ListBullet2"/>
      </w:pPr>
      <w:r>
        <w:t>Añadir dosis, duración y precauciones.</w:t>
      </w:r>
    </w:p>
    <w:p>
      <w:pPr>
        <w:pStyle w:val="ListBullet2"/>
      </w:pPr>
      <w:r>
        <w:t>Citar ATS 2020, USPSTF 2021 y OMS 2024.</w:t>
      </w:r>
    </w:p>
    <w:p>
      <w:pPr>
        <w:pStyle w:val="ListBullet"/>
      </w:pPr>
      <w:r>
        <w:rPr>
          <w:b/>
        </w:rPr>
        <w:t>Confianza:</w:t>
      </w:r>
      <w:r>
        <w:t xml:space="preserve"> 5/5</w:t>
      </w:r>
    </w:p>
    <w:p>
      <w:pPr>
        <w:pStyle w:val="Heading4"/>
      </w:pPr>
      <w:r>
        <w:t>FARM-09 · Omisión de la citisina (y de la cytisinicline)</w:t>
      </w:r>
    </w:p>
    <w:p>
      <w:r>
        <w:rPr>
          <w:i/>
        </w:rPr>
        <w:t xml:space="preserve">Severidad final: </w:t>
      </w:r>
      <w:r>
        <w:rPr>
          <w:i/>
          <w:color w:val="FFC000"/>
        </w:rPr>
        <w:t>🟡</w:t>
      </w:r>
      <w:r>
        <w:rPr>
          <w:i/>
        </w:rPr>
        <w:t xml:space="preserve"> MEDIA · Tema T16: Tabaquismo y otros factores de riesgo inhalados</w:t>
      </w:r>
    </w:p>
    <w:p>
      <w:pPr>
        <w:pStyle w:val="ListBullet"/>
      </w:pPr>
      <w:r>
        <w:rPr>
          <w:b/>
        </w:rPr>
        <w:t>Tipo:</w:t>
      </w:r>
      <w:r>
        <w:t xml:space="preserve"> Omisión</w:t>
      </w:r>
    </w:p>
    <w:p>
      <w:pPr>
        <w:pStyle w:val="ListBullet"/>
      </w:pPr>
      <w:r>
        <w:rPr>
          <w:b/>
        </w:rPr>
        <w:t>Severidad:</w:t>
      </w:r>
      <w:r>
        <w:t xml:space="preserve"> MEDIA</w:t>
      </w:r>
    </w:p>
    <w:p>
      <w:pPr>
        <w:pStyle w:val="ListBullet"/>
      </w:pPr>
      <w:r>
        <w:rPr>
          <w:b/>
        </w:rPr>
        <w:t>Ubicación:</w:t>
      </w:r>
      <w:r>
        <w:t xml:space="preserve"> PDF 64-66 / impr. 53-55 (tabaco); PDF 153-154 / impr. 142-143 (Apéndice 3); no se menciona en ninguna parte del documento</w:t>
      </w:r>
    </w:p>
    <w:p>
      <w:pPr>
        <w:pStyle w:val="ListBullet"/>
      </w:pPr>
      <w:r>
        <w:rPr>
          <w:b/>
        </w:rPr>
        <w:t>Cita:</w:t>
      </w:r>
      <w:r>
        <w:t xml:space="preserve"> "Pharmacological treatments for smoking cessation include… (nicotine patch, bupropion, and varenicline)…" (PDF 153)</w:t>
      </w:r>
    </w:p>
    <w:p>
      <w:pPr>
        <w:pStyle w:val="ListBullet"/>
      </w:pPr>
      <w:r>
        <w:rPr>
          <w:b/>
        </w:rPr>
        <w:t>Problema:</w:t>
      </w:r>
      <w:r>
        <w:t xml:space="preserve"> la citisina no aparece en todo el informe. Es eficaz, barata, se comercializa desde hace décadas en Europa central y oriental (y en otros mercados) y está incluida en la guía de la OMS. Su omisión es relevante para la equidad en países de ingresos bajos y medios, donde la vareniclina tiene problemas de disponibilidad (retiradas por nitrosaminas en 2021).</w:t>
      </w:r>
    </w:p>
    <w:p>
      <w:pPr>
        <w:pStyle w:val="ListBullet"/>
      </w:pPr>
      <w:r>
        <w:rPr>
          <w:b/>
        </w:rPr>
        <w:t>Evidencia/justificación:</w:t>
      </w:r>
    </w:p>
    <w:p>
      <w:pPr>
        <w:pStyle w:val="ListBullet2"/>
      </w:pPr>
      <w:r>
        <w:t>Livingstone-Banks J et al., Cochrane CD006103 (2023):</w:t>
      </w:r>
    </w:p>
    <w:p>
      <w:pPr>
        <w:pStyle w:val="ListBullet2"/>
      </w:pPr>
      <w:r>
        <w:t>Citisina frente a placebo: RR 1,30 (IC 95% 1,15-1,47).</w:t>
      </w:r>
    </w:p>
    <w:p>
      <w:pPr>
        <w:pStyle w:val="ListBullet2"/>
      </w:pPr>
      <w:r>
        <w:t>Citisina frente a vareniclina: RR 1,00 (0,79-1,26).</w:t>
      </w:r>
    </w:p>
    <w:p>
      <w:pPr>
        <w:pStyle w:val="ListBullet2"/>
      </w:pPr>
      <w:r>
        <w:t>Vareniclina frente a placebo: RR 2,32.</w:t>
      </w:r>
    </w:p>
    <w:p>
      <w:pPr>
        <w:pStyle w:val="ListBullet2"/>
      </w:pPr>
      <w:r>
        <w:t xml:space="preserve">OMS, </w:t>
      </w:r>
      <w:r>
        <w:rPr>
          <w:i/>
        </w:rPr>
        <w:t>Clinical treatment guideline for tobacco cessation in adults</w:t>
      </w:r>
      <w:r>
        <w:t xml:space="preserve"> (2024): recomienda vareniclina, TSN, bupropión y citisina.</w:t>
      </w:r>
    </w:p>
    <w:p>
      <w:pPr>
        <w:pStyle w:val="ListBullet2"/>
      </w:pPr>
      <w:r>
        <w:t>Cytisinicline: ORCA-2 (Rigotti NA et al., JAMA 2023;330:152-160) y ORCA-3 (JAMA Intern Med 2025); solicitud de comercialización (NDA) aceptada por la FDA en 2025.</w:t>
      </w:r>
    </w:p>
    <w:p>
      <w:pPr>
        <w:pStyle w:val="ListBullet"/>
      </w:pPr>
      <w:r>
        <w:rPr>
          <w:b/>
        </w:rPr>
        <w:t>Recomendación:</w:t>
      </w:r>
      <w:r>
        <w:t xml:space="preserve"> incluir la citisina como opción eficaz y coste-efectiva, de acuerdo con la OMS 2024, con su pauta habitual (25 días, dosis decrecientes) y su disponibilidad por regiones.</w:t>
      </w:r>
    </w:p>
    <w:p>
      <w:pPr>
        <w:pStyle w:val="ListBullet"/>
      </w:pPr>
      <w:r>
        <w:rPr>
          <w:b/>
        </w:rPr>
        <w:t>Confianza:</w:t>
      </w:r>
      <w:r>
        <w:t xml:space="preserve"> 5/5</w:t>
      </w:r>
    </w:p>
    <w:p>
      <w:pPr>
        <w:pStyle w:val="Heading4"/>
      </w:pPr>
      <w:r>
        <w:t>FARM-10 · TSN "contraindicada" tras IAM o ictus; estudio observacional presentado como comparativo</w:t>
      </w:r>
    </w:p>
    <w:p>
      <w:r>
        <w:rPr>
          <w:i/>
        </w:rPr>
        <w:t xml:space="preserve">Severidad final: </w:t>
      </w:r>
      <w:r>
        <w:rPr>
          <w:i/>
          <w:color w:val="FFC000"/>
        </w:rPr>
        <w:t>🟡</w:t>
      </w:r>
      <w:r>
        <w:rPr>
          <w:i/>
        </w:rPr>
        <w:t xml:space="preserve"> MEDIA · Tema T16: Tabaquismo y otros factores de riesgo inhalados</w:t>
      </w:r>
    </w:p>
    <w:p>
      <w:pPr>
        <w:pStyle w:val="ListBullet"/>
      </w:pPr>
      <w:r>
        <w:rPr>
          <w:b/>
        </w:rPr>
        <w:t>Tipo:</w:t>
      </w:r>
      <w:r>
        <w:t xml:space="preserve"> Desactualización / Evidencia mal representada</w:t>
      </w:r>
    </w:p>
    <w:p>
      <w:pPr>
        <w:pStyle w:val="ListBullet"/>
      </w:pPr>
      <w:r>
        <w:rPr>
          <w:b/>
        </w:rPr>
        <w:t>Severidad:</w:t>
      </w:r>
      <w:r>
        <w:t xml:space="preserve"> MEDIA</w:t>
      </w:r>
    </w:p>
    <w:p>
      <w:pPr>
        <w:pStyle w:val="ListBullet"/>
      </w:pPr>
      <w:r>
        <w:rPr>
          <w:b/>
        </w:rPr>
        <w:t>Ubicación:</w:t>
      </w:r>
      <w:r>
        <w:t xml:space="preserve"> PDF 153-154 / impr. 142-143 (Apéndice 3)</w:t>
      </w:r>
    </w:p>
    <w:p>
      <w:pPr>
        <w:pStyle w:val="ListBullet"/>
      </w:pPr>
      <w:r>
        <w:rPr>
          <w:b/>
        </w:rPr>
        <w:t>Cita:</w:t>
      </w:r>
    </w:p>
    <w:p>
      <w:pPr>
        <w:pStyle w:val="ListBullet2"/>
      </w:pPr>
      <w:r>
        <w:t>"medical contraindications to nicotine replacement therapy include recent myocardial infarction or stroke.(575,1441,1442)"</w:t>
      </w:r>
    </w:p>
    <w:p>
      <w:pPr>
        <w:pStyle w:val="ListBullet2"/>
      </w:pPr>
      <w:r>
        <w:t>"A study in patients with COPD showed higher continuous abstinence rates… varenicline (58.3%) and bupropion (55.6%) compared with nicotine patch (38.2%).(1467)"</w:t>
      </w:r>
    </w:p>
    <w:p>
      <w:pPr>
        <w:pStyle w:val="ListBullet"/>
      </w:pPr>
      <w:r>
        <w:rPr>
          <w:b/>
        </w:rPr>
        <w:t>Problema:</w:t>
      </w:r>
    </w:p>
    <w:p>
      <w:pPr>
        <w:pStyle w:val="ListBullet2"/>
      </w:pPr>
      <w:r>
        <w:t>Se califica la TSN de "contraindicación" con referencias de 1996-2006, y la frase siguiente lo contradice: el beneficio es incierto y puede iniciarse a las 2 semanas. La redacción puede llevar a negar TSN a pacientes con EPOC y cardiopatía, en los que fumar es mucho más dañino.</w:t>
      </w:r>
    </w:p>
    <w:p>
      <w:pPr>
        <w:pStyle w:val="ListBullet2"/>
      </w:pPr>
      <w:r>
        <w:t>La ref 1467 (Jiménez-Ruiz, NTR 2012) es observacional y no aleatorizada, con tasas inusualmente altas, pero se presenta como "a study" con porcentajes comparativos.</w:t>
      </w:r>
    </w:p>
    <w:p>
      <w:pPr>
        <w:pStyle w:val="ListBullet"/>
      </w:pPr>
      <w:r>
        <w:rPr>
          <w:b/>
        </w:rPr>
        <w:t>Evidencia/justificación:</w:t>
      </w:r>
      <w:r>
        <w:t xml:space="preserve"> Barua RS et al., </w:t>
      </w:r>
      <w:r>
        <w:rPr>
          <w:i/>
        </w:rPr>
        <w:t>2018 ACC Expert Consensus Decision Pathway on Tobacco Cessation</w:t>
      </w:r>
      <w:r>
        <w:t>, JACC 2018;72:3332-3365: la TSN es segura en enfermedad cardiovascular estable; en un SCA reciente, precaución, no contraindicación.</w:t>
      </w:r>
    </w:p>
    <w:p>
      <w:pPr>
        <w:pStyle w:val="ListBullet"/>
      </w:pPr>
      <w:r>
        <w:rPr>
          <w:b/>
        </w:rPr>
        <w:t>Recomendación:</w:t>
      </w:r>
    </w:p>
    <w:p>
      <w:pPr>
        <w:pStyle w:val="ListBullet2"/>
      </w:pPr>
      <w:r>
        <w:t>Sustituir "contraindications" por "precaución en las 2 semanas posteriores a un IAM o ictus; el riesgo de seguir fumando supera al de la TSN".</w:t>
      </w:r>
    </w:p>
    <w:p>
      <w:pPr>
        <w:pStyle w:val="ListBullet2"/>
      </w:pPr>
      <w:r>
        <w:t>Calificar la ref 1467 como estudio observacional.</w:t>
      </w:r>
    </w:p>
    <w:p>
      <w:pPr>
        <w:pStyle w:val="ListBullet"/>
      </w:pPr>
      <w:r>
        <w:rPr>
          <w:b/>
        </w:rPr>
        <w:t>Confianza:</w:t>
      </w:r>
      <w:r>
        <w:t xml:space="preserve"> 4/5</w:t>
      </w:r>
    </w:p>
    <w:p>
      <w:pPr>
        <w:pStyle w:val="Heading4"/>
      </w:pPr>
      <w:r>
        <w:t>MET-14 · Fig 3.5: basada en la guía estadounidense del año 2000 y con contenido que esa guía no contiene</w:t>
      </w:r>
    </w:p>
    <w:p>
      <w:r>
        <w:rPr>
          <w:i/>
        </w:rPr>
        <w:t xml:space="preserve">Severidad final: </w:t>
      </w:r>
      <w:r>
        <w:rPr>
          <w:i/>
          <w:color w:val="FFC000"/>
        </w:rPr>
        <w:t>🟡</w:t>
      </w:r>
      <w:r>
        <w:rPr>
          <w:i/>
        </w:rPr>
        <w:t xml:space="preserve"> MEDIA · Tema T16: Tabaquismo y otros factores de riesgo inhalados</w:t>
      </w:r>
    </w:p>
    <w:p>
      <w:pPr>
        <w:pStyle w:val="IntenseQuote"/>
      </w:pPr>
      <w:r>
        <w:rPr>
          <w:b/>
        </w:rPr>
        <w:t>Verificación independiente (CONFIRMADO):</w:t>
      </w:r>
      <w:r>
        <w:t xml:space="preserve"> Si el hallazgo alude a una «ref. 572 corrupta», el problema está en la bibliografía, no en la figura.</w:t>
      </w:r>
    </w:p>
    <w:p>
      <w:pPr>
        <w:pStyle w:val="ListBullet"/>
      </w:pPr>
      <w:r>
        <w:rPr>
          <w:b/>
        </w:rPr>
        <w:t>Tipo:</w:t>
      </w:r>
      <w:r>
        <w:t xml:space="preserve"> Desactualización</w:t>
      </w:r>
    </w:p>
    <w:p>
      <w:pPr>
        <w:pStyle w:val="ListBullet"/>
      </w:pPr>
      <w:r>
        <w:rPr>
          <w:b/>
        </w:rPr>
        <w:t>Severidad:</w:t>
      </w:r>
      <w:r>
        <w:t xml:space="preserve"> MEDIA</w:t>
      </w:r>
    </w:p>
    <w:p>
      <w:pPr>
        <w:pStyle w:val="ListBullet"/>
      </w:pPr>
      <w:r>
        <w:rPr>
          <w:b/>
        </w:rPr>
        <w:t>Ubicación:</w:t>
      </w:r>
      <w:r>
        <w:t xml:space="preserve"> Fig 3.5 (PDF 66 / impr. 55); refs 572-573 (PDF 197-198 / impr. 186-187)</w:t>
      </w:r>
    </w:p>
    <w:p>
      <w:pPr>
        <w:pStyle w:val="ListBullet"/>
      </w:pPr>
      <w:r>
        <w:rPr>
          <w:b/>
        </w:rPr>
        <w:t>Cita:</w:t>
      </w:r>
      <w:r>
        <w:t xml:space="preserve"> «First-line pharmacotherapies for tobacco dependence — varenicline, nortriptyline, bupropion sustained release, nicotine gum, nicotine inhaler, nicotine nasal spray, and nicotine patch» … «Reference: The Tobacco Use and Dependence Clinical Practice Guideline Panel. JAMA 2000»</w:t>
      </w:r>
    </w:p>
    <w:p>
      <w:pPr>
        <w:pStyle w:val="ListBullet"/>
      </w:pPr>
      <w:r>
        <w:rPr>
          <w:b/>
        </w:rPr>
        <w:t>Problema:</w:t>
      </w:r>
    </w:p>
    <w:p>
      <w:pPr>
        <w:pStyle w:val="ListBullet2"/>
      </w:pPr>
      <w:r>
        <w:rPr>
          <w:b/>
        </w:rPr>
        <w:t>Atribución imposible.</w:t>
      </w:r>
      <w:r>
        <w:t xml:space="preserve"> La figura atribuye a la guía de 2000 la vareniclina, que se aprobó en 2006.</w:t>
      </w:r>
    </w:p>
    <w:p>
      <w:pPr>
        <w:pStyle w:val="ListBullet2"/>
      </w:pPr>
      <w:r>
        <w:rPr>
          <w:b/>
        </w:rPr>
        <w:t>Nortriptilina.</w:t>
      </w:r>
      <w:r>
        <w:t xml:space="preserve"> Aparece como primera línea, cuando era de segunda línea tanto en la guía de 2000 como en su actualización de 2008. La actualización de 2008 está en la lista (ref 573) pero no se usa.</w:t>
      </w:r>
    </w:p>
    <w:p>
      <w:pPr>
        <w:pStyle w:val="ListBullet2"/>
      </w:pPr>
      <w:r>
        <w:rPr>
          <w:b/>
        </w:rPr>
        <w:t>Omisiones.</w:t>
      </w:r>
      <w:r>
        <w:t xml:space="preserve"> No se mencionan la terapia sustitutiva de nicotina combinada ni la citisina.</w:t>
      </w:r>
    </w:p>
    <w:p>
      <w:pPr>
        <w:pStyle w:val="ListBullet2"/>
      </w:pPr>
      <w:r>
        <w:rPr>
          <w:b/>
        </w:rPr>
        <w:t>Ref 572 corrupta.</w:t>
      </w:r>
      <w:r>
        <w:t xml:space="preserve"> Dice «guideline panel s, and consortium representatives,.» y da como volumen «28» en lugar de 283.</w:t>
      </w:r>
    </w:p>
    <w:p>
      <w:pPr>
        <w:pStyle w:val="ListBullet"/>
      </w:pPr>
      <w:r>
        <w:rPr>
          <w:b/>
        </w:rPr>
        <w:t>Evidencia/justificación:</w:t>
      </w:r>
      <w:r>
        <w:t xml:space="preserve"> Fiore et al., guía del PHS 2008 (ref 573); fecha de aprobación de la vareniclina por la FDA (2006); referencias 572-573.</w:t>
      </w:r>
    </w:p>
    <w:p>
      <w:pPr>
        <w:pStyle w:val="ListBullet"/>
      </w:pPr>
      <w:r>
        <w:rPr>
          <w:b/>
        </w:rPr>
        <w:t>Recomendación:</w:t>
      </w:r>
      <w:r>
        <w:t xml:space="preserve"> Basar la figura en la actualización de 2008 o, mejor, en una revisión sistemática reciente (USPSTF 2021); corregir el estatus de la nortriptilina y la ref 572.</w:t>
      </w:r>
    </w:p>
    <w:p>
      <w:pPr>
        <w:pStyle w:val="ListBullet"/>
      </w:pPr>
      <w:r>
        <w:rPr>
          <w:b/>
        </w:rPr>
        <w:t>Confianza:</w:t>
      </w:r>
      <w:r>
        <w:t xml:space="preserve"> 4</w:t>
      </w:r>
    </w:p>
    <w:p>
      <w:pPr>
        <w:pStyle w:val="Heading4"/>
      </w:pPr>
      <w:r>
        <w:t>EQ-19 · Vacunación: recomendaciones centradas en EE. UU. (CDC/FDA), sin alternativas cuando PCV20/PCV21 o la vacuna frente al VRS no están disponibles</w:t>
      </w:r>
    </w:p>
    <w:p>
      <w:r>
        <w:rPr>
          <w:i/>
        </w:rPr>
        <w:t xml:space="preserve">Severidad final: </w:t>
      </w:r>
      <w:r>
        <w:rPr>
          <w:i/>
          <w:color w:val="FFC000"/>
        </w:rPr>
        <w:t>🟡</w:t>
      </w:r>
      <w:r>
        <w:rPr>
          <w:i/>
        </w:rPr>
        <w:t xml:space="preserve"> MEDIA · Tema T17: Vacunación</w:t>
      </w:r>
    </w:p>
    <w:p>
      <w:pPr>
        <w:pStyle w:val="ListBullet"/>
      </w:pPr>
      <w:r>
        <w:rPr>
          <w:b/>
        </w:rPr>
        <w:t>Tipo:</w:t>
      </w:r>
      <w:r>
        <w:t xml:space="preserve"> Sesgo/Equidad</w:t>
      </w:r>
    </w:p>
    <w:p>
      <w:pPr>
        <w:pStyle w:val="ListBullet"/>
      </w:pPr>
      <w:r>
        <w:rPr>
          <w:b/>
        </w:rPr>
        <w:t>Severidad:</w:t>
      </w:r>
      <w:r>
        <w:t xml:space="preserve"> MEDIA</w:t>
      </w:r>
    </w:p>
    <w:p>
      <w:pPr>
        <w:pStyle w:val="ListBullet"/>
      </w:pPr>
      <w:r>
        <w:rPr>
          <w:b/>
        </w:rPr>
        <w:t>Ubicación:</w:t>
      </w:r>
      <w:r>
        <w:t xml:space="preserve"> PDF 68-70 / impr. 57-59 ("Vaccinations"; figura 3.6).</w:t>
      </w:r>
    </w:p>
    <w:p>
      <w:pPr>
        <w:pStyle w:val="ListBullet"/>
      </w:pPr>
      <w:r>
        <w:rPr>
          <w:b/>
        </w:rPr>
        <w:t>Cita:</w:t>
      </w:r>
      <w:r>
        <w:t xml:space="preserve"> "We recommend the use of PCV20 or PCV21 in patients with COPD." (PDF 68). Además: "The CDC recommends…" y "other FDA-approved pneumococcal vaccines".</w:t>
      </w:r>
    </w:p>
    <w:p>
      <w:pPr>
        <w:pStyle w:val="ListBullet"/>
      </w:pPr>
      <w:r>
        <w:rPr>
          <w:b/>
        </w:rPr>
        <w:t>Problema:</w:t>
      </w:r>
      <w:r>
        <w:t xml:space="preserve"> La sección reproduce el calendario de ACIP/CDC: PCV20/PCV21, gripe de alta dosis o adyuvada, VRS y Tdap. No aclara qué hacer donde estas vacunas no están registradas o no se financian, que es el caso de gran parte de los LMIC y de algunos HIC: PCV13, PPSV23 o la priorización de la gripe estacional estándar. La única concesión es un "in line with relevant local guidelines" inicial.</w:t>
      </w:r>
    </w:p>
    <w:p>
      <w:pPr>
        <w:pStyle w:val="ListBullet"/>
      </w:pPr>
      <w:r>
        <w:rPr>
          <w:b/>
        </w:rPr>
        <w:t>Evidencia/justificación:</w:t>
      </w:r>
      <w:r>
        <w:t xml:space="preserve"> La OMS recomienda la vacunación antigripal en personas con enfermedades crónicas (documento de posición de 2022). Para la vacunación antineumocócica en adultos, la OMS deja la decisión al contexto local según la carga y el coste (documento de posición de 2019). Las fuentes citadas en la sección son mayoritariamente de CDC/ACIP.</w:t>
      </w:r>
    </w:p>
    <w:p>
      <w:pPr>
        <w:pStyle w:val="ListBullet"/>
      </w:pPr>
      <w:r>
        <w:rPr>
          <w:b/>
        </w:rPr>
        <w:t>Recomendación:</w:t>
      </w:r>
    </w:p>
    <w:p>
      <w:pPr>
        <w:pStyle w:val="ListBullet2"/>
      </w:pPr>
      <w:r>
        <w:t>Reformular como "vacunas recomendadas, por orden de prioridad según disponibilidad".</w:t>
      </w:r>
    </w:p>
    <w:p>
      <w:pPr>
        <w:pStyle w:val="ListBullet2"/>
      </w:pPr>
      <w:r>
        <w:t>Gripe anual: prioridad máxima y de bajo coste.</w:t>
      </w:r>
    </w:p>
    <w:p>
      <w:pPr>
        <w:pStyle w:val="ListBullet2"/>
      </w:pPr>
      <w:r>
        <w:t>Neumococo: la PCV de mayor valencia disponible; si no, PCV13 o PPSV23.</w:t>
      </w:r>
    </w:p>
    <w:p>
      <w:pPr>
        <w:pStyle w:val="ListBullet2"/>
      </w:pPr>
      <w:r>
        <w:t>VRS, herpes zóster y Tdap donde estén disponibles.</w:t>
      </w:r>
    </w:p>
    <w:p>
      <w:pPr>
        <w:pStyle w:val="ListBullet2"/>
      </w:pPr>
      <w:r>
        <w:t>Citar las posiciones de la OMS/SAGE junto a las de ACIP.</w:t>
      </w:r>
    </w:p>
    <w:p>
      <w:pPr>
        <w:pStyle w:val="ListBullet"/>
      </w:pPr>
      <w:r>
        <w:rPr>
          <w:b/>
        </w:rPr>
        <w:t>Confianza:</w:t>
      </w:r>
      <w:r>
        <w:t xml:space="preserve"> 4/5</w:t>
      </w:r>
    </w:p>
    <w:p>
      <w:pPr>
        <w:pStyle w:val="Heading4"/>
      </w:pPr>
      <w:r>
        <w:t>FARM-01 · VRS: la Fig 3.6 amplía la indicación respecto al texto y al ACIP, con nivel de evidencia y seguridad mal representados</w:t>
      </w:r>
    </w:p>
    <w:p>
      <w:r>
        <w:rPr>
          <w:i/>
        </w:rPr>
        <w:t xml:space="preserve">Severidad final: </w:t>
      </w:r>
      <w:r>
        <w:rPr>
          <w:i/>
          <w:color w:val="FFC000"/>
        </w:rPr>
        <w:t>🟡</w:t>
      </w:r>
      <w:r>
        <w:rPr>
          <w:i/>
        </w:rPr>
        <w:t xml:space="preserve"> MEDIA · Tema T17: Vacunación</w:t>
      </w:r>
    </w:p>
    <w:p>
      <w:pPr>
        <w:pStyle w:val="IntenseQuote"/>
      </w:pPr>
      <w:r>
        <w:rPr>
          <w:b/>
        </w:rPr>
        <w:t>Verificación independiente (CONFIRMADO PARCIAL):</w:t>
      </w:r>
      <w:r>
        <w:t xml:space="preserve"> La figura va dirigida a pacientes con EPOC, que ya es un factor de riesgo, así que «≥ 50» coincide con el texto y el ACIP. La divergencia real es otra: el «and/or» abre la vacuna a pacientes con EPOC menores de 50 años, y la A se aplica a todo (entre 50 y 59 años la base es de inmunopuente). La omisión del Guillain-Barré está en el texto, no en la figura. | Confirmado: - «and/or with chronic… lung disease» extiende la recomendación a personas de &lt;50 años con EPOC, algo que ACIP no recomienda; - se atribuye a la recomendación de 50-59 años una evidencia «A» que no está justificada; - no se mencionan la dosis única, la no revacunación ni la señal de SGB; - la «European Commission» autoriza la comercialización, no emite recomendaciones de vacunación; - en el cap. 4 (PDF 12…</w:t>
      </w:r>
    </w:p>
    <w:p>
      <w:pPr>
        <w:pStyle w:val="IntenseQuote"/>
      </w:pPr>
      <w:r>
        <w:rPr>
          <w:b/>
        </w:rPr>
        <w:t>Severidad ajustada en la consolidación:</w:t>
      </w:r>
      <w:r>
        <w:t xml:space="preserve"> ALTA → MEDIA</w:t>
      </w:r>
    </w:p>
    <w:p>
      <w:pPr>
        <w:pStyle w:val="ListBullet"/>
      </w:pPr>
      <w:r>
        <w:rPr>
          <w:b/>
        </w:rPr>
        <w:t>Tipo:</w:t>
      </w:r>
      <w:r>
        <w:t xml:space="preserve"> Incongruencia interna / Evidencia mal representada / Omisión</w:t>
      </w:r>
    </w:p>
    <w:p>
      <w:pPr>
        <w:pStyle w:val="ListBullet"/>
      </w:pPr>
      <w:r>
        <w:rPr>
          <w:b/>
        </w:rPr>
        <w:t>Severidad:</w:t>
      </w:r>
      <w:r>
        <w:t xml:space="preserve"> ALTA</w:t>
      </w:r>
    </w:p>
    <w:p>
      <w:pPr>
        <w:pStyle w:val="ListBullet"/>
      </w:pPr>
      <w:r>
        <w:rPr>
          <w:b/>
        </w:rPr>
        <w:t>Ubicación:</w:t>
      </w:r>
      <w:r>
        <w:t xml:space="preserve"> PDF 69 / impr. 58 (Fig 3.6); PDF 70 / impr. 59 (texto VRS); PDF 121 / impr. 110 (cap. 4)</w:t>
      </w:r>
    </w:p>
    <w:p>
      <w:pPr>
        <w:pStyle w:val="ListBullet"/>
      </w:pPr>
      <w:r>
        <w:rPr>
          <w:b/>
        </w:rPr>
        <w:t>Cita:</w:t>
      </w:r>
    </w:p>
    <w:p>
      <w:pPr>
        <w:pStyle w:val="ListBullet2"/>
      </w:pPr>
      <w:r>
        <w:t>Fig 3.6: "Respiratory syncytial virus (RSV) vaccination for individuals aged ≥ 50 years and/or with chronic heart or lung disease, as recommended by the CDC (Evidence A)".</w:t>
      </w:r>
    </w:p>
    <w:p>
      <w:pPr>
        <w:pStyle w:val="ListBullet2"/>
      </w:pPr>
      <w:r>
        <w:t>Texto: "For adults aged 50-74 years, vaccination is recommended if they have a risk factor".</w:t>
      </w:r>
    </w:p>
    <w:p>
      <w:pPr>
        <w:pStyle w:val="ListBullet"/>
      </w:pPr>
      <w:r>
        <w:rPr>
          <w:b/>
        </w:rPr>
        <w:t>Problema:</w:t>
      </w:r>
    </w:p>
    <w:p>
      <w:pPr>
        <w:pStyle w:val="ListBullet2"/>
      </w:pPr>
      <w:r>
        <w:t>La figura, leída literalmente, recomienda vacunar a todos los ≥50 años y a cualquier persona con EPOC sea cual sea su edad (el "or"). El texto y el CDC lo limitan a todos los ≥75 años y a los de 50-74 años con riesgo.</w:t>
      </w:r>
    </w:p>
    <w:p>
      <w:pPr>
        <w:pStyle w:val="ListBullet2"/>
      </w:pPr>
      <w:r>
        <w:t>"Evidence A" se aplica de forma indistinta, aunque para 50-59 años la autorización se basa en inmunopuente: los RCT de eficacia incluían ≥60 años.</w:t>
      </w:r>
    </w:p>
    <w:p>
      <w:pPr>
        <w:pStyle w:val="ListBullet2"/>
      </w:pPr>
      <w:r>
        <w:t>No se indica que es dosis única y que hoy no se recomienda revacunar.</w:t>
      </w:r>
    </w:p>
    <w:p>
      <w:pPr>
        <w:pStyle w:val="ListBullet2"/>
      </w:pPr>
      <w:r>
        <w:t>El texto afirma "The safety of RSV vaccinations has been demonstrated (665)", pero omite la advertencia de la FDA sobre el síndrome de Guillain-Barré.</w:t>
      </w:r>
    </w:p>
    <w:p>
      <w:pPr>
        <w:pStyle w:val="ListBullet2"/>
      </w:pPr>
      <w:r>
        <w:t>Se dice que la "European Commission recommend[s]" la vacuna, cuando la CE autoriza y quienes recomiendan son los comités nacionales.</w:t>
      </w:r>
    </w:p>
    <w:p>
      <w:pPr>
        <w:pStyle w:val="ListBullet2"/>
      </w:pPr>
      <w:r>
        <w:t>Errata: "universally recommended for if".</w:t>
      </w:r>
    </w:p>
    <w:p>
      <w:pPr>
        <w:pStyle w:val="ListBullet2"/>
      </w:pPr>
      <w:r>
        <w:t>El cap. 4 (PDF 121) afirma que la inmunización frente al VRS "reduce[s] subsequent COPD exacerbations", sin ningún RCT en EPOC con ese desenlace.</w:t>
      </w:r>
    </w:p>
    <w:p>
      <w:pPr>
        <w:pStyle w:val="ListBullet"/>
      </w:pPr>
      <w:r>
        <w:rPr>
          <w:b/>
        </w:rPr>
        <w:t>Evidencia/justificación:</w:t>
      </w:r>
    </w:p>
    <w:p>
      <w:pPr>
        <w:pStyle w:val="ListBullet2"/>
      </w:pPr>
      <w:r>
        <w:t>ACIP, junio de 2024 (Britton et al., MMWR 2024;73(32):696-702): todos los ≥75 años y los de 60-74 con riesgo aumentado.</w:t>
      </w:r>
    </w:p>
    <w:p>
      <w:pPr>
        <w:pStyle w:val="ListBullet2"/>
      </w:pPr>
      <w:r>
        <w:t>ACIP, abril de 2025 (adoptado por el CDC en 2025): se amplía a 50-59 años con riesgo aumentado; dosis única.</w:t>
      </w:r>
    </w:p>
    <w:p>
      <w:pPr>
        <w:pStyle w:val="ListBullet2"/>
      </w:pPr>
      <w:r>
        <w:t>FDA, 7-ene-2025: cambio obligatorio de ficha técnica (Abrysvo y Arexvy) por riesgo aumentado de SGB en los 42 días posteriores. El estudio poscomercialización en ≥65 años estimó unos 9 casos (Abrysvo) y unos 7 (Arexvy) en exceso por millón de dosis.</w:t>
      </w:r>
    </w:p>
    <w:p>
      <w:pPr>
        <w:pStyle w:val="ListBullet2"/>
      </w:pPr>
      <w:r>
        <w:t>La propia ref 665 (Hause, MMWR 2024) es un informe preliminar de farmacovigilancia que ya describía notificaciones de SGB.</w:t>
      </w:r>
    </w:p>
    <w:p>
      <w:pPr>
        <w:pStyle w:val="ListBullet"/>
      </w:pPr>
      <w:r>
        <w:rPr>
          <w:b/>
        </w:rPr>
        <w:t>Recomendación:</w:t>
      </w:r>
    </w:p>
    <w:p>
      <w:pPr>
        <w:pStyle w:val="ListBullet2"/>
      </w:pPr>
      <w:r>
        <w:t>Alinear la Fig 3.6 con el texto: "≥75 años: todos; 50-74 años con EPOC u otro factor de riesgo: dosis única; no revacunar por ahora".</w:t>
      </w:r>
    </w:p>
    <w:p>
      <w:pPr>
        <w:pStyle w:val="ListBullet2"/>
      </w:pPr>
      <w:r>
        <w:t>Graduar la evidencia: A para ≥60 años; B o "inmunopuente" para 50-59.</w:t>
      </w:r>
    </w:p>
    <w:p>
      <w:pPr>
        <w:pStyle w:val="ListBullet2"/>
      </w:pPr>
      <w:r>
        <w:t>Añadir la advertencia sobre SGB con una frase sobre el balance beneficio/riesgo favorable.</w:t>
      </w:r>
    </w:p>
    <w:p>
      <w:pPr>
        <w:pStyle w:val="ListBullet2"/>
      </w:pPr>
      <w:r>
        <w:t>Sustituir "European Commission recommend" por "EMA/CE autorizan; los NITAG nacionales recomiendan".</w:t>
      </w:r>
    </w:p>
    <w:p>
      <w:pPr>
        <w:pStyle w:val="ListBullet2"/>
      </w:pPr>
      <w:r>
        <w:t>En el cap. 4, cambiar "reduce exacerbations" por "reduce hospitalizaciones por VRS (datos de EPOC limitados)".</w:t>
      </w:r>
    </w:p>
    <w:p>
      <w:pPr>
        <w:pStyle w:val="ListBullet"/>
      </w:pPr>
      <w:r>
        <w:rPr>
          <w:b/>
        </w:rPr>
        <w:t>Confianza:</w:t>
      </w:r>
      <w:r>
        <w:t xml:space="preserve"> 5/5</w:t>
      </w:r>
    </w:p>
    <w:p>
      <w:pPr>
        <w:pStyle w:val="Heading4"/>
      </w:pPr>
      <w:r>
        <w:t xml:space="preserve">FARM-03 · Gripe ≥65 años: se omite la recomendación </w:t>
      </w:r>
      <w:r>
        <w:rPr>
          <w:i/>
        </w:rPr>
        <w:t>preferente</w:t>
      </w:r>
      <w:r>
        <w:t xml:space="preserve"> y la vacuna recombinante</w:t>
      </w:r>
    </w:p>
    <w:p>
      <w:r>
        <w:rPr>
          <w:i/>
        </w:rPr>
        <w:t xml:space="preserve">Severidad final: </w:t>
      </w:r>
      <w:r>
        <w:rPr>
          <w:i/>
          <w:color w:val="FFC000"/>
        </w:rPr>
        <w:t>🟡</w:t>
      </w:r>
      <w:r>
        <w:rPr>
          <w:i/>
        </w:rPr>
        <w:t xml:space="preserve"> MEDIA · Tema T17: Vacunación</w:t>
      </w:r>
    </w:p>
    <w:p>
      <w:pPr>
        <w:pStyle w:val="ListBullet"/>
      </w:pPr>
      <w:r>
        <w:rPr>
          <w:b/>
        </w:rPr>
        <w:t>Tipo:</w:t>
      </w:r>
      <w:r>
        <w:t xml:space="preserve"> Desactualización / Evidencia mal representada</w:t>
      </w:r>
    </w:p>
    <w:p>
      <w:pPr>
        <w:pStyle w:val="ListBullet"/>
      </w:pPr>
      <w:r>
        <w:rPr>
          <w:b/>
        </w:rPr>
        <w:t>Severidad:</w:t>
      </w:r>
      <w:r>
        <w:t xml:space="preserve"> MEDIA</w:t>
      </w:r>
    </w:p>
    <w:p>
      <w:pPr>
        <w:pStyle w:val="ListBullet"/>
      </w:pPr>
      <w:r>
        <w:rPr>
          <w:b/>
        </w:rPr>
        <w:t>Ubicación:</w:t>
      </w:r>
      <w:r>
        <w:t xml:space="preserve"> PDF 68 / impr. 57; PDF 69 / impr. 58 (coadministración)</w:t>
      </w:r>
    </w:p>
    <w:p>
      <w:pPr>
        <w:pStyle w:val="ListBullet"/>
      </w:pPr>
      <w:r>
        <w:rPr>
          <w:b/>
        </w:rPr>
        <w:t>Cita:</w:t>
      </w:r>
      <w:r>
        <w:t xml:space="preserve"> "The CDC recommends high-dose inactivated (HD-IIV3) and adjuvanted inactivated (aIIV3) influenza vaccines as acceptable options for influenza vaccination in older adults.(632)"</w:t>
      </w:r>
    </w:p>
    <w:p>
      <w:pPr>
        <w:pStyle w:val="ListBullet"/>
      </w:pPr>
      <w:r>
        <w:rPr>
          <w:b/>
        </w:rPr>
        <w:t>Problema:</w:t>
      </w:r>
    </w:p>
    <w:p>
      <w:pPr>
        <w:pStyle w:val="ListBullet2"/>
      </w:pPr>
      <w:r>
        <w:t xml:space="preserve">Desde la temporada 2022-23, el ACIP recomienda </w:t>
      </w:r>
      <w:r>
        <w:rPr>
          <w:b/>
        </w:rPr>
        <w:t>preferentemente</w:t>
      </w:r>
      <w:r>
        <w:t xml:space="preserve"> HD-IIV, aIIV </w:t>
      </w:r>
      <w:r>
        <w:rPr>
          <w:b/>
        </w:rPr>
        <w:t>o RIV (recombinante)</w:t>
      </w:r>
      <w:r>
        <w:t xml:space="preserve"> a partir de los 65 años. "Acceptable options" es la redacción del ACIP para otro grupo (receptores de trasplante de órgano sólido de 18-64 años).</w:t>
      </w:r>
    </w:p>
    <w:p>
      <w:pPr>
        <w:pStyle w:val="ListBullet2"/>
      </w:pPr>
      <w:r>
        <w:t>Se omite la RIV3.</w:t>
      </w:r>
    </w:p>
    <w:p>
      <w:pPr>
        <w:pStyle w:val="ListBullet2"/>
      </w:pPr>
      <w:r>
        <w:t>La ref 632 es de la temporada 2024-25; ya existía la de 2025-26.</w:t>
      </w:r>
    </w:p>
    <w:p>
      <w:pPr>
        <w:pStyle w:val="ListBullet2"/>
      </w:pPr>
      <w:r>
        <w:t>En la coadministración se mencionan "QIV [Fluarix]" y "adjuvanted QIV [Fluad]", cuando en EE.UU. todas las vacunas son trivalentes desde 2024-25.</w:t>
      </w:r>
    </w:p>
    <w:p>
      <w:pPr>
        <w:pStyle w:val="ListBullet"/>
      </w:pPr>
      <w:r>
        <w:rPr>
          <w:b/>
        </w:rPr>
        <w:t>Evidencia/justificación:</w:t>
      </w:r>
      <w:r>
        <w:t xml:space="preserve"> Grohskopf LA et al., MMWR 2025;74(32):500-507 (2025-26): preferencia por HD-IIV3, RIV3 o aIIV3 a partir de los 65 años.</w:t>
      </w:r>
    </w:p>
    <w:p>
      <w:pPr>
        <w:pStyle w:val="ListBullet"/>
      </w:pPr>
      <w:r>
        <w:rPr>
          <w:b/>
        </w:rPr>
        <w:t>Recomendación:</w:t>
      </w:r>
    </w:p>
    <w:p>
      <w:pPr>
        <w:pStyle w:val="ListBullet2"/>
      </w:pPr>
      <w:r>
        <w:t>Reescribir: "A partir de los 65 años se prefieren HD-IIV3, RIV3 o aIIV3; si no están disponibles, cualquier vacuna apropiada para la edad".</w:t>
      </w:r>
    </w:p>
    <w:p>
      <w:pPr>
        <w:pStyle w:val="ListBullet2"/>
      </w:pPr>
      <w:r>
        <w:t>Actualizar la referencia y la formulación (trivalente).</w:t>
      </w:r>
    </w:p>
    <w:p>
      <w:pPr>
        <w:pStyle w:val="ListBullet"/>
      </w:pPr>
      <w:r>
        <w:rPr>
          <w:b/>
        </w:rPr>
        <w:t>Confianza:</w:t>
      </w:r>
      <w:r>
        <w:t xml:space="preserve"> 5/5</w:t>
      </w:r>
    </w:p>
    <w:p>
      <w:pPr>
        <w:pStyle w:val="Heading4"/>
      </w:pPr>
      <w:r>
        <w:t>FARM-04 · Neumococo: la PCV13 sigue como opción, faltan esquemas para vacunados previos y se presentan cifras sin cautela</w:t>
      </w:r>
    </w:p>
    <w:p>
      <w:r>
        <w:rPr>
          <w:i/>
        </w:rPr>
        <w:t xml:space="preserve">Severidad final: </w:t>
      </w:r>
      <w:r>
        <w:rPr>
          <w:i/>
          <w:color w:val="FFC000"/>
        </w:rPr>
        <w:t>🟡</w:t>
      </w:r>
      <w:r>
        <w:rPr>
          <w:i/>
        </w:rPr>
        <w:t xml:space="preserve"> MEDIA · Tema T17: Vacunación</w:t>
      </w:r>
    </w:p>
    <w:p>
      <w:pPr>
        <w:pStyle w:val="ListBullet"/>
      </w:pPr>
      <w:r>
        <w:rPr>
          <w:b/>
        </w:rPr>
        <w:t>Tipo:</w:t>
      </w:r>
      <w:r>
        <w:t xml:space="preserve"> Desactualización / Evidencia mal representada</w:t>
      </w:r>
    </w:p>
    <w:p>
      <w:pPr>
        <w:pStyle w:val="ListBullet"/>
      </w:pPr>
      <w:r>
        <w:rPr>
          <w:b/>
        </w:rPr>
        <w:t>Severidad:</w:t>
      </w:r>
      <w:r>
        <w:t xml:space="preserve"> MEDIA</w:t>
      </w:r>
    </w:p>
    <w:p>
      <w:pPr>
        <w:pStyle w:val="ListBullet"/>
      </w:pPr>
      <w:r>
        <w:rPr>
          <w:b/>
        </w:rPr>
        <w:t>Ubicación:</w:t>
      </w:r>
      <w:r>
        <w:t xml:space="preserve"> PDF 68-69 / impr. 57-58 — texto neumococo</w:t>
      </w:r>
    </w:p>
    <w:p>
      <w:pPr>
        <w:pStyle w:val="ListBullet"/>
      </w:pPr>
      <w:r>
        <w:rPr>
          <w:b/>
        </w:rPr>
        <w:t>Cita:</w:t>
      </w:r>
    </w:p>
    <w:p>
      <w:pPr>
        <w:pStyle w:val="ListBullet2"/>
      </w:pPr>
      <w:r>
        <w:t>"The current recommendation is PCV13 or PCV15 followed by PPSV23 or one-dose PCV20".</w:t>
      </w:r>
    </w:p>
    <w:p>
      <w:pPr>
        <w:pStyle w:val="ListBullet2"/>
      </w:pPr>
      <w:r>
        <w:t>"Pneumonia by year 5 after vaccination was registered in 47% of patients in the PPSV23 group, versus 3.3% of patients in the PCV13 group".</w:t>
      </w:r>
    </w:p>
    <w:p>
      <w:pPr>
        <w:pStyle w:val="ListBullet"/>
      </w:pPr>
      <w:r>
        <w:rPr>
          <w:b/>
        </w:rPr>
        <w:t>Problema:</w:t>
      </w:r>
    </w:p>
    <w:p>
      <w:pPr>
        <w:pStyle w:val="ListNumber"/>
        <w:numPr>
          <w:ilvl w:val="0"/>
          <w:numId w:val="37"/>
        </w:numPr>
      </w:pPr>
      <w:r>
        <w:t>La PCV13 ya no es opción de inicio en el esquema del ACIP; la propia ref 645 (calendario de adultos 2025) recoge PCV15→PPSV23, PCV20 o PCV21.</w:t>
      </w:r>
    </w:p>
    <w:p>
      <w:pPr>
        <w:pStyle w:val="ListNumber"/>
        <w:numPr>
          <w:ilvl w:val="0"/>
          <w:numId w:val="37"/>
        </w:numPr>
      </w:pPr>
      <w:r>
        <w:t>No se dan pautas para quien ya recibió PPSV23 o PCV13 (p. ej., PCV20/PCV21 ≥1 año después), una situación frecuente en EPOC.</w:t>
      </w:r>
    </w:p>
    <w:p>
      <w:pPr>
        <w:pStyle w:val="ListNumber"/>
        <w:numPr>
          <w:ilvl w:val="0"/>
          <w:numId w:val="37"/>
        </w:numPr>
      </w:pPr>
      <w:r>
        <w:t>La cobertura "58%/84%" se atribuye a las refs 644 y 646 (ensayos de inmunogenicidad), no a la vigilancia epidemiológica. "Those strains" es ambiguo.</w:t>
      </w:r>
    </w:p>
    <w:p>
      <w:pPr>
        <w:pStyle w:val="ListNumber"/>
        <w:numPr>
          <w:ilvl w:val="0"/>
          <w:numId w:val="37"/>
        </w:numPr>
      </w:pPr>
      <w:r>
        <w:t>La cifra de neumonía a 5 años del 47% frente al 3,3% procede de una cohorte observacional rusa no aleatorizada (Ignatova, Sci Rep 2021; ref 652). La diferencia es biológicamente inverosímil y no se mencionan sus probables sesgos de selección y confusión.</w:t>
      </w:r>
    </w:p>
    <w:p>
      <w:pPr>
        <w:pStyle w:val="ListBullet"/>
      </w:pPr>
      <w:r>
        <w:rPr>
          <w:b/>
        </w:rPr>
        <w:t>Evidencia/justificación:</w:t>
      </w:r>
    </w:p>
    <w:p>
      <w:pPr>
        <w:pStyle w:val="ListBullet2"/>
      </w:pPr>
      <w:r>
        <w:t>Kobayashi M et al., MMWR 2025;74(1):1-8: ACIP de octubre de 2024, vacunación a partir de los 50 años; PCV20 o PCV21 en dosis única, o PCV15 seguida de PPSV23; esquemas específicos para vacunados previamente.</w:t>
      </w:r>
    </w:p>
    <w:p>
      <w:pPr>
        <w:pStyle w:val="ListBullet2"/>
      </w:pPr>
      <w:r>
        <w:t>Calendario ACIP de adultos 2025 (ref 645).</w:t>
      </w:r>
    </w:p>
    <w:p>
      <w:pPr>
        <w:pStyle w:val="ListBullet"/>
      </w:pPr>
      <w:r>
        <w:rPr>
          <w:b/>
        </w:rPr>
        <w:t>Recomendación:</w:t>
      </w:r>
    </w:p>
    <w:p>
      <w:pPr>
        <w:pStyle w:val="ListBullet2"/>
      </w:pPr>
      <w:r>
        <w:t>Eliminar la PCV13 como opción de inicio.</w:t>
      </w:r>
    </w:p>
    <w:p>
      <w:pPr>
        <w:pStyle w:val="ListBullet2"/>
      </w:pPr>
      <w:r>
        <w:t>Añadir una tabla breve de esquemas según la vacunación previa.</w:t>
      </w:r>
    </w:p>
    <w:p>
      <w:pPr>
        <w:pStyle w:val="ListBullet2"/>
      </w:pPr>
      <w:r>
        <w:t>Citar la fuente epidemiológica de la cobertura serotípica (CDC/ABCs) y aclarar que se refiere a enfermedad invasiva en adultos de EE.UU.</w:t>
      </w:r>
    </w:p>
    <w:p>
      <w:pPr>
        <w:pStyle w:val="ListBullet2"/>
      </w:pPr>
      <w:r>
        <w:t>Presentar el estudio de Ignatova como observacional, con cautela, o retirar la cifra.</w:t>
      </w:r>
    </w:p>
    <w:p>
      <w:pPr>
        <w:pStyle w:val="ListBullet"/>
      </w:pPr>
      <w:r>
        <w:rPr>
          <w:b/>
        </w:rPr>
        <w:t>Confianza:</w:t>
      </w:r>
      <w:r>
        <w:t xml:space="preserve"> 4/5</w:t>
      </w:r>
    </w:p>
    <w:p>
      <w:pPr>
        <w:pStyle w:val="Heading4"/>
      </w:pPr>
      <w:r>
        <w:t>FARM-05 · COVID-19: eficacia frente a infección sobrevalorada, referencia errónea y desfase con las recomendaciones de 2025</w:t>
      </w:r>
    </w:p>
    <w:p>
      <w:r>
        <w:rPr>
          <w:i/>
        </w:rPr>
        <w:t xml:space="preserve">Severidad final: </w:t>
      </w:r>
      <w:r>
        <w:rPr>
          <w:i/>
          <w:color w:val="FFC000"/>
        </w:rPr>
        <w:t>🟡</w:t>
      </w:r>
      <w:r>
        <w:rPr>
          <w:i/>
        </w:rPr>
        <w:t xml:space="preserve"> MEDIA · Tema T17: Vacunación</w:t>
      </w:r>
    </w:p>
    <w:p>
      <w:pPr>
        <w:pStyle w:val="ListBullet"/>
      </w:pPr>
      <w:r>
        <w:rPr>
          <w:b/>
        </w:rPr>
        <w:t>Tipo:</w:t>
      </w:r>
      <w:r>
        <w:t xml:space="preserve"> Evidencia mal representada / Error factual (referencia) / Desactualización</w:t>
      </w:r>
    </w:p>
    <w:p>
      <w:pPr>
        <w:pStyle w:val="ListBullet"/>
      </w:pPr>
      <w:r>
        <w:rPr>
          <w:b/>
        </w:rPr>
        <w:t>Severidad:</w:t>
      </w:r>
      <w:r>
        <w:t xml:space="preserve"> MEDIA</w:t>
      </w:r>
    </w:p>
    <w:p>
      <w:pPr>
        <w:pStyle w:val="ListBullet"/>
      </w:pPr>
      <w:r>
        <w:rPr>
          <w:b/>
        </w:rPr>
        <w:t>Ubicación:</w:t>
      </w:r>
      <w:r>
        <w:t xml:space="preserve"> PDF 61 / impr. 50 (key point); PDF 70 / impr. 59 (texto); PDF 69 / impr. 58 (Fig 3.6)</w:t>
      </w:r>
    </w:p>
    <w:p>
      <w:pPr>
        <w:pStyle w:val="ListBullet"/>
      </w:pPr>
      <w:r>
        <w:rPr>
          <w:b/>
        </w:rPr>
        <w:t>Cita:</w:t>
      </w:r>
    </w:p>
    <w:p>
      <w:pPr>
        <w:pStyle w:val="ListBullet2"/>
      </w:pPr>
      <w:r>
        <w:t>Key point: "COVID-19 vaccines are highly effective against SARS-CoV-2 infection".</w:t>
      </w:r>
    </w:p>
    <w:p>
      <w:pPr>
        <w:pStyle w:val="ListBullet2"/>
      </w:pPr>
      <w:r>
        <w:t>Texto: "…highly effective against SARS-CoV-2 infection requiring hospitalization… (190,669)".</w:t>
      </w:r>
    </w:p>
    <w:p>
      <w:pPr>
        <w:pStyle w:val="ListBullet"/>
      </w:pPr>
      <w:r>
        <w:rPr>
          <w:b/>
        </w:rPr>
        <w:t>Problema:</w:t>
      </w:r>
    </w:p>
    <w:p>
      <w:pPr>
        <w:pStyle w:val="ListBullet2"/>
      </w:pPr>
      <w:r>
        <w:t>El key point generaliza a "infection", cuando la protección frente a infección es modesta y se pierde en pocos meses. El texto acota correctamente a formas graves, así que el capítulo se contradice a sí mismo.</w:t>
      </w:r>
    </w:p>
    <w:p>
      <w:pPr>
        <w:pStyle w:val="ListBullet2"/>
      </w:pPr>
      <w:r>
        <w:t>La ref 190 (Diaz AA, JAMA 2023, "tapones de moco y mortalidad") no trata de vacunas: es una cita errónea.</w:t>
      </w:r>
    </w:p>
    <w:p>
      <w:pPr>
        <w:pStyle w:val="ListBullet2"/>
      </w:pPr>
      <w:r>
        <w:t>La ref 669 (Thompson, NEJM 2021) es anterior a Ómicron.</w:t>
      </w:r>
    </w:p>
    <w:p>
      <w:pPr>
        <w:pStyle w:val="ListBullet2"/>
      </w:pPr>
      <w:r>
        <w:t>La Fig 3.6 remite a "WHO and CDC updated recommendations" sin advertir que en 2025 cambiaron:</w:t>
      </w:r>
    </w:p>
    <w:p>
      <w:pPr>
        <w:pStyle w:val="ListBullet2"/>
      </w:pPr>
      <w:r>
        <w:t>La FDA (agosto de 2025) limitó la autorización de 2025-26 a ≥65 años y a personas de riesgo.</w:t>
      </w:r>
    </w:p>
    <w:p>
      <w:pPr>
        <w:pStyle w:val="ListBullet2"/>
      </w:pPr>
      <w:r>
        <w:t>El ACIP (septiembre de 2025, adoptado por el CDC en octubre de 2025) pasó a decisión clínica individualizada.</w:t>
      </w:r>
    </w:p>
    <w:p>
      <w:pPr>
        <w:pStyle w:val="ListBullet2"/>
      </w:pPr>
      <w:r>
        <w:t>La OMS/SAGE prioriza a mayores y personas de alto riesgo.</w:t>
      </w:r>
    </w:p>
    <w:p>
      <w:pPr>
        <w:pStyle w:val="ListBullet"/>
      </w:pPr>
      <w:r>
        <w:rPr>
          <w:b/>
        </w:rPr>
        <w:t>Evidencia/justificación:</w:t>
      </w:r>
    </w:p>
    <w:p>
      <w:pPr>
        <w:pStyle w:val="ListBullet2"/>
      </w:pPr>
      <w:r>
        <w:t>La efectividad frente a infección sintomática de las vacunas monovalentes 2023-24 fue de ~50% en los primeros meses, con declive posterior (Link-Gelles R et al., MMWR 2024;73(4):77-83).</w:t>
      </w:r>
    </w:p>
    <w:p>
      <w:pPr>
        <w:pStyle w:val="ListBullet2"/>
      </w:pPr>
      <w:r>
        <w:t>Comunicados FDA/ACIP/CDC de 2025.</w:t>
      </w:r>
    </w:p>
    <w:p>
      <w:pPr>
        <w:pStyle w:val="ListBullet"/>
      </w:pPr>
      <w:r>
        <w:rPr>
          <w:b/>
        </w:rPr>
        <w:t>Recomendación:</w:t>
      </w:r>
    </w:p>
    <w:p>
      <w:pPr>
        <w:pStyle w:val="ListBullet2"/>
      </w:pPr>
      <w:r>
        <w:t>Key point: "reducen hospitalización, ingreso en UCI y muerte; protección modesta y transitoria frente a infección".</w:t>
      </w:r>
    </w:p>
    <w:p>
      <w:pPr>
        <w:pStyle w:val="ListBullet2"/>
      </w:pPr>
      <w:r>
        <w:t>Sustituir la ref 190 y actualizar con datos de la era Ómicron (2023-2025).</w:t>
      </w:r>
    </w:p>
    <w:p>
      <w:pPr>
        <w:pStyle w:val="ListBullet2"/>
      </w:pPr>
      <w:r>
        <w:t>Indicar explícitamente que la EPOC es condición de riesgo que justifica la vacunación anual según las autoridades nacionales.</w:t>
      </w:r>
    </w:p>
    <w:p>
      <w:pPr>
        <w:pStyle w:val="ListBullet"/>
      </w:pPr>
      <w:r>
        <w:rPr>
          <w:b/>
        </w:rPr>
        <w:t>Confianza:</w:t>
      </w:r>
      <w:r>
        <w:t xml:space="preserve"> 5/5</w:t>
      </w:r>
    </w:p>
    <w:p>
      <w:pPr>
        <w:pStyle w:val="Heading4"/>
      </w:pPr>
      <w:r>
        <w:t>FARM-06 · Tdap y herpes zóster: nomenclatura, edades y pautas inexactas</w:t>
      </w:r>
    </w:p>
    <w:p>
      <w:r>
        <w:rPr>
          <w:i/>
        </w:rPr>
        <w:t xml:space="preserve">Severidad final: </w:t>
      </w:r>
      <w:r>
        <w:rPr>
          <w:i/>
          <w:color w:val="FFC000"/>
        </w:rPr>
        <w:t>🟡</w:t>
      </w:r>
      <w:r>
        <w:rPr>
          <w:i/>
        </w:rPr>
        <w:t xml:space="preserve"> MEDIA · Tema T17: Vacunación</w:t>
      </w:r>
    </w:p>
    <w:p>
      <w:pPr>
        <w:pStyle w:val="ListBullet"/>
      </w:pPr>
      <w:r>
        <w:rPr>
          <w:b/>
        </w:rPr>
        <w:t>Tipo:</w:t>
      </w:r>
      <w:r>
        <w:t xml:space="preserve"> Error factual / Ambigüedad</w:t>
      </w:r>
    </w:p>
    <w:p>
      <w:pPr>
        <w:pStyle w:val="ListBullet"/>
      </w:pPr>
      <w:r>
        <w:rPr>
          <w:b/>
        </w:rPr>
        <w:t>Severidad:</w:t>
      </w:r>
      <w:r>
        <w:t xml:space="preserve"> MEDIA</w:t>
      </w:r>
    </w:p>
    <w:p>
      <w:pPr>
        <w:pStyle w:val="ListBullet"/>
      </w:pPr>
      <w:r>
        <w:rPr>
          <w:b/>
        </w:rPr>
        <w:t>Ubicación:</w:t>
      </w:r>
      <w:r>
        <w:t xml:space="preserve"> PDF 61 / impr. 50 (key point); PDF 69 / impr. 58 (Fig 3.6); PDF 70 / impr. 59</w:t>
      </w:r>
    </w:p>
    <w:p>
      <w:pPr>
        <w:pStyle w:val="ListBullet"/>
      </w:pPr>
      <w:r>
        <w:rPr>
          <w:b/>
        </w:rPr>
        <w:t>Cita:</w:t>
      </w:r>
    </w:p>
    <w:p>
      <w:pPr>
        <w:pStyle w:val="ListBullet2"/>
      </w:pPr>
      <w:r>
        <w:t>Key point: "Tdap vaccination (dTaP/dTPa; pertussis, tetanus and diptheria) for people with COPD who were not vaccinated in adolescence".</w:t>
      </w:r>
    </w:p>
    <w:p>
      <w:pPr>
        <w:pStyle w:val="ListBullet2"/>
      </w:pPr>
      <w:r>
        <w:t>Fig 3.6: "Zoster vaccine… for people with COPD aged &gt; 50 years".</w:t>
      </w:r>
    </w:p>
    <w:p>
      <w:pPr>
        <w:pStyle w:val="ListBullet"/>
      </w:pPr>
      <w:r>
        <w:rPr>
          <w:b/>
        </w:rPr>
        <w:t>Problema:</w:t>
      </w:r>
    </w:p>
    <w:p>
      <w:pPr>
        <w:pStyle w:val="ListBullet2"/>
      </w:pPr>
      <w:r>
        <w:t>"DTaP/DTPa" designa las formulaciones pediátricas (dosis antigénicas plenas). Las de adulto son Tdap (EE.UU.) o dTpa (Europa), y confundirlas puede llevar a un error de producto.</w:t>
      </w:r>
    </w:p>
    <w:p>
      <w:pPr>
        <w:pStyle w:val="ListBullet2"/>
      </w:pPr>
      <w:r>
        <w:t>La recomendación Tdap no es específica de la EPOC: se aplica a todo adulto no vacunado. Se omiten el refuerzo Td/Tdap cada 10 años y la "Evidence B", que carece de evidencia específica en EPOC.</w:t>
      </w:r>
    </w:p>
    <w:p>
      <w:pPr>
        <w:pStyle w:val="ListBullet2"/>
      </w:pPr>
      <w:r>
        <w:t>Zóster: "&gt;50" frente a "≥50" del CDC. No se especifica la vacuna recombinante adyuvada (RZV) en 2 dosis ni su indicación a partir de los 19 años en inmunodeprimidos (relevante con corticoides sistémicos o biológicos).</w:t>
      </w:r>
    </w:p>
    <w:p>
      <w:pPr>
        <w:pStyle w:val="ListBullet2"/>
      </w:pPr>
      <w:r>
        <w:t>Errata: "diptheria".</w:t>
      </w:r>
    </w:p>
    <w:p>
      <w:pPr>
        <w:pStyle w:val="ListBullet"/>
      </w:pPr>
      <w:r>
        <w:rPr>
          <w:b/>
        </w:rPr>
        <w:t>Evidencia/justificación:</w:t>
      </w:r>
    </w:p>
    <w:p>
      <w:pPr>
        <w:pStyle w:val="ListBullet2"/>
      </w:pPr>
      <w:r>
        <w:t>Havers FP et al., MMWR 2020;69:77-83: Tdap una vez en adultos y Td o Tdap cada 10 años.</w:t>
      </w:r>
    </w:p>
    <w:p>
      <w:pPr>
        <w:pStyle w:val="ListBullet2"/>
      </w:pPr>
      <w:r>
        <w:t>Dooling KL et al., MMWR 2018;67:103-108: RZV a partir de los 50 años.</w:t>
      </w:r>
    </w:p>
    <w:p>
      <w:pPr>
        <w:pStyle w:val="ListBullet2"/>
      </w:pPr>
      <w:r>
        <w:t>Anderson TC et al., MMWR 2022;71:80-84: RZV a partir de los 19 años en inmunodeprimidos.</w:t>
      </w:r>
    </w:p>
    <w:p>
      <w:pPr>
        <w:pStyle w:val="ListBullet"/>
      </w:pPr>
      <w:r>
        <w:rPr>
          <w:b/>
        </w:rPr>
        <w:t>Recomendación:</w:t>
      </w:r>
      <w:r>
        <w:t xml:space="preserve"> "Tdap/dTpa (formulación de adulto) si no se recibió en la adolescencia o la edad adulta; refuerzo con Td/Tdap cada 10 años. RZV en 2 dosis (intervalo de 2-6 meses) a partir de los 50 años, o de los 19 si hay inmunosupresión".</w:t>
      </w:r>
    </w:p>
    <w:p>
      <w:pPr>
        <w:pStyle w:val="ListBullet"/>
      </w:pPr>
      <w:r>
        <w:rPr>
          <w:b/>
        </w:rPr>
        <w:t>Confianza:</w:t>
      </w:r>
      <w:r>
        <w:t xml:space="preserve"> 4/5</w:t>
      </w:r>
    </w:p>
    <w:p>
      <w:pPr>
        <w:pStyle w:val="Heading4"/>
      </w:pPr>
      <w:r>
        <w:t>DX-03 · PRISm y pre-EPOC ausentes del capítulo diagnóstico</w:t>
      </w:r>
    </w:p>
    <w:p>
      <w:r>
        <w:rPr>
          <w:i/>
        </w:rPr>
        <w:t xml:space="preserve">Severidad final: </w:t>
      </w:r>
      <w:r>
        <w:rPr>
          <w:i/>
          <w:color w:val="FFC000"/>
        </w:rPr>
        <w:t>🟡</w:t>
      </w:r>
      <w:r>
        <w:rPr>
          <w:i/>
        </w:rPr>
        <w:t xml:space="preserve"> MEDIA · Tema T18: Diagnóstico, espirometría, búsqueda de casos, pre-EPOC/PRISm</w:t>
      </w:r>
    </w:p>
    <w:p>
      <w:pPr>
        <w:pStyle w:val="ListBullet"/>
      </w:pPr>
      <w:r>
        <w:rPr>
          <w:b/>
        </w:rPr>
        <w:t>Tipo:</w:t>
      </w:r>
      <w:r>
        <w:t xml:space="preserve"> Omisión / Incongruencia entre capítulos</w:t>
      </w:r>
    </w:p>
    <w:p>
      <w:pPr>
        <w:pStyle w:val="ListBullet"/>
      </w:pPr>
      <w:r>
        <w:rPr>
          <w:b/>
        </w:rPr>
        <w:t>Severidad:</w:t>
      </w:r>
      <w:r>
        <w:t xml:space="preserve"> MEDIA</w:t>
      </w:r>
    </w:p>
    <w:p>
      <w:pPr>
        <w:pStyle w:val="ListBullet"/>
      </w:pPr>
      <w:r>
        <w:rPr>
          <w:b/>
        </w:rPr>
        <w:t>Ubicación:</w:t>
      </w:r>
      <w:r>
        <w:t xml:space="preserve"> Cap. 2 completo (PDF 32-60). Cotejado con el cap. 1, PDF 18 / impr. 7 y PDF 25 / impr. 14.</w:t>
      </w:r>
    </w:p>
    <w:p>
      <w:pPr>
        <w:pStyle w:val="ListBullet"/>
      </w:pPr>
      <w:r>
        <w:rPr>
          <w:b/>
        </w:rPr>
        <w:t>Cita:</w:t>
      </w:r>
      <w:r>
        <w:t xml:space="preserve"> Cap. 1: «PRISm describes individuals with preserved ratio (FEV1/FVC ≥ 0.7 after bronchodilation) but impaired spirometry (FEV1 &lt; 80% of reference…)… they should be considered "patients"… they deserve care and treatment».</w:t>
      </w:r>
    </w:p>
    <w:p>
      <w:pPr>
        <w:pStyle w:val="ListBullet"/>
      </w:pPr>
      <w:r>
        <w:rPr>
          <w:b/>
        </w:rPr>
        <w:t>Problema:</w:t>
      </w:r>
    </w:p>
    <w:p>
      <w:pPr>
        <w:pStyle w:val="ListBullet2"/>
      </w:pPr>
      <w:r>
        <w:t>El término «PRISm» o «pre-COPD» aparece cero veces en el cap. 2. El cap. 1 los define y afirma que deben considerarse pacientes, pero el capítulo de diagnóstico, evaluación y seguimiento no dice cómo identificarlos, con qué ecuación de referencia ni cómo seguirlos.</w:t>
      </w:r>
    </w:p>
    <w:p>
      <w:pPr>
        <w:pStyle w:val="ListBullet2"/>
      </w:pPr>
      <w:r>
        <w:t>En concreto, falta cómo actuar ante:</w:t>
      </w:r>
    </w:p>
    <w:p>
      <w:pPr>
        <w:pStyle w:val="ListBullet2"/>
      </w:pPr>
      <w:r>
        <w:t>cociente ≥0,7 con FEV1 &lt;80%;</w:t>
      </w:r>
    </w:p>
    <w:p>
      <w:pPr>
        <w:pStyle w:val="ListBullet2"/>
      </w:pPr>
      <w:r>
        <w:t>síntomas con espirometría normal;</w:t>
      </w:r>
    </w:p>
    <w:p>
      <w:pPr>
        <w:pStyle w:val="ListBullet2"/>
      </w:pPr>
      <w:r>
        <w:t>DLCO baja o enfisema en la TC sin obstrucción.</w:t>
      </w:r>
    </w:p>
    <w:p>
      <w:pPr>
        <w:pStyle w:val="ListBullet2"/>
      </w:pPr>
      <w:r>
        <w:t>La propia sección de DLCO (PDF 56) sí menciona «smokers without airflow obstruction» con DLCO &lt;80%, pero no lo enlaza con pre-EPOC.</w:t>
      </w:r>
    </w:p>
    <w:p>
      <w:pPr>
        <w:pStyle w:val="ListBullet2"/>
      </w:pPr>
      <w:r>
        <w:t>Además, la definición de PRISm por %pred (&lt;80%) depende de la ecuación: con GLI-Global cambia la prevalencia de PRISm (véase DX-05).</w:t>
      </w:r>
    </w:p>
    <w:p>
      <w:pPr>
        <w:pStyle w:val="ListBullet"/>
      </w:pPr>
      <w:r>
        <w:rPr>
          <w:b/>
        </w:rPr>
        <w:t>Evidencia/justificación:</w:t>
      </w:r>
    </w:p>
    <w:p>
      <w:pPr>
        <w:pStyle w:val="ListBullet2"/>
      </w:pPr>
      <w:r>
        <w:t>Wan ES et al. AJRCCM 2018 (COPDGene) y Wijnant SRA et al. AJRCCM 2020 (Rotterdam), refs. 149-158 del propio informe: PRISm se asocia a mortalidad y transiciona a obstrucción en un 20-30% de los casos.</w:t>
      </w:r>
    </w:p>
    <w:p>
      <w:pPr>
        <w:pStyle w:val="ListBullet2"/>
      </w:pPr>
      <w:r>
        <w:t>Las Figs. 2.6 y 2.9 desembocan en «Not COPD» o «Monitor symptoms» sin criterios.</w:t>
      </w:r>
    </w:p>
    <w:p>
      <w:pPr>
        <w:pStyle w:val="ListBullet"/>
      </w:pPr>
      <w:r>
        <w:rPr>
          <w:b/>
        </w:rPr>
        <w:t>Recomendación:</w:t>
      </w:r>
    </w:p>
    <w:p>
      <w:pPr>
        <w:pStyle w:val="ListBullet2"/>
      </w:pPr>
      <w:r>
        <w:t>Añadir al cap. 2 un subapartado y una caja en la Fig. 2.6 para PRISm y pre-EPOC, con:</w:t>
      </w:r>
    </w:p>
    <w:p>
      <w:pPr>
        <w:pStyle w:val="ListBullet2"/>
      </w:pPr>
      <w:r>
        <w:t>definición operativa (cociente post-BD ≥0,7 y FEV1 &lt;80%, o z &lt;−1,645 con GLI-Global);</w:t>
      </w:r>
    </w:p>
    <w:p>
      <w:pPr>
        <w:pStyle w:val="ListBullet2"/>
      </w:pPr>
      <w:r>
        <w:t>pruebas complementarias (volúmenes, DLCO y TC si procede);</w:t>
      </w:r>
    </w:p>
    <w:p>
      <w:pPr>
        <w:pStyle w:val="ListBullet2"/>
      </w:pPr>
      <w:r>
        <w:t>abordaje de factores de riesgo;</w:t>
      </w:r>
    </w:p>
    <w:p>
      <w:pPr>
        <w:pStyle w:val="ListBullet2"/>
      </w:pPr>
      <w:r>
        <w:t>repetición de la espirometría a los 1-2 años.</w:t>
      </w:r>
    </w:p>
    <w:p>
      <w:pPr>
        <w:pStyle w:val="ListBullet2"/>
      </w:pPr>
      <w:r>
        <w:t>Remitir explícitamente al cap. 1.</w:t>
      </w:r>
    </w:p>
    <w:p>
      <w:pPr>
        <w:pStyle w:val="ListBullet"/>
      </w:pPr>
      <w:r>
        <w:rPr>
          <w:b/>
        </w:rPr>
        <w:t>Confianza:</w:t>
      </w:r>
      <w:r>
        <w:t xml:space="preserve"> 5/5</w:t>
      </w:r>
    </w:p>
    <w:p>
      <w:pPr>
        <w:pStyle w:val="Heading4"/>
      </w:pPr>
      <w:r>
        <w:t>DX-04 · Cociente fijo frente a LLN: afirmación de «no hay estudios longitudinales» contradicha por las propias citas</w:t>
      </w:r>
    </w:p>
    <w:p>
      <w:r>
        <w:rPr>
          <w:i/>
        </w:rPr>
        <w:t xml:space="preserve">Severidad final: </w:t>
      </w:r>
      <w:r>
        <w:rPr>
          <w:i/>
          <w:color w:val="FFC000"/>
        </w:rPr>
        <w:t>🟡</w:t>
      </w:r>
      <w:r>
        <w:rPr>
          <w:i/>
        </w:rPr>
        <w:t xml:space="preserve"> MEDIA · Tema T18: Diagnóstico, espirometría, búsqueda de casos, pre-EPOC/PRISm</w:t>
      </w:r>
    </w:p>
    <w:p>
      <w:pPr>
        <w:pStyle w:val="ListBullet"/>
      </w:pPr>
      <w:r>
        <w:rPr>
          <w:b/>
        </w:rPr>
        <w:t>Tipo:</w:t>
      </w:r>
      <w:r>
        <w:t xml:space="preserve"> Error factual / Evidencia mal representada</w:t>
      </w:r>
    </w:p>
    <w:p>
      <w:pPr>
        <w:pStyle w:val="ListBullet"/>
      </w:pPr>
      <w:r>
        <w:rPr>
          <w:b/>
        </w:rPr>
        <w:t>Severidad:</w:t>
      </w:r>
      <w:r>
        <w:t xml:space="preserve"> MEDIA</w:t>
      </w:r>
    </w:p>
    <w:p>
      <w:pPr>
        <w:pStyle w:val="ListBullet"/>
      </w:pPr>
      <w:r>
        <w:rPr>
          <w:b/>
        </w:rPr>
        <w:t>Ubicación:</w:t>
      </w:r>
      <w:r>
        <w:t xml:space="preserve"> PDF 41 / impr. 30 — «Spirometric criteria to define airflow obstruction»</w:t>
      </w:r>
    </w:p>
    <w:p>
      <w:pPr>
        <w:pStyle w:val="ListBullet"/>
      </w:pPr>
      <w:r>
        <w:rPr>
          <w:b/>
        </w:rPr>
        <w:t>Cita:</w:t>
      </w:r>
      <w:r>
        <w:t xml:space="preserve"> «There are no longitudinal studies available validating the use of the LLN, or studies using reference equations in populations where smoking is not the major cause of COPD. Using the fixed ratio is not inferior to LLN regarding prognosis.(352)»</w:t>
      </w:r>
    </w:p>
    <w:p>
      <w:pPr>
        <w:pStyle w:val="ListBullet"/>
      </w:pPr>
      <w:r>
        <w:rPr>
          <w:b/>
        </w:rPr>
        <w:t>Problema:</w:t>
      </w:r>
    </w:p>
    <w:p>
      <w:pPr>
        <w:pStyle w:val="ListBullet2"/>
      </w:pPr>
      <w:r>
        <w:t>La frase siguiente cita precisamente un estudio longitudinal de cohortes agrupadas: la ref. 352, Bhatt SP et al. JAMA 2019;321:2438-47 (NHLBI Pooled Cohorts, n≈24.000, seguimiento de hospitalización y mortalidad por EPOC) compara LLN y cociente fijo de forma prospectiva.</w:t>
      </w:r>
    </w:p>
    <w:p>
      <w:pPr>
        <w:pStyle w:val="ListBullet2"/>
      </w:pPr>
      <w:r>
        <w:t>La ref. 348 (Çolak Y et al., ERJ 2018, Copenhague) es también prospectiva y compara ambos criterios en adultos jóvenes.</w:t>
      </w:r>
    </w:p>
    <w:p>
      <w:pPr>
        <w:pStyle w:val="ListBullet2"/>
      </w:pPr>
      <w:r>
        <w:t>Por tanto no es cierto que falten estudios longitudinales. Lo que la evidencia muestra es una capacidad pronóstica similar (o algo mejor para 0,70), no ausencia de datos.</w:t>
      </w:r>
    </w:p>
    <w:p>
      <w:pPr>
        <w:pStyle w:val="ListBullet"/>
      </w:pPr>
      <w:r>
        <w:rPr>
          <w:b/>
        </w:rPr>
        <w:t>Evidencia/justificación:</w:t>
      </w:r>
    </w:p>
    <w:p>
      <w:pPr>
        <w:pStyle w:val="ListBullet2"/>
      </w:pPr>
      <w:r>
        <w:t>Bhatt SP et al. JAMA 2019;321(24):2438-2447 (doi:10.1001/jama.2019.7233).</w:t>
      </w:r>
    </w:p>
    <w:p>
      <w:pPr>
        <w:pStyle w:val="ListBullet2"/>
      </w:pPr>
      <w:r>
        <w:t>Çolak Y et al. ERJ 2018;51:1702681 (ref. 348).</w:t>
      </w:r>
    </w:p>
    <w:p>
      <w:pPr>
        <w:pStyle w:val="ListBullet2"/>
      </w:pPr>
      <w:r>
        <w:t>Ambas figuran en la lista de referencias del informe.</w:t>
      </w:r>
    </w:p>
    <w:p>
      <w:pPr>
        <w:pStyle w:val="ListBullet"/>
      </w:pPr>
      <w:r>
        <w:rPr>
          <w:b/>
        </w:rPr>
        <w:t>Recomendación:</w:t>
      </w:r>
    </w:p>
    <w:p>
      <w:pPr>
        <w:pStyle w:val="ListBullet2"/>
      </w:pPr>
      <w:r>
        <w:t>Reformular: «Los estudios longitudinales disponibles (352,348) muestran que el cociente fijo no es inferior al LLN para predecir eventos; faltan datos en poblaciones donde el tabaco no es la causa principal».</w:t>
      </w:r>
    </w:p>
    <w:p>
      <w:pPr>
        <w:pStyle w:val="ListBullet2"/>
      </w:pPr>
      <w:r>
        <w:t>Recomendar el LLN/z-score como criterio complementario en &lt;50 años y &gt;70 años, en línea con el estándar ERS/ATS 2022.</w:t>
      </w:r>
    </w:p>
    <w:p>
      <w:pPr>
        <w:pStyle w:val="ListBullet"/>
      </w:pPr>
      <w:r>
        <w:rPr>
          <w:b/>
        </w:rPr>
        <w:t>Confianza:</w:t>
      </w:r>
      <w:r>
        <w:t xml:space="preserve"> 4/5</w:t>
      </w:r>
    </w:p>
    <w:p>
      <w:pPr>
        <w:pStyle w:val="Heading4"/>
      </w:pPr>
      <w:r>
        <w:t>DX-05 · GLI-Global adoptada pero con gravedad por %pred: consecuencias no analizadas sobre umbrales terapéuticos y figuras</w:t>
      </w:r>
    </w:p>
    <w:p>
      <w:r>
        <w:rPr>
          <w:i/>
        </w:rPr>
        <w:t xml:space="preserve">Severidad final: </w:t>
      </w:r>
      <w:r>
        <w:rPr>
          <w:i/>
          <w:color w:val="FFC000"/>
        </w:rPr>
        <w:t>🟡</w:t>
      </w:r>
      <w:r>
        <w:rPr>
          <w:i/>
        </w:rPr>
        <w:t xml:space="preserve"> MEDIA · Tema T18: Diagnóstico, espirometría, búsqueda de casos, pre-EPOC/PRISm</w:t>
      </w:r>
    </w:p>
    <w:p>
      <w:pPr>
        <w:pStyle w:val="ListBullet"/>
      </w:pPr>
      <w:r>
        <w:rPr>
          <w:b/>
        </w:rPr>
        <w:t>Tipo:</w:t>
      </w:r>
      <w:r>
        <w:t xml:space="preserve"> Incongruencia interna / Ambigüedad</w:t>
      </w:r>
    </w:p>
    <w:p>
      <w:pPr>
        <w:pStyle w:val="ListBullet"/>
      </w:pPr>
      <w:r>
        <w:rPr>
          <w:b/>
        </w:rPr>
        <w:t>Severidad:</w:t>
      </w:r>
      <w:r>
        <w:t xml:space="preserve"> MEDIA</w:t>
      </w:r>
    </w:p>
    <w:p>
      <w:pPr>
        <w:pStyle w:val="ListBullet"/>
      </w:pPr>
      <w:r>
        <w:rPr>
          <w:b/>
        </w:rPr>
        <w:t>Ubicación:</w:t>
      </w:r>
      <w:r>
        <w:t xml:space="preserve"> PDF 42 / impr. 31 (texto), Fig. 2.10 (PDF 49 / impr. 38) y Fig. 2.13 (PDF 54 / impr. 43). Umbrales afectados en PDF 57-59, Fig. 3.9 (PDF 74) y apéndice 3 (PDF 166-167).</w:t>
      </w:r>
    </w:p>
    <w:p>
      <w:pPr>
        <w:pStyle w:val="ListBullet"/>
      </w:pPr>
      <w:r>
        <w:rPr>
          <w:b/>
        </w:rPr>
        <w:t>Cita:</w:t>
      </w:r>
      <w:r>
        <w:t xml:space="preserve"> «GOLD recommends using the GLI-Global equations as the reference standard… GOLD continues to recommend using the FEV1 as a percentage of the predicted value to stage the severity».</w:t>
      </w:r>
    </w:p>
    <w:p>
      <w:pPr>
        <w:pStyle w:val="ListBullet"/>
      </w:pPr>
      <w:r>
        <w:rPr>
          <w:b/>
        </w:rPr>
        <w:t>Problema:</w:t>
      </w:r>
    </w:p>
    <w:p>
      <w:pPr>
        <w:pStyle w:val="ListNumber"/>
        <w:numPr>
          <w:ilvl w:val="0"/>
          <w:numId w:val="38"/>
        </w:numPr>
      </w:pPr>
      <w:r>
        <w:rPr>
          <w:b/>
        </w:rPr>
        <w:t>Desplazamiento de umbrales.</w:t>
      </w:r>
      <w:r>
        <w:t xml:space="preserve"> GOLD reconoce que los ensayos se basaron en %pred calculados con ecuaciones previas (NHANES III, ECSC, GLI-2012 por etnia). Cambiar de ecuación modifica el %pred y desplaza a los pacientes respecto de umbrales %pred decisivos, sin que el informe advierta de ello:</w:t>
      </w:r>
    </w:p>
    <w:p>
      <w:pPr>
        <w:pStyle w:val="ListBullet2"/>
      </w:pPr>
      <w:r>
        <w:t>válvulas endobronquiales: FEV1 15-45% (PDF 57 y Fig. 2.14);</w:t>
      </w:r>
    </w:p>
    <w:p>
      <w:pPr>
        <w:pStyle w:val="ListBullet2"/>
      </w:pPr>
      <w:r>
        <w:t>roflumilast: FEV1 &lt;50% (Fig. 3.9);</w:t>
      </w:r>
    </w:p>
    <w:p>
      <w:pPr>
        <w:pStyle w:val="ListBullet2"/>
      </w:pPr>
      <w:r>
        <w:t>terapia de aumento de AAT: 35-60% / ≤65% (apéndice 3);</w:t>
      </w:r>
    </w:p>
    <w:p>
      <w:pPr>
        <w:pStyle w:val="ListBullet2"/>
      </w:pPr>
      <w:r>
        <w:t>definición de PRISm: &lt;80%.</w:t>
      </w:r>
    </w:p>
    <w:p>
      <w:pPr>
        <w:pStyle w:val="ListNumber"/>
        <w:numPr>
          <w:ilvl w:val="0"/>
          <w:numId w:val="38"/>
        </w:numPr>
      </w:pPr>
      <w:r>
        <w:rPr>
          <w:b/>
        </w:rPr>
        <w:t>Figuras sin ecuación.</w:t>
      </w:r>
      <w:r>
        <w:t xml:space="preserve"> Las Figs. 2.10 y 2.13 no indican qué ecuación aplicar. Además, la Fig. 2.13 usa rangos enteros («50-79», «30-49») que dejan huecos decimales (p. ej., 79,6%) frente al «50% ≤ FEV1 &lt; 80%» de la Fig. 2.10.</w:t>
      </w:r>
    </w:p>
    <w:p>
      <w:pPr>
        <w:pStyle w:val="ListNumber"/>
        <w:numPr>
          <w:ilvl w:val="0"/>
          <w:numId w:val="38"/>
        </w:numPr>
      </w:pPr>
      <w:r>
        <w:rPr>
          <w:b/>
        </w:rPr>
        <w:t>Esquema z-score.</w:t>
      </w:r>
      <w:r>
        <w:t xml:space="preserve"> El esquema ERS/ATS que se reproduce («between −2.51 and −4 as moderate and &lt; −4.1 as severe») no indica que se aplica al z-score del FEV1 y deja un intervalo sin asignar entre −4,0 y −4,1 (heredado de la redacción original).</w:t>
      </w:r>
    </w:p>
    <w:p>
      <w:pPr>
        <w:pStyle w:val="ListNumber"/>
        <w:numPr>
          <w:ilvl w:val="0"/>
          <w:numId w:val="38"/>
        </w:numPr>
      </w:pPr>
      <w:r>
        <w:rPr>
          <w:b/>
        </w:rPr>
        <w:t>Respaldo de la cita.</w:t>
      </w:r>
      <w:r>
        <w:t xml:space="preserve"> La frase «officially endorsed by ATS and ERS» se apoya solo en la declaración de la ATS (ref. 229, Bhakta 2023). </w:t>
      </w:r>
      <w:r>
        <w:rPr>
          <w:i/>
        </w:rPr>
        <w:t>Punto debatible:</w:t>
      </w:r>
      <w:r>
        <w:t xml:space="preserve"> falta la cita del documento ERS correspondiente.</w:t>
      </w:r>
    </w:p>
    <w:p>
      <w:pPr>
        <w:pStyle w:val="ListNumber"/>
        <w:numPr>
          <w:ilvl w:val="0"/>
          <w:numId w:val="38"/>
        </w:numPr>
      </w:pPr>
      <w:r>
        <w:rPr>
          <w:b/>
        </w:rPr>
        <w:t>DLCO.</w:t>
      </w:r>
      <w:r>
        <w:t xml:space="preserve"> Se usan cortes %pred (&lt;60%, &lt;80%, PDF 56) sin mencionar que GLI-2017 para TLCO deriva de población de ascendencia europea ni que se recomienda la corrección por hemoglobina.</w:t>
      </w:r>
    </w:p>
    <w:p>
      <w:pPr>
        <w:pStyle w:val="ListBullet"/>
      </w:pPr>
      <w:r>
        <w:rPr>
          <w:b/>
        </w:rPr>
        <w:t>Evidencia/justificación:</w:t>
      </w:r>
    </w:p>
    <w:p>
      <w:pPr>
        <w:pStyle w:val="ListBullet2"/>
      </w:pPr>
      <w:r>
        <w:t>Bowerman C et al. AJRCCM 2023;207:768-774 (GLI-Global, ref. 355).</w:t>
      </w:r>
    </w:p>
    <w:p>
      <w:pPr>
        <w:pStyle w:val="ListBullet2"/>
      </w:pPr>
      <w:r>
        <w:t>Stanojevic S et al. ERJ 2022 (ref. 337).</w:t>
      </w:r>
    </w:p>
    <w:p>
      <w:pPr>
        <w:pStyle w:val="ListBullet2"/>
      </w:pPr>
      <w:r>
        <w:t>Bhakta NR et al. AJRCCM 2023;207:978-995 (ref. 229).</w:t>
      </w:r>
    </w:p>
    <w:p>
      <w:pPr>
        <w:pStyle w:val="ListBullet2"/>
      </w:pPr>
      <w:r>
        <w:t>Diao JA et al. NEJM 2024 (ref. 356): cambios de clasificación al pasar a ecuaciones race-neutral.</w:t>
      </w:r>
    </w:p>
    <w:p>
      <w:pPr>
        <w:pStyle w:val="ListBullet"/>
      </w:pPr>
      <w:r>
        <w:rPr>
          <w:b/>
        </w:rPr>
        <w:t>Recomendación:</w:t>
      </w:r>
    </w:p>
    <w:p>
      <w:pPr>
        <w:pStyle w:val="ListBullet2"/>
      </w:pPr>
      <w:r>
        <w:t>Indicar en las Figs. 2.10 y 2.13 «%pred según GLI-Global».</w:t>
      </w:r>
    </w:p>
    <w:p>
      <w:pPr>
        <w:pStyle w:val="ListBullet2"/>
      </w:pPr>
      <w:r>
        <w:t>Añadir una nota de transición: los umbrales %pred de elegibilidad derivan de ensayos con otras ecuaciones; ante valores límite, considerar la ecuación local o el contexto.</w:t>
      </w:r>
    </w:p>
    <w:p>
      <w:pPr>
        <w:pStyle w:val="ListBullet2"/>
      </w:pPr>
      <w:r>
        <w:t>Corregir los rangos de la Fig. 2.13 («50-&lt;80», «30-&lt;50»).</w:t>
      </w:r>
    </w:p>
    <w:p>
      <w:pPr>
        <w:pStyle w:val="ListBullet2"/>
      </w:pPr>
      <w:r>
        <w:t>Especificar «z-score del FEV1» y redactar el esquema sin huecos (−1,65 a −2,5; &lt;−2,5 a −4; &lt;−4).</w:t>
      </w:r>
    </w:p>
    <w:p>
      <w:pPr>
        <w:pStyle w:val="ListBullet2"/>
      </w:pPr>
      <w:r>
        <w:t>Citar el aval ERS.</w:t>
      </w:r>
    </w:p>
    <w:p>
      <w:pPr>
        <w:pStyle w:val="ListBullet"/>
      </w:pPr>
      <w:r>
        <w:rPr>
          <w:b/>
        </w:rPr>
        <w:t>Confianza:</w:t>
      </w:r>
      <w:r>
        <w:t xml:space="preserve"> 4/5</w:t>
      </w:r>
    </w:p>
    <w:p>
      <w:pPr>
        <w:pStyle w:val="Heading4"/>
      </w:pPr>
      <w:r>
        <w:t>DX-07 · Espirometría «solo urgente o esencial» durante epidemias víricas: recomendación vaga, basada en documentos de la era COVID y con riesgo de infradiagnóstico</w:t>
      </w:r>
    </w:p>
    <w:p>
      <w:r>
        <w:rPr>
          <w:i/>
        </w:rPr>
        <w:t xml:space="preserve">Severidad final: </w:t>
      </w:r>
      <w:r>
        <w:rPr>
          <w:i/>
          <w:color w:val="FFC000"/>
        </w:rPr>
        <w:t>🟡</w:t>
      </w:r>
      <w:r>
        <w:rPr>
          <w:i/>
        </w:rPr>
        <w:t xml:space="preserve"> MEDIA · Tema T18: Diagnóstico, espirometría, búsqueda de casos, pre-EPOC/PRISm</w:t>
      </w:r>
    </w:p>
    <w:p>
      <w:pPr>
        <w:pStyle w:val="ListBullet"/>
      </w:pPr>
      <w:r>
        <w:rPr>
          <w:b/>
        </w:rPr>
        <w:t>Tipo:</w:t>
      </w:r>
      <w:r>
        <w:t xml:space="preserve"> Desactualización / Ambigüedad</w:t>
      </w:r>
    </w:p>
    <w:p>
      <w:pPr>
        <w:pStyle w:val="ListBullet"/>
      </w:pPr>
      <w:r>
        <w:rPr>
          <w:b/>
        </w:rPr>
        <w:t>Severidad:</w:t>
      </w:r>
      <w:r>
        <w:t xml:space="preserve"> MEDIA</w:t>
      </w:r>
    </w:p>
    <w:p>
      <w:pPr>
        <w:pStyle w:val="ListBullet"/>
      </w:pPr>
      <w:r>
        <w:rPr>
          <w:b/>
        </w:rPr>
        <w:t>Ubicación:</w:t>
      </w:r>
      <w:r>
        <w:t xml:space="preserve"> PDF 42 / impr. 31 — «Assessing pulmonary function during airborne viral epidemics»</w:t>
      </w:r>
    </w:p>
    <w:p>
      <w:pPr>
        <w:pStyle w:val="ListBullet"/>
      </w:pPr>
      <w:r>
        <w:rPr>
          <w:b/>
        </w:rPr>
        <w:t>Cita:</w:t>
      </w:r>
      <w:r>
        <w:t xml:space="preserve"> «During periods of high prevalence of airborne viral infections in the community, spirometry should be restricted to patients requiring urgent or essential tests for the diagnosis of COPD…»</w:t>
      </w:r>
    </w:p>
    <w:p>
      <w:pPr>
        <w:pStyle w:val="ListBullet"/>
      </w:pPr>
      <w:r>
        <w:rPr>
          <w:b/>
        </w:rPr>
        <w:t>Problema:</w:t>
      </w:r>
    </w:p>
    <w:p>
      <w:pPr>
        <w:pStyle w:val="ListBullet2"/>
      </w:pPr>
      <w:r>
        <w:t>«Alta prevalencia de infecciones víricas aéreas» no está definido. La gripe, el VRS y el SARS-CoV-2 tienen picos estacionales anuales, así que una lectura literal implicaría suspender la espirometría diagnóstica varios meses al año, agravando el infradiagnóstico (71-95%) que el propio capítulo denuncia (PDF 43).</w:t>
      </w:r>
    </w:p>
    <w:p>
      <w:pPr>
        <w:pStyle w:val="ListBullet2"/>
      </w:pPr>
      <w:r>
        <w:t>Las refs. 363-366 son documentos de 2020-2021 de la fase pandémica. Las recomendaciones posteriores de las sociedades de función pulmonar han vuelto a la actividad normal con medidas de control de infección: filtros antivíricos/antibacterianos en línea, ventilación, cribado de síntomas, EPI e intervalos de limpieza.</w:t>
      </w:r>
    </w:p>
    <w:p>
      <w:pPr>
        <w:pStyle w:val="ListBullet2"/>
      </w:pPr>
      <w:r>
        <w:t>Tampoco se aclara qué es una prueba «esencial» para el diagnóstico de EPOC.</w:t>
      </w:r>
    </w:p>
    <w:p>
      <w:pPr>
        <w:pStyle w:val="ListBullet"/>
      </w:pPr>
      <w:r>
        <w:rPr>
          <w:b/>
        </w:rPr>
        <w:t>Evidencia/justificación:</w:t>
      </w:r>
    </w:p>
    <w:p>
      <w:pPr>
        <w:pStyle w:val="ListBullet2"/>
      </w:pPr>
      <w:r>
        <w:t>Refs. 363-366 del propio informe (todas de la era COVID).</w:t>
      </w:r>
    </w:p>
    <w:p>
      <w:pPr>
        <w:pStyle w:val="ListBullet2"/>
      </w:pPr>
      <w:r>
        <w:t>El estándar ATS/ERS 2019 (Graham et al.) ya incluye control de infecciones y filtros como práctica rutinaria.</w:t>
      </w:r>
    </w:p>
    <w:p>
      <w:pPr>
        <w:pStyle w:val="ListBullet"/>
      </w:pPr>
      <w:r>
        <w:rPr>
          <w:b/>
        </w:rPr>
        <w:t>Recomendación:</w:t>
      </w:r>
      <w:r>
        <w:t xml:space="preserve"> Sustituir por: «En periodos epidémicos, aplicar medidas reforzadas de control de infección (cribado de síntomas, filtros en línea, ventilación, EPI) y diferir la prueba en pacientes con infección respiratoria aguda (≥2-4 semanas tras la resolución). Restringir la actividad solo si las autoridades sanitarias lo indican».</w:t>
      </w:r>
    </w:p>
    <w:p>
      <w:pPr>
        <w:pStyle w:val="ListBullet"/>
      </w:pPr>
      <w:r>
        <w:rPr>
          <w:b/>
        </w:rPr>
        <w:t>Confianza:</w:t>
      </w:r>
      <w:r>
        <w:t xml:space="preserve"> 3/5</w:t>
      </w:r>
    </w:p>
    <w:p>
      <w:pPr>
        <w:pStyle w:val="Heading4"/>
      </w:pPr>
      <w:r>
        <w:t>DX-08 · Estudio danés de EPOC no diagnosticada: referencia errónea y HR atribuidos a la población equivocada</w:t>
      </w:r>
    </w:p>
    <w:p>
      <w:r>
        <w:rPr>
          <w:i/>
        </w:rPr>
        <w:t xml:space="preserve">Severidad final: </w:t>
      </w:r>
      <w:r>
        <w:rPr>
          <w:i/>
          <w:color w:val="FFC000"/>
        </w:rPr>
        <w:t>🟡</w:t>
      </w:r>
      <w:r>
        <w:rPr>
          <w:i/>
        </w:rPr>
        <w:t xml:space="preserve"> MEDIA · Tema T18: Diagnóstico, espirometría, búsqueda de casos, pre-EPOC/PRISm</w:t>
      </w:r>
    </w:p>
    <w:p>
      <w:pPr>
        <w:pStyle w:val="ListBullet"/>
      </w:pPr>
      <w:r>
        <w:rPr>
          <w:b/>
        </w:rPr>
        <w:t>Tipo:</w:t>
      </w:r>
      <w:r>
        <w:t xml:space="preserve"> Evidencia mal representada / Error de cita</w:t>
      </w:r>
    </w:p>
    <w:p>
      <w:pPr>
        <w:pStyle w:val="ListBullet"/>
      </w:pPr>
      <w:r>
        <w:rPr>
          <w:b/>
        </w:rPr>
        <w:t>Severidad:</w:t>
      </w:r>
      <w:r>
        <w:t xml:space="preserve"> MEDIA</w:t>
      </w:r>
    </w:p>
    <w:p>
      <w:pPr>
        <w:pStyle w:val="ListBullet"/>
      </w:pPr>
      <w:r>
        <w:rPr>
          <w:b/>
        </w:rPr>
        <w:t>Ubicación:</w:t>
      </w:r>
      <w:r>
        <w:t xml:space="preserve"> PDF 43 / impr. 32 — «Underdiagnosis of COPD»</w:t>
      </w:r>
    </w:p>
    <w:p>
      <w:pPr>
        <w:pStyle w:val="ListBullet"/>
      </w:pPr>
      <w:r>
        <w:rPr>
          <w:b/>
        </w:rPr>
        <w:t>Cita:</w:t>
      </w:r>
      <w:r>
        <w:t xml:space="preserve"> «A Danish study showed that individuals with previously undiagnosed COPD had age- and sex-adjusted hazard ratios for exacerbations and pneumonia that were 15.5 and 2.8 times higher… (377)»</w:t>
      </w:r>
    </w:p>
    <w:p>
      <w:pPr>
        <w:pStyle w:val="ListBullet"/>
      </w:pPr>
      <w:r>
        <w:rPr>
          <w:b/>
        </w:rPr>
        <w:t>Problema:</w:t>
      </w:r>
    </w:p>
    <w:p>
      <w:pPr>
        <w:pStyle w:val="ListNumber"/>
        <w:numPr>
          <w:ilvl w:val="0"/>
          <w:numId w:val="39"/>
        </w:numPr>
      </w:pPr>
      <w:r>
        <w:rPr>
          <w:b/>
        </w:rPr>
        <w:t>Referencia equivocada.</w:t>
      </w:r>
      <w:r>
        <w:t xml:space="preserve"> La ref. 377 es Siddharthan T et al., JAMA 2022: precisión de instrumentos de cribado en tres países de renta baja-media, que no contiene esos datos. El estudio danés es Çolak Y et al., Lancet Respir Med 2017, y no se cita.</w:t>
      </w:r>
    </w:p>
    <w:p>
      <w:pPr>
        <w:pStyle w:val="ListNumber"/>
        <w:numPr>
          <w:ilvl w:val="0"/>
          <w:numId w:val="39"/>
        </w:numPr>
      </w:pPr>
      <w:r>
        <w:rPr>
          <w:b/>
        </w:rPr>
        <w:t>Población equivocada.</w:t>
      </w:r>
      <w:r>
        <w:t xml:space="preserve"> Los HR 15,5 (exacerbaciones) y 2,8 (neumonía) corresponden a la EPOC no diagnosticada </w:t>
      </w:r>
      <w:r>
        <w:rPr>
          <w:b/>
        </w:rPr>
        <w:t>sintomática</w:t>
      </w:r>
      <w:r>
        <w:t xml:space="preserve">, igual que los de muerte respiratoria (4,3) y por cualquier causa (2,0). En la EPOC no diagnosticada </w:t>
      </w:r>
      <w:r>
        <w:rPr>
          <w:b/>
        </w:rPr>
        <w:t>asintomática</w:t>
      </w:r>
      <w:r>
        <w:t xml:space="preserve"> los HR fueron unos 5,0, 1,7, 0,7 (no significativo) y 1,3.</w:t>
      </w:r>
    </w:p>
    <w:p>
      <w:pPr>
        <w:pStyle w:val="ListNumber"/>
        <w:numPr>
          <w:ilvl w:val="0"/>
          <w:numId w:val="39"/>
        </w:numPr>
      </w:pPr>
      <w:r>
        <w:rPr>
          <w:b/>
        </w:rPr>
        <w:t>Contexto omitido.</w:t>
      </w:r>
      <w:r>
        <w:t xml:space="preserve"> La cohorte era de alto riesgo (≥40 años y ≥10 paquetes-año), y la EPOC se definió con cociente &lt;0,7 </w:t>
      </w:r>
      <w:r>
        <w:rPr>
          <w:b/>
        </w:rPr>
        <w:t>y</w:t>
      </w:r>
      <w:r>
        <w:t xml:space="preserve"> &lt;LLN </w:t>
      </w:r>
      <w:r>
        <w:rPr>
          <w:b/>
        </w:rPr>
        <w:t>y</w:t>
      </w:r>
      <w:r>
        <w:t xml:space="preserve"> FEV1 &lt;80%.</w:t>
      </w:r>
    </w:p>
    <w:p>
      <w:pPr>
        <w:pStyle w:val="ListBullet2"/>
      </w:pPr>
      <w:r>
        <w:t>El texto, por tanto, triplica el riesgo aparente de exacerbación de la EPOC no diagnosticada en general.</w:t>
      </w:r>
    </w:p>
    <w:p>
      <w:pPr>
        <w:pStyle w:val="ListBullet"/>
      </w:pPr>
      <w:r>
        <w:rPr>
          <w:b/>
        </w:rPr>
        <w:t>Evidencia/justificación:</w:t>
      </w:r>
      <w:r>
        <w:t xml:space="preserve"> Çolak Y, Afzal S, Nordestgaard BG, Vestbo J, Lange P. </w:t>
      </w:r>
      <w:r>
        <w:rPr>
          <w:i/>
        </w:rPr>
        <w:t>Prognosis of asymptomatic and symptomatic, undiagnosed COPD in the general population in Denmark: a prospective cohort study</w:t>
      </w:r>
      <w:r>
        <w:t>. Lancet Respir Med 2017;5:426-434 (PMID 28389225; doi:10.1016/S2213-2600(17)30119-4). Resumen verificado en Europe PMC.</w:t>
      </w:r>
    </w:p>
    <w:p>
      <w:pPr>
        <w:pStyle w:val="ListBullet"/>
      </w:pPr>
      <w:r>
        <w:rPr>
          <w:b/>
        </w:rPr>
        <w:t>Recomendación:</w:t>
      </w:r>
    </w:p>
    <w:p>
      <w:pPr>
        <w:pStyle w:val="ListBullet2"/>
      </w:pPr>
      <w:r>
        <w:t>Corregir la cita (Çolak 2017).</w:t>
      </w:r>
    </w:p>
    <w:p>
      <w:pPr>
        <w:pStyle w:val="ListBullet2"/>
      </w:pPr>
      <w:r>
        <w:t>Atribuir los HR a la EPOC no diagnosticada sintomática y añadir los de la asintomática. Estos últimos, de hecho, ofrecerían el mejor argumento a favor de la posición de GOLD sobre la búsqueda en fumadores (véase DX-10).</w:t>
      </w:r>
    </w:p>
    <w:p>
      <w:pPr>
        <w:pStyle w:val="ListBullet"/>
      </w:pPr>
      <w:r>
        <w:rPr>
          <w:b/>
        </w:rPr>
        <w:t>Confianza:</w:t>
      </w:r>
      <w:r>
        <w:t xml:space="preserve"> 5/5</w:t>
      </w:r>
    </w:p>
    <w:p>
      <w:pPr>
        <w:pStyle w:val="Heading4"/>
      </w:pPr>
      <w:r>
        <w:t>DX-09 · Otras referencias mal asignadas en la sección de búsqueda de casos y TC</w:t>
      </w:r>
    </w:p>
    <w:p>
      <w:r>
        <w:rPr>
          <w:i/>
        </w:rPr>
        <w:t xml:space="preserve">Severidad final: </w:t>
      </w:r>
      <w:r>
        <w:rPr>
          <w:i/>
          <w:color w:val="FFC000"/>
        </w:rPr>
        <w:t>🟡</w:t>
      </w:r>
      <w:r>
        <w:rPr>
          <w:i/>
        </w:rPr>
        <w:t xml:space="preserve"> MEDIA · Tema T18: Diagnóstico, espirometría, búsqueda de casos, pre-EPOC/PRISm</w:t>
      </w:r>
    </w:p>
    <w:p>
      <w:pPr>
        <w:pStyle w:val="ListBullet"/>
      </w:pPr>
      <w:r>
        <w:rPr>
          <w:b/>
        </w:rPr>
        <w:t>Tipo:</w:t>
      </w:r>
      <w:r>
        <w:t xml:space="preserve"> Editorial / Error de cita</w:t>
      </w:r>
    </w:p>
    <w:p>
      <w:pPr>
        <w:pStyle w:val="ListBullet"/>
      </w:pPr>
      <w:r>
        <w:rPr>
          <w:b/>
        </w:rPr>
        <w:t>Severidad:</w:t>
      </w:r>
      <w:r>
        <w:t xml:space="preserve"> MEDIA</w:t>
      </w:r>
    </w:p>
    <w:p>
      <w:pPr>
        <w:pStyle w:val="ListBullet"/>
      </w:pPr>
      <w:r>
        <w:rPr>
          <w:b/>
        </w:rPr>
        <w:t>Ubicación:</w:t>
      </w:r>
      <w:r>
        <w:t xml:space="preserve"> PDF 47 / impr. 36 (cribado de cáncer de pulmón) y PDF 57 / impr. 46 (válvulas endobronquiales)</w:t>
      </w:r>
    </w:p>
    <w:p>
      <w:pPr>
        <w:pStyle w:val="ListBullet"/>
      </w:pPr>
      <w:r>
        <w:rPr>
          <w:b/>
        </w:rPr>
        <w:t>Cita:</w:t>
      </w:r>
      <w:r>
        <w:t xml:space="preserve"> «…airflow obstruction in 34-57%…, emphysema in 68-73% and no prior diagnosis of COPD in 67%.(398,401,402) Male sex, younger age… (402,403)» / «…underdiagnosis… can approach 90% in some reports.(404-410)» / «…FEV1 between 15%-45%… may benefit.(528,529)»</w:t>
      </w:r>
    </w:p>
    <w:p>
      <w:pPr>
        <w:pStyle w:val="ListBullet"/>
      </w:pPr>
      <w:r>
        <w:rPr>
          <w:b/>
        </w:rPr>
        <w:t>Problema:</w:t>
      </w:r>
    </w:p>
    <w:p>
      <w:pPr>
        <w:pStyle w:val="ListBullet2"/>
      </w:pPr>
      <w:r>
        <w:rPr>
          <w:b/>
        </w:rPr>
        <w:t>Ref. 402</w:t>
      </w:r>
      <w:r>
        <w:t xml:space="preserve"> es Yu Y et al., </w:t>
      </w:r>
      <w:r>
        <w:rPr>
          <w:i/>
        </w:rPr>
        <w:t>Acupuncture for dyspnea…</w:t>
      </w:r>
      <w:r>
        <w:t xml:space="preserve"> (metaanálisis). No guarda relación con el cribado de cáncer de pulmón; está bien citada en el cap. 3 (PDF 94).</w:t>
      </w:r>
    </w:p>
    <w:p>
      <w:pPr>
        <w:pStyle w:val="ListBullet2"/>
      </w:pPr>
      <w:r>
        <w:rPr>
          <w:b/>
        </w:rPr>
        <w:t>Ref. 401</w:t>
      </w:r>
      <w:r>
        <w:t xml:space="preserve"> (Hopkins, NLST-ACRIN) trata del riesgo de cáncer según el flujo espiratorio, no de la prevalencia de EPOC no diagnosticada.</w:t>
      </w:r>
    </w:p>
    <w:p>
      <w:pPr>
        <w:pStyle w:val="ListBullet2"/>
      </w:pPr>
      <w:r>
        <w:rPr>
          <w:b/>
        </w:rPr>
        <w:t>Refs. 404-410:</w:t>
      </w:r>
      <w:r>
        <w:t xml:space="preserve"> solo la 407 (Undrunas, Polonia) trata del infradiagnóstico. Las demás (Maldonado, Carr, Kishi, de-Torres, Sánchez-Salcedo, Wilson) estudian el enfisema y la obstrucción como factores de riesgo de cáncer, por lo que no sustentan la cifra de «hasta 90%».</w:t>
      </w:r>
    </w:p>
    <w:p>
      <w:pPr>
        <w:pStyle w:val="ListBullet2"/>
      </w:pPr>
      <w:r>
        <w:rPr>
          <w:b/>
        </w:rPr>
        <w:t>Ref. 529</w:t>
      </w:r>
      <w:r>
        <w:t xml:space="preserve"> (Ezponda, comorbilidades por TC y mortalidad, cohorte BODE) no aporta criterios de selección para válvulas.</w:t>
      </w:r>
    </w:p>
    <w:p>
      <w:pPr>
        <w:pStyle w:val="ListBullet"/>
      </w:pPr>
      <w:r>
        <w:rPr>
          <w:b/>
        </w:rPr>
        <w:t>Evidencia/justificación:</w:t>
      </w:r>
      <w:r>
        <w:t xml:space="preserve"> Lista de referencias del propio informe (</w:t>
      </w:r>
      <w:r>
        <w:rPr>
          <w:rFonts w:ascii="Consolas" w:hAnsi="Consolas"/>
        </w:rPr>
        <w:t>10_references</w:t>
      </w:r>
      <w:r>
        <w:t>, entradas 398-410 y 528-529).</w:t>
      </w:r>
    </w:p>
    <w:p>
      <w:pPr>
        <w:pStyle w:val="ListBullet"/>
      </w:pPr>
      <w:r>
        <w:rPr>
          <w:b/>
        </w:rPr>
        <w:t>Recomendación:</w:t>
      </w:r>
      <w:r>
        <w:t xml:space="preserve"> Revisar las citas de esta sección. Sustituir la 402 por la referencia correcta (probablemente otro estudio de cribado con espirometría, p. ej. Balata/Undrunas). Limitar «hasta 90%» a las fuentes que lo documentan y retirar la 529 del apoyo a los criterios de válvulas.</w:t>
      </w:r>
    </w:p>
    <w:p>
      <w:pPr>
        <w:pStyle w:val="ListBullet"/>
      </w:pPr>
      <w:r>
        <w:rPr>
          <w:b/>
        </w:rPr>
        <w:t>Confianza:</w:t>
      </w:r>
      <w:r>
        <w:t xml:space="preserve"> 4/5</w:t>
      </w:r>
    </w:p>
    <w:p>
      <w:pPr>
        <w:pStyle w:val="Heading4"/>
      </w:pPr>
      <w:r>
        <w:t>DX-11 · UCAP y el algoritmo de la Fig. 2.9: beneficio sobredimensionado y algoritmo no validado</w:t>
      </w:r>
    </w:p>
    <w:p>
      <w:r>
        <w:rPr>
          <w:i/>
        </w:rPr>
        <w:t xml:space="preserve">Severidad final: </w:t>
      </w:r>
      <w:r>
        <w:rPr>
          <w:i/>
          <w:color w:val="FFC000"/>
        </w:rPr>
        <w:t>🟡</w:t>
      </w:r>
      <w:r>
        <w:rPr>
          <w:i/>
        </w:rPr>
        <w:t xml:space="preserve"> MEDIA · Tema T18: Diagnóstico, espirometría, búsqueda de casos, pre-EPOC/PRISm</w:t>
      </w:r>
    </w:p>
    <w:p>
      <w:pPr>
        <w:pStyle w:val="ListBullet"/>
      </w:pPr>
      <w:r>
        <w:rPr>
          <w:b/>
        </w:rPr>
        <w:t>Tipo:</w:t>
      </w:r>
      <w:r>
        <w:t xml:space="preserve"> Evidencia mal representada</w:t>
      </w:r>
    </w:p>
    <w:p>
      <w:pPr>
        <w:pStyle w:val="ListBullet"/>
      </w:pPr>
      <w:r>
        <w:rPr>
          <w:b/>
        </w:rPr>
        <w:t>Severidad:</w:t>
      </w:r>
      <w:r>
        <w:t xml:space="preserve"> MEDIA</w:t>
      </w:r>
    </w:p>
    <w:p>
      <w:pPr>
        <w:pStyle w:val="ListBullet"/>
      </w:pPr>
      <w:r>
        <w:rPr>
          <w:b/>
        </w:rPr>
        <w:t>Ubicación:</w:t>
      </w:r>
      <w:r>
        <w:t xml:space="preserve"> PDF 45 / impr. 34; Fig. 2.9 (PDF 46 / impr. 35); CAPTURE en PDF 47 / impr. 36</w:t>
      </w:r>
    </w:p>
    <w:p>
      <w:pPr>
        <w:pStyle w:val="ListBullet"/>
      </w:pPr>
      <w:r>
        <w:rPr>
          <w:b/>
        </w:rPr>
        <w:t>Cita:</w:t>
      </w:r>
      <w:r>
        <w:t xml:space="preserve"> «This study was the first to show that identification and diagnosis of COPD via active telephone-based case-finding… reduces patients' healthcare utilization and improves quality of life and health outcomes.(386)» / «A pragmatic case-finding algorithm (Figure 2.9) has been recently proposed to enable accurate COPD diagnoses for most populations.(382)»</w:t>
      </w:r>
    </w:p>
    <w:p>
      <w:pPr>
        <w:pStyle w:val="ListBullet"/>
      </w:pPr>
      <w:r>
        <w:rPr>
          <w:b/>
        </w:rPr>
        <w:t>Problema:</w:t>
      </w:r>
    </w:p>
    <w:p>
      <w:pPr>
        <w:pStyle w:val="ListNumber"/>
        <w:numPr>
          <w:ilvl w:val="0"/>
          <w:numId w:val="40"/>
        </w:numPr>
      </w:pPr>
      <w:r>
        <w:rPr>
          <w:b/>
        </w:rPr>
        <w:t>Pregunta del ensayo.</w:t>
      </w:r>
      <w:r>
        <w:t xml:space="preserve"> UCAP no comparó búsqueda de casos con no búsqueda. Ambos brazos fueron captados por búsqueda; lo aleatorizado fue la atención por neumólogo y educador frente a la atención habitual.</w:t>
      </w:r>
    </w:p>
    <w:p>
      <w:pPr>
        <w:pStyle w:val="ListNumber"/>
        <w:numPr>
          <w:ilvl w:val="0"/>
          <w:numId w:val="40"/>
        </w:numPr>
      </w:pPr>
      <w:r>
        <w:rPr>
          <w:b/>
        </w:rPr>
        <w:t>Población mixta.</w:t>
      </w:r>
      <w:r>
        <w:t xml:space="preserve"> Incluyó asma y EPOC (n=508).</w:t>
      </w:r>
    </w:p>
    <w:p>
      <w:pPr>
        <w:pStyle w:val="ListNumber"/>
        <w:numPr>
          <w:ilvl w:val="0"/>
          <w:numId w:val="40"/>
        </w:numPr>
      </w:pPr>
      <w:r>
        <w:rPr>
          <w:b/>
        </w:rPr>
        <w:t>Magnitud del beneficio.</w:t>
      </w:r>
      <w:r>
        <w:t xml:space="preserve"> El objetivo primario mejoró claramente (utilización sanitaria, IRR 0,48). Los secundarios fueron modestos: SGRQ ≈−3,5 (por debajo de la DMCI de 4), CAT ≈−1,3 (por debajo de la DMCI de 2) y FEV1 +94 mL.</w:t>
      </w:r>
    </w:p>
    <w:p>
      <w:pPr>
        <w:pStyle w:val="ListNumber"/>
        <w:numPr>
          <w:ilvl w:val="0"/>
          <w:numId w:val="40"/>
        </w:numPr>
      </w:pPr>
      <w:r>
        <w:rPr>
          <w:b/>
        </w:rPr>
        <w:t>Algoritmo no validado.</w:t>
      </w:r>
      <w:r>
        <w:t xml:space="preserve"> La Fig. 2.9 procede de una revisión o propuesta de expertos (ref. 382) sin validación prospectiva. Describirla como «accurate… for most populations» no está justificado.</w:t>
      </w:r>
    </w:p>
    <w:p>
      <w:pPr>
        <w:pStyle w:val="ListNumber"/>
        <w:numPr>
          <w:ilvl w:val="0"/>
          <w:numId w:val="40"/>
        </w:numPr>
      </w:pPr>
      <w:r>
        <w:rPr>
          <w:b/>
        </w:rPr>
        <w:t>Evidencia discordante.</w:t>
      </w:r>
      <w:r>
        <w:t xml:space="preserve"> El propio informe cita el ensayo CAPTURE-EE. UU. (ref. 396), en el que la estrategia no modificó el compuesto primario de proceso asistencial (45,9% frente a 41,9%; p=0,47).</w:t>
      </w:r>
    </w:p>
    <w:p>
      <w:pPr>
        <w:pStyle w:val="ListBullet"/>
      </w:pPr>
      <w:r>
        <w:rPr>
          <w:b/>
        </w:rPr>
        <w:t>Evidencia/justificación:</w:t>
      </w:r>
    </w:p>
    <w:p>
      <w:pPr>
        <w:pStyle w:val="ListBullet2"/>
      </w:pPr>
      <w:r>
        <w:t xml:space="preserve">Aaron SD et al. </w:t>
      </w:r>
      <w:r>
        <w:rPr>
          <w:i/>
        </w:rPr>
        <w:t>Early Diagnosis and Treatment of COPD and Asthma — A Randomized, Controlled Trial</w:t>
      </w:r>
      <w:r>
        <w:t>. NEJM 2024;390:2061-2073 (PMID 38767248).</w:t>
      </w:r>
    </w:p>
    <w:p>
      <w:pPr>
        <w:pStyle w:val="ListBullet2"/>
      </w:pPr>
      <w:r>
        <w:t>Martinez FJ et al. AJRCCM 2025 (PMID 39715575).</w:t>
      </w:r>
    </w:p>
    <w:p>
      <w:pPr>
        <w:pStyle w:val="ListBullet"/>
      </w:pPr>
      <w:r>
        <w:rPr>
          <w:b/>
        </w:rPr>
        <w:t>Recomendación:</w:t>
      </w:r>
    </w:p>
    <w:p>
      <w:pPr>
        <w:pStyle w:val="ListBullet2"/>
      </w:pPr>
      <w:r>
        <w:t>Reformular: «UCAP mostró que, en personas sintomáticas identificadas por búsqueda activa, el tratamiento dirigido por especialistas reduce la utilización sanitaria respiratoria, con mejoras modestas en calidad de vida».</w:t>
      </w:r>
    </w:p>
    <w:p>
      <w:pPr>
        <w:pStyle w:val="ListBullet2"/>
      </w:pPr>
      <w:r>
        <w:t>Calificar la Fig. 2.9 como «propuesta de expertos pendiente de validación».</w:t>
      </w:r>
    </w:p>
    <w:p>
      <w:pPr>
        <w:pStyle w:val="ListBullet"/>
      </w:pPr>
      <w:r>
        <w:rPr>
          <w:b/>
        </w:rPr>
        <w:t>Confianza:</w:t>
      </w:r>
      <w:r>
        <w:t xml:space="preserve"> 5/5</w:t>
      </w:r>
    </w:p>
    <w:p>
      <w:pPr>
        <w:pStyle w:val="Heading4"/>
      </w:pPr>
      <w:r>
        <w:t>DX-12 · Fig. 2.9: discordancias con el texto (ámbito de la espirometría, edad, paquetes-año, terminología)</w:t>
      </w:r>
    </w:p>
    <w:p>
      <w:r>
        <w:rPr>
          <w:i/>
        </w:rPr>
        <w:t xml:space="preserve">Severidad final: </w:t>
      </w:r>
      <w:r>
        <w:rPr>
          <w:i/>
          <w:color w:val="FFC000"/>
        </w:rPr>
        <w:t>🟡</w:t>
      </w:r>
      <w:r>
        <w:rPr>
          <w:i/>
        </w:rPr>
        <w:t xml:space="preserve"> MEDIA · Tema T18: Diagnóstico, espirometría, búsqueda de casos, pre-EPOC/PRISm</w:t>
      </w:r>
    </w:p>
    <w:p>
      <w:pPr>
        <w:pStyle w:val="ListBullet"/>
      </w:pPr>
      <w:r>
        <w:rPr>
          <w:b/>
        </w:rPr>
        <w:t>Tipo:</w:t>
      </w:r>
      <w:r>
        <w:t xml:space="preserve"> Incongruencia interna</w:t>
      </w:r>
    </w:p>
    <w:p>
      <w:pPr>
        <w:pStyle w:val="ListBullet"/>
      </w:pPr>
      <w:r>
        <w:rPr>
          <w:b/>
        </w:rPr>
        <w:t>Severidad:</w:t>
      </w:r>
      <w:r>
        <w:t xml:space="preserve"> MEDIA</w:t>
      </w:r>
    </w:p>
    <w:p>
      <w:pPr>
        <w:pStyle w:val="ListBullet"/>
      </w:pPr>
      <w:r>
        <w:rPr>
          <w:b/>
        </w:rPr>
        <w:t>Ubicación:</w:t>
      </w:r>
      <w:r>
        <w:t xml:space="preserve"> Fig. 2.9 (PDF 46 / impr. 35). Cotejado con PDF 37 / impr. 26 y PDF 45 / impr. 34.</w:t>
      </w:r>
    </w:p>
    <w:p>
      <w:pPr>
        <w:pStyle w:val="ListBullet"/>
      </w:pPr>
      <w:r>
        <w:rPr>
          <w:b/>
        </w:rPr>
        <w:t>Cita:</w:t>
      </w:r>
      <w:r>
        <w:t xml:space="preserve"> Fig. 2.9: «In Specialty Care Setting — Confirmatory pre-BD spirometry»; «Age ≥ 35 years»; «Pretest with Screening Questionnaire». Texto PDF 37: «Good quality spirometric measurement is possible in any healthcare setting and all healthcare workers who care for people with COPD should have access to spirometry».</w:t>
      </w:r>
    </w:p>
    <w:p>
      <w:pPr>
        <w:pStyle w:val="ListBullet"/>
      </w:pPr>
      <w:r>
        <w:rPr>
          <w:b/>
        </w:rPr>
        <w:t>Problema:</w:t>
      </w:r>
    </w:p>
    <w:p>
      <w:pPr>
        <w:pStyle w:val="ListNumber"/>
        <w:numPr>
          <w:ilvl w:val="0"/>
          <w:numId w:val="41"/>
        </w:numPr>
      </w:pPr>
      <w:r>
        <w:rPr>
          <w:b/>
        </w:rPr>
        <w:t>Ámbito de la espirometría.</w:t>
      </w:r>
      <w:r>
        <w:t xml:space="preserve"> La figura sitúa la espirometría confirmatoria solo en atención especializada, tras un resultado positivo con PEF o COPD-6 en primaria. Contradice el texto y añade un cuello de botella de derivación incompatible con muchos sistemas sanitarios.</w:t>
      </w:r>
    </w:p>
    <w:p>
      <w:pPr>
        <w:pStyle w:val="ListNumber"/>
        <w:numPr>
          <w:ilvl w:val="0"/>
          <w:numId w:val="41"/>
        </w:numPr>
      </w:pPr>
      <w:r>
        <w:rPr>
          <w:b/>
        </w:rPr>
        <w:t>Edad de entrada.</w:t>
      </w:r>
      <w:r>
        <w:t xml:space="preserve"> Se usan ≥35 años, mientras que los cuestionarios citados (CDQ, COPD-PS, PUMA, CAPTURE) están validados mayoritariamente en ≥40 años.</w:t>
      </w:r>
    </w:p>
    <w:p>
      <w:pPr>
        <w:pStyle w:val="ListNumber"/>
        <w:numPr>
          <w:ilvl w:val="0"/>
          <w:numId w:val="41"/>
        </w:numPr>
      </w:pPr>
      <w:r>
        <w:rPr>
          <w:b/>
        </w:rPr>
        <w:t>Paquetes-año.</w:t>
      </w:r>
      <w:r>
        <w:t xml:space="preserve"> Falta el criterio &gt;20 paquetes-año que el texto menciona para la búsqueda activa.</w:t>
      </w:r>
    </w:p>
    <w:p>
      <w:pPr>
        <w:pStyle w:val="ListNumber"/>
        <w:numPr>
          <w:ilvl w:val="0"/>
          <w:numId w:val="41"/>
        </w:numPr>
      </w:pPr>
      <w:r>
        <w:rPr>
          <w:b/>
        </w:rPr>
        <w:t>Terminología.</w:t>
      </w:r>
      <w:r>
        <w:t xml:space="preserve"> Se habla de «Screening Questionnaire» dentro de un algoritmo de «case-finding», tras haber distinguido ambos conceptos en el texto.</w:t>
      </w:r>
    </w:p>
    <w:p>
      <w:pPr>
        <w:pStyle w:val="ListNumber"/>
        <w:numPr>
          <w:ilvl w:val="0"/>
          <w:numId w:val="41"/>
        </w:numPr>
      </w:pPr>
      <w:r>
        <w:rPr>
          <w:b/>
        </w:rPr>
        <w:t>PEF.</w:t>
      </w:r>
      <w:r>
        <w:t xml:space="preserve"> El texto (PDF 37) advierte de la baja especificidad del PEF, que aquí se usa como filtro sin umbral.</w:t>
      </w:r>
    </w:p>
    <w:p>
      <w:pPr>
        <w:pStyle w:val="ListBullet"/>
      </w:pPr>
      <w:r>
        <w:rPr>
          <w:b/>
        </w:rPr>
        <w:t>Evidencia/justificación:</w:t>
      </w:r>
    </w:p>
    <w:p>
      <w:pPr>
        <w:pStyle w:val="ListBullet2"/>
      </w:pPr>
      <w:r>
        <w:t>Price DB et al. (CDQ), Martinez FJ et al. (COPD-PS, CAPTURE) y Lopez Varela MV et al. (PUMA) validaron los cuestionarios en ≥40 años.</w:t>
      </w:r>
    </w:p>
    <w:p>
      <w:pPr>
        <w:pStyle w:val="ListBullet2"/>
      </w:pPr>
      <w:r>
        <w:t>Ref. 382 (Aaron AJRCCM 2024), fuente de la figura.</w:t>
      </w:r>
    </w:p>
    <w:p>
      <w:pPr>
        <w:pStyle w:val="ListBullet"/>
      </w:pPr>
      <w:r>
        <w:rPr>
          <w:b/>
        </w:rPr>
        <w:t>Recomendación:</w:t>
      </w:r>
    </w:p>
    <w:p>
      <w:pPr>
        <w:pStyle w:val="ListBullet2"/>
      </w:pPr>
      <w:r>
        <w:t>Mostrar la espirometría confirmatoria como posible en «primaria o especializada, según disponibilidad».</w:t>
      </w:r>
    </w:p>
    <w:p>
      <w:pPr>
        <w:pStyle w:val="ListBullet2"/>
      </w:pPr>
      <w:r>
        <w:t>Usar ≥40 años salvo justificación.</w:t>
      </w:r>
    </w:p>
    <w:p>
      <w:pPr>
        <w:pStyle w:val="ListBullet2"/>
      </w:pPr>
      <w:r>
        <w:t>Añadir el criterio de paquetes-año y umbrales orientativos para PEF/COPD-6 (p. ej., FEV1/FEV6 &lt;0,73-0,75).</w:t>
      </w:r>
    </w:p>
    <w:p>
      <w:pPr>
        <w:pStyle w:val="ListBullet2"/>
      </w:pPr>
      <w:r>
        <w:t>Renombrar a «cuestionario de búsqueda de casos».</w:t>
      </w:r>
    </w:p>
    <w:p>
      <w:pPr>
        <w:pStyle w:val="ListBullet"/>
      </w:pPr>
      <w:r>
        <w:rPr>
          <w:b/>
        </w:rPr>
        <w:t>Confianza:</w:t>
      </w:r>
      <w:r>
        <w:t xml:space="preserve"> 4/5</w:t>
      </w:r>
    </w:p>
    <w:p>
      <w:pPr>
        <w:pStyle w:val="Heading4"/>
      </w:pPr>
      <w:r>
        <w:t>DX-18 · Volúmenes pulmonares: confusión entre hiperinsuflación estática y dinámica</w:t>
      </w:r>
    </w:p>
    <w:p>
      <w:r>
        <w:rPr>
          <w:i/>
        </w:rPr>
        <w:t xml:space="preserve">Severidad final: </w:t>
      </w:r>
      <w:r>
        <w:rPr>
          <w:i/>
          <w:color w:val="FFC000"/>
        </w:rPr>
        <w:t>🟡</w:t>
      </w:r>
      <w:r>
        <w:rPr>
          <w:i/>
        </w:rPr>
        <w:t xml:space="preserve"> MEDIA · Tema T18: Diagnóstico, espirometría, búsqueda de casos, pre-EPOC/PRISm</w:t>
      </w:r>
    </w:p>
    <w:p>
      <w:pPr>
        <w:pStyle w:val="ListBullet"/>
      </w:pPr>
      <w:r>
        <w:rPr>
          <w:b/>
        </w:rPr>
        <w:t>Tipo:</w:t>
      </w:r>
      <w:r>
        <w:t xml:space="preserve"> Error factual</w:t>
      </w:r>
    </w:p>
    <w:p>
      <w:pPr>
        <w:pStyle w:val="ListBullet"/>
      </w:pPr>
      <w:r>
        <w:rPr>
          <w:b/>
        </w:rPr>
        <w:t>Severidad:</w:t>
      </w:r>
      <w:r>
        <w:t xml:space="preserve"> MEDIA</w:t>
      </w:r>
    </w:p>
    <w:p>
      <w:pPr>
        <w:pStyle w:val="ListBullet"/>
      </w:pPr>
      <w:r>
        <w:rPr>
          <w:b/>
        </w:rPr>
        <w:t>Ubicación:</w:t>
      </w:r>
      <w:r>
        <w:t xml:space="preserve"> PDF 56 / impr. 45 — «Lung volumes»</w:t>
      </w:r>
    </w:p>
    <w:p>
      <w:pPr>
        <w:pStyle w:val="ListBullet"/>
      </w:pPr>
      <w:r>
        <w:rPr>
          <w:b/>
        </w:rPr>
        <w:t>Cita:</w:t>
      </w:r>
      <w:r>
        <w:t xml:space="preserve"> «…as airflow obstruction worsens, static hyperinflation (an increase in total lung capacity) occurs, particularly during exercise (dynamic hyperinflation).»</w:t>
      </w:r>
    </w:p>
    <w:p>
      <w:pPr>
        <w:pStyle w:val="ListBullet"/>
      </w:pPr>
      <w:r>
        <w:rPr>
          <w:b/>
        </w:rPr>
        <w:t>Problema:</w:t>
      </w:r>
    </w:p>
    <w:p>
      <w:pPr>
        <w:pStyle w:val="ListBullet2"/>
      </w:pPr>
      <w:r>
        <w:rPr>
          <w:b/>
        </w:rPr>
        <w:t>Definición incorrecta.</w:t>
      </w:r>
      <w:r>
        <w:t xml:space="preserve"> La hiperinsuflación estática es el aumento de la FRC (volumen pulmonar teleespiratorio en reposo) por pérdida de retracción elástica, y puede acompañarse o no de aumento de la TLC. Definirla como «aumento de la TLC» es incorrecto.</w:t>
      </w:r>
    </w:p>
    <w:p>
      <w:pPr>
        <w:pStyle w:val="ListBullet2"/>
      </w:pPr>
      <w:r>
        <w:rPr>
          <w:b/>
        </w:rPr>
        <w:t>Mezcla de conceptos.</w:t>
      </w:r>
      <w:r>
        <w:t xml:space="preserve"> La dinámica es el aumento transitorio del volumen teleespiratorio por encima del de reposo durante el ejercicio o la taquipnea, con caída de la capacidad inspiratoria. La frase sugiere que la hiperinsuflación estática ocurre «sobre todo durante el ejercicio».</w:t>
      </w:r>
    </w:p>
    <w:p>
      <w:pPr>
        <w:pStyle w:val="ListBullet2"/>
      </w:pPr>
      <w:r>
        <w:rPr>
          <w:b/>
        </w:rPr>
        <w:t>Medición.</w:t>
      </w:r>
      <w:r>
        <w:t xml:space="preserve"> Omite que la capacidad inspiratoria seriada es la forma práctica de documentar la hiperinsuflación dinámica, y que el cociente IC/TLC es pronóstico.</w:t>
      </w:r>
    </w:p>
    <w:p>
      <w:pPr>
        <w:pStyle w:val="ListBullet"/>
      </w:pPr>
      <w:r>
        <w:rPr>
          <w:b/>
        </w:rPr>
        <w:t>Evidencia/justificación:</w:t>
      </w:r>
    </w:p>
    <w:p>
      <w:pPr>
        <w:pStyle w:val="ListBullet2"/>
      </w:pPr>
      <w:r>
        <w:t>O'Donnell DE, Laveneziana P. Eur Respir Rev 2006;15:61-67.</w:t>
      </w:r>
    </w:p>
    <w:p>
      <w:pPr>
        <w:pStyle w:val="ListBullet2"/>
      </w:pPr>
      <w:r>
        <w:t>Casanova C et al. AJRCCM 2005;171:591-597 (IC/TLC &lt;25% pronóstico).</w:t>
      </w:r>
    </w:p>
    <w:p>
      <w:pPr>
        <w:pStyle w:val="ListBullet2"/>
      </w:pPr>
      <w:r>
        <w:t>ERS/ATS 2022 (ref. 337): definición de hiperinsuflación por RV/TLC y TLC.</w:t>
      </w:r>
    </w:p>
    <w:p>
      <w:pPr>
        <w:pStyle w:val="ListBullet"/>
      </w:pPr>
      <w:r>
        <w:rPr>
          <w:b/>
        </w:rPr>
        <w:t>Recomendación:</w:t>
      </w:r>
      <w:r>
        <w:t xml:space="preserve"> Reescribir: «…se produce atrapamiento aéreo (↑RV, ↑RV/TLC) e hiperinsuflación estática (↑FRC en reposo, a veces con ↑TLC); durante el ejercicio puede añadirse hiperinsuflación dinámica (↑EELV, ↓IC)». Mencionar la utilidad de IC/TLC.</w:t>
      </w:r>
    </w:p>
    <w:p>
      <w:pPr>
        <w:pStyle w:val="ListBullet"/>
      </w:pPr>
      <w:r>
        <w:rPr>
          <w:b/>
        </w:rPr>
        <w:t>Confianza:</w:t>
      </w:r>
      <w:r>
        <w:t xml:space="preserve"> 5/5</w:t>
      </w:r>
    </w:p>
    <w:p>
      <w:pPr>
        <w:pStyle w:val="Heading4"/>
      </w:pPr>
      <w:r>
        <w:t>DX-20 · Monitorización: sin definición operativa de «declive rápido» y frecuencia ambigua</w:t>
      </w:r>
    </w:p>
    <w:p>
      <w:r>
        <w:rPr>
          <w:i/>
        </w:rPr>
        <w:t xml:space="preserve">Severidad final: </w:t>
      </w:r>
      <w:r>
        <w:rPr>
          <w:i/>
          <w:color w:val="FFC000"/>
        </w:rPr>
        <w:t>🟡</w:t>
      </w:r>
      <w:r>
        <w:rPr>
          <w:i/>
        </w:rPr>
        <w:t xml:space="preserve"> MEDIA · Tema T18: Diagnóstico, espirometría, búsqueda de casos, pre-EPOC/PRISm</w:t>
      </w:r>
    </w:p>
    <w:p>
      <w:pPr>
        <w:pStyle w:val="ListBullet"/>
      </w:pPr>
      <w:r>
        <w:rPr>
          <w:b/>
        </w:rPr>
        <w:t>Tipo:</w:t>
      </w:r>
      <w:r>
        <w:t xml:space="preserve"> Ambigüedad / Incongruencia menor</w:t>
      </w:r>
    </w:p>
    <w:p>
      <w:pPr>
        <w:pStyle w:val="ListBullet"/>
      </w:pPr>
      <w:r>
        <w:rPr>
          <w:b/>
        </w:rPr>
        <w:t>Severidad:</w:t>
      </w:r>
      <w:r>
        <w:t xml:space="preserve"> MEDIA</w:t>
      </w:r>
    </w:p>
    <w:p>
      <w:pPr>
        <w:pStyle w:val="ListBullet"/>
      </w:pPr>
      <w:r>
        <w:rPr>
          <w:b/>
        </w:rPr>
        <w:t>Ubicación:</w:t>
      </w:r>
      <w:r>
        <w:t xml:space="preserve"> PDF 55 / impr. 44 — «Measurements». Cotejado con la Fig. 3.9 y el texto de seguimiento del cap. 3 (PDF 74-76).</w:t>
      </w:r>
    </w:p>
    <w:p>
      <w:pPr>
        <w:pStyle w:val="ListBullet"/>
      </w:pPr>
      <w:r>
        <w:rPr>
          <w:b/>
        </w:rPr>
        <w:t>Cita:</w:t>
      </w:r>
      <w:r>
        <w:t xml:space="preserve"> «Decline in FEV1 can be tracked by spirometry performed at regular intervals (e.g., yearly) to identify patients who are declining quickly…»</w:t>
      </w:r>
    </w:p>
    <w:p>
      <w:pPr>
        <w:pStyle w:val="ListBullet"/>
      </w:pPr>
      <w:r>
        <w:rPr>
          <w:b/>
        </w:rPr>
        <w:t>Problema:</w:t>
      </w:r>
    </w:p>
    <w:p>
      <w:pPr>
        <w:pStyle w:val="ListBullet2"/>
      </w:pPr>
      <w:r>
        <w:rPr>
          <w:b/>
        </w:rPr>
        <w:t>Sin umbral.</w:t>
      </w:r>
      <w:r>
        <w:t xml:space="preserve"> No se define qué es un declive rápido (p. ej., &gt;40-60 mL/año), cuántas medidas hacen falta para estimar la pendiente, ni qué cambio entre dos pruebas supera la variabilidad.</w:t>
      </w:r>
    </w:p>
    <w:p>
      <w:pPr>
        <w:pStyle w:val="ListBullet2"/>
      </w:pPr>
      <w:r>
        <w:rPr>
          <w:b/>
        </w:rPr>
        <w:t>Variabilidad ignorada.</w:t>
      </w:r>
      <w:r>
        <w:t xml:space="preserve"> La variabilidad interprueba (≈±150 mL o ±10-15%) hace que una única comparación anual sea poco fiable.</w:t>
      </w:r>
    </w:p>
    <w:p>
      <w:pPr>
        <w:pStyle w:val="ListBullet2"/>
      </w:pPr>
      <w:r>
        <w:rPr>
          <w:b/>
        </w:rPr>
        <w:t>Frecuencia ambigua.</w:t>
      </w:r>
      <w:r>
        <w:t xml:space="preserve"> «e.g., yearly» (cap. 2) frente a «at least annually» (cap. 3).</w:t>
      </w:r>
    </w:p>
    <w:p>
      <w:pPr>
        <w:pStyle w:val="ListBullet2"/>
      </w:pPr>
      <w:r>
        <w:rPr>
          <w:b/>
        </w:rPr>
        <w:t>Sin consecuencia clínica.</w:t>
      </w:r>
      <w:r>
        <w:t xml:space="preserve"> No se dice qué hacer ante un declive rápido (p. ej., revisar exposición y tabaquismo, AATD, rasgos T2, derivación).</w:t>
      </w:r>
    </w:p>
    <w:p>
      <w:pPr>
        <w:pStyle w:val="ListBullet"/>
      </w:pPr>
      <w:r>
        <w:rPr>
          <w:b/>
        </w:rPr>
        <w:t>Evidencia/justificación:</w:t>
      </w:r>
    </w:p>
    <w:p>
      <w:pPr>
        <w:pStyle w:val="ListBullet2"/>
      </w:pPr>
      <w:r>
        <w:t>Vestbo J et al. NEJM 2011;365:1184-92 (ECLIPSE): variabilidad del declive; declinadores rápidos &gt;40 mL/año.</w:t>
      </w:r>
    </w:p>
    <w:p>
      <w:pPr>
        <w:pStyle w:val="ListBullet2"/>
      </w:pPr>
      <w:r>
        <w:t>Pellegrino R et al. ERJ 2005 (ref. 333): cambios interanuales &gt;15% probablemente significativos.</w:t>
      </w:r>
    </w:p>
    <w:p>
      <w:pPr>
        <w:pStyle w:val="ListBullet2"/>
      </w:pPr>
      <w:r>
        <w:t>ERS/ATS 2022 (ref. 337): interpretación de cambios en el tiempo.</w:t>
      </w:r>
    </w:p>
    <w:p>
      <w:pPr>
        <w:pStyle w:val="ListBullet"/>
      </w:pPr>
      <w:r>
        <w:rPr>
          <w:b/>
        </w:rPr>
        <w:t>Recomendación:</w:t>
      </w:r>
    </w:p>
    <w:p>
      <w:pPr>
        <w:pStyle w:val="ListBullet2"/>
      </w:pPr>
      <w:r>
        <w:t>Unificar en «al menos anual».</w:t>
      </w:r>
    </w:p>
    <w:p>
      <w:pPr>
        <w:pStyle w:val="ListBullet2"/>
      </w:pPr>
      <w:r>
        <w:t>Definir el declive rápido (p. ej., ≥60 mL/año sostenido en ≥3 medidas a lo largo de ≥2-3 años) y el cambio significativo entre dos pruebas.</w:t>
      </w:r>
    </w:p>
    <w:p>
      <w:pPr>
        <w:pStyle w:val="ListBullet2"/>
      </w:pPr>
      <w:r>
        <w:t>Vincular el hallazgo a acciones concretas.</w:t>
      </w:r>
    </w:p>
    <w:p>
      <w:pPr>
        <w:pStyle w:val="ListBullet"/>
      </w:pPr>
      <w:r>
        <w:rPr>
          <w:b/>
        </w:rPr>
        <w:t>Confianza:</w:t>
      </w:r>
      <w:r>
        <w:t xml:space="preserve"> 3/5</w:t>
      </w:r>
    </w:p>
    <w:p>
      <w:pPr>
        <w:pStyle w:val="Heading4"/>
      </w:pPr>
      <w:r>
        <w:t>DX-22 · Anomalías pulmonares intersticiales (ILA) y bronquiectasias: cifras mezcladas y ausencia de pautas de seguimiento</w:t>
      </w:r>
    </w:p>
    <w:p>
      <w:r>
        <w:rPr>
          <w:i/>
        </w:rPr>
        <w:t xml:space="preserve">Severidad final: </w:t>
      </w:r>
      <w:r>
        <w:rPr>
          <w:i/>
          <w:color w:val="FFC000"/>
        </w:rPr>
        <w:t>🟡</w:t>
      </w:r>
      <w:r>
        <w:rPr>
          <w:i/>
        </w:rPr>
        <w:t xml:space="preserve"> MEDIA · Tema T18: Diagnóstico, espirometría, búsqueda de casos, pre-EPOC/PRISm</w:t>
      </w:r>
    </w:p>
    <w:p>
      <w:pPr>
        <w:pStyle w:val="ListBullet"/>
      </w:pPr>
      <w:r>
        <w:rPr>
          <w:b/>
        </w:rPr>
        <w:t>Tipo:</w:t>
      </w:r>
      <w:r>
        <w:t xml:space="preserve"> Error factual / Omisión</w:t>
      </w:r>
    </w:p>
    <w:p>
      <w:pPr>
        <w:pStyle w:val="ListBullet"/>
      </w:pPr>
      <w:r>
        <w:rPr>
          <w:b/>
        </w:rPr>
        <w:t>Severidad:</w:t>
      </w:r>
      <w:r>
        <w:t xml:space="preserve"> MEDIA</w:t>
      </w:r>
    </w:p>
    <w:p>
      <w:pPr>
        <w:pStyle w:val="ListBullet"/>
      </w:pPr>
      <w:r>
        <w:rPr>
          <w:b/>
        </w:rPr>
        <w:t>Ubicación:</w:t>
      </w:r>
      <w:r>
        <w:t xml:space="preserve"> PDF 58 / impr. 47 — «CT and airways» e «Interstitial lung abnormalities»</w:t>
      </w:r>
    </w:p>
    <w:p>
      <w:pPr>
        <w:pStyle w:val="ListBullet"/>
      </w:pPr>
      <w:r>
        <w:rPr>
          <w:b/>
        </w:rPr>
        <w:t>Cita:</w:t>
      </w:r>
      <w:r>
        <w:t xml:space="preserve"> «The prevalence of ILA ranges from 4% to 9% among older (over 60 years) adults…(542) Among 4,360 COPDGene participants, ILA was present in 8% of individuals, with half meeting criteria for suspected ILD…(245,543)» / «bronchiectasis… visible on CT in roughly 30% of patients with COPD».</w:t>
      </w:r>
    </w:p>
    <w:p>
      <w:pPr>
        <w:pStyle w:val="ListBullet"/>
      </w:pPr>
      <w:r>
        <w:rPr>
          <w:b/>
        </w:rPr>
        <w:t>Problema:</w:t>
      </w:r>
    </w:p>
    <w:p>
      <w:pPr>
        <w:pStyle w:val="ListNumber"/>
        <w:numPr>
          <w:ilvl w:val="0"/>
          <w:numId w:val="42"/>
        </w:numPr>
      </w:pPr>
      <w:r>
        <w:rPr>
          <w:b/>
        </w:rPr>
        <w:t>Prevalencia de ILA.</w:t>
      </w:r>
      <w:r>
        <w:t xml:space="preserve"> Fleischner 2020 da un 4-9% en fumadores y un 2-7% en no fumadores, no «en mayores de 60 años».</w:t>
      </w:r>
    </w:p>
    <w:p>
      <w:pPr>
        <w:pStyle w:val="ListNumber"/>
        <w:numPr>
          <w:ilvl w:val="0"/>
          <w:numId w:val="42"/>
        </w:numPr>
      </w:pPr>
      <w:r>
        <w:rPr>
          <w:b/>
        </w:rPr>
        <w:t>Datos de COPDGene mezclados.</w:t>
      </w:r>
      <w:r>
        <w:t xml:space="preserve"> El 8% procede de Washko 2011 (n=2.416, ref. 245). El estudio de Rose 2023 (ref. 543, n≈4.361) identificó ≈5% con sospecha de EPID y ≈5% con ILA sin sospecha de EPID (≈10% en total). La frase combina numeradores y denominadores de estudios distintos.</w:t>
      </w:r>
    </w:p>
    <w:p>
      <w:pPr>
        <w:pStyle w:val="ListNumber"/>
        <w:numPr>
          <w:ilvl w:val="0"/>
          <w:numId w:val="42"/>
        </w:numPr>
      </w:pPr>
      <w:r>
        <w:rPr>
          <w:b/>
        </w:rPr>
        <w:t>Bronquiectasias.</w:t>
      </w:r>
      <w:r>
        <w:t xml:space="preserve"> El «≈30%» carece de cita, y la prevalencia descrita varía mucho (≈4-69%) según la población y la definición.</w:t>
      </w:r>
    </w:p>
    <w:p>
      <w:pPr>
        <w:pStyle w:val="ListNumber"/>
        <w:numPr>
          <w:ilvl w:val="0"/>
          <w:numId w:val="42"/>
        </w:numPr>
      </w:pPr>
      <w:r>
        <w:rPr>
          <w:b/>
        </w:rPr>
        <w:t>Sin manejo de la ILA.</w:t>
      </w:r>
      <w:r>
        <w:t xml:space="preserve"> Se dice que hay que hacer seguimiento, pero no se remite a las recomendaciones de la Fleischner (identificación de los subtipos con riesgo de progresión, seguimiento con TC y pruebas de función pulmonar), ni a la combinación fibrosis-enfisema (CPFE, tratada en el cap. 5), que pseudonormaliza los volúmenes con DLCO muy baja y es un escollo diagnóstico relevante.</w:t>
      </w:r>
    </w:p>
    <w:p>
      <w:pPr>
        <w:pStyle w:val="ListBullet"/>
      </w:pPr>
      <w:r>
        <w:rPr>
          <w:b/>
        </w:rPr>
        <w:t>Evidencia/justificación:</w:t>
      </w:r>
    </w:p>
    <w:p>
      <w:pPr>
        <w:pStyle w:val="ListBullet2"/>
      </w:pPr>
      <w:r>
        <w:t xml:space="preserve">Hatabu H et al. </w:t>
      </w:r>
      <w:r>
        <w:rPr>
          <w:i/>
        </w:rPr>
        <w:t>Interstitial lung abnormalities detected incidentally on CT: a Position Paper from the Fleischner Society</w:t>
      </w:r>
      <w:r>
        <w:t>. Lancet Respir Med 2020;8:726-737.</w:t>
      </w:r>
    </w:p>
    <w:p>
      <w:pPr>
        <w:pStyle w:val="ListBullet2"/>
      </w:pPr>
      <w:r>
        <w:t>Washko GR et al. NEJM 2011;364:897-906.</w:t>
      </w:r>
    </w:p>
    <w:p>
      <w:pPr>
        <w:pStyle w:val="ListBullet2"/>
      </w:pPr>
      <w:r>
        <w:t>Rose JA et al. AJRCCM 2023 (COPDGene, suspected ILD).</w:t>
      </w:r>
    </w:p>
    <w:p>
      <w:pPr>
        <w:pStyle w:val="ListBullet2"/>
      </w:pPr>
      <w:r>
        <w:t>Martínez-García MA et al. (ref. 534) sobre bronquiectasias en la EPOC.</w:t>
      </w:r>
    </w:p>
    <w:p>
      <w:pPr>
        <w:pStyle w:val="ListBullet"/>
      </w:pPr>
      <w:r>
        <w:rPr>
          <w:b/>
        </w:rPr>
        <w:t>Recomendación:</w:t>
      </w:r>
    </w:p>
    <w:p>
      <w:pPr>
        <w:pStyle w:val="ListBullet2"/>
      </w:pPr>
      <w:r>
        <w:t>Corregir las cifras atribuyendo cada una a su estudio.</w:t>
      </w:r>
    </w:p>
    <w:p>
      <w:pPr>
        <w:pStyle w:val="ListBullet2"/>
      </w:pPr>
      <w:r>
        <w:t>Citar o matizar el 30%.</w:t>
      </w:r>
    </w:p>
    <w:p>
      <w:pPr>
        <w:pStyle w:val="ListBullet2"/>
      </w:pPr>
      <w:r>
        <w:t>Añadir una frase de manejo según la Fleischner 2020 y una remisión a CPFE: sospechar CPFE ante una espirometría casi normal con DLCO desproporcionadamente baja.</w:t>
      </w:r>
    </w:p>
    <w:p>
      <w:pPr>
        <w:pStyle w:val="ListBullet"/>
      </w:pPr>
      <w:r>
        <w:rPr>
          <w:b/>
        </w:rPr>
        <w:t>Confianza:</w:t>
      </w:r>
      <w:r>
        <w:t xml:space="preserve"> 4/5</w:t>
      </w:r>
    </w:p>
    <w:p>
      <w:pPr>
        <w:pStyle w:val="Heading4"/>
      </w:pPr>
      <w:r>
        <w:t>EPI-03 · Las «nuevas oportunidades» del cap. 1 (pre-EPOC, PRISm, etiotipos) no llegan al cap. 2</w:t>
      </w:r>
    </w:p>
    <w:p>
      <w:r>
        <w:rPr>
          <w:i/>
        </w:rPr>
        <w:t xml:space="preserve">Severidad final: </w:t>
      </w:r>
      <w:r>
        <w:rPr>
          <w:i/>
          <w:color w:val="FFC000"/>
        </w:rPr>
        <w:t>🟡</w:t>
      </w:r>
      <w:r>
        <w:rPr>
          <w:i/>
        </w:rPr>
        <w:t xml:space="preserve"> MEDIA · Tema T18: Diagnóstico, espirometría, búsqueda de casos, pre-EPOC/PRISm</w:t>
      </w:r>
    </w:p>
    <w:p>
      <w:pPr>
        <w:pStyle w:val="ListBullet"/>
      </w:pPr>
      <w:r>
        <w:rPr>
          <w:b/>
        </w:rPr>
        <w:t>Tipo:</w:t>
      </w:r>
      <w:r>
        <w:t xml:space="preserve"> Incongruencia interna / Omisión</w:t>
      </w:r>
    </w:p>
    <w:p>
      <w:pPr>
        <w:pStyle w:val="ListBullet"/>
      </w:pPr>
      <w:r>
        <w:rPr>
          <w:b/>
        </w:rPr>
        <w:t>Severidad:</w:t>
      </w:r>
      <w:r>
        <w:t xml:space="preserve"> MEDIA</w:t>
      </w:r>
    </w:p>
    <w:p>
      <w:pPr>
        <w:pStyle w:val="ListBullet"/>
      </w:pPr>
      <w:r>
        <w:rPr>
          <w:b/>
        </w:rPr>
        <w:t>Ubicación:</w:t>
      </w:r>
      <w:r>
        <w:t xml:space="preserve"> PDF 18 / impr. 7 (New opportunities) y PDF 30-31 / impr. 19-20 (Taxonomy, Figure 1.3), frente al cap. 2: PDF 44-46 / impr. 33-35 (Figures 2.8-2.9) y PDF 37 / impr. 26</w:t>
      </w:r>
    </w:p>
    <w:p>
      <w:pPr>
        <w:pStyle w:val="ListBullet"/>
      </w:pPr>
      <w:r>
        <w:rPr>
          <w:b/>
        </w:rPr>
        <w:t>Cita:</w:t>
      </w:r>
      <w:r>
        <w:t xml:space="preserve"> «there are precursor conditions (pre-COPD, PRISm), opens new windows of opportunity for its prevention, early diagnosis, and prompt and appropriate therapeutic intervention.(69)»</w:t>
      </w:r>
    </w:p>
    <w:p>
      <w:pPr>
        <w:pStyle w:val="ListBullet"/>
      </w:pPr>
      <w:r>
        <w:rPr>
          <w:b/>
        </w:rPr>
        <w:t>Problema:</w:t>
      </w:r>
      <w:r>
        <w:t xml:space="preserve"> «PRISm» y «pre-COPD» no aparecen en ningún capítulo posterior (solo en la tabla de abreviaturas, PDF 150). El nuevo algoritmo de case-finding (Figure 2.9, PDF 46, Highlight ii) no tiene rama para FEV1/FVC ≥0,7 con FEV1 bajo o con síntomas: no indica qué hacer, cuándo repetir la espirometría ni qué diagnósticos alternativos descartar. La taxonomía por etiotipos tampoco se usa en la anamnesis ni en la evaluación del cap. 2 (solo se mencionan VIH y TB en la historia clínica, PDF 37).</w:t>
      </w:r>
    </w:p>
    <w:p>
      <w:pPr>
        <w:pStyle w:val="ListBullet"/>
      </w:pPr>
      <w:r>
        <w:rPr>
          <w:b/>
        </w:rPr>
        <w:t>Evidencia/justificación:</w:t>
      </w:r>
      <w:r>
        <w:t xml:space="preserve"> Hice un grep exhaustivo de «PRISm», «pre-COPD» y «etiotype» en </w:t>
      </w:r>
      <w:r>
        <w:rPr>
          <w:rFonts w:ascii="Consolas" w:hAnsi="Consolas"/>
        </w:rPr>
        <w:t>gold_full.txt</w:t>
      </w:r>
      <w:r>
        <w:t>: todas las apariciones sustantivas están en PDF 15-31. PRISm es un resultado espirométrico frecuente: según el propio cap. 1 (PDF 25), su prevalencia es del 7-11% en población general y del 10-11% en fumadores (COPDGene), justo la población diana del case-finding.</w:t>
      </w:r>
    </w:p>
    <w:p>
      <w:pPr>
        <w:pStyle w:val="ListBullet"/>
      </w:pPr>
      <w:r>
        <w:rPr>
          <w:b/>
        </w:rPr>
        <w:t>Recomendación:</w:t>
      </w:r>
      <w:r>
        <w:t xml:space="preserve"> Añadir a la Figure 2.9 una salida «ratio preservado con FEV1 bajo o síntomas», con conducta sugerida: repetir la espirometría a los 12-24 meses, cesación tabáquica, valorar volúmenes, DLCO y TC según contexto, y descartar insuficiencia cardiaca, obesidad o restricción. Incluir en el cap. 2 una pregunta estructurada de exposiciones/etiotipo (biomasa, prematuridad, TB, asma infantil).</w:t>
      </w:r>
    </w:p>
    <w:p>
      <w:pPr>
        <w:pStyle w:val="ListBullet"/>
      </w:pPr>
      <w:r>
        <w:rPr>
          <w:b/>
        </w:rPr>
        <w:t>Confianza:</w:t>
      </w:r>
      <w:r>
        <w:t xml:space="preserve"> 5/5</w:t>
      </w:r>
    </w:p>
    <w:p>
      <w:pPr>
        <w:pStyle w:val="Heading4"/>
      </w:pPr>
      <w:r>
        <w:t>EPI-17 · Figure 1.3 (taxonomía): soporte textual insuficiente, categorías solapadas y fuente inconsistente</w:t>
      </w:r>
    </w:p>
    <w:p>
      <w:r>
        <w:rPr>
          <w:i/>
        </w:rPr>
        <w:t xml:space="preserve">Severidad final: </w:t>
      </w:r>
      <w:r>
        <w:rPr>
          <w:i/>
          <w:color w:val="FFC000"/>
        </w:rPr>
        <w:t>🟡</w:t>
      </w:r>
      <w:r>
        <w:rPr>
          <w:i/>
        </w:rPr>
        <w:t xml:space="preserve"> MEDIA · Tema T18: Diagnóstico, espirometría, búsqueda de casos, pre-EPOC/PRISm</w:t>
      </w:r>
    </w:p>
    <w:p>
      <w:pPr>
        <w:pStyle w:val="ListBullet"/>
      </w:pPr>
      <w:r>
        <w:rPr>
          <w:b/>
        </w:rPr>
        <w:t>Tipo:</w:t>
      </w:r>
      <w:r>
        <w:t xml:space="preserve"> Incongruencia interna / Ambigüedad</w:t>
      </w:r>
    </w:p>
    <w:p>
      <w:pPr>
        <w:pStyle w:val="ListBullet"/>
      </w:pPr>
      <w:r>
        <w:rPr>
          <w:b/>
        </w:rPr>
        <w:t>Severidad:</w:t>
      </w:r>
      <w:r>
        <w:t xml:space="preserve"> MEDIA</w:t>
      </w:r>
    </w:p>
    <w:p>
      <w:pPr>
        <w:pStyle w:val="ListBullet"/>
      </w:pPr>
      <w:r>
        <w:rPr>
          <w:b/>
        </w:rPr>
        <w:t>Ubicación:</w:t>
      </w:r>
      <w:r>
        <w:t xml:space="preserve"> PDF 30-31 / impr. 19-20 — Taxonomy, Figure 1.3</w:t>
      </w:r>
    </w:p>
    <w:p>
      <w:pPr>
        <w:pStyle w:val="ListBullet"/>
      </w:pPr>
      <w:r>
        <w:rPr>
          <w:b/>
        </w:rPr>
        <w:t>Cita:</w:t>
      </w:r>
      <w:r>
        <w:t xml:space="preserve"> Figure 1.3, COPD-C: «Exposure to tobacco smoke, including </w:t>
      </w:r>
      <w:r>
        <w:rPr>
          <w:i/>
        </w:rPr>
        <w:t>in utero</w:t>
      </w:r>
      <w:r>
        <w:t xml:space="preserve"> or via passive smoking»; COPD-P: «…wildfire smoke, occupational hazards»</w:t>
      </w:r>
    </w:p>
    <w:p>
      <w:pPr>
        <w:pStyle w:val="ListBullet"/>
      </w:pPr>
      <w:r>
        <w:rPr>
          <w:b/>
        </w:rPr>
        <w:t>Problema:</w:t>
      </w:r>
    </w:p>
    <w:p>
      <w:pPr>
        <w:pStyle w:val="ListBullet2"/>
      </w:pPr>
      <w:r>
        <w:rPr>
          <w:b/>
        </w:rPr>
        <w:t>Contenidos de la figura sin soporte en el texto:</w:t>
      </w:r>
      <w:r>
        <w:t xml:space="preserve"> el humo de incendios forestales no aparece en el texto (grep negativo en PDF 15-60); el cannabis y el vapeo, ver EPI-15 y EPI-16.</w:t>
      </w:r>
    </w:p>
    <w:p>
      <w:pPr>
        <w:pStyle w:val="ListBullet2"/>
      </w:pPr>
      <w:r>
        <w:rPr>
          <w:b/>
        </w:rPr>
        <w:t>Etiqueta incoherente con su contenido:</w:t>
      </w:r>
      <w:r>
        <w:t xml:space="preserve"> «Cigarette smoking COPD» incluye cannabis y vapeo, que no son cigarrillos.</w:t>
      </w:r>
    </w:p>
    <w:p>
      <w:pPr>
        <w:pStyle w:val="ListBullet2"/>
      </w:pPr>
      <w:r>
        <w:rPr>
          <w:b/>
        </w:rPr>
        <w:t>Etiotipos solapados sin reglas de asignación:</w:t>
      </w:r>
      <w:r>
        <w:t xml:space="preserve"> la exposición in utero se clasifica en COPD-C, aunque el texto (PDF 16) la presenta como alteración del desarrollo pulmonar (COPD-D). No hay reglas para la etiología múltiple, que es la norma según el propio marco GETomics.</w:t>
      </w:r>
    </w:p>
    <w:p>
      <w:pPr>
        <w:pStyle w:val="ListBullet2"/>
      </w:pPr>
      <w:r>
        <w:rPr>
          <w:b/>
        </w:rPr>
        <w:t>Fuente inconsistente:</w:t>
      </w:r>
      <w:r>
        <w:t xml:space="preserve"> el pie de figura cita a Celli 2022 y Stolz 2022, mientras el texto apoya la necesidad de la taxonomía en una comunicación personal (ref 295).</w:t>
      </w:r>
    </w:p>
    <w:p>
      <w:pPr>
        <w:pStyle w:val="ListBullet"/>
      </w:pPr>
      <w:r>
        <w:rPr>
          <w:b/>
        </w:rPr>
        <w:t>Evidencia/justificación:</w:t>
      </w:r>
      <w:r>
        <w:t xml:space="preserve"> Comparación directa entre la PNG p031 y el texto de PDF 16-17 y 30. Celli B et al., </w:t>
      </w:r>
      <w:r>
        <w:rPr>
          <w:i/>
        </w:rPr>
        <w:t>AJRCCM</w:t>
      </w:r>
      <w:r>
        <w:t xml:space="preserve"> 2022;206:1317-25; Stolz D et al., </w:t>
      </w:r>
      <w:r>
        <w:rPr>
          <w:i/>
        </w:rPr>
        <w:t>Lancet</w:t>
      </w:r>
      <w:r>
        <w:t xml:space="preserve"> 2022;400:921-72.</w:t>
      </w:r>
    </w:p>
    <w:p>
      <w:pPr>
        <w:pStyle w:val="ListBullet"/>
      </w:pPr>
      <w:r>
        <w:rPr>
          <w:b/>
        </w:rPr>
        <w:t>Recomendación:</w:t>
      </w:r>
    </w:p>
    <w:p>
      <w:pPr>
        <w:pStyle w:val="ListBullet2"/>
      </w:pPr>
      <w:r>
        <w:t>Renombrar COPD-C como «exposición a productos de tabaco/inhalados».</w:t>
      </w:r>
    </w:p>
    <w:p>
      <w:pPr>
        <w:pStyle w:val="ListBullet2"/>
      </w:pPr>
      <w:r>
        <w:t>Añadir una nota que permita asignar varios etiotipos (exposición principal y concurrentes).</w:t>
      </w:r>
    </w:p>
    <w:p>
      <w:pPr>
        <w:pStyle w:val="ListBullet2"/>
      </w:pPr>
      <w:r>
        <w:t>Mover o duplicar con criterio la exposición in utero.</w:t>
      </w:r>
    </w:p>
    <w:p>
      <w:pPr>
        <w:pStyle w:val="ListBullet2"/>
      </w:pPr>
      <w:r>
        <w:t>Referenciar en el texto cada exposición de la figura.</w:t>
      </w:r>
    </w:p>
    <w:p>
      <w:pPr>
        <w:pStyle w:val="ListBullet2"/>
      </w:pPr>
      <w:r>
        <w:t>Eliminar la comunicación personal.</w:t>
      </w:r>
    </w:p>
    <w:p>
      <w:pPr>
        <w:pStyle w:val="ListBullet"/>
      </w:pPr>
      <w:r>
        <w:rPr>
          <w:b/>
        </w:rPr>
        <w:t>Confianza:</w:t>
      </w:r>
      <w:r>
        <w:t xml:space="preserve"> 4/5</w:t>
      </w:r>
    </w:p>
    <w:p>
      <w:pPr>
        <w:pStyle w:val="Heading4"/>
      </w:pPr>
      <w:r>
        <w:t>EQ-12 · GLI-Global: falta analizar su impacto en LMIC y las implicaciones para los umbrales terapéuticos</w:t>
      </w:r>
    </w:p>
    <w:p>
      <w:r>
        <w:rPr>
          <w:i/>
        </w:rPr>
        <w:t xml:space="preserve">Severidad final: </w:t>
      </w:r>
      <w:r>
        <w:rPr>
          <w:i/>
          <w:color w:val="FFC000"/>
        </w:rPr>
        <w:t>🟡</w:t>
      </w:r>
      <w:r>
        <w:rPr>
          <w:i/>
        </w:rPr>
        <w:t xml:space="preserve"> MEDIA · Tema T18: Diagnóstico, espirometría, búsqueda de casos, pre-EPOC/PRISm</w:t>
      </w:r>
    </w:p>
    <w:p>
      <w:pPr>
        <w:pStyle w:val="ListBullet"/>
      </w:pPr>
      <w:r>
        <w:rPr>
          <w:b/>
        </w:rPr>
        <w:t>Tipo:</w:t>
      </w:r>
      <w:r>
        <w:t xml:space="preserve"> Omisión / Ambigüedad</w:t>
      </w:r>
    </w:p>
    <w:p>
      <w:pPr>
        <w:pStyle w:val="ListBullet"/>
      </w:pPr>
      <w:r>
        <w:rPr>
          <w:b/>
        </w:rPr>
        <w:t>Severidad:</w:t>
      </w:r>
      <w:r>
        <w:t xml:space="preserve"> MEDIA</w:t>
      </w:r>
    </w:p>
    <w:p>
      <w:pPr>
        <w:pStyle w:val="ListBullet"/>
      </w:pPr>
      <w:r>
        <w:rPr>
          <w:b/>
        </w:rPr>
        <w:t>Ubicación:</w:t>
      </w:r>
      <w:r>
        <w:t xml:space="preserve"> PDF 42 / impr. 31 — "Reference equations".</w:t>
      </w:r>
    </w:p>
    <w:p>
      <w:pPr>
        <w:pStyle w:val="ListBullet"/>
      </w:pPr>
      <w:r>
        <w:rPr>
          <w:b/>
        </w:rPr>
        <w:t>Cita:</w:t>
      </w:r>
      <w:r>
        <w:t xml:space="preserve"> "Nevertheless, GOLD recommends using the GLI-Global equations as the reference standard for the assessment of lung function impairment in patients with COPD, despite their limitations."</w:t>
      </w:r>
    </w:p>
    <w:p>
      <w:pPr>
        <w:pStyle w:val="ListBullet"/>
      </w:pPr>
      <w:r>
        <w:rPr>
          <w:b/>
        </w:rPr>
        <w:t>Problema:</w:t>
      </w:r>
    </w:p>
    <w:p>
      <w:pPr>
        <w:pStyle w:val="ListBullet2"/>
      </w:pPr>
      <w:r>
        <w:t>La adopción de ecuaciones neutrales respecto a la raza es correcta y coherente con ATS/ERS. Sin embargo, la única evidencia de impacto citada procede de NHANES (EE. UU.).</w:t>
      </w:r>
    </w:p>
    <w:p>
      <w:pPr>
        <w:pStyle w:val="ListBullet2"/>
      </w:pPr>
      <w:r>
        <w:t>En poblaciones con menor función pulmonar media por desventaja en las primeras etapas de la vida (por ejemplo, sur de Asia o África subsahariana), GLI-Global aumentará la proporción de personas clasificadas con FEV1 % del teórico bajo, PRISm o grados GOLD 3-4.</w:t>
      </w:r>
    </w:p>
    <w:p>
      <w:pPr>
        <w:pStyle w:val="ListBullet2"/>
      </w:pPr>
      <w:r>
        <w:t>Ese cambio modifica la elegibilidad para tratamientos con umbrales de FEV1: roflumilast (&lt;50 %), reducción de volumen pulmonar, y los ensayos de biológicos (FEV1 del 30-70 %).</w:t>
      </w:r>
    </w:p>
    <w:p>
      <w:pPr>
        <w:pStyle w:val="ListBullet2"/>
      </w:pPr>
      <w:r>
        <w:t>El texto reconoce el riesgo de "normalize the effects of malnutrition" con ecuaciones específicas, pero no desarrolla estas implicaciones prácticas.</w:t>
      </w:r>
    </w:p>
    <w:p>
      <w:pPr>
        <w:pStyle w:val="ListBullet2"/>
      </w:pPr>
      <w:r>
        <w:t>Además, los rangos de z-score que se describen dejan un hueco entre −4 y −4,1.</w:t>
      </w:r>
    </w:p>
    <w:p>
      <w:pPr>
        <w:pStyle w:val="ListBullet"/>
      </w:pPr>
      <w:r>
        <w:rPr>
          <w:b/>
        </w:rPr>
        <w:t>Evidencia/justificación:</w:t>
      </w:r>
      <w:r>
        <w:t xml:space="preserve"> En PURE (Duong M et al., Lancet Glob Health 2013), el FEV1 ajustado fue un 30 % menor en el sur de Asia y menor también en África, frente a Norteamérica y Europa. Las ecuaciones GLI-Global (Bowerman 2023, ref. 355) promedian poblaciones en las que el sur de Asia y África están poco representados.</w:t>
      </w:r>
    </w:p>
    <w:p>
      <w:pPr>
        <w:pStyle w:val="ListBullet"/>
      </w:pPr>
      <w:r>
        <w:rPr>
          <w:b/>
        </w:rPr>
        <w:t>Recomendación:</w:t>
      </w:r>
    </w:p>
    <w:p>
      <w:pPr>
        <w:pStyle w:val="ListBullet2"/>
      </w:pPr>
      <w:r>
        <w:t>Añadir un párrafo sobre las implicaciones de GLI-Global en LMIC, incluido el riesgo de sobreclasificar la gravedad y la necesidad de estudios locales.</w:t>
      </w:r>
    </w:p>
    <w:p>
      <w:pPr>
        <w:pStyle w:val="ListBullet2"/>
      </w:pPr>
      <w:r>
        <w:t>Recomendar que se reporte el z-score junto al porcentaje del teórico.</w:t>
      </w:r>
    </w:p>
    <w:p>
      <w:pPr>
        <w:pStyle w:val="ListBullet2"/>
      </w:pPr>
      <w:r>
        <w:t>Corregir los rangos de z-score (por ejemplo, "≤ −4" para grave).</w:t>
      </w:r>
    </w:p>
    <w:p>
      <w:pPr>
        <w:pStyle w:val="ListBullet"/>
      </w:pPr>
      <w:r>
        <w:rPr>
          <w:b/>
        </w:rPr>
        <w:t>Confianza:</w:t>
      </w:r>
      <w:r>
        <w:t xml:space="preserve"> 3/5</w:t>
      </w:r>
    </w:p>
    <w:p>
      <w:pPr>
        <w:pStyle w:val="Heading4"/>
      </w:pPr>
      <w:r>
        <w:t>MET-18 · CPAP en el solapamiento EPOC-AOS: lenguaje causal a partir de estudios observacionales</w:t>
      </w:r>
    </w:p>
    <w:p>
      <w:r>
        <w:rPr>
          <w:i/>
        </w:rPr>
        <w:t xml:space="preserve">Severidad final: </w:t>
      </w:r>
      <w:r>
        <w:rPr>
          <w:i/>
          <w:color w:val="FFC000"/>
        </w:rPr>
        <w:t>🟡</w:t>
      </w:r>
      <w:r>
        <w:rPr>
          <w:i/>
        </w:rPr>
        <w:t xml:space="preserve"> MEDIA · Tema T19: Multimorbilidad (cardiovascular, HP, SAOS, salud mental, metabólica, otras)</w:t>
      </w:r>
    </w:p>
    <w:p>
      <w:pPr>
        <w:pStyle w:val="ListBullet"/>
      </w:pPr>
      <w:r>
        <w:rPr>
          <w:b/>
        </w:rPr>
        <w:t>Tipo:</w:t>
      </w:r>
      <w:r>
        <w:t xml:space="preserve"> Evidencia mal representada</w:t>
      </w:r>
    </w:p>
    <w:p>
      <w:pPr>
        <w:pStyle w:val="ListBullet"/>
      </w:pPr>
      <w:r>
        <w:rPr>
          <w:b/>
        </w:rPr>
        <w:t>Severidad:</w:t>
      </w:r>
      <w:r>
        <w:t xml:space="preserve"> MEDIA</w:t>
      </w:r>
    </w:p>
    <w:p>
      <w:pPr>
        <w:pStyle w:val="ListBullet"/>
      </w:pPr>
      <w:r>
        <w:rPr>
          <w:b/>
        </w:rPr>
        <w:t>Ubicación:</w:t>
      </w:r>
      <w:r>
        <w:t xml:space="preserve"> PDF 89 / impr. 78; PDF 133 / impr. 122; refs 761-762 (PDF 205 / impr. 194)</w:t>
      </w:r>
    </w:p>
    <w:p>
      <w:pPr>
        <w:pStyle w:val="ListBullet"/>
      </w:pPr>
      <w:r>
        <w:rPr>
          <w:b/>
        </w:rPr>
        <w:t>Cita:</w:t>
      </w:r>
      <w:r>
        <w:t xml:space="preserve"> «CPAP or bi-level positive airway pressure should be initiated in patients with COPD and sleep disordered breathing as it improves health-related quality of life and decreases the risk of death.(762)»</w:t>
      </w:r>
    </w:p>
    <w:p>
      <w:pPr>
        <w:pStyle w:val="ListBullet"/>
      </w:pPr>
      <w:r>
        <w:rPr>
          <w:b/>
        </w:rPr>
        <w:t>Problema:</w:t>
      </w:r>
    </w:p>
    <w:p>
      <w:pPr>
        <w:pStyle w:val="ListBullet2"/>
      </w:pPr>
      <w:r>
        <w:rPr>
          <w:b/>
        </w:rPr>
        <w:t>Ref 762</w:t>
      </w:r>
      <w:r>
        <w:t xml:space="preserve"> (Marin 2010) es una cohorte observacional, con un probable sesgo de adherencia («healthy adherer»).</w:t>
      </w:r>
    </w:p>
    <w:p>
      <w:pPr>
        <w:pStyle w:val="ListBullet2"/>
      </w:pPr>
      <w:r>
        <w:rPr>
          <w:b/>
        </w:rPr>
        <w:t>Ref 761</w:t>
      </w:r>
      <w:r>
        <w:t xml:space="preserve"> (Srivali 2023) es una revisión sistemática de 5 estudios observacionales que concluye que la eficacia de la CPAP sigue siendo incierta y requiere ECA. Sin embargo, GOLD la cita en PDF 89 como «clear benefits associated with the use of CPAP to improve both survival and the risk of hospital admissions».</w:t>
      </w:r>
    </w:p>
    <w:p>
      <w:pPr>
        <w:pStyle w:val="ListBullet2"/>
      </w:pPr>
      <w:r>
        <w:t>La recomendación se extiende además a todos los «sleep disordered breathing», incluida la binivelada, cuando la evidencia se refiere a la AOS.</w:t>
      </w:r>
    </w:p>
    <w:p>
      <w:pPr>
        <w:pStyle w:val="ListBullet"/>
      </w:pPr>
      <w:r>
        <w:rPr>
          <w:b/>
        </w:rPr>
        <w:t>Evidencia/justificación:</w:t>
      </w:r>
      <w:r>
        <w:t xml:space="preserve"> Abstracts de PubMed de las refs 761 y 762.</w:t>
      </w:r>
    </w:p>
    <w:p>
      <w:pPr>
        <w:pStyle w:val="ListBullet"/>
      </w:pPr>
      <w:r>
        <w:rPr>
          <w:b/>
        </w:rPr>
        <w:t>Recomendación:</w:t>
      </w:r>
      <w:r>
        <w:t xml:space="preserve"> Usar lenguaje asociativo («se ha asociado a…»), reflejar la incertidumbre y limitar la recomendación a la AOS con su nivel correspondiente (C).</w:t>
      </w:r>
    </w:p>
    <w:p>
      <w:pPr>
        <w:pStyle w:val="ListBullet"/>
      </w:pPr>
      <w:r>
        <w:rPr>
          <w:b/>
        </w:rPr>
        <w:t>Confianza:</w:t>
      </w:r>
      <w:r>
        <w:t xml:space="preserve"> 4</w:t>
      </w:r>
    </w:p>
    <w:p>
      <w:pPr>
        <w:pStyle w:val="Heading4"/>
      </w:pPr>
      <w:r>
        <w:t>MUL-08 · Enfermedad arterial periférica: abordaje reducido a la cirugía</w:t>
      </w:r>
    </w:p>
    <w:p>
      <w:r>
        <w:rPr>
          <w:i/>
        </w:rPr>
        <w:t xml:space="preserve">Severidad final: </w:t>
      </w:r>
      <w:r>
        <w:rPr>
          <w:i/>
          <w:color w:val="FFC000"/>
        </w:rPr>
        <w:t>🟡</w:t>
      </w:r>
      <w:r>
        <w:rPr>
          <w:i/>
        </w:rPr>
        <w:t xml:space="preserve"> MEDIA · Tema T19: Multimorbilidad (cardiovascular, HP, SAOS, salud mental, metabólica, otras)</w:t>
      </w:r>
    </w:p>
    <w:p>
      <w:pPr>
        <w:pStyle w:val="ListBullet"/>
      </w:pPr>
      <w:r>
        <w:rPr>
          <w:b/>
        </w:rPr>
        <w:t>Tipo:</w:t>
      </w:r>
      <w:r>
        <w:t xml:space="preserve"> Omisión</w:t>
      </w:r>
    </w:p>
    <w:p>
      <w:pPr>
        <w:pStyle w:val="ListBullet"/>
      </w:pPr>
      <w:r>
        <w:rPr>
          <w:b/>
        </w:rPr>
        <w:t>Severidad:</w:t>
      </w:r>
      <w:r>
        <w:t xml:space="preserve"> MEDIA</w:t>
      </w:r>
    </w:p>
    <w:p>
      <w:pPr>
        <w:pStyle w:val="ListBullet"/>
      </w:pPr>
      <w:r>
        <w:rPr>
          <w:b/>
        </w:rPr>
        <w:t>Ubicación:</w:t>
      </w:r>
      <w:r>
        <w:t xml:space="preserve"> PDF 129 / impr. 118 — Peripheral artery disease; Figs. 5.2, 5.5 y 5.6</w:t>
      </w:r>
    </w:p>
    <w:p>
      <w:pPr>
        <w:pStyle w:val="ListBullet"/>
      </w:pPr>
      <w:r>
        <w:rPr>
          <w:b/>
        </w:rPr>
        <w:t>Cita:</w:t>
      </w:r>
      <w:r>
        <w:t xml:space="preserve"> "The management of PAD depends on its severity, with surgery to be considered in patients with severe limitations.(1195)"</w:t>
      </w:r>
    </w:p>
    <w:p>
      <w:pPr>
        <w:pStyle w:val="ListBullet"/>
      </w:pPr>
      <w:r>
        <w:rPr>
          <w:b/>
        </w:rPr>
        <w:t>Problema:</w:t>
      </w:r>
    </w:p>
    <w:p>
      <w:pPr>
        <w:pStyle w:val="ListBullet2"/>
      </w:pPr>
      <w:r>
        <w:t>Faltan el índice tobillo-brazo para el diagnóstico, la prevención secundaria (antiagregación, estatinas de alta intensidad, control de factores de riesgo, cese del tabaco) y el ejercicio supervisado como primera línea en la claudicación.</w:t>
      </w:r>
    </w:p>
    <w:p>
      <w:pPr>
        <w:pStyle w:val="ListBullet2"/>
      </w:pPr>
      <w:r>
        <w:t>La EAP no figura en las Figs. 5.5 y 5.6.</w:t>
      </w:r>
    </w:p>
    <w:p>
      <w:pPr>
        <w:pStyle w:val="ListBullet2"/>
      </w:pPr>
      <w:r>
        <w:t>La claudicación puede confundirse con la limitación al esfuerzo de la EPOC y condiciona el diseño de la rehabilitación.</w:t>
      </w:r>
    </w:p>
    <w:p>
      <w:pPr>
        <w:pStyle w:val="ListBullet"/>
      </w:pPr>
      <w:r>
        <w:rPr>
          <w:b/>
        </w:rPr>
        <w:t>Evidencia/justificación:</w:t>
      </w:r>
    </w:p>
    <w:p>
      <w:pPr>
        <w:pStyle w:val="ListBullet2"/>
      </w:pPr>
      <w:r>
        <w:t>ESC 2024 de EAP y aorta (Mazzolai L, Eur Heart J 2024;45:3538).</w:t>
      </w:r>
    </w:p>
    <w:p>
      <w:pPr>
        <w:pStyle w:val="ListBullet2"/>
      </w:pPr>
      <w:r>
        <w:t>La propia ref. 1195 (SVS 2025, actualización sobre claudicación; Conte MS, J Vasc Surg 2025;82:303) prioriza el ejercicio estructurado y el tratamiento médico, y restringe la revascularización en la claudicación.</w:t>
      </w:r>
    </w:p>
    <w:p>
      <w:pPr>
        <w:pStyle w:val="ListBullet"/>
      </w:pPr>
      <w:r>
        <w:rPr>
          <w:b/>
        </w:rPr>
        <w:t>Recomendación:</w:t>
      </w:r>
      <w:r>
        <w:t xml:space="preserve"> Añadir: «Valorar el índice tobillo-brazo si hay claudicación o alto riesgo; prevención secundaria completa; ejercicio supervisado, que puede integrarse en la rehabilitación pulmonar; revascularización solo en casos seleccionados o con isquemia crítica».</w:t>
      </w:r>
    </w:p>
    <w:p>
      <w:pPr>
        <w:pStyle w:val="ListBullet"/>
      </w:pPr>
      <w:r>
        <w:rPr>
          <w:b/>
        </w:rPr>
        <w:t>Confianza:</w:t>
      </w:r>
      <w:r>
        <w:t xml:space="preserve"> 4/5</w:t>
      </w:r>
    </w:p>
    <w:p>
      <w:pPr>
        <w:pStyle w:val="Heading4"/>
      </w:pPr>
      <w:r>
        <w:t>MUL-13 · Marco geriátrico: «4Ms» mal atribuidas al IHI, definición atípica de multimorbilidad, fragilidad sin herramienta y polifarmacia sin desprescripción</w:t>
      </w:r>
    </w:p>
    <w:p>
      <w:r>
        <w:rPr>
          <w:i/>
        </w:rPr>
        <w:t xml:space="preserve">Severidad final: </w:t>
      </w:r>
      <w:r>
        <w:rPr>
          <w:i/>
          <w:color w:val="FFC000"/>
        </w:rPr>
        <w:t>🟡</w:t>
      </w:r>
      <w:r>
        <w:rPr>
          <w:i/>
        </w:rPr>
        <w:t xml:space="preserve"> MEDIA · Tema T19: Multimorbilidad (cardiovascular, HP, SAOS, salud mental, metabólica, otras)</w:t>
      </w:r>
    </w:p>
    <w:p>
      <w:pPr>
        <w:pStyle w:val="ListBullet"/>
      </w:pPr>
      <w:r>
        <w:rPr>
          <w:b/>
        </w:rPr>
        <w:t>Tipo:</w:t>
      </w:r>
      <w:r>
        <w:t xml:space="preserve"> Error factual</w:t>
      </w:r>
    </w:p>
    <w:p>
      <w:pPr>
        <w:pStyle w:val="ListBullet"/>
      </w:pPr>
      <w:r>
        <w:rPr>
          <w:b/>
        </w:rPr>
        <w:t>Severidad:</w:t>
      </w:r>
      <w:r>
        <w:t xml:space="preserve"> MEDIA</w:t>
      </w:r>
    </w:p>
    <w:p>
      <w:pPr>
        <w:pStyle w:val="ListBullet"/>
      </w:pPr>
      <w:r>
        <w:rPr>
          <w:b/>
        </w:rPr>
        <w:t>Ubicación:</w:t>
      </w:r>
      <w:r>
        <w:t xml:space="preserve"> PDF 123 / impr. 112 (definición); PDF 125 / impr. 114 (4Ms, polifarmacia, fragilidad); Figs. 5.1 y 5.5</w:t>
      </w:r>
    </w:p>
    <w:p>
      <w:pPr>
        <w:pStyle w:val="ListBullet"/>
      </w:pPr>
      <w:r>
        <w:rPr>
          <w:b/>
        </w:rPr>
        <w:t>Cita:</w:t>
      </w:r>
      <w:r>
        <w:t xml:space="preserve"> "the Institute for Healthcare Improvement(1130) has proposed a systematic approach based on the '4Ms' … Mentation, Mobility, Medications, and Morbidities" / "Multimorbidity (defined as more than two additional chronic medical conditions)"</w:t>
      </w:r>
    </w:p>
    <w:p>
      <w:pPr>
        <w:pStyle w:val="ListBullet"/>
      </w:pPr>
      <w:r>
        <w:rPr>
          <w:b/>
        </w:rPr>
        <w:t>Problema:</w:t>
      </w:r>
    </w:p>
    <w:p>
      <w:pPr>
        <w:pStyle w:val="ListBullet2"/>
      </w:pPr>
      <w:r>
        <w:rPr>
          <w:b/>
        </w:rPr>
        <w:t>4Ms:</w:t>
      </w:r>
      <w:r>
        <w:t xml:space="preserve"> las del IHI (Age-Friendly Health Systems) son </w:t>
      </w:r>
      <w:r>
        <w:rPr>
          <w:i/>
        </w:rPr>
        <w:t>What Matters</w:t>
      </w:r>
      <w:r>
        <w:t xml:space="preserve">, </w:t>
      </w:r>
      <w:r>
        <w:rPr>
          <w:i/>
        </w:rPr>
        <w:t>Medication</w:t>
      </w:r>
      <w:r>
        <w:t xml:space="preserve">, </w:t>
      </w:r>
      <w:r>
        <w:rPr>
          <w:i/>
        </w:rPr>
        <w:t>Mentation</w:t>
      </w:r>
      <w:r>
        <w:t xml:space="preserve"> y </w:t>
      </w:r>
      <w:r>
        <w:rPr>
          <w:i/>
        </w:rPr>
        <w:t>Mobility</w:t>
      </w:r>
      <w:r>
        <w:t>. «Morbidities» es una modificación de GOLD (ref. 1133). Al atribuirlas así se pierde «What Matters» (objetivos y preferencias), que es el eje de la geriatría y de la toma de decisiones sobre cribados e intensidad terapéutica.</w:t>
      </w:r>
    </w:p>
    <w:p>
      <w:pPr>
        <w:pStyle w:val="ListBullet2"/>
      </w:pPr>
      <w:r>
        <w:rPr>
          <w:b/>
        </w:rPr>
        <w:t>Definición de multimorbilidad:</w:t>
      </w:r>
      <w:r>
        <w:t xml:space="preserve"> «más de dos condiciones adicionales» (es decir, ≥3 además de la EPOC) no coincide con la estándar (≥2 condiciones crónicas).</w:t>
      </w:r>
    </w:p>
    <w:p>
      <w:pPr>
        <w:pStyle w:val="ListBullet2"/>
      </w:pPr>
      <w:r>
        <w:rPr>
          <w:b/>
        </w:rPr>
        <w:t>Polifarmacia:</w:t>
      </w:r>
      <w:r>
        <w:t xml:space="preserve"> el dato «&gt;90 % polifarmacia» procede de un estudio de medicación potencialmente inapropiada en ancianos estadounidenses en general (ref. 1137, Fralick 2020), no de pacientes con EPOC.</w:t>
      </w:r>
    </w:p>
    <w:p>
      <w:pPr>
        <w:pStyle w:val="ListBullet2"/>
      </w:pPr>
      <w:r>
        <w:rPr>
          <w:b/>
        </w:rPr>
        <w:t>Fragilidad:</w:t>
      </w:r>
      <w:r>
        <w:t xml:space="preserve"> se describen los cinco componentes de Fried sin el punto de corte (≥3 = frágil; 1-2 = prefrágil) ni una herramienta de cribado. La Fig. 5.5 usa SARC-F, que mide sarcopenia, no fragilidad. No se vincula la fragilidad con la desintensificación (objetivos de PA y HbA1c, cese de cribados).</w:t>
      </w:r>
    </w:p>
    <w:p>
      <w:pPr>
        <w:pStyle w:val="ListBullet"/>
      </w:pPr>
      <w:r>
        <w:rPr>
          <w:b/>
        </w:rPr>
        <w:t>Evidencia/justificación:</w:t>
      </w:r>
    </w:p>
    <w:p>
      <w:pPr>
        <w:pStyle w:val="ListBullet2"/>
      </w:pPr>
      <w:r>
        <w:t>IHI, «Age-Friendly Health Systems: Guide to Using the 4Ms» (2020).</w:t>
      </w:r>
    </w:p>
    <w:p>
      <w:pPr>
        <w:pStyle w:val="ListBullet2"/>
      </w:pPr>
      <w:r>
        <w:t>NICE NG56 (2016) y OMS: multimorbilidad = ≥2 condiciones crónicas.</w:t>
      </w:r>
    </w:p>
    <w:p>
      <w:pPr>
        <w:pStyle w:val="ListBullet2"/>
      </w:pPr>
      <w:r>
        <w:t>Herramientas de fragilidad: Fried (ref. 1139), Clinical Frailty Scale (Rockwood, CMAJ 2005), FRAIL (Morley 2012), SPPB y velocidad de la marcha.</w:t>
      </w:r>
    </w:p>
    <w:p>
      <w:pPr>
        <w:pStyle w:val="ListBullet2"/>
      </w:pPr>
      <w:r>
        <w:t>Herramientas de desprescripción: STOPP/START v3 (O'Mahony, Eur Geriatr Med 2023) y Beers 2023 (J Am Geriatr Soc 2023;71:2052).</w:t>
      </w:r>
    </w:p>
    <w:p>
      <w:pPr>
        <w:pStyle w:val="ListBullet2"/>
      </w:pPr>
      <w:r>
        <w:t>La declaración de la ERS sobre fragilidad (ref. 1144) se cita, pero no se operativiza.</w:t>
      </w:r>
    </w:p>
    <w:p>
      <w:pPr>
        <w:pStyle w:val="ListBullet"/>
      </w:pPr>
      <w:r>
        <w:rPr>
          <w:b/>
        </w:rPr>
        <w:t>Recomendación:</w:t>
      </w:r>
    </w:p>
    <w:p>
      <w:pPr>
        <w:pStyle w:val="ListBullet2"/>
      </w:pPr>
      <w:r>
        <w:t>Atribuir correctamente las 4Ms e incluir «What Matters».</w:t>
      </w:r>
    </w:p>
    <w:p>
      <w:pPr>
        <w:pStyle w:val="ListBullet2"/>
      </w:pPr>
      <w:r>
        <w:t>Alinear la definición de multimorbilidad con el estándar.</w:t>
      </w:r>
    </w:p>
    <w:p>
      <w:pPr>
        <w:pStyle w:val="ListBullet2"/>
      </w:pPr>
      <w:r>
        <w:t>Recomendar CFS o FRAIL y una herramienta de desprescripción (STOPP/START o Beers).</w:t>
      </w:r>
    </w:p>
    <w:p>
      <w:pPr>
        <w:pStyle w:val="ListBullet2"/>
      </w:pPr>
      <w:r>
        <w:t>Incluir el cribado de caídas en «Mobility».</w:t>
      </w:r>
    </w:p>
    <w:p>
      <w:pPr>
        <w:pStyle w:val="ListBullet"/>
      </w:pPr>
      <w:r>
        <w:rPr>
          <w:b/>
        </w:rPr>
        <w:t>Confianza:</w:t>
      </w:r>
      <w:r>
        <w:t xml:space="preserve"> 5/5</w:t>
      </w:r>
    </w:p>
    <w:p>
      <w:pPr>
        <w:pStyle w:val="Heading4"/>
      </w:pPr>
      <w:r>
        <w:t>MUL-16 · Deterioro cognitivo: MMSE como primera opción, derivación mal dirigida y ausencia del delirium</w:t>
      </w:r>
    </w:p>
    <w:p>
      <w:r>
        <w:rPr>
          <w:i/>
        </w:rPr>
        <w:t xml:space="preserve">Severidad final: </w:t>
      </w:r>
      <w:r>
        <w:rPr>
          <w:i/>
          <w:color w:val="FFC000"/>
        </w:rPr>
        <w:t>🟡</w:t>
      </w:r>
      <w:r>
        <w:rPr>
          <w:i/>
        </w:rPr>
        <w:t xml:space="preserve"> MEDIA · Tema T19: Multimorbilidad (cardiovascular, HP, SAOS, salud mental, metabólica, otras)</w:t>
      </w:r>
    </w:p>
    <w:p>
      <w:pPr>
        <w:pStyle w:val="ListBullet"/>
      </w:pPr>
      <w:r>
        <w:rPr>
          <w:b/>
        </w:rPr>
        <w:t>Tipo:</w:t>
      </w:r>
      <w:r>
        <w:t xml:space="preserve"> Desactualización</w:t>
      </w:r>
    </w:p>
    <w:p>
      <w:pPr>
        <w:pStyle w:val="ListBullet"/>
      </w:pPr>
      <w:r>
        <w:rPr>
          <w:b/>
        </w:rPr>
        <w:t>Severidad:</w:t>
      </w:r>
      <w:r>
        <w:t xml:space="preserve"> MEDIA</w:t>
      </w:r>
    </w:p>
    <w:p>
      <w:pPr>
        <w:pStyle w:val="ListBullet"/>
      </w:pPr>
      <w:r>
        <w:rPr>
          <w:b/>
        </w:rPr>
        <w:t>Ubicación:</w:t>
      </w:r>
      <w:r>
        <w:t xml:space="preserve"> PDF 134 / impr. 123 — Cognitive impairment and dementia; Fig. 5.5</w:t>
      </w:r>
    </w:p>
    <w:p>
      <w:pPr>
        <w:pStyle w:val="ListBullet"/>
      </w:pPr>
      <w:r>
        <w:rPr>
          <w:b/>
        </w:rPr>
        <w:t>Cita:</w:t>
      </w:r>
      <w:r>
        <w:t xml:space="preserve"> "The relatively easy to use Mini Mental State Examination can help screen for cognitive impairment,(1307) with the Montreal Cognitive Assessment test being a potential alternative." / "Patients with dementia should be referred to mental healthcare specialists"</w:t>
      </w:r>
    </w:p>
    <w:p>
      <w:pPr>
        <w:pStyle w:val="ListBullet"/>
      </w:pPr>
      <w:r>
        <w:rPr>
          <w:b/>
        </w:rPr>
        <w:t>Problema:</w:t>
      </w:r>
    </w:p>
    <w:p>
      <w:pPr>
        <w:pStyle w:val="ListBullet2"/>
      </w:pPr>
      <w:r>
        <w:t>El MMSE (1975) tiene baja sensibilidad para el deterioro cognitivo leve, está protegido por derechos de autor y su uso es de pago. El MoCA o el Mini-Cog son más adecuados para el cribado en consulta.</w:t>
      </w:r>
    </w:p>
    <w:p>
      <w:pPr>
        <w:pStyle w:val="ListBullet2"/>
      </w:pPr>
      <w:r>
        <w:t>La demencia se evalúa en geriatría, neurología o unidades de memoria; derivar a «salud mental» no es lo habitual.</w:t>
      </w:r>
    </w:p>
    <w:p>
      <w:pPr>
        <w:pStyle w:val="ListBullet2"/>
      </w:pPr>
      <w:r>
        <w:t>Faltan medidas prácticas: elegir el dispositivo según la capacidad cognitiva e inspiratoria, implicar al cuidador y revisar la técnica inhalatoria.</w:t>
      </w:r>
    </w:p>
    <w:p>
      <w:pPr>
        <w:pStyle w:val="ListBullet2"/>
      </w:pPr>
      <w:r>
        <w:t>No se menciona el delirium en las exacerbaciones hospitalizadas (cribado con 4AT o CAM), relevante por la mayor estancia que cita el propio texto.</w:t>
      </w:r>
    </w:p>
    <w:p>
      <w:pPr>
        <w:pStyle w:val="ListBullet2"/>
      </w:pPr>
      <w:r>
        <w:t>El MMSE no aparece en la Fig. 5.6 de seguimiento.</w:t>
      </w:r>
    </w:p>
    <w:p>
      <w:pPr>
        <w:pStyle w:val="ListBullet"/>
      </w:pPr>
      <w:r>
        <w:rPr>
          <w:b/>
        </w:rPr>
        <w:t>Evidencia/justificación:</w:t>
      </w:r>
    </w:p>
    <w:p>
      <w:pPr>
        <w:pStyle w:val="ListBullet2"/>
      </w:pPr>
      <w:r>
        <w:t>MoCA: Nasreddine, J Am Geriatr Soc 2005 (ref. 1308), más sensible para el deterioro cognitivo leve.</w:t>
      </w:r>
    </w:p>
    <w:p>
      <w:pPr>
        <w:pStyle w:val="ListBullet2"/>
      </w:pPr>
      <w:r>
        <w:t>Mini-Cog: Borson, Int J Geriatr Psychiatry 2000.</w:t>
      </w:r>
    </w:p>
    <w:p>
      <w:pPr>
        <w:pStyle w:val="ListBullet2"/>
      </w:pPr>
      <w:r>
        <w:t>Delirium: guía NICE CG103 (actualizada en 2023).</w:t>
      </w:r>
    </w:p>
    <w:p>
      <w:pPr>
        <w:pStyle w:val="ListBullet"/>
      </w:pPr>
      <w:r>
        <w:rPr>
          <w:b/>
        </w:rPr>
        <w:t>Recomendación:</w:t>
      </w:r>
    </w:p>
    <w:p>
      <w:pPr>
        <w:pStyle w:val="ListBullet2"/>
      </w:pPr>
      <w:r>
        <w:t>Proponer MoCA o Mini-Cog como primera opción.</w:t>
      </w:r>
    </w:p>
    <w:p>
      <w:pPr>
        <w:pStyle w:val="ListBullet2"/>
      </w:pPr>
      <w:r>
        <w:t>Derivar a geriatría, neurología o unidades de memoria.</w:t>
      </w:r>
    </w:p>
    <w:p>
      <w:pPr>
        <w:pStyle w:val="ListBullet2"/>
      </w:pPr>
      <w:r>
        <w:t>Añadir pautas de selección de inhalador, implicación del cuidador y cribado de delirium en los ingresos.</w:t>
      </w:r>
    </w:p>
    <w:p>
      <w:pPr>
        <w:pStyle w:val="ListBullet"/>
      </w:pPr>
      <w:r>
        <w:rPr>
          <w:b/>
        </w:rPr>
        <w:t>Confianza:</w:t>
      </w:r>
      <w:r>
        <w:t xml:space="preserve"> 4/5</w:t>
      </w:r>
    </w:p>
    <w:p>
      <w:pPr>
        <w:pStyle w:val="Heading4"/>
      </w:pPr>
      <w:r>
        <w:t>MUL-17 · Diabetes: mensaje ambiguo sobre los corticoides sistémicos e infravaloración de iSGLT2 y AR-GLP-1</w:t>
      </w:r>
    </w:p>
    <w:p>
      <w:r>
        <w:rPr>
          <w:i/>
        </w:rPr>
        <w:t xml:space="preserve">Severidad final: </w:t>
      </w:r>
      <w:r>
        <w:rPr>
          <w:i/>
          <w:color w:val="FFC000"/>
        </w:rPr>
        <w:t>🟡</w:t>
      </w:r>
      <w:r>
        <w:rPr>
          <w:i/>
        </w:rPr>
        <w:t xml:space="preserve"> MEDIA · Tema T19: Multimorbilidad (cardiovascular, HP, SAOS, salud mental, metabólica, otras)</w:t>
      </w:r>
    </w:p>
    <w:p>
      <w:pPr>
        <w:pStyle w:val="ListBullet"/>
      </w:pPr>
      <w:r>
        <w:rPr>
          <w:b/>
        </w:rPr>
        <w:t>Tipo:</w:t>
      </w:r>
      <w:r>
        <w:t xml:space="preserve"> Ambigüedad/Claridad</w:t>
      </w:r>
    </w:p>
    <w:p>
      <w:pPr>
        <w:pStyle w:val="ListBullet"/>
      </w:pPr>
      <w:r>
        <w:rPr>
          <w:b/>
        </w:rPr>
        <w:t>Severidad:</w:t>
      </w:r>
      <w:r>
        <w:t xml:space="preserve"> MEDIA</w:t>
      </w:r>
    </w:p>
    <w:p>
      <w:pPr>
        <w:pStyle w:val="ListBullet"/>
      </w:pPr>
      <w:r>
        <w:rPr>
          <w:b/>
        </w:rPr>
        <w:t>Ubicación:</w:t>
      </w:r>
      <w:r>
        <w:t xml:space="preserve"> PDF 134-135 / impr. 123-124 — Diabetes mellitus</w:t>
      </w:r>
    </w:p>
    <w:p>
      <w:pPr>
        <w:pStyle w:val="ListBullet"/>
      </w:pPr>
      <w:r>
        <w:rPr>
          <w:b/>
        </w:rPr>
        <w:t>Cita:</w:t>
      </w:r>
      <w:r>
        <w:t xml:space="preserve"> "efforts should be made not to use systemic corticosteroids." / "glucagon-like peptide agonists and sodium-glucose cotransporter-2 inhibitors are promising, but further trials in COPD specific populations are needed before clear recommendations can be made.(1316,1317)"</w:t>
      </w:r>
    </w:p>
    <w:p>
      <w:pPr>
        <w:pStyle w:val="ListBullet"/>
      </w:pPr>
      <w:r>
        <w:rPr>
          <w:b/>
        </w:rPr>
        <w:t>Problema:</w:t>
      </w:r>
    </w:p>
    <w:p>
      <w:pPr>
        <w:pStyle w:val="ListBullet2"/>
      </w:pPr>
      <w:r>
        <w:t>La frase sobre los corticoides puede leerse como «no tratar la exacerbación con corticoides» en diabéticos, aunque el cap. 4 (PDF 114 / impr. 103) recomienda 40 mg/día de prednisona durante 5 días. Debería decir «usar con monitorización glucémica y ajuste de insulina».</w:t>
      </w:r>
    </w:p>
    <w:p>
      <w:pPr>
        <w:pStyle w:val="ListBullet2"/>
      </w:pPr>
      <w:r>
        <w:t>Decir que iSGLT2 y AR-GLP-1 son «promising» sugiere no usarlos. En realidad están indicados en la diabetes tipo 2 por beneficio cardiorrenal, independientemente de la EPOC.</w:t>
      </w:r>
    </w:p>
    <w:p>
      <w:pPr>
        <w:pStyle w:val="ListBullet2"/>
      </w:pPr>
      <w:r>
        <w:t>La ref. 1317 trata de los inhibidores de la DPP-4.</w:t>
      </w:r>
    </w:p>
    <w:p>
      <w:pPr>
        <w:pStyle w:val="ListBullet2"/>
      </w:pPr>
      <w:r>
        <w:t>No se menciona la metformina.</w:t>
      </w:r>
    </w:p>
    <w:p>
      <w:pPr>
        <w:pStyle w:val="ListBullet2"/>
      </w:pPr>
      <w:r>
        <w:t>No se dan las reglas de días de enfermedad: suspender los iSGLT2 durante exacerbaciones graves u hospitalización por riesgo de cetoacidosis euglucémica, y 3-4 días antes de una cirugía.</w:t>
      </w:r>
    </w:p>
    <w:p>
      <w:pPr>
        <w:pStyle w:val="ListBullet2"/>
      </w:pPr>
      <w:r>
        <w:t>No se advierte de la pérdida de masa magra con los AR-GLP-1, relevante en la sarcopenia o MOLT.</w:t>
      </w:r>
    </w:p>
    <w:p>
      <w:pPr>
        <w:pStyle w:val="ListBullet2"/>
      </w:pPr>
      <w:r>
        <w:t>La frase sobre glaucoma y cataratas está fuera de contexto.</w:t>
      </w:r>
    </w:p>
    <w:p>
      <w:pPr>
        <w:pStyle w:val="ListBullet"/>
      </w:pPr>
      <w:r>
        <w:rPr>
          <w:b/>
        </w:rPr>
        <w:t>Evidencia/justificación:</w:t>
      </w:r>
    </w:p>
    <w:p>
      <w:pPr>
        <w:pStyle w:val="ListBullet2"/>
      </w:pPr>
      <w:r>
        <w:t>ADA Standards of Care 2025 (Diabetes Care 2025;48 Suppl 1): iSGLT2 o AR-GLP-1 con beneficio demostrado si hay ECV aterosclerótica, IC o ERC; suspensión perioperatoria de los iSGLT2 (cambio de ficha técnica de la FDA, 2022).</w:t>
      </w:r>
    </w:p>
    <w:p>
      <w:pPr>
        <w:pStyle w:val="ListBullet2"/>
      </w:pPr>
      <w:r>
        <w:t>Pradhan, BMJ 2022 (ref. 1316): asociación con menos exacerbaciones; es evidencia observacional.</w:t>
      </w:r>
    </w:p>
    <w:p>
      <w:pPr>
        <w:pStyle w:val="ListBullet"/>
      </w:pPr>
      <w:r>
        <w:rPr>
          <w:b/>
        </w:rPr>
        <w:t>Recomendación:</w:t>
      </w:r>
    </w:p>
    <w:p>
      <w:pPr>
        <w:pStyle w:val="ListBullet2"/>
      </w:pPr>
      <w:r>
        <w:t>Reescribir así: «Usar corticoides sistémicos cuando estén indicados, con control glucémico. Tratar la diabetes según ADA/EASD; los iSGLT2 y AR-GLP-1 están indicados por su beneficio cardiorrenal. Su posible efecto sobre las exacerbaciones es prometedor, pero observacional».</w:t>
      </w:r>
    </w:p>
    <w:p>
      <w:pPr>
        <w:pStyle w:val="ListBullet2"/>
      </w:pPr>
      <w:r>
        <w:t>Añadir las reglas de días de enfermedad y la suspensión perioperatoria.</w:t>
      </w:r>
    </w:p>
    <w:p>
      <w:pPr>
        <w:pStyle w:val="ListBullet"/>
      </w:pPr>
      <w:r>
        <w:rPr>
          <w:b/>
        </w:rPr>
        <w:t>Confianza:</w:t>
      </w:r>
      <w:r>
        <w:t xml:space="preserve"> 4/5</w:t>
      </w:r>
    </w:p>
    <w:p>
      <w:pPr>
        <w:pStyle w:val="Heading4"/>
      </w:pPr>
      <w:r>
        <w:t>MUL-18 · ERGE: beneficio de los IBP sobredimensionado y sin advertir de sus riesgos ni de la desprescripción</w:t>
      </w:r>
    </w:p>
    <w:p>
      <w:r>
        <w:rPr>
          <w:i/>
        </w:rPr>
        <w:t xml:space="preserve">Severidad final: </w:t>
      </w:r>
      <w:r>
        <w:rPr>
          <w:i/>
          <w:color w:val="FFC000"/>
        </w:rPr>
        <w:t>🟡</w:t>
      </w:r>
      <w:r>
        <w:rPr>
          <w:i/>
        </w:rPr>
        <w:t xml:space="preserve"> MEDIA · Tema T19: Multimorbilidad (cardiovascular, HP, SAOS, salud mental, metabólica, otras)</w:t>
      </w:r>
    </w:p>
    <w:p>
      <w:pPr>
        <w:pStyle w:val="ListBullet"/>
      </w:pPr>
      <w:r>
        <w:rPr>
          <w:b/>
        </w:rPr>
        <w:t>Tipo:</w:t>
      </w:r>
      <w:r>
        <w:t xml:space="preserve"> Evidencia mal representada</w:t>
      </w:r>
    </w:p>
    <w:p>
      <w:pPr>
        <w:pStyle w:val="ListBullet"/>
      </w:pPr>
      <w:r>
        <w:rPr>
          <w:b/>
        </w:rPr>
        <w:t>Severidad:</w:t>
      </w:r>
      <w:r>
        <w:t xml:space="preserve"> MEDIA</w:t>
      </w:r>
    </w:p>
    <w:p>
      <w:pPr>
        <w:pStyle w:val="ListBullet"/>
      </w:pPr>
      <w:r>
        <w:rPr>
          <w:b/>
        </w:rPr>
        <w:t>Ubicación:</w:t>
      </w:r>
      <w:r>
        <w:t xml:space="preserve"> PDF 135 / impr. 124 — Gastroesophageal reflux</w:t>
      </w:r>
    </w:p>
    <w:p>
      <w:pPr>
        <w:pStyle w:val="ListBullet"/>
      </w:pPr>
      <w:r>
        <w:rPr>
          <w:b/>
        </w:rPr>
        <w:t>Cita:</w:t>
      </w:r>
      <w:r>
        <w:t xml:space="preserve"> "an empiric trial of a proton-pump inhibitor may improve GERD symptoms and decrease the risk of exacerbation,(1325)"</w:t>
      </w:r>
    </w:p>
    <w:p>
      <w:pPr>
        <w:pStyle w:val="ListBullet"/>
      </w:pPr>
      <w:r>
        <w:rPr>
          <w:b/>
        </w:rPr>
        <w:t>Problema:</w:t>
      </w:r>
    </w:p>
    <w:p>
      <w:pPr>
        <w:pStyle w:val="ListBullet2"/>
      </w:pPr>
      <w:r>
        <w:t>La reducción de exacerbaciones se apoya en un único ensayo pequeño, de simple ciego, en ancianos japoneses (ref. 1325, Sasaki 2009).</w:t>
      </w:r>
    </w:p>
    <w:p>
      <w:pPr>
        <w:pStyle w:val="ListBullet2"/>
      </w:pPr>
      <w:r>
        <w:t xml:space="preserve">Se omiten los riesgos de los IBP, relevantes en la EPOC y la MOLT: neumonía, infección por </w:t>
      </w:r>
      <w:r>
        <w:rPr>
          <w:i/>
        </w:rPr>
        <w:t>C. difficile</w:t>
      </w:r>
      <w:r>
        <w:t>, fracturas o osteoporosis e hipomagnesemia.</w:t>
      </w:r>
    </w:p>
    <w:p>
      <w:pPr>
        <w:pStyle w:val="ListBullet2"/>
      </w:pPr>
      <w:r>
        <w:t>No se aborda la desprescripción, que importa en un capítulo que insiste en reducir la polifarmacia.</w:t>
      </w:r>
    </w:p>
    <w:p>
      <w:pPr>
        <w:pStyle w:val="ListBullet"/>
      </w:pPr>
      <w:r>
        <w:rPr>
          <w:b/>
        </w:rPr>
        <w:t>Evidencia/justificación:</w:t>
      </w:r>
    </w:p>
    <w:p>
      <w:pPr>
        <w:pStyle w:val="ListBullet2"/>
      </w:pPr>
      <w:r>
        <w:t>AGA Clinical Practice Update 2022 sobre desprescripción de IBP (Targownik LE, Gastroenterology 2022;162:1334).</w:t>
      </w:r>
    </w:p>
    <w:p>
      <w:pPr>
        <w:pStyle w:val="ListBullet2"/>
      </w:pPr>
      <w:r>
        <w:t>Guía canadiense de desprescripción (Farrell B, Can Fam Physician 2017;63:354).</w:t>
      </w:r>
    </w:p>
    <w:p>
      <w:pPr>
        <w:pStyle w:val="ListBullet2"/>
      </w:pPr>
      <w:r>
        <w:t>El texto no presenta evidencia confirmatoria de que los IBP prevengan exacerbaciones.</w:t>
      </w:r>
    </w:p>
    <w:p>
      <w:pPr>
        <w:pStyle w:val="ListBullet"/>
      </w:pPr>
      <w:r>
        <w:rPr>
          <w:b/>
        </w:rPr>
        <w:t>Recomendación:</w:t>
      </w:r>
      <w:r>
        <w:t xml:space="preserve"> Indicar los IBP por síntomas de ERGE a la dosis eficaz más baja, con revisión periódica, y precisar que «la evidencia de prevención de exacerbaciones es limitada».</w:t>
      </w:r>
    </w:p>
    <w:p>
      <w:pPr>
        <w:pStyle w:val="ListBullet"/>
      </w:pPr>
      <w:r>
        <w:rPr>
          <w:b/>
        </w:rPr>
        <w:t>Confianza:</w:t>
      </w:r>
      <w:r>
        <w:t xml:space="preserve"> 4/5</w:t>
      </w:r>
    </w:p>
    <w:p>
      <w:pPr>
        <w:pStyle w:val="Heading4"/>
      </w:pPr>
      <w:r>
        <w:t>MUL-19 · Esteatosis hepática: retroceso a NAFLD, diagnóstico sin FIB-4 ni elastografía y semaglutida sin actualizar</w:t>
      </w:r>
    </w:p>
    <w:p>
      <w:r>
        <w:rPr>
          <w:i/>
        </w:rPr>
        <w:t xml:space="preserve">Severidad final: </w:t>
      </w:r>
      <w:r>
        <w:rPr>
          <w:i/>
          <w:color w:val="FFC000"/>
        </w:rPr>
        <w:t>🟡</w:t>
      </w:r>
      <w:r>
        <w:rPr>
          <w:i/>
        </w:rPr>
        <w:t xml:space="preserve"> MEDIA · Tema T19: Multimorbilidad (cardiovascular, HP, SAOS, salud mental, metabólica, otras)</w:t>
      </w:r>
    </w:p>
    <w:p>
      <w:pPr>
        <w:pStyle w:val="ListBullet"/>
      </w:pPr>
      <w:r>
        <w:rPr>
          <w:b/>
        </w:rPr>
        <w:t>Tipo:</w:t>
      </w:r>
      <w:r>
        <w:t xml:space="preserve"> Desactualización</w:t>
      </w:r>
    </w:p>
    <w:p>
      <w:pPr>
        <w:pStyle w:val="ListBullet"/>
      </w:pPr>
      <w:r>
        <w:rPr>
          <w:b/>
        </w:rPr>
        <w:t>Severidad:</w:t>
      </w:r>
      <w:r>
        <w:t xml:space="preserve"> MEDIA</w:t>
      </w:r>
    </w:p>
    <w:p>
      <w:pPr>
        <w:pStyle w:val="ListBullet"/>
      </w:pPr>
      <w:r>
        <w:rPr>
          <w:b/>
        </w:rPr>
        <w:t>Ubicación:</w:t>
      </w:r>
      <w:r>
        <w:t xml:space="preserve"> PDF 135 / impr. 124 — Liver steatosis</w:t>
      </w:r>
    </w:p>
    <w:p>
      <w:pPr>
        <w:pStyle w:val="ListBullet"/>
      </w:pPr>
      <w:r>
        <w:rPr>
          <w:b/>
        </w:rPr>
        <w:t>Cita:</w:t>
      </w:r>
      <w:r>
        <w:t xml:space="preserve"> "NAFLD, also known as metabolic dysfunction-associated steatotic liver disease" / "Liver function testing and checking the CT for evidence of NAFLD can help establish the diagnosis." / "glucagon-like peptide-1 receptor agonists may also be of use"</w:t>
      </w:r>
    </w:p>
    <w:p>
      <w:pPr>
        <w:pStyle w:val="ListBullet"/>
      </w:pPr>
      <w:r>
        <w:rPr>
          <w:b/>
        </w:rPr>
        <w:t>Problema:</w:t>
      </w:r>
    </w:p>
    <w:p>
      <w:pPr>
        <w:pStyle w:val="ListBullet2"/>
      </w:pPr>
      <w:r>
        <w:t>El consenso Delphi multisocietario de 2023 sustituyó NAFLD por MASLD, pero el texto sigue usando NAFLD como término principal.</w:t>
      </w:r>
    </w:p>
    <w:p>
      <w:pPr>
        <w:pStyle w:val="ListBullet2"/>
      </w:pPr>
      <w:r>
        <w:t>Las transaminasas son poco sensibles para el diagnóstico. Lo recomendado es estratificar el riesgo de fibrosis con FIB-4 y, si está elevado, con elastografía transitoria.</w:t>
      </w:r>
    </w:p>
    <w:p>
      <w:pPr>
        <w:pStyle w:val="ListBullet2"/>
      </w:pPr>
      <w:r>
        <w:t>Decir que los AR-GLP-1 «may also be of use» está desactualizado.</w:t>
      </w:r>
    </w:p>
    <w:p>
      <w:pPr>
        <w:pStyle w:val="ListBullet2"/>
      </w:pPr>
      <w:r>
        <w:t>La cifra de «20-30 % progresa a MASH» se apoya en una revisión mecanicista (ref. 1330).</w:t>
      </w:r>
    </w:p>
    <w:p>
      <w:pPr>
        <w:pStyle w:val="ListBullet"/>
      </w:pPr>
      <w:r>
        <w:rPr>
          <w:b/>
        </w:rPr>
        <w:t>Evidencia/justificación:</w:t>
      </w:r>
    </w:p>
    <w:p>
      <w:pPr>
        <w:pStyle w:val="ListBullet2"/>
      </w:pPr>
      <w:r>
        <w:t>Nomenclatura: Rinella ME, Hepatology 2023;78:1966 / J Hepatol 2023;79:1542.</w:t>
      </w:r>
    </w:p>
    <w:p>
      <w:pPr>
        <w:pStyle w:val="ListBullet2"/>
      </w:pPr>
      <w:r>
        <w:t>AASLD 2023: Hepatology 2023;77:1797.</w:t>
      </w:r>
    </w:p>
    <w:p>
      <w:pPr>
        <w:pStyle w:val="ListBullet2"/>
      </w:pPr>
      <w:r>
        <w:t>EASL-EASD-EASO 2024: J Hepatol 2024;81:492.</w:t>
      </w:r>
    </w:p>
    <w:p>
      <w:pPr>
        <w:pStyle w:val="ListBullet2"/>
      </w:pPr>
      <w:r>
        <w:t>Resmetirom: FDA, marzo de 2024 (MAESTRO-NASH, Harrison, NEJM 2024; ref. 1333).</w:t>
      </w:r>
    </w:p>
    <w:p>
      <w:pPr>
        <w:pStyle w:val="ListBullet2"/>
      </w:pPr>
      <w:r>
        <w:t>Semaglutida 2,4 mg: FDA, aprobación acelerada el 15 de agosto de 2025 para MASH no cirrótica con fibrosis F2-F3 (ensayo ESSENCE, Sanyal AJ, NEJM 2025).</w:t>
      </w:r>
    </w:p>
    <w:p>
      <w:pPr>
        <w:pStyle w:val="ListBullet"/>
      </w:pPr>
      <w:r>
        <w:rPr>
          <w:b/>
        </w:rPr>
        <w:t>Recomendación:</w:t>
      </w:r>
      <w:r>
        <w:t xml:space="preserve"> Usar MASLD/MASH de forma consistente, recomendar FIB-4 → elastografía y citar la semaglutida aprobada junto al resmetirom.</w:t>
      </w:r>
    </w:p>
    <w:p>
      <w:pPr>
        <w:pStyle w:val="ListBullet"/>
      </w:pPr>
      <w:r>
        <w:rPr>
          <w:b/>
        </w:rPr>
        <w:t>Confianza:</w:t>
      </w:r>
      <w:r>
        <w:t xml:space="preserve"> 5/5</w:t>
      </w:r>
    </w:p>
    <w:p>
      <w:pPr>
        <w:pStyle w:val="Heading4"/>
      </w:pPr>
      <w:r>
        <w:t>MUL-20 · MOLT: definición distinta en el punto clave, el texto y la Fig. 5.2, y beneficio no respaldado</w:t>
      </w:r>
    </w:p>
    <w:p>
      <w:r>
        <w:rPr>
          <w:i/>
        </w:rPr>
        <w:t xml:space="preserve">Severidad final: </w:t>
      </w:r>
      <w:r>
        <w:rPr>
          <w:i/>
          <w:color w:val="FFC000"/>
        </w:rPr>
        <w:t>🟡</w:t>
      </w:r>
      <w:r>
        <w:rPr>
          <w:i/>
        </w:rPr>
        <w:t xml:space="preserve"> MEDIA · Tema T19: Multimorbilidad (cardiovascular, HP, SAOS, salud mental, metabólica, otras)</w:t>
      </w:r>
    </w:p>
    <w:p>
      <w:pPr>
        <w:pStyle w:val="ListBullet"/>
      </w:pPr>
      <w:r>
        <w:rPr>
          <w:b/>
        </w:rPr>
        <w:t>Tipo:</w:t>
      </w:r>
      <w:r>
        <w:t xml:space="preserve"> Incongruencia interna</w:t>
      </w:r>
    </w:p>
    <w:p>
      <w:pPr>
        <w:pStyle w:val="ListBullet"/>
      </w:pPr>
      <w:r>
        <w:rPr>
          <w:b/>
        </w:rPr>
        <w:t>Severidad:</w:t>
      </w:r>
      <w:r>
        <w:t xml:space="preserve"> MEDIA</w:t>
      </w:r>
    </w:p>
    <w:p>
      <w:pPr>
        <w:pStyle w:val="ListBullet"/>
      </w:pPr>
      <w:r>
        <w:rPr>
          <w:b/>
        </w:rPr>
        <w:t>Ubicación:</w:t>
      </w:r>
      <w:r>
        <w:t xml:space="preserve"> PDF 123 / impr. 112 (punto clave); PDF 126 / impr. 115 (Fig. 5.2); PDF 136-137 / impr. 125-126 (sección MOLT)</w:t>
      </w:r>
    </w:p>
    <w:p>
      <w:pPr>
        <w:pStyle w:val="ListBullet"/>
      </w:pPr>
      <w:r>
        <w:rPr>
          <w:b/>
        </w:rPr>
        <w:t>Cita:</w:t>
      </w:r>
      <w:r>
        <w:t xml:space="preserve"> Punto clave: "MOLT manifested by osteoporosis, sarcopenia, anemia and emphysema … management of MOLT can improve outcomes." Texto: "proposed for patients with emphysema, low BMI, osteoporosis and sarcopenia.(1334)"</w:t>
      </w:r>
    </w:p>
    <w:p>
      <w:pPr>
        <w:pStyle w:val="ListBullet"/>
      </w:pPr>
      <w:r>
        <w:rPr>
          <w:b/>
        </w:rPr>
        <w:t>Problema:</w:t>
      </w:r>
    </w:p>
    <w:p>
      <w:pPr>
        <w:pStyle w:val="ListBullet2"/>
      </w:pPr>
      <w:r>
        <w:t>Hay tres definiciones distintas:</w:t>
      </w:r>
    </w:p>
    <w:p>
      <w:pPr>
        <w:pStyle w:val="ListBullet2"/>
      </w:pPr>
      <w:r>
        <w:t>el punto clave incluye la anemia y no el IMC bajo;</w:t>
      </w:r>
    </w:p>
    <w:p>
      <w:pPr>
        <w:pStyle w:val="ListBullet2"/>
      </w:pPr>
      <w:r>
        <w:t>el texto incluye el IMC bajo y no la anemia;</w:t>
      </w:r>
    </w:p>
    <w:p>
      <w:pPr>
        <w:pStyle w:val="ListBullet2"/>
      </w:pPr>
      <w:r>
        <w:t>el grupo MOLT de la Fig. 5.2 incluye la insuficiencia renal y la anemia, pero no el enfisema.</w:t>
      </w:r>
    </w:p>
    <w:p>
      <w:pPr>
        <w:pStyle w:val="ListBullet2"/>
      </w:pPr>
      <w:r>
        <w:t>Dentro de la sección MOLT se incluye la policitemia, que no es una pérdida tisular.</w:t>
      </w:r>
    </w:p>
    <w:p>
      <w:pPr>
        <w:pStyle w:val="ListBullet2"/>
      </w:pPr>
      <w:r>
        <w:t>La sarcopenia no tiene subsección propia (ni definición EWGSOP2 ni tratamiento), aunque aparece en todas las definiciones.</w:t>
      </w:r>
    </w:p>
    <w:p>
      <w:pPr>
        <w:pStyle w:val="ListBullet2"/>
      </w:pPr>
      <w:r>
        <w:t>La frase «management of MOLT can improve outcomes» no tiene cita que la respalde.</w:t>
      </w:r>
    </w:p>
    <w:p>
      <w:pPr>
        <w:pStyle w:val="ListBullet"/>
      </w:pPr>
      <w:r>
        <w:rPr>
          <w:b/>
        </w:rPr>
        <w:t>Evidencia/justificación:</w:t>
      </w:r>
    </w:p>
    <w:p>
      <w:pPr>
        <w:pStyle w:val="ListBullet2"/>
      </w:pPr>
      <w:r>
        <w:t>La ref. 1334 (Celli) define MOLT como enfisema, IMC bajo, osteoporosis y sarcopenia.</w:t>
      </w:r>
    </w:p>
    <w:p>
      <w:pPr>
        <w:pStyle w:val="ListBullet2"/>
      </w:pPr>
      <w:r>
        <w:t>EWGSOP2: Cruz-Jentoft AJ, Age Ageing 2019;48:16.</w:t>
      </w:r>
    </w:p>
    <w:p>
      <w:pPr>
        <w:pStyle w:val="ListBullet"/>
      </w:pPr>
      <w:r>
        <w:rPr>
          <w:b/>
        </w:rPr>
        <w:t>Recomendación:</w:t>
      </w:r>
    </w:p>
    <w:p>
      <w:pPr>
        <w:pStyle w:val="ListBullet2"/>
      </w:pPr>
      <w:r>
        <w:t>Unificar la definición en los tres lugares.</w:t>
      </w:r>
    </w:p>
    <w:p>
      <w:pPr>
        <w:pStyle w:val="ListBullet2"/>
      </w:pPr>
      <w:r>
        <w:t>Reubicar la policitemia en «Hematológicas».</w:t>
      </w:r>
    </w:p>
    <w:p>
      <w:pPr>
        <w:pStyle w:val="ListBullet2"/>
      </w:pPr>
      <w:r>
        <w:t>Añadir una subsección de sarcopenia: SARC-F → fuerza de prensión → masa muscular (DXA o TC), y como tratamiento rehabilitación con ejercicio de fuerza más proteínas.</w:t>
      </w:r>
    </w:p>
    <w:p>
      <w:pPr>
        <w:pStyle w:val="ListBullet2"/>
      </w:pPr>
      <w:r>
        <w:t>Matizar la afirmación sobre resultados como hipótesis.</w:t>
      </w:r>
    </w:p>
    <w:p>
      <w:pPr>
        <w:pStyle w:val="ListBullet"/>
      </w:pPr>
      <w:r>
        <w:rPr>
          <w:b/>
        </w:rPr>
        <w:t>Confianza:</w:t>
      </w:r>
      <w:r>
        <w:t xml:space="preserve"> 5/5</w:t>
      </w:r>
    </w:p>
    <w:p>
      <w:pPr>
        <w:pStyle w:val="Heading4"/>
      </w:pPr>
      <w:r>
        <w:t>MUL-21 · Osteoporosis: derivación al especialista en lugar de tratamiento de primera línea; falta la osteoporosis inducida por glucocorticoides</w:t>
      </w:r>
    </w:p>
    <w:p>
      <w:r>
        <w:rPr>
          <w:i/>
        </w:rPr>
        <w:t xml:space="preserve">Severidad final: </w:t>
      </w:r>
      <w:r>
        <w:rPr>
          <w:i/>
          <w:color w:val="FFC000"/>
        </w:rPr>
        <w:t>🟡</w:t>
      </w:r>
      <w:r>
        <w:rPr>
          <w:i/>
        </w:rPr>
        <w:t xml:space="preserve"> MEDIA · Tema T19: Multimorbilidad (cardiovascular, HP, SAOS, salud mental, metabólica, otras)</w:t>
      </w:r>
    </w:p>
    <w:p>
      <w:pPr>
        <w:pStyle w:val="ListBullet"/>
      </w:pPr>
      <w:r>
        <w:rPr>
          <w:b/>
        </w:rPr>
        <w:t>Tipo:</w:t>
      </w:r>
      <w:r>
        <w:t xml:space="preserve"> Omisión</w:t>
      </w:r>
    </w:p>
    <w:p>
      <w:pPr>
        <w:pStyle w:val="ListBullet"/>
      </w:pPr>
      <w:r>
        <w:rPr>
          <w:b/>
        </w:rPr>
        <w:t>Severidad:</w:t>
      </w:r>
      <w:r>
        <w:t xml:space="preserve"> MEDIA</w:t>
      </w:r>
    </w:p>
    <w:p>
      <w:pPr>
        <w:pStyle w:val="ListBullet"/>
      </w:pPr>
      <w:r>
        <w:rPr>
          <w:b/>
        </w:rPr>
        <w:t>Ubicación:</w:t>
      </w:r>
      <w:r>
        <w:t xml:space="preserve"> PDF 136 / impr. 125 — Osteoporosis</w:t>
      </w:r>
    </w:p>
    <w:p>
      <w:pPr>
        <w:pStyle w:val="ListBullet"/>
      </w:pPr>
      <w:r>
        <w:rPr>
          <w:b/>
        </w:rPr>
        <w:t>Cita:</w:t>
      </w:r>
      <w:r>
        <w:t xml:space="preserve"> "these patients should be managed by providers familiar with the treatments or referred to an osteoporosis specialist.(1343)"</w:t>
      </w:r>
    </w:p>
    <w:p>
      <w:pPr>
        <w:pStyle w:val="ListBullet"/>
      </w:pPr>
      <w:r>
        <w:rPr>
          <w:b/>
        </w:rPr>
        <w:t>Problema:</w:t>
      </w:r>
    </w:p>
    <w:p>
      <w:pPr>
        <w:pStyle w:val="ListBullet2"/>
      </w:pPr>
      <w:r>
        <w:t>La ref. 1343 (ACP 2023) recomienda bifosfonatos de primera línea, manejables en atención primaria. La derivación sistemática retrasa el tratamiento.</w:t>
      </w:r>
    </w:p>
    <w:p>
      <w:pPr>
        <w:pStyle w:val="ListBullet2"/>
      </w:pPr>
      <w:r>
        <w:t>Se omiten:</w:t>
      </w:r>
    </w:p>
    <w:p>
      <w:pPr>
        <w:pStyle w:val="ListBullet2"/>
      </w:pPr>
      <w:r>
        <w:t>el FRAX ajustado por glucocorticoides;</w:t>
      </w:r>
    </w:p>
    <w:p>
      <w:pPr>
        <w:pStyle w:val="ListBullet2"/>
      </w:pPr>
      <w:r>
        <w:t>la guía ACR de osteoporosis inducida por glucocorticoides (relevante con ciclos repetidos de corticoides sistémicos);</w:t>
      </w:r>
    </w:p>
    <w:p>
      <w:pPr>
        <w:pStyle w:val="ListBullet2"/>
      </w:pPr>
      <w:r>
        <w:t>calcio y vitamina D;</w:t>
      </w:r>
    </w:p>
    <w:p>
      <w:pPr>
        <w:pStyle w:val="ListBullet2"/>
      </w:pPr>
      <w:r>
        <w:t>la detección oportunista de fracturas vertebrales en la TC o la radiografía de tórax;</w:t>
      </w:r>
    </w:p>
    <w:p>
      <w:pPr>
        <w:pStyle w:val="ListBullet2"/>
      </w:pPr>
      <w:r>
        <w:t>la prevención de caídas.</w:t>
      </w:r>
    </w:p>
    <w:p>
      <w:pPr>
        <w:pStyle w:val="ListBullet2"/>
      </w:pPr>
      <w:r>
        <w:t>En la Fig. 5.6, la DXA cada 3-5 años es un intervalo arbitrario para pacientes de alto riesgo.</w:t>
      </w:r>
    </w:p>
    <w:p>
      <w:pPr>
        <w:pStyle w:val="ListBullet"/>
      </w:pPr>
      <w:r>
        <w:rPr>
          <w:b/>
        </w:rPr>
        <w:t>Evidencia/justificación:</w:t>
      </w:r>
    </w:p>
    <w:p>
      <w:pPr>
        <w:pStyle w:val="ListBullet2"/>
      </w:pPr>
      <w:r>
        <w:t>ACP 2023: Qaseem A, Ann Intern Med 2023.</w:t>
      </w:r>
    </w:p>
    <w:p>
      <w:pPr>
        <w:pStyle w:val="ListBullet2"/>
      </w:pPr>
      <w:r>
        <w:t>ACR 2022 GIOP: Humphrey MB, Arthritis Care Res 2023;75:2405.</w:t>
      </w:r>
    </w:p>
    <w:p>
      <w:pPr>
        <w:pStyle w:val="ListBullet"/>
      </w:pPr>
      <w:r>
        <w:rPr>
          <w:b/>
        </w:rPr>
        <w:t>Recomendación:</w:t>
      </w:r>
      <w:r>
        <w:t xml:space="preserve"> Indicar el cálculo de FRAX ajustado por glucocorticoides, bifosfonato de primera línea según ACP/ACR, calcio y vitamina D, revisión de fracturas vertebrales en las imágenes disponibles y derivación solo si hay riesgo muy alto o fracaso del tratamiento.</w:t>
      </w:r>
    </w:p>
    <w:p>
      <w:pPr>
        <w:pStyle w:val="ListBullet"/>
      </w:pPr>
      <w:r>
        <w:rPr>
          <w:b/>
        </w:rPr>
        <w:t>Confianza:</w:t>
      </w:r>
      <w:r>
        <w:t xml:space="preserve"> 4/5</w:t>
      </w:r>
    </w:p>
    <w:p>
      <w:pPr>
        <w:pStyle w:val="Heading4"/>
      </w:pPr>
      <w:r>
        <w:t>MUL-22 · Riñón: «renal failure = FG &lt;60» sin seguir KDIGO 2024; faltan cistatina C, cociente albúmina/creatinina e iSGLT2</w:t>
      </w:r>
    </w:p>
    <w:p>
      <w:r>
        <w:rPr>
          <w:i/>
        </w:rPr>
        <w:t xml:space="preserve">Severidad final: </w:t>
      </w:r>
      <w:r>
        <w:rPr>
          <w:i/>
          <w:color w:val="FFC000"/>
        </w:rPr>
        <w:t>🟡</w:t>
      </w:r>
      <w:r>
        <w:rPr>
          <w:i/>
        </w:rPr>
        <w:t xml:space="preserve"> MEDIA · Tema T19: Multimorbilidad (cardiovascular, HP, SAOS, salud mental, metabólica, otras)</w:t>
      </w:r>
    </w:p>
    <w:p>
      <w:pPr>
        <w:pStyle w:val="ListBullet"/>
      </w:pPr>
      <w:r>
        <w:rPr>
          <w:b/>
        </w:rPr>
        <w:t>Tipo:</w:t>
      </w:r>
      <w:r>
        <w:t xml:space="preserve"> Error factual</w:t>
      </w:r>
    </w:p>
    <w:p>
      <w:pPr>
        <w:pStyle w:val="ListBullet"/>
      </w:pPr>
      <w:r>
        <w:rPr>
          <w:b/>
        </w:rPr>
        <w:t>Severidad:</w:t>
      </w:r>
      <w:r>
        <w:t xml:space="preserve"> MEDIA</w:t>
      </w:r>
    </w:p>
    <w:p>
      <w:pPr>
        <w:pStyle w:val="ListBullet"/>
      </w:pPr>
      <w:r>
        <w:rPr>
          <w:b/>
        </w:rPr>
        <w:t>Ubicación:</w:t>
      </w:r>
      <w:r>
        <w:t xml:space="preserve"> PDF 136 / impr. 125 — Renal failure; Figs. 5.5 y 5.6</w:t>
      </w:r>
    </w:p>
    <w:p>
      <w:pPr>
        <w:pStyle w:val="ListBullet"/>
      </w:pPr>
      <w:r>
        <w:rPr>
          <w:b/>
        </w:rPr>
        <w:t>Cita:</w:t>
      </w:r>
      <w:r>
        <w:t xml:space="preserve"> "The prevalence of renal failure, defined as GFR &lt; 60 mL/min/1.73 m2" / "Because sarcopenia is frequent in patients with COPD, serum creatinine levels may be normal in patients with renal failure."</w:t>
      </w:r>
    </w:p>
    <w:p>
      <w:pPr>
        <w:pStyle w:val="ListBullet"/>
      </w:pPr>
      <w:r>
        <w:rPr>
          <w:b/>
        </w:rPr>
        <w:t>Problema:</w:t>
      </w:r>
    </w:p>
    <w:p>
      <w:pPr>
        <w:pStyle w:val="ListBullet2"/>
      </w:pPr>
      <w:r>
        <w:t xml:space="preserve">Un FG &lt;60 define la </w:t>
      </w:r>
      <w:r>
        <w:rPr>
          <w:b/>
        </w:rPr>
        <w:t>ERC</w:t>
      </w:r>
      <w:r>
        <w:t xml:space="preserve"> (G3a o peor, mantenida &gt;3 meses), no el fallo renal. Según KDIGO, «kidney failure» corresponde a un FG &lt;15 (G5). La ERC también se define por albuminuria (ACR ≥30 mg/g).</w:t>
      </w:r>
    </w:p>
    <w:p>
      <w:pPr>
        <w:pStyle w:val="ListBullet2"/>
      </w:pPr>
      <w:r>
        <w:t>El texto identifica bien el sesgo de la creatinina en la sarcopenia, pero no da la solución: el FG estimado con cistatina C.</w:t>
      </w:r>
    </w:p>
    <w:p>
      <w:pPr>
        <w:pStyle w:val="ListBullet2"/>
      </w:pPr>
      <w:r>
        <w:t>Las figuras no incluyen el cociente albúmina/creatinina (uACR).</w:t>
      </w:r>
    </w:p>
    <w:p>
      <w:pPr>
        <w:pStyle w:val="ListBullet2"/>
      </w:pPr>
      <w:r>
        <w:t>No se mencionan los iSGLT2 para la ERC.</w:t>
      </w:r>
    </w:p>
    <w:p>
      <w:pPr>
        <w:pStyle w:val="ListBullet2"/>
      </w:pPr>
      <w:r>
        <w:t>La afirmación de que los betabloqueantes reducen la eritropoyetina es debatible y no tiene cita específica.</w:t>
      </w:r>
    </w:p>
    <w:p>
      <w:pPr>
        <w:pStyle w:val="ListBullet"/>
      </w:pPr>
      <w:r>
        <w:rPr>
          <w:b/>
        </w:rPr>
        <w:t>Evidencia/justificación:</w:t>
      </w:r>
    </w:p>
    <w:p>
      <w:pPr>
        <w:pStyle w:val="ListBullet2"/>
      </w:pPr>
      <w:r>
        <w:t>KDIGO 2024 (Kidney Int 2024;105:S117), sintetizada en la propia ref. 1349 (Madero, Ann Intern Med 2025):</w:t>
      </w:r>
    </w:p>
    <w:p>
      <w:pPr>
        <w:pStyle w:val="ListBullet2"/>
      </w:pPr>
      <w:r>
        <w:t>definición por FG y/o albuminuria;</w:t>
      </w:r>
    </w:p>
    <w:p>
      <w:pPr>
        <w:pStyle w:val="ListBullet2"/>
      </w:pPr>
      <w:r>
        <w:t>cistatina C (eGFRcr-cys) cuando la creatinina no es fiable;</w:t>
      </w:r>
    </w:p>
    <w:p>
      <w:pPr>
        <w:pStyle w:val="ListBullet2"/>
      </w:pPr>
      <w:r>
        <w:t>iSGLT2 con grado 1A en la diabetes tipo 2 con ERC (FG ≥20), en la ERC con ACR ≥200 mg/g y en la IC.</w:t>
      </w:r>
    </w:p>
    <w:p>
      <w:pPr>
        <w:pStyle w:val="ListBullet"/>
      </w:pPr>
      <w:r>
        <w:rPr>
          <w:b/>
        </w:rPr>
        <w:t>Recomendación:</w:t>
      </w:r>
    </w:p>
    <w:p>
      <w:pPr>
        <w:pStyle w:val="ListBullet2"/>
      </w:pPr>
      <w:r>
        <w:t>Renombrar la sección a «Enfermedad renal crónica» con la definición de KDIGO.</w:t>
      </w:r>
    </w:p>
    <w:p>
      <w:pPr>
        <w:pStyle w:val="ListBullet2"/>
      </w:pPr>
      <w:r>
        <w:t>Recomendar el FG estimado con cistatina C cuando haya sarcopenia y el uACR.</w:t>
      </w:r>
    </w:p>
    <w:p>
      <w:pPr>
        <w:pStyle w:val="ListBullet2"/>
      </w:pPr>
      <w:r>
        <w:t>Añadir los iSGLT2 cuando estén indicados.</w:t>
      </w:r>
    </w:p>
    <w:p>
      <w:pPr>
        <w:pStyle w:val="ListBullet2"/>
      </w:pPr>
      <w:r>
        <w:t>Ajustar la periodicidad de la Fig. 5.6, al menos anual si hay diabetes, HTA o ERC.</w:t>
      </w:r>
    </w:p>
    <w:p>
      <w:pPr>
        <w:pStyle w:val="ListBullet"/>
      </w:pPr>
      <w:r>
        <w:rPr>
          <w:b/>
        </w:rPr>
        <w:t>Confianza:</w:t>
      </w:r>
      <w:r>
        <w:t xml:space="preserve"> 4/5</w:t>
      </w:r>
    </w:p>
    <w:p>
      <w:pPr>
        <w:pStyle w:val="Heading4"/>
      </w:pPr>
      <w:r>
        <w:t>MUL-23 · Anemia y policitemia: «andrógenos» como causa de anemia y umbral distinto del de la OCD (cap. 3)</w:t>
      </w:r>
    </w:p>
    <w:p>
      <w:r>
        <w:rPr>
          <w:i/>
        </w:rPr>
        <w:t xml:space="preserve">Severidad final: </w:t>
      </w:r>
      <w:r>
        <w:rPr>
          <w:i/>
          <w:color w:val="FFC000"/>
        </w:rPr>
        <w:t>🟡</w:t>
      </w:r>
      <w:r>
        <w:rPr>
          <w:i/>
        </w:rPr>
        <w:t xml:space="preserve"> MEDIA · Tema T19: Multimorbilidad (cardiovascular, HP, SAOS, salud mental, metabólica, otras)</w:t>
      </w:r>
    </w:p>
    <w:p>
      <w:pPr>
        <w:pStyle w:val="ListBullet"/>
      </w:pPr>
      <w:r>
        <w:rPr>
          <w:b/>
        </w:rPr>
        <w:t>Tipo:</w:t>
      </w:r>
      <w:r>
        <w:t xml:space="preserve"> Error factual</w:t>
      </w:r>
    </w:p>
    <w:p>
      <w:pPr>
        <w:pStyle w:val="ListBullet"/>
      </w:pPr>
      <w:r>
        <w:rPr>
          <w:b/>
        </w:rPr>
        <w:t>Severidad:</w:t>
      </w:r>
      <w:r>
        <w:t xml:space="preserve"> MEDIA</w:t>
      </w:r>
    </w:p>
    <w:p>
      <w:pPr>
        <w:pStyle w:val="ListBullet"/>
      </w:pPr>
      <w:r>
        <w:rPr>
          <w:b/>
        </w:rPr>
        <w:t>Ubicación:</w:t>
      </w:r>
      <w:r>
        <w:t xml:space="preserve"> PDF 137 / impr. 126 — Anemia, Polycythemia; contraste con el cap. 3, PDF 87 / impr. 76</w:t>
      </w:r>
    </w:p>
    <w:p>
      <w:pPr>
        <w:pStyle w:val="ListBullet"/>
      </w:pPr>
      <w:r>
        <w:rPr>
          <w:b/>
        </w:rPr>
        <w:t>Cita:</w:t>
      </w:r>
      <w:r>
        <w:t xml:space="preserve"> "other possible reversible factors should be investigated including use of long-term oxygen, theophylline, ACE inhibitors, angiotensin II receptor inhibitors, renal dysfunction, and androgens.(1359-1367)" / "(when defined as hemoglobin ≥ 17g/dL in males and ≥ 15g/dL in females)"</w:t>
      </w:r>
    </w:p>
    <w:p>
      <w:pPr>
        <w:pStyle w:val="ListBullet"/>
      </w:pPr>
      <w:r>
        <w:rPr>
          <w:b/>
        </w:rPr>
        <w:t>Problema:</w:t>
      </w:r>
    </w:p>
    <w:p>
      <w:pPr>
        <w:pStyle w:val="ListBullet2"/>
      </w:pPr>
      <w:r>
        <w:rPr>
          <w:b/>
        </w:rPr>
        <w:t>Anemia:</w:t>
      </w:r>
    </w:p>
    <w:p>
      <w:pPr>
        <w:pStyle w:val="ListBullet2"/>
      </w:pPr>
      <w:r>
        <w:t xml:space="preserve">Los andrógenos causan eritrocitosis, no anemia. La ref. 1361 (Ferrucci, Arch Intern Med 2006) trata del </w:t>
      </w:r>
      <w:r>
        <w:rPr>
          <w:b/>
        </w:rPr>
        <w:t>déficit de testosterona</w:t>
      </w:r>
      <w:r>
        <w:t xml:space="preserve"> como factor de riesgo de anemia. Debe decir «hipogonadismo o déficit androgénico (incluida la terapia de deprivación androgénica)».</w:t>
      </w:r>
    </w:p>
    <w:p>
      <w:pPr>
        <w:pStyle w:val="ListBullet2"/>
      </w:pPr>
      <w:r>
        <w:t>No se define el déficit de hierro en presencia de inflamación (ferritina &lt;100 µg/L o 100-299 µg/L con saturación de transferrina &lt;20 %) ni se menciona el hierro intravenoso.</w:t>
      </w:r>
    </w:p>
    <w:p>
      <w:pPr>
        <w:pStyle w:val="ListBullet2"/>
      </w:pPr>
      <w:r>
        <w:t>La Fig. 5.6 no incluye hemograma en el seguimiento, aunque el texto aconseja valorar la hemoglobina.</w:t>
      </w:r>
    </w:p>
    <w:p>
      <w:pPr>
        <w:pStyle w:val="ListBullet2"/>
      </w:pPr>
      <w:r>
        <w:rPr>
          <w:b/>
        </w:rPr>
        <w:t>Policitemia:</w:t>
      </w:r>
    </w:p>
    <w:p>
      <w:pPr>
        <w:pStyle w:val="ListBullet2"/>
      </w:pPr>
      <w:r>
        <w:t>Se define por Hb ≥17/15 g/dL, mientras que los criterios de OCD del cap. 3 usan un hematocrito &gt;55 % (PDF 87). Falta la vinculación entre ambos.</w:t>
      </w:r>
    </w:p>
    <w:p>
      <w:pPr>
        <w:pStyle w:val="ListBullet2"/>
      </w:pPr>
      <w:r>
        <w:t>Se omiten las causas iatrogénicas (testosterona, iSGLT2), el papel de la flebotomía y el ajuste del oxígeno.</w:t>
      </w:r>
    </w:p>
    <w:p>
      <w:pPr>
        <w:pStyle w:val="ListBullet"/>
      </w:pPr>
      <w:r>
        <w:rPr>
          <w:b/>
        </w:rPr>
        <w:t>Evidencia/justificación:</w:t>
      </w:r>
    </w:p>
    <w:p>
      <w:pPr>
        <w:pStyle w:val="ListBullet2"/>
      </w:pPr>
      <w:r>
        <w:t>Título de la ref. 1361: «Low testosterone levels and the risk of anemia in older men and women».</w:t>
      </w:r>
    </w:p>
    <w:p>
      <w:pPr>
        <w:pStyle w:val="ListBullet2"/>
      </w:pPr>
      <w:r>
        <w:t>Criterio de policitemia del cap. 3, PDF 87: «polycythemia (hematocrit &gt; 55%)».</w:t>
      </w:r>
    </w:p>
    <w:p>
      <w:pPr>
        <w:pStyle w:val="ListBullet2"/>
      </w:pPr>
      <w:r>
        <w:t>La ESC 2021 de IC define el déficit de hierro como ferritina &lt;100 µg/L o 100-299 µg/L con saturación de transferrina &lt;20 %.</w:t>
      </w:r>
    </w:p>
    <w:p>
      <w:pPr>
        <w:pStyle w:val="ListBullet"/>
      </w:pPr>
      <w:r>
        <w:rPr>
          <w:b/>
        </w:rPr>
        <w:t>Recomendación:</w:t>
      </w:r>
    </w:p>
    <w:p>
      <w:pPr>
        <w:pStyle w:val="ListBullet2"/>
      </w:pPr>
      <w:r>
        <w:t>Corregir «androgens» por «androgen deficiency».</w:t>
      </w:r>
    </w:p>
    <w:p>
      <w:pPr>
        <w:pStyle w:val="ListBullet2"/>
      </w:pPr>
      <w:r>
        <w:t>Armonizar el umbral de policitemia con el cap. 3 y remitir a la OCD.</w:t>
      </w:r>
    </w:p>
    <w:p>
      <w:pPr>
        <w:pStyle w:val="ListBullet2"/>
      </w:pPr>
      <w:r>
        <w:t>Añadir las causas iatrogénicas y el hemograma en el seguimiento.</w:t>
      </w:r>
    </w:p>
    <w:p>
      <w:pPr>
        <w:pStyle w:val="ListBullet"/>
      </w:pPr>
      <w:r>
        <w:rPr>
          <w:b/>
        </w:rPr>
        <w:t>Confianza:</w:t>
      </w:r>
      <w:r>
        <w:t xml:space="preserve"> 5/5</w:t>
      </w:r>
    </w:p>
    <w:p>
      <w:pPr>
        <w:pStyle w:val="Heading4"/>
      </w:pPr>
      <w:r>
        <w:t>MUL-24 · Riesgo quirúrgico: referencias de 2007-2009 y algoritmo de resección pulmonar desactualizado</w:t>
      </w:r>
    </w:p>
    <w:p>
      <w:r>
        <w:rPr>
          <w:i/>
        </w:rPr>
        <w:t xml:space="preserve">Severidad final: </w:t>
      </w:r>
      <w:r>
        <w:rPr>
          <w:i/>
          <w:color w:val="FFC000"/>
        </w:rPr>
        <w:t>🟡</w:t>
      </w:r>
      <w:r>
        <w:rPr>
          <w:i/>
        </w:rPr>
        <w:t xml:space="preserve"> MEDIA · Tema T19: Multimorbilidad (cardiovascular, HP, SAOS, salud mental, metabólica, otras)</w:t>
      </w:r>
    </w:p>
    <w:p>
      <w:pPr>
        <w:pStyle w:val="ListBullet"/>
      </w:pPr>
      <w:r>
        <w:rPr>
          <w:b/>
        </w:rPr>
        <w:t>Tipo:</w:t>
      </w:r>
      <w:r>
        <w:t xml:space="preserve"> Desactualización</w:t>
      </w:r>
    </w:p>
    <w:p>
      <w:pPr>
        <w:pStyle w:val="ListBullet"/>
      </w:pPr>
      <w:r>
        <w:rPr>
          <w:b/>
        </w:rPr>
        <w:t>Severidad:</w:t>
      </w:r>
      <w:r>
        <w:t xml:space="preserve"> MEDIA</w:t>
      </w:r>
    </w:p>
    <w:p>
      <w:pPr>
        <w:pStyle w:val="ListBullet"/>
      </w:pPr>
      <w:r>
        <w:rPr>
          <w:b/>
        </w:rPr>
        <w:t>Ubicación:</w:t>
      </w:r>
      <w:r>
        <w:t xml:space="preserve"> PDF 137-138 / impr. 126-127 — Postoperative risk; Resection for lung cancer</w:t>
      </w:r>
    </w:p>
    <w:p>
      <w:pPr>
        <w:pStyle w:val="ListBullet"/>
      </w:pPr>
      <w:r>
        <w:rPr>
          <w:b/>
        </w:rPr>
        <w:t>Cita:</w:t>
      </w:r>
      <w:r>
        <w:t xml:space="preserve"> "there is consensus that all COPD candidates for lung resection should undergo a complete battery of tests, including … static lung volumes, diffusing capacity, and arterial blood gases at rest.(1381,1382)"</w:t>
      </w:r>
    </w:p>
    <w:p>
      <w:pPr>
        <w:pStyle w:val="ListBullet"/>
      </w:pPr>
      <w:r>
        <w:rPr>
          <w:b/>
        </w:rPr>
        <w:t>Problema:</w:t>
      </w:r>
    </w:p>
    <w:p>
      <w:pPr>
        <w:pStyle w:val="ListBullet2"/>
      </w:pPr>
      <w:r>
        <w:t>Las referencias son la guía ERS/ESTS de 2009 y la ACCP de 2007.</w:t>
      </w:r>
    </w:p>
    <w:p>
      <w:pPr>
        <w:pStyle w:val="ListBullet2"/>
      </w:pPr>
      <w:r>
        <w:t>Los algoritmos vigentes empiezan por el riesgo cardíaco (ThRCRI) y continúan con el FEV1 y la DLCO predichos postoperatorios (ppoFEV1, ppoDLCO): si alguno es &lt;60 %, se pasa a la prueba de esfuerzo; un VO₂pico &lt;10 mL/kg/min indica riesgo alto. No exigen una gasometría o volúmenes pulmonares sistemáticos «por consenso».</w:t>
      </w:r>
    </w:p>
    <w:p>
      <w:pPr>
        <w:pStyle w:val="ListBullet2"/>
      </w:pPr>
      <w:r>
        <w:t>El umbral «FEV1 or DLco &lt; 30-40 %» mezcla criterios.</w:t>
      </w:r>
    </w:p>
    <w:p>
      <w:pPr>
        <w:pStyle w:val="ListBullet2"/>
      </w:pPr>
      <w:r>
        <w:t>En cirugía general falta:</w:t>
      </w:r>
    </w:p>
    <w:p>
      <w:pPr>
        <w:pStyle w:val="ListBullet2"/>
      </w:pPr>
      <w:r>
        <w:t>el índice ARISCAT;</w:t>
      </w:r>
    </w:p>
    <w:p>
      <w:pPr>
        <w:pStyle w:val="ListBullet2"/>
      </w:pPr>
      <w:r>
        <w:t>el cese del tabaco al menos 4-8 semanas antes;</w:t>
      </w:r>
    </w:p>
    <w:p>
      <w:pPr>
        <w:pStyle w:val="ListBullet2"/>
      </w:pPr>
      <w:r>
        <w:t>la prehabilitación;</w:t>
      </w:r>
    </w:p>
    <w:p>
      <w:pPr>
        <w:pStyle w:val="ListBullet2"/>
      </w:pPr>
      <w:r>
        <w:t>el manejo perioperatorio de iSGLT2 y AR-GLP-1 (aspiración).</w:t>
      </w:r>
    </w:p>
    <w:p>
      <w:pPr>
        <w:pStyle w:val="ListBullet"/>
      </w:pPr>
      <w:r>
        <w:rPr>
          <w:b/>
        </w:rPr>
        <w:t>Evidencia/justificación:</w:t>
      </w:r>
    </w:p>
    <w:p>
      <w:pPr>
        <w:pStyle w:val="ListBullet2"/>
      </w:pPr>
      <w:r>
        <w:t>ACCP 2013: Brunelli A, Chest 2013;143:e166S.</w:t>
      </w:r>
    </w:p>
    <w:p>
      <w:pPr>
        <w:pStyle w:val="ListBullet2"/>
      </w:pPr>
      <w:r>
        <w:t>ARISCAT: Canet J, Anesthesiology 2010;113:1338.</w:t>
      </w:r>
    </w:p>
    <w:p>
      <w:pPr>
        <w:pStyle w:val="ListBullet2"/>
      </w:pPr>
      <w:r>
        <w:t>Ficha técnica de la FDA de los iSGLT2: suspensión 3-4 días antes de la cirugía.</w:t>
      </w:r>
    </w:p>
    <w:p>
      <w:pPr>
        <w:pStyle w:val="ListBullet"/>
      </w:pPr>
      <w:r>
        <w:rPr>
          <w:b/>
        </w:rPr>
        <w:t>Recomendación:</w:t>
      </w:r>
      <w:r>
        <w:t xml:space="preserve"> Actualizar al algoritmo ACCP 2013 (o la versión ERS/ESTS vigente) e incluir ARISCAT, cese del tabaco, prehabilitación y una tabla de fármacos que se suspenden antes de la cirugía.</w:t>
      </w:r>
    </w:p>
    <w:p>
      <w:pPr>
        <w:pStyle w:val="ListBullet"/>
      </w:pPr>
      <w:r>
        <w:rPr>
          <w:b/>
        </w:rPr>
        <w:t>Confianza:</w:t>
      </w:r>
      <w:r>
        <w:t xml:space="preserve"> 4/5</w:t>
      </w:r>
    </w:p>
    <w:p>
      <w:pPr>
        <w:pStyle w:val="Heading4"/>
      </w:pPr>
      <w:r>
        <w:t>NOV-13 · BICS (bisoprolol, JAMA 2024) citado pero no descrito; el mensaje sobre betabloqueantes queda sesgado hacia el daño</w:t>
      </w:r>
    </w:p>
    <w:p>
      <w:r>
        <w:rPr>
          <w:i/>
        </w:rPr>
        <w:t xml:space="preserve">Severidad final: </w:t>
      </w:r>
      <w:r>
        <w:rPr>
          <w:i/>
          <w:color w:val="FFC000"/>
        </w:rPr>
        <w:t>🟡</w:t>
      </w:r>
      <w:r>
        <w:rPr>
          <w:i/>
        </w:rPr>
        <w:t xml:space="preserve"> MEDIA · Tema T19: Multimorbilidad (cardiovascular, HP, SAOS, salud mental, metabólica, otras)</w:t>
      </w:r>
    </w:p>
    <w:p>
      <w:pPr>
        <w:pStyle w:val="ListBullet"/>
      </w:pPr>
      <w:r>
        <w:rPr>
          <w:b/>
        </w:rPr>
        <w:t>Tipo:</w:t>
      </w:r>
      <w:r>
        <w:t xml:space="preserve"> Evidencia mal representada / Omisión</w:t>
      </w:r>
    </w:p>
    <w:p>
      <w:pPr>
        <w:pStyle w:val="ListBullet"/>
      </w:pPr>
      <w:r>
        <w:rPr>
          <w:b/>
        </w:rPr>
        <w:t>Severidad:</w:t>
      </w:r>
      <w:r>
        <w:t xml:space="preserve"> MEDIA</w:t>
      </w:r>
    </w:p>
    <w:p>
      <w:pPr>
        <w:pStyle w:val="ListBullet"/>
      </w:pPr>
      <w:r>
        <w:rPr>
          <w:b/>
        </w:rPr>
        <w:t>Ubicación:</w:t>
      </w:r>
    </w:p>
    <w:p>
      <w:pPr>
        <w:pStyle w:val="ListBullet2"/>
      </w:pPr>
      <w:r>
        <w:t>PDF 164 / impr. 153 — Apéndice 3.</w:t>
      </w:r>
    </w:p>
    <w:p>
      <w:pPr>
        <w:pStyle w:val="ListBullet2"/>
      </w:pPr>
      <w:r>
        <w:t>PDF 127 / impr. 116 — cap. 5, insuficiencia cardiaca.</w:t>
      </w:r>
    </w:p>
    <w:p>
      <w:pPr>
        <w:pStyle w:val="ListBullet"/>
      </w:pPr>
      <w:r>
        <w:rPr>
          <w:b/>
        </w:rPr>
        <w:t>Cita:</w:t>
      </w:r>
      <w:r>
        <w:t xml:space="preserve"> "An RCT of the selective β1 receptor blocker metoprolol … hospitalization for exacerbation was more common among the patients treated with metoprolol.(1157,1612)"</w:t>
      </w:r>
    </w:p>
    <w:p>
      <w:pPr>
        <w:pStyle w:val="ListBullet"/>
      </w:pPr>
      <w:r>
        <w:rPr>
          <w:b/>
        </w:rPr>
        <w:t>Problema:</w:t>
      </w:r>
    </w:p>
    <w:p>
      <w:pPr>
        <w:pStyle w:val="ListBullet2"/>
      </w:pPr>
      <w:r>
        <w:t>El párrafo cita la ref. 1612 (BICS), pero solo describe BLOCK-COPD (metoprolol), con su señal de más hospitalizaciones.</w:t>
      </w:r>
    </w:p>
    <w:p>
      <w:pPr>
        <w:pStyle w:val="ListBullet2"/>
      </w:pPr>
      <w:r>
        <w:t>BICS, el ECA más grande (n=1.034) y más reciente, con bisoprolol, no mostró reducción de exacerbaciones, pero tampoco un aumento de daño: tasa de incidencia similar y eventos adversos graves comparables.</w:t>
      </w:r>
    </w:p>
    <w:p>
      <w:pPr>
        <w:pStyle w:val="ListBullet2"/>
      </w:pPr>
      <w:r>
        <w:t>En el cap. 5 solo se cita BLOCK-COPD.</w:t>
      </w:r>
    </w:p>
    <w:p>
      <w:pPr>
        <w:pStyle w:val="ListBullet2"/>
      </w:pPr>
      <w:r>
        <w:t>Presentar únicamente el ensayo con señal de daño puede reforzar la infrautilización de betabloqueantes cardioselectivos en pacientes con EPOC que los necesitan por indicación cardiovascular, que es un problema conocido.</w:t>
      </w:r>
    </w:p>
    <w:p>
      <w:pPr>
        <w:pStyle w:val="ListBullet"/>
      </w:pPr>
      <w:r>
        <w:rPr>
          <w:b/>
        </w:rPr>
        <w:t>Evidencia/justificación:</w:t>
      </w:r>
    </w:p>
    <w:p>
      <w:pPr>
        <w:pStyle w:val="ListBullet2"/>
      </w:pPr>
      <w:r>
        <w:t>BICS: Devereux G et al., JAMA 2024;332:462-70. Bisoprolol frente a placebo, IRR 0,97 (IC 95 % 0,84-1,13); eventos adversos graves 14,5 % frente a 14,3 %.</w:t>
      </w:r>
    </w:p>
    <w:p>
      <w:pPr>
        <w:pStyle w:val="ListBullet2"/>
      </w:pPr>
      <w:r>
        <w:t>BLOCK-COPD: Dransfield MT et al., NEJM 2019;381:2304-14 (PMID 31633896).</w:t>
      </w:r>
    </w:p>
    <w:p>
      <w:pPr>
        <w:pStyle w:val="ListBullet"/>
      </w:pPr>
      <w:r>
        <w:rPr>
          <w:b/>
        </w:rPr>
        <w:t>Recomendación:</w:t>
      </w:r>
    </w:p>
    <w:p>
      <w:pPr>
        <w:pStyle w:val="ListBullet2"/>
      </w:pPr>
      <w:r>
        <w:t>Añadir una frase sobre BICS: "bisoprolol no redujo exacerbaciones pero fue seguro y bien tolerado".</w:t>
      </w:r>
    </w:p>
    <w:p>
      <w:pPr>
        <w:pStyle w:val="ListBullet2"/>
      </w:pPr>
      <w:r>
        <w:t>Reforzar en el cap. 5 que los β1-selectivos no deben retirarse ni evitarse cuando hay indicación cardiovascular.</w:t>
      </w:r>
    </w:p>
    <w:p>
      <w:pPr>
        <w:pStyle w:val="ListBullet2"/>
      </w:pPr>
      <w:r>
        <w:t>Revisar la cita conjunta (1157,1612) para que cada ensayo quede descrito.</w:t>
      </w:r>
    </w:p>
    <w:p>
      <w:pPr>
        <w:pStyle w:val="ListBullet"/>
      </w:pPr>
      <w:r>
        <w:rPr>
          <w:b/>
        </w:rPr>
        <w:t>Confianza:</w:t>
      </w:r>
      <w:r>
        <w:t xml:space="preserve"> 5/5</w:t>
      </w:r>
    </w:p>
    <w:p>
      <w:pPr>
        <w:pStyle w:val="Heading4"/>
      </w:pPr>
      <w:r>
        <w:t>REH-14 · CPAP en el síndrome de solapamiento EPOC-SAOS: beneficio de supervivencia afirmado como «claro» con evidencia observacional, en un párrafo duplicado</w:t>
      </w:r>
    </w:p>
    <w:p>
      <w:r>
        <w:rPr>
          <w:i/>
        </w:rPr>
        <w:t xml:space="preserve">Severidad final: </w:t>
      </w:r>
      <w:r>
        <w:rPr>
          <w:i/>
          <w:color w:val="FFC000"/>
        </w:rPr>
        <w:t>🟡</w:t>
      </w:r>
      <w:r>
        <w:rPr>
          <w:i/>
        </w:rPr>
        <w:t xml:space="preserve"> MEDIA · Tema T19: Multimorbilidad (cardiovascular, HP, SAOS, salud mental, metabólica, otras)</w:t>
      </w:r>
    </w:p>
    <w:p>
      <w:pPr>
        <w:pStyle w:val="ListBullet"/>
      </w:pPr>
      <w:r>
        <w:rPr>
          <w:b/>
        </w:rPr>
        <w:t>Tipo:</w:t>
      </w:r>
      <w:r>
        <w:t xml:space="preserve"> Evidencia mal representada / Editorial</w:t>
      </w:r>
    </w:p>
    <w:p>
      <w:pPr>
        <w:pStyle w:val="ListBullet"/>
      </w:pPr>
      <w:r>
        <w:rPr>
          <w:b/>
        </w:rPr>
        <w:t>Severidad:</w:t>
      </w:r>
      <w:r>
        <w:t xml:space="preserve"> MEDIA</w:t>
      </w:r>
    </w:p>
    <w:p>
      <w:pPr>
        <w:pStyle w:val="ListBullet"/>
      </w:pPr>
      <w:r>
        <w:rPr>
          <w:b/>
        </w:rPr>
        <w:t>Ubicación:</w:t>
      </w:r>
      <w:r>
        <w:t xml:space="preserve"> PDF 89 / impr. 78 — «Ventilatory support» (dos párrafos consecutivos); cap. 5, PDF 133 / impr. 122.</w:t>
      </w:r>
    </w:p>
    <w:p>
      <w:pPr>
        <w:pStyle w:val="ListBullet"/>
      </w:pPr>
      <w:r>
        <w:rPr>
          <w:b/>
        </w:rPr>
        <w:t>Cita:</w:t>
      </w:r>
      <w:r>
        <w:t xml:space="preserve"> «there are clear benefits associated with the use of CPAP to improve both survival and the risk of hospital admissions.(761,762)»</w:t>
      </w:r>
    </w:p>
    <w:p>
      <w:pPr>
        <w:pStyle w:val="ListBullet"/>
      </w:pPr>
      <w:r>
        <w:rPr>
          <w:b/>
        </w:rPr>
        <w:t>Problema:</w:t>
      </w:r>
      <w:r>
        <w:t xml:space="preserve"> La afirmación se apoya en un estudio de cohortes (Marin 2010) y en una revisión de estudios observacionales (Srivali 2023). No hay ensayos aleatorizados de mortalidad en el síndrome de solapamiento, y el sesgo del adherente sano es probable. La idea se repite casi literalmente en dos párrafos consecutivos («clear indications» / «clear benefits»).</w:t>
      </w:r>
    </w:p>
    <w:p>
      <w:pPr>
        <w:pStyle w:val="ListBullet"/>
      </w:pPr>
      <w:r>
        <w:rPr>
          <w:b/>
        </w:rPr>
        <w:t>Evidencia/justificación:</w:t>
      </w:r>
      <w:r>
        <w:t xml:space="preserve"> Marin JM et al., Am J Respir Crit Care Med 2010;182:325-331 (cohorte observacional). El propio cap. 5 cita estudios observacionales (ref. 1271). Según la Tabla A (PDF 14), esta evidencia corresponde a un nivel C.</w:t>
      </w:r>
    </w:p>
    <w:p>
      <w:pPr>
        <w:pStyle w:val="ListBullet"/>
      </w:pPr>
      <w:r>
        <w:rPr>
          <w:b/>
        </w:rPr>
        <w:t>Recomendación:</w:t>
      </w:r>
      <w:r>
        <w:t xml:space="preserve"> Fusionar los párrafos: «la CPAP está indicada en el síndrome de solapamiento y, en estudios observacionales, se asocia a menor mortalidad y menos ingresos (Evidencia C)». Añadir la necesidad de cribar el SAOS antes de indicar VMNI.</w:t>
      </w:r>
    </w:p>
    <w:p>
      <w:pPr>
        <w:pStyle w:val="ListBullet"/>
      </w:pPr>
      <w:r>
        <w:rPr>
          <w:b/>
        </w:rPr>
        <w:t>Confianza:</w:t>
      </w:r>
      <w:r>
        <w:t xml:space="preserve"> 4/5</w:t>
      </w:r>
    </w:p>
    <w:p>
      <w:pPr>
        <w:pStyle w:val="Heading4"/>
      </w:pPr>
      <w:r>
        <w:t>EQ-22 · Ruralidad y brecha digital: la telesalud se presenta como más asequible sin considerar quién queda excluido</w:t>
      </w:r>
    </w:p>
    <w:p>
      <w:r>
        <w:rPr>
          <w:i/>
        </w:rPr>
        <w:t xml:space="preserve">Severidad final: </w:t>
      </w:r>
      <w:r>
        <w:rPr>
          <w:i/>
          <w:color w:val="FFC000"/>
        </w:rPr>
        <w:t>🟡</w:t>
      </w:r>
      <w:r>
        <w:rPr>
          <w:i/>
        </w:rPr>
        <w:t xml:space="preserve"> MEDIA · Tema T20: Telesalud e inteligencia artificial</w:t>
      </w:r>
    </w:p>
    <w:p>
      <w:pPr>
        <w:pStyle w:val="ListBullet"/>
      </w:pPr>
      <w:r>
        <w:rPr>
          <w:b/>
        </w:rPr>
        <w:t>Tipo:</w:t>
      </w:r>
      <w:r>
        <w:t xml:space="preserve"> Omisión / Sesgo-Equidad</w:t>
      </w:r>
    </w:p>
    <w:p>
      <w:pPr>
        <w:pStyle w:val="ListBullet"/>
      </w:pPr>
      <w:r>
        <w:rPr>
          <w:b/>
        </w:rPr>
        <w:t>Severidad:</w:t>
      </w:r>
      <w:r>
        <w:t xml:space="preserve"> MEDIA</w:t>
      </w:r>
    </w:p>
    <w:p>
      <w:pPr>
        <w:pStyle w:val="ListBullet"/>
      </w:pPr>
      <w:r>
        <w:rPr>
          <w:b/>
        </w:rPr>
        <w:t>Ubicación:</w:t>
      </w:r>
    </w:p>
    <w:p>
      <w:pPr>
        <w:pStyle w:val="ListBullet2"/>
      </w:pPr>
      <w:r>
        <w:t>PDF 32 / impr. 21.</w:t>
      </w:r>
    </w:p>
    <w:p>
      <w:pPr>
        <w:pStyle w:val="ListBullet2"/>
      </w:pPr>
      <w:r>
        <w:t>PDF 142 / impr. 131.</w:t>
      </w:r>
    </w:p>
    <w:p>
      <w:pPr>
        <w:pStyle w:val="ListBullet2"/>
      </w:pPr>
      <w:r>
        <w:t>PDF 146 / impr. 135 (telesalud).</w:t>
      </w:r>
    </w:p>
    <w:p>
      <w:pPr>
        <w:pStyle w:val="ListBullet2"/>
      </w:pPr>
      <w:r>
        <w:t>PDF 143-145 / impr. 132-134 (IA).</w:t>
      </w:r>
    </w:p>
    <w:p>
      <w:pPr>
        <w:pStyle w:val="ListBullet2"/>
      </w:pPr>
      <w:r>
        <w:t>PDF 26 / impr. 15 y PDF 173 / impr. 162 (las únicas menciones de "rural").</w:t>
      </w:r>
    </w:p>
    <w:p>
      <w:pPr>
        <w:pStyle w:val="ListBullet"/>
      </w:pPr>
      <w:r>
        <w:rPr>
          <w:b/>
        </w:rPr>
        <w:t>Cita:</w:t>
      </w:r>
      <w:r>
        <w:t xml:space="preserve"> "Telehealth may offer improved healthcare access, outcomes, and affordability." (PDF 142)</w:t>
      </w:r>
    </w:p>
    <w:p>
      <w:pPr>
        <w:pStyle w:val="ListBullet"/>
      </w:pPr>
      <w:r>
        <w:rPr>
          <w:b/>
        </w:rPr>
        <w:t>Problema:</w:t>
      </w:r>
    </w:p>
    <w:p>
      <w:pPr>
        <w:pStyle w:val="ListBullet2"/>
      </w:pPr>
      <w:r>
        <w:t>"Rural" aparece solo como factor de riesgo de bronquitis crónica y, de forma positiva, en relación con la rehabilitación domiciliaria.</w:t>
      </w:r>
    </w:p>
    <w:p>
      <w:pPr>
        <w:pStyle w:val="ListBullet2"/>
      </w:pPr>
      <w:r>
        <w:t>El documento no aborda las barreras específicas de las zonas rurales: distancia, ausencia de especialistas, transporte durante las exacerbaciones y continuidad del suministro de inhaladores y oxígeno.</w:t>
      </w:r>
    </w:p>
    <w:p>
      <w:pPr>
        <w:pStyle w:val="ListBullet2"/>
      </w:pPr>
      <w:r>
        <w:t>La telesalud y la IA se presentan como vías de acceso y ahorro sin analizar la brecha digital (conectividad, coste de los datos, alfabetización digital, edad, idioma, discapacidad).</w:t>
      </w:r>
    </w:p>
    <w:p>
      <w:pPr>
        <w:pStyle w:val="ListBullet2"/>
      </w:pPr>
      <w:r>
        <w:t>Tampoco se analiza la escasa representación de población de LMIC en los datos de entrenamiento de los algoritmos de IA. La figura 6.2 sí menciona "inequity", lo cual es positivo, pero no se traslada al texto ni a recomendaciones concretas.</w:t>
      </w:r>
    </w:p>
    <w:p>
      <w:pPr>
        <w:pStyle w:val="ListBullet"/>
      </w:pPr>
      <w:r>
        <w:rPr>
          <w:b/>
        </w:rPr>
        <w:t>Evidencia/justificación:</w:t>
      </w:r>
      <w:r>
        <w:t xml:space="preserve"> Las estrategias de salud digital de la OMS (Estrategia Mundial sobre Salud Digital 2020-2025) exigen equidad e inclusión digital. Es un riesgo conocido que las intervenciones digitales amplíen las desigualdades si no se diseñan para quienes tienen menor acceso.</w:t>
      </w:r>
    </w:p>
    <w:p>
      <w:pPr>
        <w:pStyle w:val="ListBullet"/>
      </w:pPr>
      <w:r>
        <w:rPr>
          <w:b/>
        </w:rPr>
        <w:t>Recomendación:</w:t>
      </w:r>
    </w:p>
    <w:p>
      <w:pPr>
        <w:pStyle w:val="ListBullet2"/>
      </w:pPr>
      <w:r>
        <w:t>Sustituir "affordability" por una formulación condicionada ("may improve access where digital infrastructure and literacy allow").</w:t>
      </w:r>
    </w:p>
    <w:p>
      <w:pPr>
        <w:pStyle w:val="ListBullet2"/>
      </w:pPr>
      <w:r>
        <w:t>Añadir salvaguardas: ofrecer siempre una alternativa presencial o telefónica, y diseñar para baja conectividad (SMS, voz).</w:t>
      </w:r>
    </w:p>
    <w:p>
      <w:pPr>
        <w:pStyle w:val="ListBullet2"/>
      </w:pPr>
      <w:r>
        <w:t>Recomendar la evaluación de los sesgos de la IA en poblaciones de LMIC.</w:t>
      </w:r>
    </w:p>
    <w:p>
      <w:pPr>
        <w:pStyle w:val="ListBullet2"/>
      </w:pPr>
      <w:r>
        <w:t>Incluir un párrafo sobre la organización de la atención en zonas rurales: agentes comunitarios de salud, rehabilitación comunitaria y reservas de fármacos.</w:t>
      </w:r>
    </w:p>
    <w:p>
      <w:pPr>
        <w:pStyle w:val="ListBullet"/>
      </w:pPr>
      <w:r>
        <w:rPr>
          <w:b/>
        </w:rPr>
        <w:t>Confianza:</w:t>
      </w:r>
      <w:r>
        <w:t xml:space="preserve"> 4/5</w:t>
      </w:r>
    </w:p>
    <w:p>
      <w:pPr>
        <w:pStyle w:val="Heading4"/>
      </w:pPr>
      <w:r>
        <w:t>IA-01 · Revisión Cochrane de telesalud mal referenciada y resultados mal representados</w:t>
      </w:r>
    </w:p>
    <w:p>
      <w:r>
        <w:rPr>
          <w:i/>
        </w:rPr>
        <w:t xml:space="preserve">Severidad final: </w:t>
      </w:r>
      <w:r>
        <w:rPr>
          <w:i/>
          <w:color w:val="FFC000"/>
        </w:rPr>
        <w:t>🟡</w:t>
      </w:r>
      <w:r>
        <w:rPr>
          <w:i/>
        </w:rPr>
        <w:t xml:space="preserve"> MEDIA · Tema T20: Telesalud e inteligencia artificial</w:t>
      </w:r>
    </w:p>
    <w:p>
      <w:pPr>
        <w:pStyle w:val="IntenseQuote"/>
      </w:pPr>
      <w:r>
        <w:rPr>
          <w:b/>
        </w:rPr>
        <w:t>Verificación independiente (CONFIRMADO PARCIAL):</w:t>
      </w:r>
      <w:r>
        <w:t xml:space="preserve"> Confirmado: (a) la referencia está equivocada; (b) se da a entender que la teleconsulta se estudió en ECA, cuando la revisión no halló evidencia; (c) se omiten el comparador multicomponente y la señal sobre reingresos. No confirmado / injusto: criticar la frase «no evidence of harm». GOLD parafrasea fielmente las conclusiones de los autores Cochrane, así que es un matiz metodológico (ausencia de evidencia ≠ evidencia…</w:t>
      </w:r>
    </w:p>
    <w:p>
      <w:pPr>
        <w:pStyle w:val="IntenseQuote"/>
      </w:pPr>
      <w:r>
        <w:rPr>
          <w:b/>
        </w:rPr>
        <w:t>Severidad ajustada en la consolidación:</w:t>
      </w:r>
      <w:r>
        <w:t xml:space="preserve"> ALTA → MEDIA</w:t>
      </w:r>
    </w:p>
    <w:p>
      <w:pPr>
        <w:pStyle w:val="ListBullet"/>
      </w:pPr>
      <w:r>
        <w:rPr>
          <w:b/>
        </w:rPr>
        <w:t>Tipo:</w:t>
      </w:r>
      <w:r>
        <w:t xml:space="preserve"> Evidencia mal representada</w:t>
      </w:r>
    </w:p>
    <w:p>
      <w:pPr>
        <w:pStyle w:val="ListBullet"/>
      </w:pPr>
      <w:r>
        <w:rPr>
          <w:b/>
        </w:rPr>
        <w:t>Severidad:</w:t>
      </w:r>
      <w:r>
        <w:t xml:space="preserve"> ALTA</w:t>
      </w:r>
    </w:p>
    <w:p>
      <w:pPr>
        <w:pStyle w:val="ListBullet"/>
      </w:pPr>
      <w:r>
        <w:rPr>
          <w:b/>
        </w:rPr>
        <w:t>Ubicación:</w:t>
      </w:r>
      <w:r>
        <w:t xml:space="preserve"> Cap. 6, "Telehealth, remote monitoring and follow-up", PDF 146 / impr. 135</w:t>
      </w:r>
    </w:p>
    <w:p>
      <w:pPr>
        <w:pStyle w:val="ListBullet"/>
      </w:pPr>
      <w:r>
        <w:rPr>
          <w:b/>
        </w:rPr>
        <w:t>Cita:</w:t>
      </w:r>
      <w:r>
        <w:t xml:space="preserve"> "A Cochrane review(1435) on telehealth for remote monitoring and consultations for patients with COPD included three main different models … While there was no evidence of harm…"</w:t>
      </w:r>
    </w:p>
    <w:p>
      <w:pPr>
        <w:pStyle w:val="ListBullet"/>
      </w:pPr>
      <w:r>
        <w:rPr>
          <w:b/>
        </w:rPr>
        <w:t>Problema:</w:t>
      </w:r>
    </w:p>
    <w:p>
      <w:pPr>
        <w:pStyle w:val="ListBullet2"/>
      </w:pPr>
      <w:r>
        <w:t xml:space="preserve">La ref. 1435 es otra revisión Cochrane: Janjua S et al., </w:t>
      </w:r>
      <w:r>
        <w:rPr>
          <w:i/>
        </w:rPr>
        <w:t>Interventions to improve adherence to pharmacological therapy for COPD</w:t>
      </w:r>
      <w:r>
        <w:t>, CD013381 (PMID 34496032). No trata de telesalud.</w:t>
      </w:r>
    </w:p>
    <w:p>
      <w:pPr>
        <w:pStyle w:val="ListBullet2"/>
      </w:pPr>
      <w:r>
        <w:t xml:space="preserve">La revisión correcta es Janjua S, Carter D, Threapleton CJ, Prigmore S, Disler RT. </w:t>
      </w:r>
      <w:r>
        <w:rPr>
          <w:i/>
        </w:rPr>
        <w:t>Telehealth interventions: remote monitoring and consultations for people with COPD</w:t>
      </w:r>
      <w:r>
        <w:t>. Cochrane 2021, CD013196 (DOI 10.1002/14651858.CD013196.pub2; PMID 34693988).</w:t>
      </w:r>
    </w:p>
    <w:p>
      <w:pPr>
        <w:pStyle w:val="ListBullet2"/>
      </w:pPr>
      <w:r>
        <w:t>Además, el texto describe mal lo que encontró esa revisión (ver justificación).</w:t>
      </w:r>
    </w:p>
    <w:p>
      <w:pPr>
        <w:pStyle w:val="ListBullet"/>
      </w:pPr>
      <w:r>
        <w:rPr>
          <w:b/>
        </w:rPr>
        <w:t>Evidencia/justificación:</w:t>
      </w:r>
    </w:p>
    <w:p>
      <w:pPr>
        <w:pStyle w:val="ListBullet2"/>
      </w:pPr>
      <w:r>
        <w:t>CD013196 incluyó 29 ECAs (n = 5654), la mayoría con alto riesgo de sesgo y certeza de moderada a muy baja.</w:t>
      </w:r>
    </w:p>
    <w:p>
      <w:pPr>
        <w:pStyle w:val="ListBullet2"/>
      </w:pPr>
      <w:r>
        <w:rPr>
          <w:b/>
        </w:rPr>
        <w:t>No identificó ECAs de teleconsulta.</w:t>
      </w:r>
      <w:r>
        <w:t xml:space="preserve"> El tercer grupo de comparación real eran intervenciones multicomponente. Presentar la "remote consultation" como un modelo "studied in RCTs" no se ajusta a la revisión.</w:t>
      </w:r>
    </w:p>
    <w:p>
      <w:pPr>
        <w:pStyle w:val="ListBullet2"/>
      </w:pPr>
      <w:r>
        <w:rPr>
          <w:b/>
        </w:rPr>
        <w:t>Monitorización remota más atención habitual:</w:t>
      </w:r>
      <w:r>
        <w:t xml:space="preserve"> efecto escaso o nulo sobre exacerbaciones, calidad de vida, hospitalizaciones y mortalidad.</w:t>
      </w:r>
    </w:p>
    <w:p>
      <w:pPr>
        <w:pStyle w:val="ListBullet2"/>
      </w:pPr>
      <w:r>
        <w:rPr>
          <w:b/>
        </w:rPr>
        <w:t>Reingresos:</w:t>
      </w:r>
      <w:r>
        <w:t xml:space="preserve"> la reducción de reingresos por EPOC (HR 0,42) procede de un único estudio (n = 106). En intervenciones multicomponente, OR 0,50 con 3 estudios (n = 344).</w:t>
      </w:r>
    </w:p>
    <w:p>
      <w:pPr>
        <w:pStyle w:val="ListBullet2"/>
      </w:pPr>
      <w:r>
        <w:rPr>
          <w:b/>
        </w:rPr>
        <w:t>Daño:</w:t>
      </w:r>
      <w:r>
        <w:t xml:space="preserve"> los eventos adversos apenas se notificaron, de modo que "no evidence of harm" equivale a ausencia de evidencia, no a evidencia de seguridad.</w:t>
      </w:r>
    </w:p>
    <w:p>
      <w:pPr>
        <w:pStyle w:val="ListBullet2"/>
      </w:pPr>
      <w:r>
        <w:t xml:space="preserve">Un ECA cruzado (TeleCRAFT; Chatwin M et al., Thorax 2016;71:305-311, PMID 26962013) observó </w:t>
      </w:r>
      <w:r>
        <w:rPr>
          <w:b/>
        </w:rPr>
        <w:t>más</w:t>
      </w:r>
      <w:r>
        <w:t xml:space="preserve"> ingresos a 6 meses con telemonitorización: 0,63 frente a 0,32, p = 0,026.</w:t>
      </w:r>
    </w:p>
    <w:p>
      <w:pPr>
        <w:pStyle w:val="ListBullet"/>
      </w:pPr>
      <w:r>
        <w:rPr>
          <w:b/>
        </w:rPr>
        <w:t>Recomendación:</w:t>
      </w:r>
    </w:p>
    <w:p>
      <w:pPr>
        <w:pStyle w:val="ListBullet2"/>
      </w:pPr>
      <w:r>
        <w:t>Sustituir la ref. 1435 por CD013196.</w:t>
      </w:r>
    </w:p>
    <w:p>
      <w:pPr>
        <w:pStyle w:val="ListBullet2"/>
      </w:pPr>
      <w:r>
        <w:t>Reescribir los tres comparadores tal como figuran en la revisión.</w:t>
      </w:r>
    </w:p>
    <w:p>
      <w:pPr>
        <w:pStyle w:val="ListBullet2"/>
      </w:pPr>
      <w:r>
        <w:t>Indicar la certeza GRADE y que los eventos adversos no se notificaron.</w:t>
      </w:r>
    </w:p>
    <w:p>
      <w:pPr>
        <w:pStyle w:val="ListBullet2"/>
      </w:pPr>
      <w:r>
        <w:t>Cambiar "no evidence of harm" por "adverse events were rarely reported; potential harms (e.g., increased admissions in one RCT) cannot be excluded".</w:t>
      </w:r>
    </w:p>
    <w:p>
      <w:pPr>
        <w:pStyle w:val="ListBullet"/>
      </w:pPr>
      <w:r>
        <w:rPr>
          <w:b/>
        </w:rPr>
        <w:t>Confianza:</w:t>
      </w:r>
      <w:r>
        <w:t xml:space="preserve"> 5/5</w:t>
      </w:r>
    </w:p>
    <w:p>
      <w:pPr>
        <w:pStyle w:val="Heading4"/>
      </w:pPr>
      <w:r>
        <w:t>IA-06 · "AI based interpretation strategies can reduce misdiagnosis": la evidencia es un estudio de lectores, no de pacientes</w:t>
      </w:r>
    </w:p>
    <w:p>
      <w:r>
        <w:rPr>
          <w:i/>
        </w:rPr>
        <w:t xml:space="preserve">Severidad final: </w:t>
      </w:r>
      <w:r>
        <w:rPr>
          <w:i/>
          <w:color w:val="FFC000"/>
        </w:rPr>
        <w:t>🟡</w:t>
      </w:r>
      <w:r>
        <w:rPr>
          <w:i/>
        </w:rPr>
        <w:t xml:space="preserve"> MEDIA · Tema T20: Telesalud e inteligencia artificial</w:t>
      </w:r>
    </w:p>
    <w:p>
      <w:pPr>
        <w:pStyle w:val="ListBullet"/>
      </w:pPr>
      <w:r>
        <w:rPr>
          <w:b/>
        </w:rPr>
        <w:t>Tipo:</w:t>
      </w:r>
      <w:r>
        <w:t xml:space="preserve"> Evidencia mal representada</w:t>
      </w:r>
    </w:p>
    <w:p>
      <w:pPr>
        <w:pStyle w:val="ListBullet"/>
      </w:pPr>
      <w:r>
        <w:rPr>
          <w:b/>
        </w:rPr>
        <w:t>Severidad:</w:t>
      </w:r>
      <w:r>
        <w:t xml:space="preserve"> MEDIA</w:t>
      </w:r>
    </w:p>
    <w:p>
      <w:pPr>
        <w:pStyle w:val="ListBullet"/>
      </w:pPr>
      <w:r>
        <w:rPr>
          <w:b/>
        </w:rPr>
        <w:t>Ubicación:</w:t>
      </w:r>
      <w:r>
        <w:t xml:space="preserve"> Cap. 6, "Misdiagnosis", PDF 142 / impr. 131</w:t>
      </w:r>
    </w:p>
    <w:p>
      <w:pPr>
        <w:pStyle w:val="ListBullet"/>
      </w:pPr>
      <w:r>
        <w:rPr>
          <w:b/>
        </w:rPr>
        <w:t>Cita:</w:t>
      </w:r>
      <w:r>
        <w:t xml:space="preserve"> "AI based interpretation strategies can reduce misdiagnosis by providing automated interpretations and diagnostic suggestions.(1397-1399) Likewise, AI may be able to extract novel, hidden, high-dimensional features from the flow-volume spirometry loops.(1398,1400)"</w:t>
      </w:r>
    </w:p>
    <w:p>
      <w:pPr>
        <w:pStyle w:val="ListBullet"/>
      </w:pPr>
      <w:r>
        <w:rPr>
          <w:b/>
        </w:rPr>
        <w:t>Problema:</w:t>
      </w:r>
    </w:p>
    <w:p>
      <w:pPr>
        <w:pStyle w:val="ListBullet2"/>
      </w:pPr>
      <w:r>
        <w:rPr>
          <w:b/>
        </w:rPr>
        <w:t>Ref. 1397</w:t>
      </w:r>
      <w:r>
        <w:t xml:space="preserve"> (Doe G et al., NEJM AI 2025;2(8), DOI 10.1056/AIoa2400804) es un ECA de lectores:</w:t>
      </w:r>
    </w:p>
    <w:p>
      <w:pPr>
        <w:pStyle w:val="ListBullet2"/>
      </w:pPr>
      <w:r>
        <w:t>133 clínicos de atención primaria interpretaron 50 espirometrías retrospectivas, con o sin apoyo de IA.</w:t>
      </w:r>
    </w:p>
    <w:p>
      <w:pPr>
        <w:pStyle w:val="ListBullet2"/>
      </w:pPr>
      <w:r>
        <w:t>Exactitud del 58,7 % frente al 49,7 % (+9,0 puntos porcentuales; IC 95 % 4,5-13,3).</w:t>
      </w:r>
    </w:p>
    <w:p>
      <w:pPr>
        <w:pStyle w:val="ListBullet2"/>
      </w:pPr>
      <w:r>
        <w:t>El algoritmo solo superó al tándem clínico+IA, lo que sugiere problemas de interacción humano-IA.</w:t>
      </w:r>
    </w:p>
    <w:p>
      <w:pPr>
        <w:pStyle w:val="ListBullet2"/>
      </w:pPr>
      <w:r>
        <w:t>No midió diagnósticos erróneos reales ni resultados en pacientes.</w:t>
      </w:r>
    </w:p>
    <w:p>
      <w:pPr>
        <w:pStyle w:val="ListBullet2"/>
      </w:pPr>
      <w:r>
        <w:rPr>
          <w:b/>
        </w:rPr>
        <w:t>Ref. 1399</w:t>
      </w:r>
      <w:r>
        <w:t xml:space="preserve"> es una revisión narrativa en Cureus.</w:t>
      </w:r>
    </w:p>
    <w:p>
      <w:pPr>
        <w:pStyle w:val="ListBullet2"/>
      </w:pPr>
      <w:r>
        <w:rPr>
          <w:b/>
        </w:rPr>
        <w:t>Ref. 1400</w:t>
      </w:r>
      <w:r>
        <w:t xml:space="preserve"> (Wang Z et al., Lung 2025) describe un índice geométrico de concavidad de la curva flujo-volumen, sin IA ni "high-dimensional features".</w:t>
      </w:r>
    </w:p>
    <w:p>
      <w:pPr>
        <w:pStyle w:val="ListBullet2"/>
      </w:pPr>
      <w:r>
        <w:t>La referencia 1397 carece de DOI y páginas.</w:t>
      </w:r>
    </w:p>
    <w:p>
      <w:pPr>
        <w:pStyle w:val="ListBullet"/>
      </w:pPr>
      <w:r>
        <w:rPr>
          <w:b/>
        </w:rPr>
        <w:t>Evidencia/justificación:</w:t>
      </w:r>
      <w:r>
        <w:t xml:space="preserve"> Verificado en las publicaciones originales. Pasar de exactitud en un estudio de lectores a "reduce misdiagnosis" en la práctica requiere evaluación clínica temprana (DECIDE-AI; Vasey B et al., Nat Med 2022;28:924-933) y estudios de impacto.</w:t>
      </w:r>
    </w:p>
    <w:p>
      <w:pPr>
        <w:pStyle w:val="ListBullet"/>
      </w:pPr>
      <w:r>
        <w:rPr>
          <w:b/>
        </w:rPr>
        <w:t>Recomendación:</w:t>
      </w:r>
    </w:p>
    <w:p>
      <w:pPr>
        <w:pStyle w:val="ListBullet2"/>
      </w:pPr>
      <w:r>
        <w:t>Reformular como "improved clinicians' interpretation accuracy in a reader-study RCT".</w:t>
      </w:r>
    </w:p>
    <w:p>
      <w:pPr>
        <w:pStyle w:val="ListBullet2"/>
      </w:pPr>
      <w:r>
        <w:t>Retirar la ref. 1400 de la frase sobre IA, o explicar qué aporta.</w:t>
      </w:r>
    </w:p>
    <w:p>
      <w:pPr>
        <w:pStyle w:val="ListBullet2"/>
      </w:pPr>
      <w:r>
        <w:t>Completar la ref. 1397 con el DOI.</w:t>
      </w:r>
    </w:p>
    <w:p>
      <w:pPr>
        <w:pStyle w:val="ListBullet"/>
      </w:pPr>
      <w:r>
        <w:rPr>
          <w:b/>
        </w:rPr>
        <w:t>Confianza:</w:t>
      </w:r>
      <w:r>
        <w:t xml:space="preserve"> 5/5</w:t>
      </w:r>
    </w:p>
    <w:p>
      <w:pPr>
        <w:pStyle w:val="Heading4"/>
      </w:pPr>
      <w:r>
        <w:t>IA-08 · Biomarcadores de imagen: cita de un ensayo de asma y sobreafirmación sobre nódulos</w:t>
      </w:r>
    </w:p>
    <w:p>
      <w:r>
        <w:rPr>
          <w:i/>
        </w:rPr>
        <w:t xml:space="preserve">Severidad final: </w:t>
      </w:r>
      <w:r>
        <w:rPr>
          <w:i/>
          <w:color w:val="FFC000"/>
        </w:rPr>
        <w:t>🟡</w:t>
      </w:r>
      <w:r>
        <w:rPr>
          <w:i/>
        </w:rPr>
        <w:t xml:space="preserve"> MEDIA · Tema T20: Telesalud e inteligencia artificial</w:t>
      </w:r>
    </w:p>
    <w:p>
      <w:pPr>
        <w:pStyle w:val="ListBullet"/>
      </w:pPr>
      <w:r>
        <w:rPr>
          <w:b/>
        </w:rPr>
        <w:t>Tipo:</w:t>
      </w:r>
      <w:r>
        <w:t xml:space="preserve"> Evidencia mal representada</w:t>
      </w:r>
    </w:p>
    <w:p>
      <w:pPr>
        <w:pStyle w:val="ListBullet"/>
      </w:pPr>
      <w:r>
        <w:rPr>
          <w:b/>
        </w:rPr>
        <w:t>Severidad:</w:t>
      </w:r>
      <w:r>
        <w:t xml:space="preserve"> MEDIA</w:t>
      </w:r>
    </w:p>
    <w:p>
      <w:pPr>
        <w:pStyle w:val="ListBullet"/>
      </w:pPr>
      <w:r>
        <w:rPr>
          <w:b/>
        </w:rPr>
        <w:t>Ubicación:</w:t>
      </w:r>
      <w:r>
        <w:t xml:space="preserve"> Cap. 6, "Imaging biomarkers", PDF 144 / impr. 133</w:t>
      </w:r>
    </w:p>
    <w:p>
      <w:pPr>
        <w:pStyle w:val="ListBullet"/>
      </w:pPr>
      <w:r>
        <w:rPr>
          <w:b/>
        </w:rPr>
        <w:t>Cita:</w:t>
      </w:r>
      <w:r>
        <w:t xml:space="preserve"> "AI can be used to quantify the extent and the pattern of emphysema and to analyze fissure integrity, mucus plugs, bronchiectasis and/or pulmonary vessels.(1417) Likewise, using AI-assisted analysis of nodules may avoid overuse of invasive procedures…(1418)"</w:t>
      </w:r>
    </w:p>
    <w:p>
      <w:pPr>
        <w:pStyle w:val="ListBullet"/>
      </w:pPr>
      <w:r>
        <w:rPr>
          <w:b/>
        </w:rPr>
        <w:t>Problema:</w:t>
      </w:r>
    </w:p>
    <w:p>
      <w:pPr>
        <w:pStyle w:val="ListBullet2"/>
      </w:pPr>
      <w:r>
        <w:t xml:space="preserve">La </w:t>
      </w:r>
      <w:r>
        <w:rPr>
          <w:b/>
        </w:rPr>
        <w:t>ref. 1417</w:t>
      </w:r>
      <w:r>
        <w:t xml:space="preserve"> es el ensayo VESTIGE (dupilumab en asma tipo 2; Lancet Respir Med 2025). Usa imagen funcional respiratoria como variable de resultado. No valida herramientas de IA ni incluye pacientes con EPOC.</w:t>
      </w:r>
    </w:p>
    <w:p>
      <w:pPr>
        <w:pStyle w:val="ListBullet2"/>
      </w:pPr>
      <w:r>
        <w:t xml:space="preserve">La </w:t>
      </w:r>
      <w:r>
        <w:rPr>
          <w:b/>
        </w:rPr>
        <w:t>ref. 1418</w:t>
      </w:r>
      <w:r>
        <w:t xml:space="preserve"> (Luo Y et al., Transl Lung Cancer Res 2025) es una revisión sobre modelos de lenguaje y de visión-lenguaje en cáncer de pulmón. No aporta evidencia de que la IA reduzca procedimientos invasivos.</w:t>
      </w:r>
    </w:p>
    <w:p>
      <w:pPr>
        <w:pStyle w:val="ListBullet2"/>
      </w:pPr>
      <w:r>
        <w:t>"The most developed AI platform currently utilized in COPD" no distingue el software cuantitativo de TC con marcado CE o autorización FDA de los prototipos.</w:t>
      </w:r>
    </w:p>
    <w:p>
      <w:pPr>
        <w:pStyle w:val="ListBullet"/>
      </w:pPr>
      <w:r>
        <w:rPr>
          <w:b/>
        </w:rPr>
        <w:t>Evidencia/justificación:</w:t>
      </w:r>
      <w:r>
        <w:t xml:space="preserve"> Verificado en los resúmenes. El propio GOLD ya tiene referencias más pertinentes, por ejemplo la ref. 296 y las del Cap. 2 sobre TC cuantitativa.</w:t>
      </w:r>
    </w:p>
    <w:p>
      <w:pPr>
        <w:pStyle w:val="ListBullet"/>
      </w:pPr>
      <w:r>
        <w:rPr>
          <w:b/>
        </w:rPr>
        <w:t>Recomendación:</w:t>
      </w:r>
    </w:p>
    <w:p>
      <w:pPr>
        <w:pStyle w:val="ListBullet2"/>
      </w:pPr>
      <w:r>
        <w:t>Sustituir la ref. 1417 por estudios de validación de cuantificación automática en EPOC.</w:t>
      </w:r>
    </w:p>
    <w:p>
      <w:pPr>
        <w:pStyle w:val="ListBullet2"/>
      </w:pPr>
      <w:r>
        <w:t>Reformular la frase de nódulos como "may help… (evidence mainly from lung-cancer screening studies)", con referencias primarias.</w:t>
      </w:r>
    </w:p>
    <w:p>
      <w:pPr>
        <w:pStyle w:val="ListBullet2"/>
      </w:pPr>
      <w:r>
        <w:t>Señalar qué herramientas tienen aprobación regulatoria.</w:t>
      </w:r>
    </w:p>
    <w:p>
      <w:pPr>
        <w:pStyle w:val="ListBullet"/>
      </w:pPr>
      <w:r>
        <w:rPr>
          <w:b/>
        </w:rPr>
        <w:t>Confianza:</w:t>
      </w:r>
      <w:r>
        <w:t xml:space="preserve"> 5/5</w:t>
      </w:r>
    </w:p>
    <w:p>
      <w:pPr>
        <w:pStyle w:val="Heading4"/>
      </w:pPr>
      <w:r>
        <w:t>IA-09 · "AI on omics data" con referencias que no son ómicas ni específicas de EPOC, y "clearly pave the way"</w:t>
      </w:r>
    </w:p>
    <w:p>
      <w:r>
        <w:rPr>
          <w:i/>
        </w:rPr>
        <w:t xml:space="preserve">Severidad final: </w:t>
      </w:r>
      <w:r>
        <w:rPr>
          <w:i/>
          <w:color w:val="FFC000"/>
        </w:rPr>
        <w:t>🟡</w:t>
      </w:r>
      <w:r>
        <w:rPr>
          <w:i/>
        </w:rPr>
        <w:t xml:space="preserve"> MEDIA · Tema T20: Telesalud e inteligencia artificial</w:t>
      </w:r>
    </w:p>
    <w:p>
      <w:pPr>
        <w:pStyle w:val="ListBullet"/>
      </w:pPr>
      <w:r>
        <w:rPr>
          <w:b/>
        </w:rPr>
        <w:t>Tipo:</w:t>
      </w:r>
      <w:r>
        <w:t xml:space="preserve"> Evidencia mal representada</w:t>
      </w:r>
    </w:p>
    <w:p>
      <w:pPr>
        <w:pStyle w:val="ListBullet"/>
      </w:pPr>
      <w:r>
        <w:rPr>
          <w:b/>
        </w:rPr>
        <w:t>Severidad:</w:t>
      </w:r>
      <w:r>
        <w:t xml:space="preserve"> MEDIA</w:t>
      </w:r>
    </w:p>
    <w:p>
      <w:pPr>
        <w:pStyle w:val="ListBullet"/>
      </w:pPr>
      <w:r>
        <w:rPr>
          <w:b/>
        </w:rPr>
        <w:t>Ubicación:</w:t>
      </w:r>
      <w:r>
        <w:t xml:space="preserve"> Cap. 6, "Biologic biomarkers", PDF 144 / impr. 133</w:t>
      </w:r>
    </w:p>
    <w:p>
      <w:pPr>
        <w:pStyle w:val="ListBullet"/>
      </w:pPr>
      <w:r>
        <w:rPr>
          <w:b/>
        </w:rPr>
        <w:t>Cita:</w:t>
      </w:r>
      <w:r>
        <w:t xml:space="preserve"> "Several studies used AI on omics data to identify biologic biomarkers of potential use in COPD.(1419-1421) Most of them require validation … but clearly pave the way for a better characterization of COPD patients"</w:t>
      </w:r>
    </w:p>
    <w:p>
      <w:pPr>
        <w:pStyle w:val="ListBullet"/>
      </w:pPr>
      <w:r>
        <w:rPr>
          <w:b/>
        </w:rPr>
        <w:t>Problema:</w:t>
      </w:r>
    </w:p>
    <w:p>
      <w:pPr>
        <w:pStyle w:val="ListBullet2"/>
      </w:pPr>
      <w:r>
        <w:t xml:space="preserve">La </w:t>
      </w:r>
      <w:r>
        <w:rPr>
          <w:b/>
        </w:rPr>
        <w:t>ref. 1421</w:t>
      </w:r>
      <w:r>
        <w:t xml:space="preserve"> usa índices del hemograma (neutrófilos/linfocitos, etc.), no datos ómicos.</w:t>
      </w:r>
    </w:p>
    <w:p>
      <w:pPr>
        <w:pStyle w:val="ListBullet2"/>
      </w:pPr>
      <w:r>
        <w:t xml:space="preserve">La </w:t>
      </w:r>
      <w:r>
        <w:rPr>
          <w:b/>
        </w:rPr>
        <w:t>ref. 1419</w:t>
      </w:r>
      <w:r>
        <w:t xml:space="preserve"> (Carrasco-Zanini J et al., Nat Med 2024) es un estudio proteómico de UK Biobank sobre más de 200 enfermedades, no centrado en la EPOC.</w:t>
      </w:r>
    </w:p>
    <w:p>
      <w:pPr>
        <w:pStyle w:val="ListBullet2"/>
      </w:pPr>
      <w:r>
        <w:t xml:space="preserve">Solo la </w:t>
      </w:r>
      <w:r>
        <w:rPr>
          <w:b/>
        </w:rPr>
        <w:t>ref. 1420</w:t>
      </w:r>
      <w:r>
        <w:t xml:space="preserve"> (Olvera N et al., AJRCCM 2024) es ómica y específica de EPOC.</w:t>
      </w:r>
    </w:p>
    <w:p>
      <w:pPr>
        <w:pStyle w:val="ListBullet2"/>
      </w:pPr>
      <w:r>
        <w:t>"Clearly pave the way" es incoherente con "require validation".</w:t>
      </w:r>
    </w:p>
    <w:p>
      <w:pPr>
        <w:pStyle w:val="ListBullet"/>
      </w:pPr>
      <w:r>
        <w:rPr>
          <w:b/>
        </w:rPr>
        <w:t>Evidencia/justificación:</w:t>
      </w:r>
      <w:r>
        <w:t xml:space="preserve"> Verificado en los resúmenes.</w:t>
      </w:r>
    </w:p>
    <w:p>
      <w:pPr>
        <w:pStyle w:val="ListBullet"/>
      </w:pPr>
      <w:r>
        <w:rPr>
          <w:b/>
        </w:rPr>
        <w:t>Recomendación:</w:t>
      </w:r>
    </w:p>
    <w:p>
      <w:pPr>
        <w:pStyle w:val="ListBullet2"/>
      </w:pPr>
      <w:r>
        <w:t>Corregir las citas.</w:t>
      </w:r>
    </w:p>
    <w:p>
      <w:pPr>
        <w:pStyle w:val="ListBullet2"/>
      </w:pPr>
      <w:r>
        <w:t>Sustituir "clearly pave the way" por "may contribute to".</w:t>
      </w:r>
    </w:p>
    <w:p>
      <w:pPr>
        <w:pStyle w:val="ListBullet"/>
      </w:pPr>
      <w:r>
        <w:rPr>
          <w:b/>
        </w:rPr>
        <w:t>Confianza:</w:t>
      </w:r>
      <w:r>
        <w:t xml:space="preserve"> 4/5</w:t>
      </w:r>
    </w:p>
    <w:p>
      <w:pPr>
        <w:pStyle w:val="Heading4"/>
      </w:pPr>
      <w:r>
        <w:t>IA-10 · Modelos fundacionales (Merlin): referencia incompleta y descripción inexacta</w:t>
      </w:r>
    </w:p>
    <w:p>
      <w:r>
        <w:rPr>
          <w:i/>
        </w:rPr>
        <w:t xml:space="preserve">Severidad final: </w:t>
      </w:r>
      <w:r>
        <w:rPr>
          <w:i/>
          <w:color w:val="FFC000"/>
        </w:rPr>
        <w:t>🟡</w:t>
      </w:r>
      <w:r>
        <w:rPr>
          <w:i/>
        </w:rPr>
        <w:t xml:space="preserve"> MEDIA · Tema T20: Telesalud e inteligencia artificial</w:t>
      </w:r>
    </w:p>
    <w:p>
      <w:pPr>
        <w:pStyle w:val="ListBullet"/>
      </w:pPr>
      <w:r>
        <w:rPr>
          <w:b/>
        </w:rPr>
        <w:t>Tipo:</w:t>
      </w:r>
      <w:r>
        <w:t xml:space="preserve"> Error factual</w:t>
      </w:r>
    </w:p>
    <w:p>
      <w:pPr>
        <w:pStyle w:val="ListBullet"/>
      </w:pPr>
      <w:r>
        <w:rPr>
          <w:b/>
        </w:rPr>
        <w:t>Severidad:</w:t>
      </w:r>
      <w:r>
        <w:t xml:space="preserve"> MEDIA</w:t>
      </w:r>
    </w:p>
    <w:p>
      <w:pPr>
        <w:pStyle w:val="ListBullet"/>
      </w:pPr>
      <w:r>
        <w:rPr>
          <w:b/>
        </w:rPr>
        <w:t>Ubicación:</w:t>
      </w:r>
      <w:r>
        <w:t xml:space="preserve"> Cap. 6, "Multimodal models", PDF 145 / impr. 134; referencia 1423</w:t>
      </w:r>
    </w:p>
    <w:p>
      <w:pPr>
        <w:pStyle w:val="ListBullet"/>
      </w:pPr>
      <w:r>
        <w:rPr>
          <w:b/>
        </w:rPr>
        <w:t>Cita:</w:t>
      </w:r>
      <w:r>
        <w:t xml:space="preserve"> "Emerging foundation models (Figure 6.1) such as Merlin extends this concept further by integrating imaging and text but also structured clinical and laboratory data.(1418,1423)"</w:t>
      </w:r>
    </w:p>
    <w:p>
      <w:pPr>
        <w:pStyle w:val="ListBullet"/>
      </w:pPr>
      <w:r>
        <w:rPr>
          <w:b/>
        </w:rPr>
        <w:t>Problema:</w:t>
      </w:r>
    </w:p>
    <w:p>
      <w:pPr>
        <w:pStyle w:val="ListBullet2"/>
      </w:pPr>
      <w:r>
        <w:t>La ref. 1423 solo dice "Springer Science and Business Media LLC; 2024", sin revista, volumen ni DOI. Corresponde a un preprint (arXiv 2406.06512 / Research Square).</w:t>
      </w:r>
    </w:p>
    <w:p>
      <w:pPr>
        <w:pStyle w:val="ListBullet2"/>
      </w:pPr>
      <w:r>
        <w:t>Merlin se entrenó con TC (mayoritariamente abdominal), códigos diagnósticos de la HCE e informes radiológicos. No usa "laboratory data".</w:t>
      </w:r>
    </w:p>
    <w:p>
      <w:pPr>
        <w:pStyle w:val="ListBullet2"/>
      </w:pPr>
      <w:r>
        <w:t>No se ha evaluado en EPOC.</w:t>
      </w:r>
    </w:p>
    <w:p>
      <w:pPr>
        <w:pStyle w:val="ListBullet2"/>
      </w:pPr>
      <w:r>
        <w:t>Error gramatical: "such as Merlin extends".</w:t>
      </w:r>
    </w:p>
    <w:p>
      <w:pPr>
        <w:pStyle w:val="ListBullet"/>
      </w:pPr>
      <w:r>
        <w:rPr>
          <w:b/>
        </w:rPr>
        <w:t>Evidencia/justificación:</w:t>
      </w:r>
    </w:p>
    <w:p>
      <w:pPr>
        <w:pStyle w:val="ListBullet2"/>
      </w:pPr>
      <w:r>
        <w:t>Descripción del preprint de Blankemeier L et al.</w:t>
      </w:r>
    </w:p>
    <w:p>
      <w:pPr>
        <w:pStyle w:val="ListBullet2"/>
      </w:pPr>
      <w:r>
        <w:t>Que hay una versión revisada por pares posterior se comprobó en una búsqueda web; confianza moderada sobre la referencia final exacta.</w:t>
      </w:r>
    </w:p>
    <w:p>
      <w:pPr>
        <w:pStyle w:val="ListBullet"/>
      </w:pPr>
      <w:r>
        <w:rPr>
          <w:b/>
        </w:rPr>
        <w:t>Recomendación:</w:t>
      </w:r>
    </w:p>
    <w:p>
      <w:pPr>
        <w:pStyle w:val="ListBullet2"/>
      </w:pPr>
      <w:r>
        <w:t>Citar la versión revisada por pares, si existe, o identificar el preprint como tal.</w:t>
      </w:r>
    </w:p>
    <w:p>
      <w:pPr>
        <w:pStyle w:val="ListBullet2"/>
      </w:pPr>
      <w:r>
        <w:t>Corregir la descripción de los datos de entrenamiento.</w:t>
      </w:r>
    </w:p>
    <w:p>
      <w:pPr>
        <w:pStyle w:val="ListBullet2"/>
      </w:pPr>
      <w:r>
        <w:t>Aclarar que es un ejemplo de investigación sin validación en EPOC.</w:t>
      </w:r>
    </w:p>
    <w:p>
      <w:pPr>
        <w:pStyle w:val="ListBullet"/>
      </w:pPr>
      <w:r>
        <w:rPr>
          <w:b/>
        </w:rPr>
        <w:t>Confianza:</w:t>
      </w:r>
      <w:r>
        <w:t xml:space="preserve"> 4/5</w:t>
      </w:r>
    </w:p>
    <w:p>
      <w:pPr>
        <w:pStyle w:val="Heading4"/>
      </w:pPr>
      <w:r>
        <w:t>IA-14 · CDS en multimorbilidad: prohibir acrónimos no es realista y no hay evidencia del beneficio</w:t>
      </w:r>
    </w:p>
    <w:p>
      <w:r>
        <w:rPr>
          <w:i/>
        </w:rPr>
        <w:t xml:space="preserve">Severidad final: </w:t>
      </w:r>
      <w:r>
        <w:rPr>
          <w:i/>
          <w:color w:val="FFC000"/>
        </w:rPr>
        <w:t>🟡</w:t>
      </w:r>
      <w:r>
        <w:rPr>
          <w:i/>
        </w:rPr>
        <w:t xml:space="preserve"> MEDIA · Tema T20: Telesalud e inteligencia artificial</w:t>
      </w:r>
    </w:p>
    <w:p>
      <w:pPr>
        <w:pStyle w:val="ListBullet"/>
      </w:pPr>
      <w:r>
        <w:rPr>
          <w:b/>
        </w:rPr>
        <w:t>Tipo:</w:t>
      </w:r>
      <w:r>
        <w:t xml:space="preserve"> Ambigüedad/Claridad</w:t>
      </w:r>
    </w:p>
    <w:p>
      <w:pPr>
        <w:pStyle w:val="ListBullet"/>
      </w:pPr>
      <w:r>
        <w:rPr>
          <w:b/>
        </w:rPr>
        <w:t>Severidad:</w:t>
      </w:r>
      <w:r>
        <w:t xml:space="preserve"> MEDIA</w:t>
      </w:r>
    </w:p>
    <w:p>
      <w:pPr>
        <w:pStyle w:val="ListBullet"/>
      </w:pPr>
      <w:r>
        <w:rPr>
          <w:b/>
        </w:rPr>
        <w:t>Ubicación:</w:t>
      </w:r>
      <w:r>
        <w:t xml:space="preserve"> Cap. 6, PDF 145 / impr. 134</w:t>
      </w:r>
    </w:p>
    <w:p>
      <w:pPr>
        <w:pStyle w:val="ListBullet"/>
      </w:pPr>
      <w:r>
        <w:rPr>
          <w:b/>
        </w:rPr>
        <w:t>Cita:</w:t>
      </w:r>
      <w:r>
        <w:t xml:space="preserve"> "This is an herculean process where AI can be of great help … the use of acronyms … should be banned. … guidelines … constitute an invaluable source of input data for AI"</w:t>
      </w:r>
    </w:p>
    <w:p>
      <w:pPr>
        <w:pStyle w:val="ListBullet"/>
      </w:pPr>
      <w:r>
        <w:rPr>
          <w:b/>
        </w:rPr>
        <w:t>Problema:</w:t>
      </w:r>
    </w:p>
    <w:p>
      <w:pPr>
        <w:pStyle w:val="ListBullet2"/>
      </w:pPr>
      <w:r>
        <w:t>Se afirma "great help" sin evidencia. Los sistemas de CDS con alertas tienen problemas conocidos de fatiga de alertas y beneficio inconsistente.</w:t>
      </w:r>
    </w:p>
    <w:p>
      <w:pPr>
        <w:pStyle w:val="ListBullet2"/>
      </w:pPr>
      <w:r>
        <w:t>La solución técnica realista no es "prohibir acrónimos" sino:</w:t>
      </w:r>
    </w:p>
    <w:p>
      <w:pPr>
        <w:pStyle w:val="ListBullet2"/>
      </w:pPr>
      <w:r>
        <w:t>Terminologías y modelos estándar (SNOMED CT, LOINC, HL7 FHIR).</w:t>
      </w:r>
    </w:p>
    <w:p>
      <w:pPr>
        <w:pStyle w:val="ListBullet2"/>
      </w:pPr>
      <w:r>
        <w:t>Guías "computables": recomendaciones en formato legible por máquina, por ejemplo CPG-on-FHIR.</w:t>
      </w:r>
    </w:p>
    <w:p>
      <w:pPr>
        <w:pStyle w:val="ListBullet2"/>
      </w:pPr>
      <w:r>
        <w:t>El párrafo es una opinión del comité. La ref. 1133 se publicó después del corte metodológico (ver IA-21).</w:t>
      </w:r>
    </w:p>
    <w:p>
      <w:pPr>
        <w:pStyle w:val="ListBullet"/>
      </w:pPr>
      <w:r>
        <w:rPr>
          <w:b/>
        </w:rPr>
        <w:t>Evidencia/justificación:</w:t>
      </w:r>
      <w:r>
        <w:t xml:space="preserve"> Se trata de estándares de interoperabilidad ampliamente adoptados. La afirmación sobre el CDS no tiene cita.</w:t>
      </w:r>
    </w:p>
    <w:p>
      <w:pPr>
        <w:pStyle w:val="ListBullet"/>
      </w:pPr>
      <w:r>
        <w:rPr>
          <w:b/>
        </w:rPr>
        <w:t>Recomendación:</w:t>
      </w:r>
    </w:p>
    <w:p>
      <w:pPr>
        <w:pStyle w:val="ListBullet2"/>
      </w:pPr>
      <w:r>
        <w:t>Etiquetar el párrafo como perspectiva u opinión de expertos.</w:t>
      </w:r>
    </w:p>
    <w:p>
      <w:pPr>
        <w:pStyle w:val="ListBullet2"/>
      </w:pPr>
      <w:r>
        <w:t>Recomendar terminologías estándar y que GOLD publique sus algoritmos en formato computable.</w:t>
      </w:r>
    </w:p>
    <w:p>
      <w:pPr>
        <w:pStyle w:val="ListBullet2"/>
      </w:pPr>
      <w:r>
        <w:t>Mencionar los riesgos de fatiga de alertas y de sesgo de automatización.</w:t>
      </w:r>
    </w:p>
    <w:p>
      <w:pPr>
        <w:pStyle w:val="ListBullet"/>
      </w:pPr>
      <w:r>
        <w:rPr>
          <w:b/>
        </w:rPr>
        <w:t>Confianza:</w:t>
      </w:r>
      <w:r>
        <w:t xml:space="preserve"> 4/5</w:t>
      </w:r>
    </w:p>
    <w:p>
      <w:pPr>
        <w:pStyle w:val="Heading4"/>
      </w:pPr>
      <w:r>
        <w:t>IA-16 · Telemonitorización e inhaladores inteligentes: confusión entre IA y telemonitorización, y referencias que no respaldan "the potential … is large"</w:t>
      </w:r>
    </w:p>
    <w:p>
      <w:r>
        <w:rPr>
          <w:i/>
        </w:rPr>
        <w:t xml:space="preserve">Severidad final: </w:t>
      </w:r>
      <w:r>
        <w:rPr>
          <w:i/>
          <w:color w:val="FFC000"/>
        </w:rPr>
        <w:t>🟡</w:t>
      </w:r>
      <w:r>
        <w:rPr>
          <w:i/>
        </w:rPr>
        <w:t xml:space="preserve"> MEDIA · Tema T20: Telesalud e inteligencia artificial</w:t>
      </w:r>
    </w:p>
    <w:p>
      <w:pPr>
        <w:pStyle w:val="ListBullet"/>
      </w:pPr>
      <w:r>
        <w:rPr>
          <w:b/>
        </w:rPr>
        <w:t>Tipo:</w:t>
      </w:r>
      <w:r>
        <w:t xml:space="preserve"> Evidencia mal representada</w:t>
      </w:r>
    </w:p>
    <w:p>
      <w:pPr>
        <w:pStyle w:val="ListBullet"/>
      </w:pPr>
      <w:r>
        <w:rPr>
          <w:b/>
        </w:rPr>
        <w:t>Severidad:</w:t>
      </w:r>
      <w:r>
        <w:t xml:space="preserve"> MEDIA</w:t>
      </w:r>
    </w:p>
    <w:p>
      <w:pPr>
        <w:pStyle w:val="ListBullet"/>
      </w:pPr>
      <w:r>
        <w:rPr>
          <w:b/>
        </w:rPr>
        <w:t>Ubicación:</w:t>
      </w:r>
      <w:r>
        <w:t xml:space="preserve"> Cap. 6, "Remote patient monitoring", PDF 145 / impr. 134</w:t>
      </w:r>
    </w:p>
    <w:p>
      <w:pPr>
        <w:pStyle w:val="ListBullet"/>
      </w:pPr>
      <w:r>
        <w:rPr>
          <w:b/>
        </w:rPr>
        <w:t>Cita:</w:t>
      </w:r>
      <w:r>
        <w:t xml:space="preserve"> "When combined with wearable sensor technologies, AI can also allow RPM … the potential of digital smart inhalers to improve adherence and inhaler technique is large.(1426-1428)"</w:t>
      </w:r>
    </w:p>
    <w:p>
      <w:pPr>
        <w:pStyle w:val="ListBullet"/>
      </w:pPr>
      <w:r>
        <w:rPr>
          <w:b/>
        </w:rPr>
        <w:t>Problema:</w:t>
      </w:r>
    </w:p>
    <w:p>
      <w:pPr>
        <w:pStyle w:val="ListBullet2"/>
      </w:pPr>
      <w:r>
        <w:t>La telemonitorización no requiere IA. Atribuirle a la IA que "permite" la telemonitorización confunde las dos tecnologías.</w:t>
      </w:r>
    </w:p>
    <w:p>
      <w:pPr>
        <w:pStyle w:val="ListBullet2"/>
      </w:pPr>
      <w:r>
        <w:t xml:space="preserve">La </w:t>
      </w:r>
      <w:r>
        <w:rPr>
          <w:b/>
        </w:rPr>
        <w:t>ref. 1427</w:t>
      </w:r>
      <w:r>
        <w:t xml:space="preserve"> (Chamaon D et al., 2025) es una validación técnica de un inhalador inteligente:</w:t>
      </w:r>
    </w:p>
    <w:p>
      <w:pPr>
        <w:pStyle w:val="ListBullet2"/>
      </w:pPr>
      <w:r>
        <w:t>Concordancia con el registro de referencia (ICC &gt; 0,95) en unos 97 sujetos, incluidos voluntarios sanos.</w:t>
      </w:r>
    </w:p>
    <w:p>
      <w:pPr>
        <w:pStyle w:val="ListBullet2"/>
      </w:pPr>
      <w:r>
        <w:t>Sin resultados de adherencia ni clínicos.</w:t>
      </w:r>
    </w:p>
    <w:p>
      <w:pPr>
        <w:pStyle w:val="ListBullet2"/>
      </w:pPr>
      <w:r>
        <w:t xml:space="preserve">La </w:t>
      </w:r>
      <w:r>
        <w:rPr>
          <w:b/>
        </w:rPr>
        <w:t>ref. 1428</w:t>
      </w:r>
      <w:r>
        <w:t xml:space="preserve"> (Glyde HMG et al., 2024) trata de telemonitorización + ML en exacerbaciones, no de inhaladores.</w:t>
      </w:r>
    </w:p>
    <w:p>
      <w:pPr>
        <w:pStyle w:val="ListBullet2"/>
      </w:pPr>
      <w:r>
        <w:t>El Cap. 3 (PDF 82 / impr. 71) es más prudente: "digital inhalers could contribute to improved adherence … (734)".</w:t>
      </w:r>
    </w:p>
    <w:p>
      <w:pPr>
        <w:pStyle w:val="ListBullet"/>
      </w:pPr>
      <w:r>
        <w:rPr>
          <w:b/>
        </w:rPr>
        <w:t>Evidencia/justificación:</w:t>
      </w:r>
      <w:r>
        <w:t xml:space="preserve"> Verificado en los resúmenes. La afirmación sobre la telemonitorización (ref. 1425, ATS 2025) es correcta y prudente, pero contrasta con el "is large" del párrafo siguiente.</w:t>
      </w:r>
    </w:p>
    <w:p>
      <w:pPr>
        <w:pStyle w:val="ListBullet"/>
      </w:pPr>
      <w:r>
        <w:rPr>
          <w:b/>
        </w:rPr>
        <w:t>Recomendación:</w:t>
      </w:r>
    </w:p>
    <w:p>
      <w:pPr>
        <w:pStyle w:val="ListBullet2"/>
      </w:pPr>
      <w:r>
        <w:t>Separar telemonitorización e IA.</w:t>
      </w:r>
    </w:p>
    <w:p>
      <w:pPr>
        <w:pStyle w:val="ListBullet2"/>
      </w:pPr>
      <w:r>
        <w:t>Sustituir "is large" por "may help; evidence of improvement in clinical outcomes in COPD is limited".</w:t>
      </w:r>
    </w:p>
    <w:p>
      <w:pPr>
        <w:pStyle w:val="ListBullet2"/>
      </w:pPr>
      <w:r>
        <w:t>Usar la misma referencia y la misma redacción que el Cap. 3.</w:t>
      </w:r>
    </w:p>
    <w:p>
      <w:pPr>
        <w:pStyle w:val="ListBullet"/>
      </w:pPr>
      <w:r>
        <w:rPr>
          <w:b/>
        </w:rPr>
        <w:t>Confianza:</w:t>
      </w:r>
      <w:r>
        <w:t xml:space="preserve"> 4/5</w:t>
      </w:r>
    </w:p>
    <w:p>
      <w:pPr>
        <w:pStyle w:val="Heading4"/>
      </w:pPr>
      <w:r>
        <w:t>IA-18 · Omisión de los ECAs neutros o negativos de telemonitorización y de la evidencia económica</w:t>
      </w:r>
    </w:p>
    <w:p>
      <w:r>
        <w:rPr>
          <w:i/>
        </w:rPr>
        <w:t xml:space="preserve">Severidad final: </w:t>
      </w:r>
      <w:r>
        <w:rPr>
          <w:i/>
          <w:color w:val="FFC000"/>
        </w:rPr>
        <w:t>🟡</w:t>
      </w:r>
      <w:r>
        <w:rPr>
          <w:i/>
        </w:rPr>
        <w:t xml:space="preserve"> MEDIA · Tema T20: Telesalud e inteligencia artificial</w:t>
      </w:r>
    </w:p>
    <w:p>
      <w:pPr>
        <w:pStyle w:val="ListBullet"/>
      </w:pPr>
      <w:r>
        <w:rPr>
          <w:b/>
        </w:rPr>
        <w:t>Tipo:</w:t>
      </w:r>
      <w:r>
        <w:t xml:space="preserve"> Omisión</w:t>
      </w:r>
    </w:p>
    <w:p>
      <w:pPr>
        <w:pStyle w:val="ListBullet"/>
      </w:pPr>
      <w:r>
        <w:rPr>
          <w:b/>
        </w:rPr>
        <w:t>Severidad:</w:t>
      </w:r>
      <w:r>
        <w:t xml:space="preserve"> MEDIA</w:t>
      </w:r>
    </w:p>
    <w:p>
      <w:pPr>
        <w:pStyle w:val="ListBullet"/>
      </w:pPr>
      <w:r>
        <w:rPr>
          <w:b/>
        </w:rPr>
        <w:t>Ubicación:</w:t>
      </w:r>
      <w:r>
        <w:t xml:space="preserve"> Cap. 6, PDF 145-146 / impr. 134-135</w:t>
      </w:r>
    </w:p>
    <w:p>
      <w:pPr>
        <w:pStyle w:val="ListBullet"/>
      </w:pPr>
      <w:r>
        <w:rPr>
          <w:b/>
        </w:rPr>
        <w:t>Cita:</w:t>
      </w:r>
      <w:r>
        <w:t xml:space="preserve"> "Yet, there is still limited evidence that RPM in COPD impacts on relevant clinical outcomes.(1425)"</w:t>
      </w:r>
    </w:p>
    <w:p>
      <w:pPr>
        <w:pStyle w:val="ListBullet"/>
      </w:pPr>
      <w:r>
        <w:rPr>
          <w:b/>
        </w:rPr>
        <w:t>Problema:</w:t>
      </w:r>
      <w:r>
        <w:t xml:space="preserve"> Decir "limited evidence" es correcto pero insuficiente. Varios ECAs bien diseñados son negativos y uno sugiere daño. El lector no los encuentra en el capítulo, y el Apéndice 4 sí cita evidencia negativa (refs. 1685, 1686).</w:t>
      </w:r>
    </w:p>
    <w:p>
      <w:pPr>
        <w:pStyle w:val="ListBullet"/>
      </w:pPr>
      <w:r>
        <w:rPr>
          <w:b/>
        </w:rPr>
        <w:t>Evidencia/justificación:</w:t>
      </w:r>
    </w:p>
    <w:p>
      <w:pPr>
        <w:pStyle w:val="ListBullet2"/>
      </w:pPr>
      <w:r>
        <w:t>TELESCOT (BMJ 2013;347:f6070).</w:t>
      </w:r>
    </w:p>
    <w:p>
      <w:pPr>
        <w:pStyle w:val="ListBullet2"/>
      </w:pPr>
      <w:r>
        <w:t>CHROMED (AJRCCM 2018;198:620-628).</w:t>
      </w:r>
    </w:p>
    <w:p>
      <w:pPr>
        <w:pStyle w:val="ListBullet2"/>
      </w:pPr>
      <w:r>
        <w:t>TeleCRAFT (Thorax 2016;71:305-311): más ingresos.</w:t>
      </w:r>
    </w:p>
    <w:p>
      <w:pPr>
        <w:pStyle w:val="ListBullet2"/>
      </w:pPr>
      <w:r>
        <w:t>Whole Systems Demonstrator: calidad de vida (Cartwright M et al., BMJ 2013;346:f653, ref. 1686 de GOLD) y coste por AVAC de unas £92.000 (Henderson C et al., BMJ 2013;346:f1035).</w:t>
      </w:r>
    </w:p>
    <w:p>
      <w:pPr>
        <w:pStyle w:val="ListBullet2"/>
      </w:pPr>
      <w:r>
        <w:t>Una interpretación plausible, sugerida por los autores de TELESCOT, es que el beneficio de algunos ensayos se debe a mejorar el servicio clínico subyacente, no a la tecnología.</w:t>
      </w:r>
    </w:p>
    <w:p>
      <w:pPr>
        <w:pStyle w:val="ListBullet"/>
      </w:pPr>
      <w:r>
        <w:rPr>
          <w:b/>
        </w:rPr>
        <w:t>Recomendación:</w:t>
      </w:r>
    </w:p>
    <w:p>
      <w:pPr>
        <w:pStyle w:val="ListBullet2"/>
      </w:pPr>
      <w:r>
        <w:t>Añadir una frase con estos ECAs y su interpretación.</w:t>
      </w:r>
    </w:p>
    <w:p>
      <w:pPr>
        <w:pStyle w:val="ListBullet2"/>
      </w:pPr>
      <w:r>
        <w:t>Recomendar que la telemonitorización solo se implante integrada en servicios con capacidad de respuesta y con evaluación de resultados.</w:t>
      </w:r>
    </w:p>
    <w:p>
      <w:pPr>
        <w:pStyle w:val="ListBullet"/>
      </w:pPr>
      <w:r>
        <w:rPr>
          <w:b/>
        </w:rPr>
        <w:t>Confianza:</w:t>
      </w:r>
      <w:r>
        <w:t xml:space="preserve"> 5/5</w:t>
      </w:r>
    </w:p>
    <w:p>
      <w:pPr>
        <w:pStyle w:val="Heading4"/>
      </w:pPr>
      <w:r>
        <w:t>IA-19 · Telerrehabilitación: redacción ambigua y omisión de las limitaciones señaladas en el Apéndice 4</w:t>
      </w:r>
    </w:p>
    <w:p>
      <w:r>
        <w:rPr>
          <w:i/>
        </w:rPr>
        <w:t xml:space="preserve">Severidad final: </w:t>
      </w:r>
      <w:r>
        <w:rPr>
          <w:i/>
          <w:color w:val="FFC000"/>
        </w:rPr>
        <w:t>🟡</w:t>
      </w:r>
      <w:r>
        <w:rPr>
          <w:i/>
        </w:rPr>
        <w:t xml:space="preserve"> MEDIA · Tema T20: Telesalud e inteligencia artificial</w:t>
      </w:r>
    </w:p>
    <w:p>
      <w:pPr>
        <w:pStyle w:val="ListBullet"/>
      </w:pPr>
      <w:r>
        <w:rPr>
          <w:b/>
        </w:rPr>
        <w:t>Tipo:</w:t>
      </w:r>
      <w:r>
        <w:t xml:space="preserve"> Ambigüedad/Claridad</w:t>
      </w:r>
    </w:p>
    <w:p>
      <w:pPr>
        <w:pStyle w:val="ListBullet"/>
      </w:pPr>
      <w:r>
        <w:rPr>
          <w:b/>
        </w:rPr>
        <w:t>Severidad:</w:t>
      </w:r>
      <w:r>
        <w:t xml:space="preserve"> MEDIA</w:t>
      </w:r>
    </w:p>
    <w:p>
      <w:pPr>
        <w:pStyle w:val="ListBullet"/>
      </w:pPr>
      <w:r>
        <w:rPr>
          <w:b/>
        </w:rPr>
        <w:t>Ubicación:</w:t>
      </w:r>
      <w:r>
        <w:t xml:space="preserve"> Cap. 6, "Delivery of pulmonary rehabilitation", PDF 148 / impr. 137</w:t>
      </w:r>
    </w:p>
    <w:p>
      <w:pPr>
        <w:pStyle w:val="ListBullet"/>
      </w:pPr>
      <w:r>
        <w:rPr>
          <w:b/>
        </w:rPr>
        <w:t>Cita:</w:t>
      </w:r>
      <w:r>
        <w:t xml:space="preserve"> "…comparing telerehabilitation with usual care and/or center-based rehabilitation, which was established as the gold-standard in a 2021 Cochrane review.(1436)"</w:t>
      </w:r>
    </w:p>
    <w:p>
      <w:pPr>
        <w:pStyle w:val="ListBullet"/>
      </w:pPr>
      <w:r>
        <w:rPr>
          <w:b/>
        </w:rPr>
        <w:t>Problema:</w:t>
      </w:r>
    </w:p>
    <w:p>
      <w:pPr>
        <w:pStyle w:val="ListBullet2"/>
      </w:pPr>
      <w:r>
        <w:t>No queda claro qué se establece como "gold standard" (la rehabilitación presencial).</w:t>
      </w:r>
    </w:p>
    <w:p>
      <w:pPr>
        <w:pStyle w:val="ListBullet2"/>
      </w:pPr>
      <w:r>
        <w:t>No se informa de la magnitud ni de la certeza de la evidencia de Cox 2021.</w:t>
      </w:r>
    </w:p>
    <w:p>
      <w:pPr>
        <w:pStyle w:val="ListBullet2"/>
      </w:pPr>
      <w:r>
        <w:t>No se trasladan las salvedades del propio Apéndice 4 (PDF 174 / impr. 163): no hay plataforma estándar, faltan pruebas remotas para prescribir el ejercicio, no hay datos tras una exacerbación y la duración del beneficio es incierta.</w:t>
      </w:r>
    </w:p>
    <w:p>
      <w:pPr>
        <w:pStyle w:val="ListBullet2"/>
      </w:pPr>
      <w:r>
        <w:t>No se mencionan la selección de pacientes ni la seguridad (desaturación).</w:t>
      </w:r>
    </w:p>
    <w:p>
      <w:pPr>
        <w:pStyle w:val="ListBullet"/>
      </w:pPr>
      <w:r>
        <w:rPr>
          <w:b/>
        </w:rPr>
        <w:t>Evidencia/justificación:</w:t>
      </w:r>
    </w:p>
    <w:p>
      <w:pPr>
        <w:pStyle w:val="ListBullet2"/>
      </w:pPr>
      <w:r>
        <w:t>Cox NS et al. (CD013040): 15 estudios (n ≈ 1904, 99 % EPOC). Frente a la rehabilitación presencial, diferencia en la distancia caminada en 6 minutos de ~0 m (certeza moderada). Certeza baja para otros resultados. Mayor finalización con telerrehabilitación (93 % frente a 70 %).</w:t>
      </w:r>
    </w:p>
    <w:p>
      <w:pPr>
        <w:pStyle w:val="ListBullet2"/>
      </w:pPr>
      <w:r>
        <w:t>La guía ATS 2023 (ref. 736) se cita correctamente: recomendación fuerte, certeza moderada.</w:t>
      </w:r>
    </w:p>
    <w:p>
      <w:pPr>
        <w:pStyle w:val="ListBullet"/>
      </w:pPr>
      <w:r>
        <w:rPr>
          <w:b/>
        </w:rPr>
        <w:t>Recomendación:</w:t>
      </w:r>
    </w:p>
    <w:p>
      <w:pPr>
        <w:pStyle w:val="ListBullet2"/>
      </w:pPr>
      <w:r>
        <w:t>Reescribir así: "A 2021 Cochrane review found that telerehabilitation achieved outcomes similar to centre-based PR (the gold standard) for exercise capacity (moderate-certainty evidence)…".</w:t>
      </w:r>
    </w:p>
    <w:p>
      <w:pPr>
        <w:pStyle w:val="ListBullet2"/>
      </w:pPr>
      <w:r>
        <w:t>Añadir las limitaciones del Apéndice 4 y la necesidad de una evaluación presencial inicial y de criterios de seguridad.</w:t>
      </w:r>
    </w:p>
    <w:p>
      <w:pPr>
        <w:pStyle w:val="ListBullet"/>
      </w:pPr>
      <w:r>
        <w:rPr>
          <w:b/>
        </w:rPr>
        <w:t>Confianza:</w:t>
      </w:r>
      <w:r>
        <w:t xml:space="preserve"> 4/5</w:t>
      </w:r>
    </w:p>
    <w:p>
      <w:pPr>
        <w:pStyle w:val="Heading4"/>
      </w:pPr>
      <w:r>
        <w:t>IA-20 · Automanejo: falta la magnitud del efecto, y "no studies to date" es inexacto</w:t>
      </w:r>
    </w:p>
    <w:p>
      <w:r>
        <w:rPr>
          <w:i/>
        </w:rPr>
        <w:t xml:space="preserve">Severidad final: </w:t>
      </w:r>
      <w:r>
        <w:rPr>
          <w:i/>
          <w:color w:val="FFC000"/>
        </w:rPr>
        <w:t>🟡</w:t>
      </w:r>
      <w:r>
        <w:rPr>
          <w:i/>
        </w:rPr>
        <w:t xml:space="preserve"> MEDIA · Tema T20: Telesalud e inteligencia artificial</w:t>
      </w:r>
    </w:p>
    <w:p>
      <w:pPr>
        <w:pStyle w:val="ListBullet"/>
      </w:pPr>
      <w:r>
        <w:rPr>
          <w:b/>
        </w:rPr>
        <w:t>Tipo:</w:t>
      </w:r>
      <w:r>
        <w:t xml:space="preserve"> Evidencia mal representada</w:t>
      </w:r>
    </w:p>
    <w:p>
      <w:pPr>
        <w:pStyle w:val="ListBullet"/>
      </w:pPr>
      <w:r>
        <w:rPr>
          <w:b/>
        </w:rPr>
        <w:t>Severidad:</w:t>
      </w:r>
      <w:r>
        <w:t xml:space="preserve"> MEDIA</w:t>
      </w:r>
    </w:p>
    <w:p>
      <w:pPr>
        <w:pStyle w:val="ListBullet"/>
      </w:pPr>
      <w:r>
        <w:rPr>
          <w:b/>
        </w:rPr>
        <w:t>Ubicación:</w:t>
      </w:r>
      <w:r>
        <w:t xml:space="preserve"> Cap. 6, "Delivery of self-management", PDF 148 / impr. 137</w:t>
      </w:r>
    </w:p>
    <w:p>
      <w:pPr>
        <w:pStyle w:val="ListBullet"/>
      </w:pPr>
      <w:r>
        <w:rPr>
          <w:b/>
        </w:rPr>
        <w:t>Cita:</w:t>
      </w:r>
      <w:r>
        <w:t xml:space="preserve"> "A 2022 Cochrane review reported that a self-management intervention both improved quality of life and reduced hospital admissions.(1437) … No studies to date have been designed to demonstrate whether there is any additional benefit of telehealth-supported self-management…(1438)"</w:t>
      </w:r>
    </w:p>
    <w:p>
      <w:pPr>
        <w:pStyle w:val="ListBullet"/>
      </w:pPr>
      <w:r>
        <w:rPr>
          <w:b/>
        </w:rPr>
        <w:t>Problema:</w:t>
      </w:r>
    </w:p>
    <w:p>
      <w:pPr>
        <w:pStyle w:val="ListBullet2"/>
      </w:pPr>
      <w:r>
        <w:t>Schrijver J et al. (CD002990, 2022):</w:t>
      </w:r>
    </w:p>
    <w:p>
      <w:pPr>
        <w:pStyle w:val="ListBullet2"/>
      </w:pPr>
      <w:r>
        <w:t>SGRQ −2,86 puntos, por debajo de la diferencia mínima clínicamente importante de 4, con certeza baja.</w:t>
      </w:r>
    </w:p>
    <w:p>
      <w:pPr>
        <w:pStyle w:val="ListBullet2"/>
      </w:pPr>
      <w:r>
        <w:t>Reducción de ingresos respiratorios (OR ~0,75) con certeza muy baja.</w:t>
      </w:r>
    </w:p>
    <w:p>
      <w:pPr>
        <w:pStyle w:val="ListBullet2"/>
      </w:pPr>
      <w:r>
        <w:t>Sin efecto sobre la mortalidad.</w:t>
      </w:r>
    </w:p>
    <w:p>
      <w:pPr>
        <w:pStyle w:val="ListBullet2"/>
      </w:pPr>
      <w:r>
        <w:t>"Both improved" omite la magnitud y la certeza.</w:t>
      </w:r>
    </w:p>
    <w:p>
      <w:pPr>
        <w:pStyle w:val="ListBullet2"/>
      </w:pPr>
      <w:r>
        <w:t>"No studies to date" es inexacto. McCabe C et al. (Cochrane 2017, CD011425, PMID 28535331) incluyó 3 ECAs (n analizable = 557) que comparaban automanejo con tecnología "smart" frente a apoyo presencial o escrito. En un estudio se notificaron más eventos adversos en el grupo de intervención (43 frente a 8).</w:t>
      </w:r>
    </w:p>
    <w:p>
      <w:pPr>
        <w:pStyle w:val="ListBullet"/>
      </w:pPr>
      <w:r>
        <w:rPr>
          <w:b/>
        </w:rPr>
        <w:t>Evidencia/justificación:</w:t>
      </w:r>
      <w:r>
        <w:t xml:space="preserve"> Verificado en los resúmenes Cochrane. La ref. 1438 es una revisión narrativa.</w:t>
      </w:r>
    </w:p>
    <w:p>
      <w:pPr>
        <w:pStyle w:val="ListBullet"/>
      </w:pPr>
      <w:r>
        <w:rPr>
          <w:b/>
        </w:rPr>
        <w:t>Recomendación:</w:t>
      </w:r>
    </w:p>
    <w:p>
      <w:pPr>
        <w:pStyle w:val="ListBullet2"/>
      </w:pPr>
      <w:r>
        <w:t>Informar de la magnitud frente a la diferencia mínima clínicamente importante y de la certeza GRADE.</w:t>
      </w:r>
    </w:p>
    <w:p>
      <w:pPr>
        <w:pStyle w:val="ListBullet2"/>
      </w:pPr>
      <w:r>
        <w:t>Reformular como "few, small RCTs have compared technology-supported vs. conventional self-management, with inconclusive results", citando a McCabe 2017.</w:t>
      </w:r>
    </w:p>
    <w:p>
      <w:pPr>
        <w:pStyle w:val="ListBullet"/>
      </w:pPr>
      <w:r>
        <w:rPr>
          <w:b/>
        </w:rPr>
        <w:t>Confianza:</w:t>
      </w:r>
      <w:r>
        <w:t xml:space="preserve"> 4/5</w:t>
      </w:r>
    </w:p>
    <w:p>
      <w:pPr>
        <w:pStyle w:val="Heading4"/>
      </w:pPr>
      <w:r>
        <w:t>IA-21 · Las referencias del Cap. 6 no siguen la metodología declarada por GOLD</w:t>
      </w:r>
    </w:p>
    <w:p>
      <w:r>
        <w:rPr>
          <w:i/>
        </w:rPr>
        <w:t xml:space="preserve">Severidad final: </w:t>
      </w:r>
      <w:r>
        <w:rPr>
          <w:i/>
          <w:color w:val="FFC000"/>
        </w:rPr>
        <w:t>🟡</w:t>
      </w:r>
      <w:r>
        <w:rPr>
          <w:i/>
        </w:rPr>
        <w:t xml:space="preserve"> MEDIA · Tema T20: Telesalud e inteligencia artificial</w:t>
      </w:r>
    </w:p>
    <w:p>
      <w:pPr>
        <w:pStyle w:val="ListBullet"/>
      </w:pPr>
      <w:r>
        <w:rPr>
          <w:b/>
        </w:rPr>
        <w:t>Tipo:</w:t>
      </w:r>
      <w:r>
        <w:t xml:space="preserve"> Incongruencia interna</w:t>
      </w:r>
    </w:p>
    <w:p>
      <w:pPr>
        <w:pStyle w:val="ListBullet"/>
      </w:pPr>
      <w:r>
        <w:rPr>
          <w:b/>
        </w:rPr>
        <w:t>Severidad:</w:t>
      </w:r>
      <w:r>
        <w:t xml:space="preserve"> MEDIA</w:t>
      </w:r>
    </w:p>
    <w:p>
      <w:pPr>
        <w:pStyle w:val="ListBullet"/>
      </w:pPr>
      <w:r>
        <w:rPr>
          <w:b/>
        </w:rPr>
        <w:t>Ubicación:</w:t>
      </w:r>
      <w:r>
        <w:t xml:space="preserve"> Metodología, PDF 6-7 / impr. v-vi; referencias del Cap. 6 (PDF 231-233)</w:t>
      </w:r>
    </w:p>
    <w:p>
      <w:pPr>
        <w:pStyle w:val="ListBullet"/>
      </w:pPr>
      <w:r>
        <w:rPr>
          <w:b/>
        </w:rPr>
        <w:t>Cita:</w:t>
      </w:r>
      <w:r>
        <w:t xml:space="preserve"> "Only high-quality systematic reviews and meta-analyses that provide strong evidence for changing clinical practice are cited … key peer-reviewed research publications from January 2024 to July 2025."</w:t>
      </w:r>
    </w:p>
    <w:p>
      <w:pPr>
        <w:pStyle w:val="ListBullet"/>
      </w:pPr>
      <w:r>
        <w:rPr>
          <w:b/>
        </w:rPr>
        <w:t>Problema:</w:t>
      </w:r>
      <w:r>
        <w:t xml:space="preserve"> El Cap. 6 incluye:</w:t>
      </w:r>
    </w:p>
    <w:p>
      <w:pPr>
        <w:pStyle w:val="ListBullet2"/>
      </w:pPr>
      <w:r>
        <w:t>Un manuscrito "submitted" (ref. 1393; autoría del propio comité).</w:t>
      </w:r>
    </w:p>
    <w:p>
      <w:pPr>
        <w:pStyle w:val="ListBullet2"/>
      </w:pPr>
      <w:r>
        <w:t>Una referencia incompleta (ref. 1423, preprint).</w:t>
      </w:r>
    </w:p>
    <w:p>
      <w:pPr>
        <w:pStyle w:val="ListBullet2"/>
      </w:pPr>
      <w:r>
        <w:t>Revistas y estudios de baja calidad metodológica: Cureus (ref. 1399), PeerJ Comput Sci (ref. 1413), Biomed Phys Eng Express (ref. 1407), un estudio retrospectivo de un centro (ref. 1421).</w:t>
      </w:r>
    </w:p>
    <w:p>
      <w:pPr>
        <w:pStyle w:val="ListBullet2"/>
      </w:pPr>
      <w:r>
        <w:t>Artículos posteriores al corte de julio de 2025: refs. 1396 (PMID 40893032), 1421 (PMID 40823588) y 1133 (PMID 40803921).</w:t>
      </w:r>
    </w:p>
    <w:p>
      <w:pPr>
        <w:pStyle w:val="ListBullet2"/>
      </w:pPr>
      <w:r>
        <w:t>Varios artículos de opinión de miembros del comité (refs. 1393, 1430).</w:t>
      </w:r>
    </w:p>
    <w:p>
      <w:pPr>
        <w:pStyle w:val="ListBullet2"/>
      </w:pPr>
      <w:r>
        <w:t>Esto no encaja con la búsqueda declarada (ensayos clínicos o metaanálisis, o las 20 revistas principales) ni con la doble revisión.</w:t>
      </w:r>
    </w:p>
    <w:p>
      <w:pPr>
        <w:pStyle w:val="ListBullet"/>
      </w:pPr>
      <w:r>
        <w:rPr>
          <w:b/>
        </w:rPr>
        <w:t>Evidencia/justificación:</w:t>
      </w:r>
      <w:r>
        <w:t xml:space="preserve"> Comparación de la sección de metodología con la lista de referencias.</w:t>
      </w:r>
    </w:p>
    <w:p>
      <w:pPr>
        <w:pStyle w:val="ListBullet"/>
      </w:pPr>
      <w:r>
        <w:rPr>
          <w:b/>
        </w:rPr>
        <w:t>Recomendación:</w:t>
      </w:r>
    </w:p>
    <w:p>
      <w:pPr>
        <w:pStyle w:val="ListBullet2"/>
      </w:pPr>
      <w:r>
        <w:t>Declarar que el Cap. 6 es una perspectiva o narrativa con una metodología distinta, o bien depurar las referencias.</w:t>
      </w:r>
    </w:p>
    <w:p>
      <w:pPr>
        <w:pStyle w:val="ListBullet2"/>
      </w:pPr>
      <w:r>
        <w:t>Sustituir la ref. 1393 por la versión publicada, si existe.</w:t>
      </w:r>
    </w:p>
    <w:p>
      <w:pPr>
        <w:pStyle w:val="ListBullet2"/>
      </w:pPr>
      <w:r>
        <w:t>Declarar los conflictos de interés en los artículos de autoría propia.</w:t>
      </w:r>
    </w:p>
    <w:p>
      <w:pPr>
        <w:pStyle w:val="ListBullet"/>
      </w:pPr>
      <w:r>
        <w:rPr>
          <w:b/>
        </w:rPr>
        <w:t>Confianza:</w:t>
      </w:r>
      <w:r>
        <w:t xml:space="preserve"> 4/5</w:t>
      </w:r>
    </w:p>
    <w:p>
      <w:pPr>
        <w:pStyle w:val="Heading4"/>
      </w:pPr>
      <w:r>
        <w:t>IA-22 · Sesgos y equidad tratados solo de forma genérica en la Figura 6.2, sin aplicarlos a las herramientas descritas</w:t>
      </w:r>
    </w:p>
    <w:p>
      <w:r>
        <w:rPr>
          <w:i/>
        </w:rPr>
        <w:t xml:space="preserve">Severidad final: </w:t>
      </w:r>
      <w:r>
        <w:rPr>
          <w:i/>
          <w:color w:val="FFC000"/>
        </w:rPr>
        <w:t>🟡</w:t>
      </w:r>
      <w:r>
        <w:rPr>
          <w:i/>
        </w:rPr>
        <w:t xml:space="preserve"> MEDIA · Tema T20: Telesalud e inteligencia artificial</w:t>
      </w:r>
    </w:p>
    <w:p>
      <w:pPr>
        <w:pStyle w:val="ListBullet"/>
      </w:pPr>
      <w:r>
        <w:rPr>
          <w:b/>
        </w:rPr>
        <w:t>Tipo:</w:t>
      </w:r>
      <w:r>
        <w:t xml:space="preserve"> Sesgo/Equidad</w:t>
      </w:r>
    </w:p>
    <w:p>
      <w:pPr>
        <w:pStyle w:val="ListBullet"/>
      </w:pPr>
      <w:r>
        <w:rPr>
          <w:b/>
        </w:rPr>
        <w:t>Severidad:</w:t>
      </w:r>
      <w:r>
        <w:t xml:space="preserve"> MEDIA</w:t>
      </w:r>
    </w:p>
    <w:p>
      <w:pPr>
        <w:pStyle w:val="ListBullet"/>
      </w:pPr>
      <w:r>
        <w:rPr>
          <w:b/>
        </w:rPr>
        <w:t>Ubicación:</w:t>
      </w:r>
      <w:r>
        <w:t xml:space="preserve"> Figura 6.2 (PDF 144 / impr. 133); texto de PDF 143-148</w:t>
      </w:r>
    </w:p>
    <w:p>
      <w:pPr>
        <w:pStyle w:val="ListBullet"/>
      </w:pPr>
      <w:r>
        <w:rPr>
          <w:b/>
        </w:rPr>
        <w:t>Cita:</w:t>
      </w:r>
      <w:r>
        <w:t xml:space="preserve"> Figura 6.2: "Poor data quality, biased training data, privacy breaches" / "Unclear accountability, informed consent issues, inequity"</w:t>
      </w:r>
    </w:p>
    <w:p>
      <w:pPr>
        <w:pStyle w:val="ListBullet"/>
      </w:pPr>
      <w:r>
        <w:rPr>
          <w:b/>
        </w:rPr>
        <w:t>Problema:</w:t>
      </w:r>
      <w:r>
        <w:t xml:space="preserve"> La figura enumera bien los riesgos, pero el texto no los aplica:</w:t>
      </w:r>
    </w:p>
    <w:p>
      <w:pPr>
        <w:pStyle w:val="ListBullet2"/>
      </w:pPr>
      <w:r>
        <w:t>El sesgo por pigmentación de la fotopletismografía y la pulsioximetría.</w:t>
      </w:r>
    </w:p>
    <w:p>
      <w:pPr>
        <w:pStyle w:val="ListBullet2"/>
      </w:pPr>
      <w:r>
        <w:t>La voz y la tos en distintos idiomas y acentos.</w:t>
      </w:r>
    </w:p>
    <w:p>
      <w:pPr>
        <w:pStyle w:val="ListBullet2"/>
      </w:pPr>
      <w:r>
        <w:t>Los datos de entrenamiento de países de renta alta, frente al enfoque global de GOLD y los países de renta baja y media.</w:t>
      </w:r>
    </w:p>
    <w:p>
      <w:pPr>
        <w:pStyle w:val="ListBullet2"/>
      </w:pPr>
      <w:r>
        <w:t>Los algoritmos entrenados con ecuaciones espirométricas ajustadas por raza.</w:t>
      </w:r>
    </w:p>
    <w:p>
      <w:pPr>
        <w:pStyle w:val="ListBullet2"/>
      </w:pPr>
      <w:r>
        <w:t>La brecha digital: edad, alfabetización digital, déficits sensoriales y cognitivos, conectividad, coste.</w:t>
      </w:r>
    </w:p>
    <w:p>
      <w:pPr>
        <w:pStyle w:val="ListBullet"/>
      </w:pPr>
      <w:r>
        <w:rPr>
          <w:b/>
        </w:rPr>
        <w:t>Evidencia/justificación:</w:t>
      </w:r>
    </w:p>
    <w:p>
      <w:pPr>
        <w:pStyle w:val="ListBullet2"/>
      </w:pPr>
      <w:r>
        <w:t>Sjoding MW et al., NEJM 2020;383:2477-2478.</w:t>
      </w:r>
    </w:p>
    <w:p>
      <w:pPr>
        <w:pStyle w:val="ListBullet2"/>
      </w:pPr>
      <w:r>
        <w:t>Obermeyer Z et al., Science 2019;366:447-453 (sesgo algorítmico usando el gasto como indicador indirecto de necesidad).</w:t>
      </w:r>
    </w:p>
    <w:p>
      <w:pPr>
        <w:pStyle w:val="ListBullet2"/>
      </w:pPr>
      <w:r>
        <w:t>Declaración ATS sobre raza en la interpretación de la función pulmonar (Bhakta NR et al., AJRCCM 2023).</w:t>
      </w:r>
    </w:p>
    <w:p>
      <w:pPr>
        <w:pStyle w:val="ListBullet2"/>
      </w:pPr>
      <w:r>
        <w:t>La Ley de IA de la UE exige gestionar el sesgo en los sistemas de alto riesgo.</w:t>
      </w:r>
    </w:p>
    <w:p>
      <w:pPr>
        <w:pStyle w:val="ListBullet"/>
      </w:pPr>
      <w:r>
        <w:rPr>
          <w:b/>
        </w:rPr>
        <w:t>Recomendación:</w:t>
      </w:r>
    </w:p>
    <w:p>
      <w:pPr>
        <w:pStyle w:val="ListBullet2"/>
      </w:pPr>
      <w:r>
        <w:t>Añadir un subapartado sobre "Equity, bias and digital inclusion".</w:t>
      </w:r>
    </w:p>
    <w:p>
      <w:pPr>
        <w:pStyle w:val="ListBullet2"/>
      </w:pPr>
      <w:r>
        <w:t>Exigir que los estudios informen del rendimiento por subgrupos (sexo, etnia, edad, nivel socioeconómico, entorno de renta baja o media), como piden TRIPOD+AI y STARD-AI.</w:t>
      </w:r>
    </w:p>
    <w:p>
      <w:pPr>
        <w:pStyle w:val="ListBullet"/>
      </w:pPr>
      <w:r>
        <w:rPr>
          <w:b/>
        </w:rPr>
        <w:t>Confianza:</w:t>
      </w:r>
      <w:r>
        <w:t xml:space="preserve"> 4/5</w:t>
      </w:r>
    </w:p>
    <w:p>
      <w:pPr>
        <w:pStyle w:val="Heading4"/>
      </w:pPr>
      <w:r>
        <w:t>IA-23 · Criterios de triaje para la teleconsulta sin requisitos digitales, de privacidad ni de seguridad</w:t>
      </w:r>
    </w:p>
    <w:p>
      <w:r>
        <w:rPr>
          <w:i/>
        </w:rPr>
        <w:t xml:space="preserve">Severidad final: </w:t>
      </w:r>
      <w:r>
        <w:rPr>
          <w:i/>
          <w:color w:val="FFC000"/>
        </w:rPr>
        <w:t>🟡</w:t>
      </w:r>
      <w:r>
        <w:rPr>
          <w:i/>
        </w:rPr>
        <w:t xml:space="preserve"> MEDIA · Tema T20: Telesalud e inteligencia artificial</w:t>
      </w:r>
    </w:p>
    <w:p>
      <w:pPr>
        <w:pStyle w:val="ListBullet"/>
      </w:pPr>
      <w:r>
        <w:rPr>
          <w:b/>
        </w:rPr>
        <w:t>Tipo:</w:t>
      </w:r>
      <w:r>
        <w:t xml:space="preserve"> Omisión</w:t>
      </w:r>
    </w:p>
    <w:p>
      <w:pPr>
        <w:pStyle w:val="ListBullet"/>
      </w:pPr>
      <w:r>
        <w:rPr>
          <w:b/>
        </w:rPr>
        <w:t>Severidad:</w:t>
      </w:r>
      <w:r>
        <w:t xml:space="preserve"> MEDIA</w:t>
      </w:r>
    </w:p>
    <w:p>
      <w:pPr>
        <w:pStyle w:val="ListBullet"/>
      </w:pPr>
      <w:r>
        <w:rPr>
          <w:b/>
        </w:rPr>
        <w:t>Ubicación:</w:t>
      </w:r>
      <w:r>
        <w:t xml:space="preserve"> Cap. 6, "Triage and prioritizing process", PDF 146-147 / impr. 135-136</w:t>
      </w:r>
    </w:p>
    <w:p>
      <w:pPr>
        <w:pStyle w:val="ListBullet"/>
      </w:pPr>
      <w:r>
        <w:rPr>
          <w:b/>
        </w:rPr>
        <w:t>Cita:</w:t>
      </w:r>
      <w:r>
        <w:t xml:space="preserve"> "Remote follow-up could be considered in the following situations: Patient or caregiver can understand the process and provide information clearly; …"</w:t>
      </w:r>
    </w:p>
    <w:p>
      <w:pPr>
        <w:pStyle w:val="ListBullet"/>
      </w:pPr>
      <w:r>
        <w:rPr>
          <w:b/>
        </w:rPr>
        <w:t>Problema:</w:t>
      </w:r>
      <w:r>
        <w:t xml:space="preserve"> Los criterios no incluyen:</w:t>
      </w:r>
    </w:p>
    <w:p>
      <w:pPr>
        <w:pStyle w:val="ListBullet2"/>
      </w:pPr>
      <w:r>
        <w:t>Acceso a dispositivo y conexión, alfabetización digital, déficit auditivo o cognitivo, necesidad de intérprete.</w:t>
      </w:r>
    </w:p>
    <w:p>
      <w:pPr>
        <w:pStyle w:val="ListBullet2"/>
      </w:pPr>
      <w:r>
        <w:t>Un entorno privado del paciente.</w:t>
      </w:r>
    </w:p>
    <w:p>
      <w:pPr>
        <w:pStyle w:val="ListBullet2"/>
      </w:pPr>
      <w:r>
        <w:t>Una plataforma segura.</w:t>
      </w:r>
    </w:p>
    <w:p>
      <w:pPr>
        <w:pStyle w:val="ListBullet2"/>
      </w:pPr>
      <w:r>
        <w:t>La licencia del profesional si el paciente está en otra jurisdicción.</w:t>
      </w:r>
    </w:p>
    <w:p>
      <w:pPr>
        <w:pStyle w:val="ListBullet2"/>
      </w:pPr>
      <w:r>
        <w:t>Un plan de escalado ante empeoramiento durante la llamada.</w:t>
      </w:r>
    </w:p>
    <w:p>
      <w:pPr>
        <w:pStyle w:val="ListBullet"/>
      </w:pPr>
      <w:r>
        <w:rPr>
          <w:b/>
        </w:rPr>
        <w:t>Evidencia/justificación:</w:t>
      </w:r>
      <w:r>
        <w:t xml:space="preserve"> Son elementos estándar de las guías de telemedicina. La lista de verificación del Apéndice 2 sí incluye el consentimiento y la verificación de identidad, lo que es un punto fuerte.</w:t>
      </w:r>
    </w:p>
    <w:p>
      <w:pPr>
        <w:pStyle w:val="ListBullet"/>
      </w:pPr>
      <w:r>
        <w:rPr>
          <w:b/>
        </w:rPr>
        <w:t>Recomendación:</w:t>
      </w:r>
      <w:r>
        <w:t xml:space="preserve"> Añadir estos criterios y una frase sobre la equidad de acceso: ofrecer siempre la alternativa presencial.</w:t>
      </w:r>
    </w:p>
    <w:p>
      <w:pPr>
        <w:pStyle w:val="ListBullet"/>
      </w:pPr>
      <w:r>
        <w:rPr>
          <w:b/>
        </w:rPr>
        <w:t>Confianza:</w:t>
      </w:r>
      <w:r>
        <w:t xml:space="preserve"> 4/5</w:t>
      </w:r>
    </w:p>
    <w:p>
      <w:pPr>
        <w:pStyle w:val="Heading4"/>
      </w:pPr>
      <w:r>
        <w:t>EPI-04 · Metodología: lo declarado no se corresponde con lo citado ni con el proceso real</w:t>
      </w:r>
    </w:p>
    <w:p>
      <w:r>
        <w:rPr>
          <w:i/>
        </w:rPr>
        <w:t xml:space="preserve">Severidad final: </w:t>
      </w:r>
      <w:r>
        <w:rPr>
          <w:i/>
          <w:color w:val="FFC000"/>
        </w:rPr>
        <w:t>🟡</w:t>
      </w:r>
      <w:r>
        <w:rPr>
          <w:i/>
        </w:rPr>
        <w:t xml:space="preserve"> MEDIA · Tema T21: Metodología y niveles de evidencia</w:t>
      </w:r>
    </w:p>
    <w:p>
      <w:pPr>
        <w:pStyle w:val="ListBullet"/>
      </w:pPr>
      <w:r>
        <w:rPr>
          <w:b/>
        </w:rPr>
        <w:t>Tipo:</w:t>
      </w:r>
      <w:r>
        <w:t xml:space="preserve"> Incongruencia interna / Omisión</w:t>
      </w:r>
    </w:p>
    <w:p>
      <w:pPr>
        <w:pStyle w:val="ListBullet"/>
      </w:pPr>
      <w:r>
        <w:rPr>
          <w:b/>
        </w:rPr>
        <w:t>Severidad:</w:t>
      </w:r>
      <w:r>
        <w:t xml:space="preserve"> MEDIA</w:t>
      </w:r>
    </w:p>
    <w:p>
      <w:pPr>
        <w:pStyle w:val="ListBullet"/>
      </w:pPr>
      <w:r>
        <w:rPr>
          <w:b/>
        </w:rPr>
        <w:t>Ubicación:</w:t>
      </w:r>
      <w:r>
        <w:t xml:space="preserve"> PDF 6-7 / impr. v-vi — Methodology y New references</w:t>
      </w:r>
    </w:p>
    <w:p>
      <w:pPr>
        <w:pStyle w:val="ListBullet"/>
      </w:pPr>
      <w:r>
        <w:rPr>
          <w:b/>
        </w:rPr>
        <w:t>Cita:</w:t>
      </w:r>
      <w:r>
        <w:t xml:space="preserve"> «Only high-quality systematic reviews and meta-analyses that provide strong evidence for changing clinical practice are cited in the GOLD report…»; «key peer-reviewed research publications from January 2024 to July 2025. In total, 338 new references»</w:t>
      </w:r>
    </w:p>
    <w:p>
      <w:pPr>
        <w:pStyle w:val="ListBullet"/>
      </w:pPr>
      <w:r>
        <w:rPr>
          <w:b/>
        </w:rPr>
        <w:t>Problema:</w:t>
      </w:r>
    </w:p>
    <w:p>
      <w:pPr>
        <w:pStyle w:val="ListNumber"/>
        <w:numPr>
          <w:ilvl w:val="0"/>
          <w:numId w:val="43"/>
        </w:numPr>
      </w:pPr>
      <w:r>
        <w:rPr>
          <w:b/>
        </w:rPr>
        <w:t>El cap. 1 cita sistemáticamente fuentes que no son revisiones ni metaanálisis de alta calidad:</w:t>
      </w:r>
      <w:r>
        <w:t xml:space="preserve"> comunicación personal (ref 295), un blog (ref 90), webs (refs 43 y 91), revisiones narrativas y opiniones.</w:t>
      </w:r>
    </w:p>
    <w:p>
      <w:pPr>
        <w:pStyle w:val="ListNumber"/>
        <w:numPr>
          <w:ilvl w:val="0"/>
          <w:numId w:val="43"/>
        </w:numPr>
      </w:pPr>
      <w:r>
        <w:rPr>
          <w:b/>
        </w:rPr>
        <w:t>La estrategia de búsqueda no capta la evidencia epidemiológica observacional</w:t>
      </w:r>
      <w:r>
        <w:t xml:space="preserve"> en la que se basa el cap. 1. Se limita a «Clinical Trials or Meta-analysis» o a las «top 20 … journals (available on request)», lista no publicada.</w:t>
      </w:r>
    </w:p>
    <w:p>
      <w:pPr>
        <w:pStyle w:val="ListNumber"/>
        <w:numPr>
          <w:ilvl w:val="0"/>
          <w:numId w:val="43"/>
        </w:numPr>
      </w:pPr>
      <w:r>
        <w:rPr>
          <w:b/>
        </w:rPr>
        <w:t>El historial de revisiones omite las actualizaciones 2024 y 2025</w:t>
      </w:r>
      <w:r>
        <w:t xml:space="preserve"> del informe de 2023.</w:t>
      </w:r>
    </w:p>
    <w:p>
      <w:pPr>
        <w:pStyle w:val="ListNumber"/>
        <w:numPr>
          <w:ilvl w:val="0"/>
          <w:numId w:val="43"/>
        </w:numPr>
      </w:pPr>
      <w:r>
        <w:rPr>
          <w:b/>
        </w:rPr>
        <w:t>La ventana declarada (enero 2024-julio 2025) no se respeta:</w:t>
      </w:r>
      <w:r>
        <w:t xml:space="preserve"> la ref 74 (GBD 2023 Causes of Death, </w:t>
      </w:r>
      <w:r>
        <w:rPr>
          <w:i/>
        </w:rPr>
        <w:t>Lancet</w:t>
      </w:r>
      <w:r>
        <w:t xml:space="preserve"> 2025;406:1811-72) se publicó en octubre de 2025.</w:t>
      </w:r>
    </w:p>
    <w:p>
      <w:pPr>
        <w:pStyle w:val="ListNumber"/>
        <w:numPr>
          <w:ilvl w:val="0"/>
          <w:numId w:val="43"/>
        </w:numPr>
      </w:pPr>
      <w:r>
        <w:rPr>
          <w:b/>
        </w:rPr>
        <w:t>La cifra de «338» referencias nuevas no es verificable:</w:t>
      </w:r>
      <w:r>
        <w:t xml:space="preserve"> al parsear la lista hallé unas 190 referencias con año 2024-2025.</w:t>
      </w:r>
    </w:p>
    <w:p>
      <w:pPr>
        <w:pStyle w:val="ListNumber"/>
        <w:numPr>
          <w:ilvl w:val="0"/>
          <w:numId w:val="43"/>
        </w:numPr>
      </w:pPr>
      <w:r>
        <w:rPr>
          <w:b/>
        </w:rPr>
        <w:t>«double-blind review» no es un término aplicable</w:t>
      </w:r>
      <w:r>
        <w:t xml:space="preserve"> a la evaluación de resúmenes, en la que los evaluadores conocen la autoría.</w:t>
      </w:r>
    </w:p>
    <w:p>
      <w:pPr>
        <w:pStyle w:val="ListNumber"/>
        <w:numPr>
          <w:ilvl w:val="0"/>
          <w:numId w:val="43"/>
        </w:numPr>
      </w:pPr>
      <w:r>
        <w:rPr>
          <w:b/>
        </w:rPr>
        <w:t>No se describen</w:t>
      </w:r>
      <w:r>
        <w:t xml:space="preserve"> la gestión de conflictos de interés, la evaluación del riesgo de sesgo, la formulación PICO ni ningún estándar (GRADE, AGREE II, RIGHT).</w:t>
      </w:r>
    </w:p>
    <w:p>
      <w:pPr>
        <w:pStyle w:val="ListBullet"/>
      </w:pPr>
      <w:r>
        <w:rPr>
          <w:b/>
        </w:rPr>
        <w:t>Evidencia/justificación:</w:t>
      </w:r>
      <w:r>
        <w:t xml:space="preserve"> La comprobación se hizo directamente sobre la lista de referencias (PDF 175-248). Estándares: AGREE II (Brouwers et al., </w:t>
      </w:r>
      <w:r>
        <w:rPr>
          <w:i/>
        </w:rPr>
        <w:t>CMAJ</w:t>
      </w:r>
      <w:r>
        <w:t xml:space="preserve"> 2010;182:E839-42); GRADE (Guyatt et al., </w:t>
      </w:r>
      <w:r>
        <w:rPr>
          <w:i/>
        </w:rPr>
        <w:t>BMJ</w:t>
      </w:r>
      <w:r>
        <w:t xml:space="preserve"> 2008;336:924-6).</w:t>
      </w:r>
    </w:p>
    <w:p>
      <w:pPr>
        <w:pStyle w:val="ListBullet"/>
      </w:pPr>
      <w:r>
        <w:rPr>
          <w:b/>
        </w:rPr>
        <w:t>Recomendación:</w:t>
      </w:r>
    </w:p>
    <w:p>
      <w:pPr>
        <w:pStyle w:val="ListBullet2"/>
      </w:pPr>
      <w:r>
        <w:t>Reescribir la metodología describiendo procesos diferenciados para la evidencia terapéutica y la epidemiológica.</w:t>
      </w:r>
    </w:p>
    <w:p>
      <w:pPr>
        <w:pStyle w:val="ListBullet2"/>
      </w:pPr>
      <w:r>
        <w:t>Publicar la lista de revistas y la estrategia de búsqueda.</w:t>
      </w:r>
    </w:p>
    <w:p>
      <w:pPr>
        <w:pStyle w:val="ListBullet2"/>
      </w:pPr>
      <w:r>
        <w:t>Actualizar el historial de versiones.</w:t>
      </w:r>
    </w:p>
    <w:p>
      <w:pPr>
        <w:pStyle w:val="ListBullet2"/>
      </w:pPr>
      <w:r>
        <w:t>Fijar y respetar la fecha de corte, o declarar las excepciones.</w:t>
      </w:r>
    </w:p>
    <w:p>
      <w:pPr>
        <w:pStyle w:val="ListBullet2"/>
      </w:pPr>
      <w:r>
        <w:t>Sustituir «double-blind» por «revisión independiente por dos miembros».</w:t>
      </w:r>
    </w:p>
    <w:p>
      <w:pPr>
        <w:pStyle w:val="ListBullet2"/>
      </w:pPr>
      <w:r>
        <w:t>Declarar la política de conflictos de interés y adoptar AGREE II/RIGHT como lista de comprobación.</w:t>
      </w:r>
    </w:p>
    <w:p>
      <w:pPr>
        <w:pStyle w:val="ListBullet"/>
      </w:pPr>
      <w:r>
        <w:rPr>
          <w:b/>
        </w:rPr>
        <w:t>Confianza:</w:t>
      </w:r>
      <w:r>
        <w:t xml:space="preserve"> 4/5</w:t>
      </w:r>
    </w:p>
    <w:p>
      <w:pPr>
        <w:pStyle w:val="Heading4"/>
      </w:pPr>
      <w:r>
        <w:t>EPI-05 · Table A (niveles de evidencia): definiciones internamente incoherentes y aplicación heterogénea</w:t>
      </w:r>
    </w:p>
    <w:p>
      <w:r>
        <w:rPr>
          <w:i/>
        </w:rPr>
        <w:t xml:space="preserve">Severidad final: </w:t>
      </w:r>
      <w:r>
        <w:rPr>
          <w:i/>
          <w:color w:val="FFC000"/>
        </w:rPr>
        <w:t>🟡</w:t>
      </w:r>
      <w:r>
        <w:rPr>
          <w:i/>
        </w:rPr>
        <w:t xml:space="preserve"> MEDIA · Tema T21: Metodología y niveles de evidencia</w:t>
      </w:r>
    </w:p>
    <w:p>
      <w:pPr>
        <w:pStyle w:val="IntenseQuote"/>
      </w:pPr>
      <w:r>
        <w:rPr>
          <w:b/>
        </w:rPr>
        <w:t>Verificación independiente (CONFIRMADO PARCIAL):</w:t>
      </w:r>
      <w:r>
        <w:t xml:space="preserve"> El mismo matiz sobre los metaanálisis.</w:t>
      </w:r>
    </w:p>
    <w:p>
      <w:pPr>
        <w:pStyle w:val="ListBullet"/>
      </w:pPr>
      <w:r>
        <w:rPr>
          <w:b/>
        </w:rPr>
        <w:t>Tipo:</w:t>
      </w:r>
      <w:r>
        <w:t xml:space="preserve"> Incongruencia interna / Ambigüedad</w:t>
      </w:r>
    </w:p>
    <w:p>
      <w:pPr>
        <w:pStyle w:val="ListBullet"/>
      </w:pPr>
      <w:r>
        <w:rPr>
          <w:b/>
        </w:rPr>
        <w:t>Severidad:</w:t>
      </w:r>
      <w:r>
        <w:t xml:space="preserve"> MEDIA</w:t>
      </w:r>
    </w:p>
    <w:p>
      <w:pPr>
        <w:pStyle w:val="ListBullet"/>
      </w:pPr>
      <w:r>
        <w:rPr>
          <w:b/>
        </w:rPr>
        <w:t>Ubicación:</w:t>
      </w:r>
      <w:r>
        <w:t xml:space="preserve"> PDF 14 / impr. 3 — Table A; PDF 13 / impr. 2 — Levels of evidence; ejemplo de aplicación en PDF 160 / impr. 149 (Figure A3.3)</w:t>
      </w:r>
    </w:p>
    <w:p>
      <w:pPr>
        <w:pStyle w:val="ListBullet"/>
      </w:pPr>
      <w:r>
        <w:rPr>
          <w:b/>
        </w:rPr>
        <w:t>Cita:</w:t>
      </w:r>
      <w:r>
        <w:t xml:space="preserve"> Nivel B: «Evidence is from RCTs that include only a limited number of patients, </w:t>
      </w:r>
      <w:r>
        <w:rPr>
          <w:i/>
        </w:rPr>
        <w:t>post hoc</w:t>
      </w:r>
      <w:r>
        <w:t xml:space="preserve"> or subgroup analyses of RCTs or meta-analyses of RCTs.»; Nivel A: «…a single high quality RCT involving substantial numbers of patient without any bias.»</w:t>
      </w:r>
    </w:p>
    <w:p>
      <w:pPr>
        <w:pStyle w:val="ListBullet"/>
      </w:pPr>
      <w:r>
        <w:rPr>
          <w:b/>
        </w:rPr>
        <w:t>Problema:</w:t>
      </w:r>
    </w:p>
    <w:p>
      <w:pPr>
        <w:pStyle w:val="ListNumber"/>
        <w:numPr>
          <w:ilvl w:val="0"/>
          <w:numId w:val="44"/>
        </w:numPr>
      </w:pPr>
      <w:r>
        <w:rPr>
          <w:b/>
        </w:rPr>
        <w:t>Los metaanálisis de ECA quedan en B</w:t>
      </w:r>
      <w:r>
        <w:t>, junto a los análisis post hoc y de subgrupos, sin distinguir calidad ni consistencia. Esto choca con la Metodología, que dice citar preferentemente revisiones sistemáticas y metaanálisis de alta calidad, y con cualquier jerarquía moderna.</w:t>
      </w:r>
    </w:p>
    <w:p>
      <w:pPr>
        <w:pStyle w:val="ListNumber"/>
        <w:numPr>
          <w:ilvl w:val="0"/>
          <w:numId w:val="44"/>
        </w:numPr>
      </w:pPr>
      <w:r>
        <w:rPr>
          <w:b/>
        </w:rPr>
        <w:t>«Without any bias» es un criterio inalcanzable</w:t>
      </w:r>
      <w:r>
        <w:t>, y el nivel A mezcla «without any important limitations» con «without any significant limitation or bias».</w:t>
      </w:r>
    </w:p>
    <w:p>
      <w:pPr>
        <w:pStyle w:val="ListNumber"/>
        <w:numPr>
          <w:ilvl w:val="0"/>
          <w:numId w:val="44"/>
        </w:numPr>
      </w:pPr>
      <w:r>
        <w:rPr>
          <w:b/>
        </w:rPr>
        <w:t>El nivel C agrupa</w:t>
      </w:r>
      <w:r>
        <w:t xml:space="preserve"> ensayos no controlados y cualquier estudio observacional, sin posibilidad de ascender (gran efecto, gradiente dosis-respuesta) ni de descender.</w:t>
      </w:r>
    </w:p>
    <w:p>
      <w:pPr>
        <w:pStyle w:val="ListNumber"/>
        <w:numPr>
          <w:ilvl w:val="0"/>
          <w:numId w:val="44"/>
        </w:numPr>
      </w:pPr>
      <w:r>
        <w:rPr>
          <w:b/>
        </w:rPr>
        <w:t>No se separa la certeza de la evidencia de la fuerza de la recomendación.</w:t>
      </w:r>
      <w:r>
        <w:t xml:space="preserve"> PDF 13 dice que se asignan a «recommendations», pero se aplican a enunciados descriptivos, de daño o de ausencia de efecto. Ejemplos en la Figure A3.3: «no evidence of benefits </w:t>
      </w:r>
      <w:r>
        <w:rPr>
          <w:b/>
        </w:rPr>
        <w:t>(Evidence C)</w:t>
      </w:r>
      <w:r>
        <w:t>» (graduar la ausencia de evidencia es incoherente con la definición de C) y «Antioxidant mucolytics are recommended only in selected patients (Evidence A)».</w:t>
      </w:r>
    </w:p>
    <w:p>
      <w:pPr>
        <w:pStyle w:val="ListNumber"/>
        <w:numPr>
          <w:ilvl w:val="0"/>
          <w:numId w:val="44"/>
        </w:numPr>
      </w:pPr>
      <w:r>
        <w:rPr>
          <w:b/>
        </w:rPr>
        <w:t>Los cambios de práctica de 2026 que se basan en datos observacionales no llevan nivel de evidencia</w:t>
      </w:r>
      <w:r>
        <w:t xml:space="preserve"> (Highlight iv: umbral de una exacerbación moderada).</w:t>
      </w:r>
    </w:p>
    <w:p>
      <w:pPr>
        <w:pStyle w:val="ListBullet"/>
      </w:pPr>
      <w:r>
        <w:rPr>
          <w:b/>
        </w:rPr>
        <w:t>Evidencia/justificación:</w:t>
      </w:r>
      <w:r>
        <w:t xml:space="preserve"> Lectura directa de la Table A (PNG p014) y de la Figure A3.3 (PNG p160). En el texto narrativo solo encontré una etiqueta «(Evidence B)» (PDF 166); el resto está en figuras-imagen, lo que dificulta la trazabilidad. Esta última observación se basa en la extracción de texto, por lo que puede haber etiquetas dentro de imágenes del cap. 3 que no comprobé. Referencia: GRADE Working Group (Guyatt et al., </w:t>
      </w:r>
      <w:r>
        <w:rPr>
          <w:i/>
        </w:rPr>
        <w:t>BMJ</w:t>
      </w:r>
      <w:r>
        <w:t xml:space="preserve"> 2008;336:924-6).</w:t>
      </w:r>
    </w:p>
    <w:p>
      <w:pPr>
        <w:pStyle w:val="ListBullet"/>
      </w:pPr>
      <w:r>
        <w:rPr>
          <w:b/>
        </w:rPr>
        <w:t>Recomendación:</w:t>
      </w:r>
      <w:r>
        <w:t xml:space="preserve"> Migrar a GRADE, o como mínimo:</w:t>
      </w:r>
    </w:p>
    <w:p>
      <w:pPr>
        <w:pStyle w:val="ListBullet2"/>
      </w:pPr>
      <w:r>
        <w:t>situar los metaanálisis de ECA de alta calidad en A;</w:t>
      </w:r>
    </w:p>
    <w:p>
      <w:pPr>
        <w:pStyle w:val="ListBullet2"/>
      </w:pPr>
      <w:r>
        <w:t>eliminar «without any bias»;</w:t>
      </w:r>
    </w:p>
    <w:p>
      <w:pPr>
        <w:pStyle w:val="ListBullet2"/>
      </w:pPr>
      <w:r>
        <w:t>permitir ascender o descender la clasificación de los estudios observacionales;</w:t>
      </w:r>
    </w:p>
    <w:p>
      <w:pPr>
        <w:pStyle w:val="ListBullet2"/>
      </w:pPr>
      <w:r>
        <w:t>añadir la fuerza de la recomendación (fuerte/condicional);</w:t>
      </w:r>
    </w:p>
    <w:p>
      <w:pPr>
        <w:pStyle w:val="ListBullet2"/>
      </w:pPr>
      <w:r>
        <w:t>no asignar nivel a enunciados de ausencia de evidencia;</w:t>
      </w:r>
    </w:p>
    <w:p>
      <w:pPr>
        <w:pStyle w:val="ListBullet2"/>
      </w:pPr>
      <w:r>
        <w:t>etiquetar los nuevos umbrales (p. ej., Highlight iv = C/D).</w:t>
      </w:r>
    </w:p>
    <w:p>
      <w:pPr>
        <w:pStyle w:val="ListBullet"/>
      </w:pPr>
      <w:r>
        <w:rPr>
          <w:b/>
        </w:rPr>
        <w:t>Confianza:</w:t>
      </w:r>
      <w:r>
        <w:t xml:space="preserve"> 4/5</w:t>
      </w:r>
    </w:p>
    <w:p>
      <w:pPr>
        <w:pStyle w:val="Heading4"/>
      </w:pPr>
      <w:r>
        <w:t>MET-02 · Tabla A: jerarquía incoherente, sin evaluación del riesgo de sesgo y sin fuerza de recomendación</w:t>
      </w:r>
    </w:p>
    <w:p>
      <w:r>
        <w:rPr>
          <w:i/>
        </w:rPr>
        <w:t xml:space="preserve">Severidad final: </w:t>
      </w:r>
      <w:r>
        <w:rPr>
          <w:i/>
          <w:color w:val="FFC000"/>
        </w:rPr>
        <w:t>🟡</w:t>
      </w:r>
      <w:r>
        <w:rPr>
          <w:i/>
        </w:rPr>
        <w:t xml:space="preserve"> MEDIA · Tema T21: Metodología y niveles de evidencia</w:t>
      </w:r>
    </w:p>
    <w:p>
      <w:pPr>
        <w:pStyle w:val="IntenseQuote"/>
      </w:pPr>
      <w:r>
        <w:rPr>
          <w:b/>
        </w:rPr>
        <w:t>Verificación independiente (CONFIRMADO PARCIAL):</w:t>
      </w:r>
      <w:r>
        <w:t xml:space="preserve"> La «inversión» (metaanálisis = B) es una ambigüedad, no una regla explícita: el encabezado de B permite leer «metaanálisis de ECA limitados». La ausencia de fuerza de recomendación y de método formal de riesgo de sesgo se confirma.</w:t>
      </w:r>
    </w:p>
    <w:p>
      <w:pPr>
        <w:pStyle w:val="IntenseQuote"/>
      </w:pPr>
      <w:r>
        <w:rPr>
          <w:b/>
        </w:rPr>
        <w:t>Severidad ajustada en la consolidación:</w:t>
      </w:r>
      <w:r>
        <w:t xml:space="preserve"> ALTA → MEDIA</w:t>
      </w:r>
    </w:p>
    <w:p>
      <w:pPr>
        <w:pStyle w:val="ListBullet"/>
      </w:pPr>
      <w:r>
        <w:rPr>
          <w:b/>
        </w:rPr>
        <w:t>Tipo:</w:t>
      </w:r>
      <w:r>
        <w:t xml:space="preserve"> Evidencia mal representada</w:t>
      </w:r>
    </w:p>
    <w:p>
      <w:pPr>
        <w:pStyle w:val="ListBullet"/>
      </w:pPr>
      <w:r>
        <w:rPr>
          <w:b/>
        </w:rPr>
        <w:t>Severidad:</w:t>
      </w:r>
      <w:r>
        <w:t xml:space="preserve"> ALTA</w:t>
      </w:r>
    </w:p>
    <w:p>
      <w:pPr>
        <w:pStyle w:val="ListBullet"/>
      </w:pPr>
      <w:r>
        <w:rPr>
          <w:b/>
        </w:rPr>
        <w:t>Ubicación:</w:t>
      </w:r>
      <w:r>
        <w:t xml:space="preserve"> PDF 14 / impr. 3 (Tabla A); PDF 7 / impr. vi (política de citas)</w:t>
      </w:r>
    </w:p>
    <w:p>
      <w:pPr>
        <w:pStyle w:val="ListBullet"/>
      </w:pPr>
      <w:r>
        <w:rPr>
          <w:b/>
        </w:rPr>
        <w:t>Cita:</w:t>
      </w:r>
      <w:r>
        <w:t xml:space="preserve"> «Evidence is from RCTs that include only a limited number of patients, post hoc or subgroup analyses of RCTs or meta-analyses of RCTs»</w:t>
      </w:r>
    </w:p>
    <w:p>
      <w:pPr>
        <w:pStyle w:val="ListBullet"/>
      </w:pPr>
      <w:r>
        <w:rPr>
          <w:b/>
        </w:rPr>
        <w:t>Problema:</w:t>
      </w:r>
    </w:p>
    <w:p>
      <w:pPr>
        <w:pStyle w:val="ListNumber"/>
        <w:numPr>
          <w:ilvl w:val="0"/>
          <w:numId w:val="45"/>
        </w:numPr>
      </w:pPr>
      <w:r>
        <w:rPr>
          <w:b/>
        </w:rPr>
        <w:t>Jerarquía invertida.</w:t>
      </w:r>
    </w:p>
    <w:p>
      <w:pPr>
        <w:pStyle w:val="ListBullet2"/>
      </w:pPr>
      <w:r>
        <w:t>Los metaanálisis de ECA quedan en B, mientras que para A basta «a single high quality RCT involving substantial numbers of patient without any bias».</w:t>
      </w:r>
    </w:p>
    <w:p>
      <w:pPr>
        <w:pStyle w:val="ListBullet2"/>
      </w:pPr>
      <w:r>
        <w:t>Esto contradice la política del propio documento de citar solo revisiones sistemáticas y metaanálisis de alta calidad «that provide strong evidence for changing clinical practice» (PDF 7).</w:t>
      </w:r>
    </w:p>
    <w:p>
      <w:pPr>
        <w:pStyle w:val="ListNumber"/>
        <w:numPr>
          <w:ilvl w:val="0"/>
          <w:numId w:val="45"/>
        </w:numPr>
      </w:pPr>
      <w:r>
        <w:rPr>
          <w:b/>
        </w:rPr>
        <w:t>Sin dominios de certeza formales.</w:t>
      </w:r>
      <w:r>
        <w:t xml:space="preserve"> No hay evaluación formal del riesgo de sesgo, la inconsistencia, la evidencia indirecta, la imprecisión ni el sesgo de publicación; «without any bias» no es un criterio operativo.</w:t>
      </w:r>
    </w:p>
    <w:p>
      <w:pPr>
        <w:pStyle w:val="ListNumber"/>
        <w:numPr>
          <w:ilvl w:val="0"/>
          <w:numId w:val="45"/>
        </w:numPr>
      </w:pPr>
      <w:r>
        <w:rPr>
          <w:b/>
        </w:rPr>
        <w:t>Una misma escala para todo.</w:t>
      </w:r>
      <w:r>
        <w:t xml:space="preserve"> La escala se aplica a:</w:t>
      </w:r>
    </w:p>
    <w:p>
      <w:pPr>
        <w:pStyle w:val="ListBullet2"/>
      </w:pPr>
      <w:r>
        <w:t>afirmaciones pronósticas («Physical activity is a strong predictor of mortality (Evidence A)»);</w:t>
      </w:r>
    </w:p>
    <w:p>
      <w:pPr>
        <w:pStyle w:val="ListBullet2"/>
      </w:pPr>
      <w:r>
        <w:t>afirmaciones de eficacia;</w:t>
      </w:r>
    </w:p>
    <w:p>
      <w:pPr>
        <w:pStyle w:val="ListBullet2"/>
      </w:pPr>
      <w:r>
        <w:t>recomendaciones («Statin therapy is not recommended… (Evidence A)»).</w:t>
      </w:r>
    </w:p>
    <w:p>
      <w:r>
        <w:t>No separa la certeza de la evidencia de la fuerza de la recomendación, ni hay un marco de evidencia a decisión que pondere beneficios, daños, valores, costes y equidad.</w:t>
      </w:r>
    </w:p>
    <w:p>
      <w:pPr>
        <w:pStyle w:val="ListNumber"/>
        <w:numPr>
          <w:ilvl w:val="0"/>
          <w:numId w:val="45"/>
        </w:numPr>
      </w:pPr>
      <w:r>
        <w:rPr>
          <w:b/>
        </w:rPr>
        <w:t>Consenso sin método.</w:t>
      </w:r>
      <w:r>
        <w:t xml:space="preserve"> El nivel D («panel consensus judgment») no tiene método de consenso documentado (Delphi, votación con umbrales).</w:t>
      </w:r>
    </w:p>
    <w:p>
      <w:pPr>
        <w:pStyle w:val="ListNumber"/>
        <w:numPr>
          <w:ilvl w:val="0"/>
          <w:numId w:val="45"/>
        </w:numPr>
      </w:pPr>
      <w:r>
        <w:rPr>
          <w:b/>
        </w:rPr>
        <w:t>Ejemplo.</w:t>
      </w:r>
      <w:r>
        <w:t xml:space="preserve"> La recomendación negativa sobre estatinas obtiene A con un único ECA (STATCOPE, ref 1613, PDF 241 / impr. 230).</w:t>
      </w:r>
    </w:p>
    <w:p>
      <w:pPr>
        <w:pStyle w:val="ListBullet"/>
      </w:pPr>
      <w:r>
        <w:rPr>
          <w:b/>
        </w:rPr>
        <w:t>Evidencia/justificación:</w:t>
      </w:r>
    </w:p>
    <w:p>
      <w:pPr>
        <w:pStyle w:val="ListBullet2"/>
      </w:pPr>
      <w:r>
        <w:t>GRADE: certeza alta/moderada/baja/muy baja y recomendación fuerte o condicional.</w:t>
      </w:r>
    </w:p>
    <w:p>
      <w:pPr>
        <w:pStyle w:val="ListBullet2"/>
      </w:pPr>
      <w:r>
        <w:t>AGREE II, ítems 9 (fortalezas y limitaciones de la evidencia), 10 (métodos de formulación), 11 (beneficios y daños) y 12.</w:t>
      </w:r>
    </w:p>
    <w:p>
      <w:pPr>
        <w:pStyle w:val="ListBullet2"/>
      </w:pPr>
      <w:r>
        <w:t>IOM, estándar 5 (fundamentos de la evidencia y calificación de la fuerza de la recomendación).</w:t>
      </w:r>
    </w:p>
    <w:p>
      <w:pPr>
        <w:pStyle w:val="ListBullet2"/>
      </w:pPr>
      <w:r>
        <w:t>RIGHT, ítems 12 y 13c.</w:t>
      </w:r>
    </w:p>
    <w:p>
      <w:pPr>
        <w:pStyle w:val="ListBullet"/>
      </w:pPr>
      <w:r>
        <w:rPr>
          <w:b/>
        </w:rPr>
        <w:t>Recomendación:</w:t>
      </w:r>
    </w:p>
    <w:p>
      <w:pPr>
        <w:pStyle w:val="ListBullet2"/>
      </w:pPr>
      <w:r>
        <w:t>Adoptar GRADE, o al menos marcos de evidencia a decisión con perfiles de evidencia, para las preguntas PICO prioritarias: inicio del tratamiento, ICS, biológicos, ensifentrina, CRVP/válvulas, oxigenoterapia y VNI.</w:t>
      </w:r>
    </w:p>
    <w:p>
      <w:pPr>
        <w:pStyle w:val="ListBullet2"/>
      </w:pPr>
      <w:r>
        <w:t>Usar etiquetas distintas para la certeza y para la fuerza de la recomendación.</w:t>
      </w:r>
    </w:p>
    <w:p>
      <w:pPr>
        <w:pStyle w:val="ListBullet2"/>
      </w:pPr>
      <w:r>
        <w:t>Documentar el método de consenso.</w:t>
      </w:r>
    </w:p>
    <w:p>
      <w:pPr>
        <w:pStyle w:val="ListBullet"/>
      </w:pPr>
      <w:r>
        <w:rPr>
          <w:b/>
        </w:rPr>
        <w:t>Confianza:</w:t>
      </w:r>
      <w:r>
        <w:t xml:space="preserve"> 5</w:t>
      </w:r>
    </w:p>
    <w:p>
      <w:pPr>
        <w:pStyle w:val="Heading4"/>
      </w:pPr>
      <w:r>
        <w:t>MET-05 · Sin participación de pacientes, revisión externa, consulta pública ni metodólogo</w:t>
      </w:r>
    </w:p>
    <w:p>
      <w:r>
        <w:rPr>
          <w:i/>
        </w:rPr>
        <w:t xml:space="preserve">Severidad final: </w:t>
      </w:r>
      <w:r>
        <w:rPr>
          <w:i/>
          <w:color w:val="FFC000"/>
        </w:rPr>
        <w:t>🟡</w:t>
      </w:r>
      <w:r>
        <w:rPr>
          <w:i/>
        </w:rPr>
        <w:t xml:space="preserve"> MEDIA · Tema T21: Metodología y niveles de evidencia</w:t>
      </w:r>
    </w:p>
    <w:p>
      <w:pPr>
        <w:pStyle w:val="ListBullet"/>
      </w:pPr>
      <w:r>
        <w:rPr>
          <w:b/>
        </w:rPr>
        <w:t>Tipo:</w:t>
      </w:r>
      <w:r>
        <w:t xml:space="preserve"> Omisión</w:t>
      </w:r>
    </w:p>
    <w:p>
      <w:pPr>
        <w:pStyle w:val="ListBullet"/>
      </w:pPr>
      <w:r>
        <w:rPr>
          <w:b/>
        </w:rPr>
        <w:t>Severidad:</w:t>
      </w:r>
      <w:r>
        <w:t xml:space="preserve"> MEDIA</w:t>
      </w:r>
    </w:p>
    <w:p>
      <w:pPr>
        <w:pStyle w:val="ListBullet"/>
      </w:pPr>
      <w:r>
        <w:rPr>
          <w:b/>
        </w:rPr>
        <w:t>Ubicación:</w:t>
      </w:r>
      <w:r>
        <w:t xml:space="preserve"> PDF 6-7 / impr. v-vi</w:t>
      </w:r>
    </w:p>
    <w:p>
      <w:pPr>
        <w:pStyle w:val="ListBullet"/>
      </w:pPr>
      <w:r>
        <w:rPr>
          <w:b/>
        </w:rPr>
        <w:t>Cita:</w:t>
      </w:r>
      <w:r>
        <w:t xml:space="preserve"> «Its members are recognized leaders in COPD research and clinical practice with the scientific credentials to contribute to the task of the Committee and are invited to serve in a voluntary capacity.»</w:t>
      </w:r>
    </w:p>
    <w:p>
      <w:pPr>
        <w:pStyle w:val="ListBullet"/>
      </w:pPr>
      <w:r>
        <w:rPr>
          <w:b/>
        </w:rPr>
        <w:t>Problema:</w:t>
      </w:r>
    </w:p>
    <w:p>
      <w:pPr>
        <w:pStyle w:val="ListBullet2"/>
      </w:pPr>
      <w:r>
        <w:rPr>
          <w:b/>
        </w:rPr>
        <w:t>Composición.</w:t>
      </w:r>
      <w:r>
        <w:t xml:space="preserve"> El comité se forma por invitación y solo con clínicos-investigadores, sin criterios publicados de selección ni de rotación. No se describe la participación de:</w:t>
      </w:r>
    </w:p>
    <w:p>
      <w:pPr>
        <w:pStyle w:val="ListBullet2"/>
      </w:pPr>
      <w:r>
        <w:t>pacientes o cuidadores;</w:t>
      </w:r>
    </w:p>
    <w:p>
      <w:pPr>
        <w:pStyle w:val="ListBullet2"/>
      </w:pPr>
      <w:r>
        <w:t>atención primaria, enfermería, fisioterapia o farmacia;</w:t>
      </w:r>
    </w:p>
    <w:p>
      <w:pPr>
        <w:pStyle w:val="ListBullet2"/>
      </w:pPr>
      <w:r>
        <w:t>economía de la salud;</w:t>
      </w:r>
    </w:p>
    <w:p>
      <w:pPr>
        <w:pStyle w:val="ListBullet2"/>
      </w:pPr>
      <w:r>
        <w:t>metodólogos o documentalistas.</w:t>
      </w:r>
    </w:p>
    <w:p>
      <w:pPr>
        <w:pStyle w:val="ListBullet2"/>
      </w:pPr>
      <w:r>
        <w:rPr>
          <w:b/>
        </w:rPr>
        <w:t>Valores y preferencias.</w:t>
      </w:r>
      <w:r>
        <w:t xml:space="preserve"> No se recogen de forma sistemática.</w:t>
      </w:r>
    </w:p>
    <w:p>
      <w:pPr>
        <w:pStyle w:val="ListBullet2"/>
      </w:pPr>
      <w:r>
        <w:rPr>
          <w:b/>
        </w:rPr>
        <w:t>Revisión.</w:t>
      </w:r>
      <w:r>
        <w:t xml:space="preserve"> No hay revisión externa por pares ni periodo de consulta pública antes de publicar.</w:t>
      </w:r>
    </w:p>
    <w:p>
      <w:pPr>
        <w:pStyle w:val="ListBullet2"/>
      </w:pPr>
      <w:r>
        <w:rPr>
          <w:b/>
        </w:rPr>
        <w:t>Historial de versiones.</w:t>
      </w:r>
      <w:r>
        <w:t xml:space="preserve"> Está incompleto: tras la «5th major revision» de 2023 no se mencionan las actualizaciones de 2024 y 2025.</w:t>
      </w:r>
    </w:p>
    <w:p>
      <w:pPr>
        <w:pStyle w:val="ListBullet"/>
      </w:pPr>
      <w:r>
        <w:rPr>
          <w:b/>
        </w:rPr>
        <w:t>Evidencia/justificación:</w:t>
      </w:r>
    </w:p>
    <w:p>
      <w:pPr>
        <w:pStyle w:val="ListBullet2"/>
      </w:pPr>
      <w:r>
        <w:t>AGREE II, ítems 4 (grupo multidisciplinar), 5 (opiniones de la población diana) y 13 (revisión externa).</w:t>
      </w:r>
    </w:p>
    <w:p>
      <w:pPr>
        <w:pStyle w:val="ListBullet2"/>
      </w:pPr>
      <w:r>
        <w:t>IOM, estándares 3 (composición, incluidos pacientes) y 7 (revisión externa y comentario público).</w:t>
      </w:r>
    </w:p>
    <w:p>
      <w:pPr>
        <w:pStyle w:val="ListBullet2"/>
      </w:pPr>
      <w:r>
        <w:t>RIGHT, ítems 14a (valores y preferencias) y 16 (revisión externa).</w:t>
      </w:r>
    </w:p>
    <w:p>
      <w:pPr>
        <w:pStyle w:val="ListBullet"/>
      </w:pPr>
      <w:r>
        <w:rPr>
          <w:b/>
        </w:rPr>
        <w:t>Recomendación:</w:t>
      </w:r>
    </w:p>
    <w:p>
      <w:pPr>
        <w:pStyle w:val="ListBullet2"/>
      </w:pPr>
      <w:r>
        <w:t>Incorporar a representantes de pacientes, de atención primaria y un metodólogo GRADE.</w:t>
      </w:r>
    </w:p>
    <w:p>
      <w:pPr>
        <w:pStyle w:val="ListBullet2"/>
      </w:pPr>
      <w:r>
        <w:t>Someter el borrador a revisión externa y a consulta pública, documentando las respuestas.</w:t>
      </w:r>
    </w:p>
    <w:p>
      <w:pPr>
        <w:pStyle w:val="ListBullet"/>
      </w:pPr>
      <w:r>
        <w:rPr>
          <w:b/>
        </w:rPr>
        <w:t>Confianza:</w:t>
      </w:r>
      <w:r>
        <w:t xml:space="preserve"> 4</w:t>
      </w:r>
    </w:p>
    <w:p>
      <w:pPr>
        <w:pStyle w:val="Heading4"/>
      </w:pPr>
      <w:r>
        <w:t>MET-07 · Niveles inflados para afirmaciones observacionales o sin ECA en EPOC</w:t>
      </w:r>
    </w:p>
    <w:p>
      <w:r>
        <w:rPr>
          <w:i/>
        </w:rPr>
        <w:t xml:space="preserve">Severidad final: </w:t>
      </w:r>
      <w:r>
        <w:rPr>
          <w:i/>
          <w:color w:val="FFC000"/>
        </w:rPr>
        <w:t>🟡</w:t>
      </w:r>
      <w:r>
        <w:rPr>
          <w:i/>
        </w:rPr>
        <w:t xml:space="preserve"> MEDIA · Tema T21: Metodología y niveles de evidencia</w:t>
      </w:r>
    </w:p>
    <w:p>
      <w:pPr>
        <w:pStyle w:val="ListBullet"/>
      </w:pPr>
      <w:r>
        <w:rPr>
          <w:b/>
        </w:rPr>
        <w:t>Tipo:</w:t>
      </w:r>
      <w:r>
        <w:t xml:space="preserve"> Evidencia mal representada</w:t>
      </w:r>
    </w:p>
    <w:p>
      <w:pPr>
        <w:pStyle w:val="ListBullet"/>
      </w:pPr>
      <w:r>
        <w:rPr>
          <w:b/>
        </w:rPr>
        <w:t>Severidad:</w:t>
      </w:r>
      <w:r>
        <w:t xml:space="preserve"> MEDIA</w:t>
      </w:r>
    </w:p>
    <w:p>
      <w:pPr>
        <w:pStyle w:val="ListBullet"/>
      </w:pPr>
      <w:r>
        <w:rPr>
          <w:b/>
        </w:rPr>
        <w:t>Ubicación:</w:t>
      </w:r>
      <w:r>
        <w:t xml:space="preserve"> Fig A4.1 (PDF 172 / impr. 161); Fig 3.3 (PDF 64 / impr. 53) y texto (PDF 66 / impr. 55); Fig 3.6 (PDF 69 / impr. 58)</w:t>
      </w:r>
    </w:p>
    <w:p>
      <w:pPr>
        <w:pStyle w:val="ListBullet"/>
      </w:pPr>
      <w:r>
        <w:rPr>
          <w:b/>
        </w:rPr>
        <w:t>Cita:</w:t>
      </w:r>
      <w:r>
        <w:t xml:space="preserve"> «Physical activity is a strong predictor of mortality (Evidence A)»</w:t>
      </w:r>
    </w:p>
    <w:p>
      <w:pPr>
        <w:pStyle w:val="ListBullet"/>
      </w:pPr>
      <w:r>
        <w:rPr>
          <w:b/>
        </w:rPr>
        <w:t>Problema:</w:t>
      </w:r>
    </w:p>
    <w:p>
      <w:pPr>
        <w:pStyle w:val="ListBullet2"/>
      </w:pPr>
      <w:r>
        <w:rPr>
          <w:b/>
        </w:rPr>
        <w:t>Actividad física.</w:t>
      </w:r>
      <w:r>
        <w:t xml:space="preserve"> Es una afirmación pronóstica basada en una cohorte (Waschki 2011, ref 527, n≈170). Por la Tabla A sería C, y la escala no está diseñada para preguntas pronósticas.</w:t>
      </w:r>
    </w:p>
    <w:p>
      <w:pPr>
        <w:pStyle w:val="ListBullet2"/>
      </w:pPr>
      <w:r>
        <w:rPr>
          <w:b/>
        </w:rPr>
        <w:t>Ventilación y cocinas no contaminantes («should be recommended»).</w:t>
      </w:r>
    </w:p>
    <w:p>
      <w:pPr>
        <w:pStyle w:val="ListBullet2"/>
      </w:pPr>
      <w:r>
        <w:t>Tienen nivel B, pero el texto las apoya en un informe del propio comité y una revisión narrativa (refs 9, 10).</w:t>
      </w:r>
    </w:p>
    <w:p>
      <w:pPr>
        <w:pStyle w:val="ListBullet2"/>
      </w:pPr>
      <w:r>
        <w:t>La evidencia es predominantemente observacional (C).</w:t>
      </w:r>
    </w:p>
    <w:p>
      <w:pPr>
        <w:pStyle w:val="ListBullet2"/>
      </w:pPr>
      <w:r>
        <w:rPr>
          <w:b/>
        </w:rPr>
        <w:t>Tdap.</w:t>
      </w:r>
      <w:r>
        <w:t xml:space="preserve"> Tiene «(Evidence B)» sin ECA en EPOC; es una extrapolación de salud pública (D).</w:t>
      </w:r>
    </w:p>
    <w:p>
      <w:pPr>
        <w:pStyle w:val="ListBullet2"/>
      </w:pPr>
      <w:r>
        <w:t>La escala se aplica con laxitud en ambos sentidos.</w:t>
      </w:r>
    </w:p>
    <w:p>
      <w:pPr>
        <w:pStyle w:val="ListBullet"/>
      </w:pPr>
      <w:r>
        <w:rPr>
          <w:b/>
        </w:rPr>
        <w:t>Evidencia/justificación:</w:t>
      </w:r>
      <w:r>
        <w:t xml:space="preserve"> Tabla A (C = observacional; D = consenso); refs 9, 10 y 527 (PDF 175 y 196 / impr. 164 y 185).</w:t>
      </w:r>
    </w:p>
    <w:p>
      <w:pPr>
        <w:pStyle w:val="ListBullet"/>
      </w:pPr>
      <w:r>
        <w:rPr>
          <w:b/>
        </w:rPr>
        <w:t>Recomendación:</w:t>
      </w:r>
      <w:r>
        <w:t xml:space="preserve"> Recalificar estas afirmaciones. Usar un sistema que contemple las preguntas pronósticas (GRADE para pronóstico) o no etiquetar como «evidencia» lo que no es una recomendación.</w:t>
      </w:r>
    </w:p>
    <w:p>
      <w:pPr>
        <w:pStyle w:val="ListBullet"/>
      </w:pPr>
      <w:r>
        <w:rPr>
          <w:b/>
        </w:rPr>
        <w:t>Confianza:</w:t>
      </w:r>
      <w:r>
        <w:t xml:space="preserve"> 4</w:t>
      </w:r>
    </w:p>
    <w:p>
      <w:pPr>
        <w:pStyle w:val="Heading4"/>
      </w:pPr>
      <w:r>
        <w:t>MET-08 · Mucolíticos: la recomendación tiene un nivel mayor que la evidencia en la que se basa</w:t>
      </w:r>
    </w:p>
    <w:p>
      <w:r>
        <w:rPr>
          <w:i/>
        </w:rPr>
        <w:t xml:space="preserve">Severidad final: </w:t>
      </w:r>
      <w:r>
        <w:rPr>
          <w:i/>
          <w:color w:val="FFC000"/>
        </w:rPr>
        <w:t>🟡</w:t>
      </w:r>
      <w:r>
        <w:rPr>
          <w:i/>
        </w:rPr>
        <w:t xml:space="preserve"> MEDIA · Tema T21: Metodología y niveles de evidencia</w:t>
      </w:r>
    </w:p>
    <w:p>
      <w:pPr>
        <w:pStyle w:val="IntenseQuote"/>
      </w:pPr>
      <w:r>
        <w:rPr>
          <w:b/>
        </w:rPr>
        <w:t>Verificación independiente (CONFIRMADO):</w:t>
      </w:r>
      <w:r>
        <w:t xml:space="preserve"> Se verifican los 4 puntos de NOV-15. Para MET-08 sugiero rebajar de ALTA a MEDIA: es una incoherencia de gradación con impacto clínico limitado.</w:t>
      </w:r>
    </w:p>
    <w:p>
      <w:pPr>
        <w:pStyle w:val="IntenseQuote"/>
      </w:pPr>
      <w:r>
        <w:rPr>
          <w:b/>
        </w:rPr>
        <w:t>Severidad ajustada en la consolidación:</w:t>
      </w:r>
      <w:r>
        <w:t xml:space="preserve"> ALTA → MEDIA</w:t>
      </w:r>
    </w:p>
    <w:p>
      <w:pPr>
        <w:pStyle w:val="ListBullet"/>
      </w:pPr>
      <w:r>
        <w:rPr>
          <w:b/>
        </w:rPr>
        <w:t>Tipo:</w:t>
      </w:r>
      <w:r>
        <w:t xml:space="preserve"> Incongruencia interna</w:t>
      </w:r>
    </w:p>
    <w:p>
      <w:pPr>
        <w:pStyle w:val="ListBullet"/>
      </w:pPr>
      <w:r>
        <w:rPr>
          <w:b/>
        </w:rPr>
        <w:t>Severidad:</w:t>
      </w:r>
      <w:r>
        <w:t xml:space="preserve"> ALTA</w:t>
      </w:r>
    </w:p>
    <w:p>
      <w:pPr>
        <w:pStyle w:val="ListBullet"/>
      </w:pPr>
      <w:r>
        <w:rPr>
          <w:b/>
        </w:rPr>
        <w:t>Ubicación:</w:t>
      </w:r>
      <w:r>
        <w:t xml:space="preserve"> Fig A3.3 (PDF 160 / impr. 149)</w:t>
      </w:r>
    </w:p>
    <w:p>
      <w:pPr>
        <w:pStyle w:val="ListBullet"/>
      </w:pPr>
      <w:r>
        <w:rPr>
          <w:b/>
        </w:rPr>
        <w:t>Cita:</w:t>
      </w:r>
      <w:r>
        <w:t xml:space="preserve"> «Regular treatment with mucolytics such as erdosteine, carbocysteine and N-acetylcysteine reduces the risk of exacerbations in select populations (Evidence B)» … «Antioxidant mucolytics are recommended only in selected patients (Evidence A)»</w:t>
      </w:r>
    </w:p>
    <w:p>
      <w:pPr>
        <w:pStyle w:val="ListBullet"/>
      </w:pPr>
      <w:r>
        <w:rPr>
          <w:b/>
        </w:rPr>
        <w:t>Problema:</w:t>
      </w:r>
    </w:p>
    <w:p>
      <w:pPr>
        <w:pStyle w:val="ListBullet2"/>
      </w:pPr>
      <w:r>
        <w:t>En la misma figura, el efecto (reducción de exacerbaciones) tiene B y la recomendación derivada tiene A. Una recomendación no puede tener mayor certeza que la evidencia que la sustenta.</w:t>
      </w:r>
    </w:p>
    <w:p>
      <w:pPr>
        <w:pStyle w:val="ListBullet2"/>
      </w:pPr>
      <w:r>
        <w:t>«Selected patients» no se define. Los ECA principales (PEACE, PANTHEON, RESTORE) tienen poblaciones particulares, por ejemplo muchos pacientes sin ICS o con población predominantemente china, lo que añade evidencia indirecta.</w:t>
      </w:r>
    </w:p>
    <w:p>
      <w:pPr>
        <w:pStyle w:val="ListBullet"/>
      </w:pPr>
      <w:r>
        <w:rPr>
          <w:b/>
        </w:rPr>
        <w:t>Evidencia/justificación:</w:t>
      </w:r>
      <w:r>
        <w:t xml:space="preserve"> Coherencia lógica básica de cualquier sistema de calificación; GRADE (la recomendación hereda la certeza de los desenlaces críticos); AGREE II, ítem 15 (especificidad).</w:t>
      </w:r>
    </w:p>
    <w:p>
      <w:pPr>
        <w:pStyle w:val="ListBullet"/>
      </w:pPr>
      <w:r>
        <w:rPr>
          <w:b/>
        </w:rPr>
        <w:t>Recomendación:</w:t>
      </w:r>
      <w:r>
        <w:t xml:space="preserve"> Unificar el nivel (B o inferior) y especificar la población (fenotipo, uso de ICS, exacerbaciones previas).</w:t>
      </w:r>
    </w:p>
    <w:p>
      <w:pPr>
        <w:pStyle w:val="ListBullet"/>
      </w:pPr>
      <w:r>
        <w:rPr>
          <w:b/>
        </w:rPr>
        <w:t>Confianza:</w:t>
      </w:r>
      <w:r>
        <w:t xml:space="preserve"> 5</w:t>
      </w:r>
    </w:p>
    <w:p>
      <w:pPr>
        <w:pStyle w:val="Heading4"/>
      </w:pPr>
      <w:r>
        <w:t>MET-10 · Recomendaciones clave sin nivel de evidencia</w:t>
      </w:r>
    </w:p>
    <w:p>
      <w:r>
        <w:rPr>
          <w:i/>
        </w:rPr>
        <w:t xml:space="preserve">Severidad final: </w:t>
      </w:r>
      <w:r>
        <w:rPr>
          <w:i/>
          <w:color w:val="FFC000"/>
        </w:rPr>
        <w:t>🟡</w:t>
      </w:r>
      <w:r>
        <w:rPr>
          <w:i/>
        </w:rPr>
        <w:t xml:space="preserve"> MEDIA · Tema T21: Metodología y niveles de evidencia</w:t>
      </w:r>
    </w:p>
    <w:p>
      <w:pPr>
        <w:pStyle w:val="ListBullet"/>
      </w:pPr>
      <w:r>
        <w:rPr>
          <w:b/>
        </w:rPr>
        <w:t>Tipo:</w:t>
      </w:r>
      <w:r>
        <w:t xml:space="preserve"> Omisión</w:t>
      </w:r>
    </w:p>
    <w:p>
      <w:pPr>
        <w:pStyle w:val="ListBullet"/>
      </w:pPr>
      <w:r>
        <w:rPr>
          <w:b/>
        </w:rPr>
        <w:t>Severidad:</w:t>
      </w:r>
      <w:r>
        <w:t xml:space="preserve"> MEDIA</w:t>
      </w:r>
    </w:p>
    <w:p>
      <w:pPr>
        <w:pStyle w:val="ListBullet"/>
      </w:pPr>
      <w:r>
        <w:rPr>
          <w:b/>
        </w:rPr>
        <w:t>Ubicación:</w:t>
      </w:r>
      <w:r>
        <w:t xml:space="preserve"> Fig A3.3 (PDF 160 / impr. 149); Fig 5.6 (PDF 141 / impr. 130); Fig 4.11 (PDF 122 / impr. 111); Fig 3.15-3.16</w:t>
      </w:r>
    </w:p>
    <w:p>
      <w:pPr>
        <w:pStyle w:val="ListBullet"/>
      </w:pPr>
      <w:r>
        <w:rPr>
          <w:b/>
        </w:rPr>
        <w:t>Cita:</w:t>
      </w:r>
      <w:r>
        <w:t xml:space="preserve"> «If patients with COPD have features of asthma, treatment should always contain an ICS»</w:t>
      </w:r>
    </w:p>
    <w:p>
      <w:pPr>
        <w:pStyle w:val="ListBullet"/>
      </w:pPr>
      <w:r>
        <w:rPr>
          <w:b/>
        </w:rPr>
        <w:t>Problema:</w:t>
      </w:r>
    </w:p>
    <w:p>
      <w:pPr>
        <w:pStyle w:val="ListBullet2"/>
      </w:pPr>
      <w:r>
        <w:rPr>
          <w:b/>
        </w:rPr>
        <w:t>Sin nivel en la Fig A3.3</w:t>
      </w:r>
      <w:r>
        <w:t>, con impacto directo en la prescripción:</w:t>
      </w:r>
    </w:p>
    <w:p>
      <w:pPr>
        <w:pStyle w:val="ListBullet2"/>
      </w:pPr>
      <w:r>
        <w:t>«We do not encourage the use of a LABA+ICS combination»;</w:t>
      </w:r>
    </w:p>
    <w:p>
      <w:pPr>
        <w:pStyle w:val="ListBullet2"/>
      </w:pPr>
      <w:r>
        <w:t>el ICS «always» si hay rasgos de asma;</w:t>
      </w:r>
    </w:p>
    <w:p>
      <w:pPr>
        <w:pStyle w:val="ListBullet2"/>
      </w:pPr>
      <w:r>
        <w:t>la reducción de mortalidad con la triple terapia;</w:t>
      </w:r>
    </w:p>
    <w:p>
      <w:pPr>
        <w:pStyle w:val="ListBullet2"/>
      </w:pPr>
      <w:r>
        <w:t>la preferencia por el inhalador único;</w:t>
      </w:r>
    </w:p>
    <w:p>
      <w:pPr>
        <w:pStyle w:val="ListBullet2"/>
      </w:pPr>
      <w:r>
        <w:t>los antileucotrienos.</w:t>
      </w:r>
    </w:p>
    <w:p>
      <w:pPr>
        <w:pStyle w:val="ListBullet2"/>
      </w:pPr>
      <w:r>
        <w:rPr>
          <w:b/>
        </w:rPr>
        <w:t>Fig 5.6.</w:t>
      </w:r>
      <w:r>
        <w:t xml:space="preserve"> Es un «potential complementary approach» adaptado de un artículo del propio comité y propone «Yearly… chest HRCT (cancer screening)» sin nivel. Además discrepa del cribado validado (USPSTF 2021: TC de baja dosis, 50-80 años, ≥20 paquetes-año), porque la HRCT no es la técnica de cribado.</w:t>
      </w:r>
    </w:p>
    <w:p>
      <w:pPr>
        <w:pStyle w:val="ListBullet2"/>
      </w:pPr>
      <w:r>
        <w:rPr>
          <w:b/>
        </w:rPr>
        <w:t>Figuras de seguimiento tras el alta</w:t>
      </w:r>
      <w:r>
        <w:t xml:space="preserve"> (Fig 4.11) y de </w:t>
      </w:r>
      <w:r>
        <w:rPr>
          <w:b/>
        </w:rPr>
        <w:t>seguimiento farmacológico</w:t>
      </w:r>
      <w:r>
        <w:t xml:space="preserve"> (Fig 3.15-3.16): tampoco tienen nivel.</w:t>
      </w:r>
    </w:p>
    <w:p>
      <w:pPr>
        <w:pStyle w:val="ListBullet"/>
      </w:pPr>
      <w:r>
        <w:rPr>
          <w:b/>
        </w:rPr>
        <w:t>Evidencia/justificación:</w:t>
      </w:r>
      <w:r>
        <w:t xml:space="preserve"> AGREE II, ítem 12; IOM, estándar 6; la propia declaración de PDF 13.</w:t>
      </w:r>
    </w:p>
    <w:p>
      <w:pPr>
        <w:pStyle w:val="ListBullet"/>
      </w:pPr>
      <w:r>
        <w:rPr>
          <w:b/>
        </w:rPr>
        <w:t>Recomendación:</w:t>
      </w:r>
      <w:r>
        <w:t xml:space="preserve"> Asignar un nivel a toda recomendación accionable, D explícito si es por consenso, y alinear la Fig 5.6 con los criterios de cribado de cáncer de pulmón mediante TC de baja dosis.</w:t>
      </w:r>
    </w:p>
    <w:p>
      <w:pPr>
        <w:pStyle w:val="ListBullet"/>
      </w:pPr>
      <w:r>
        <w:rPr>
          <w:b/>
        </w:rPr>
        <w:t>Confianza:</w:t>
      </w:r>
      <w:r>
        <w:t xml:space="preserve"> 4</w:t>
      </w:r>
    </w:p>
    <w:p>
      <w:pPr>
        <w:pStyle w:val="Heading4"/>
      </w:pPr>
      <w:r>
        <w:t>NOV-15 · Mucolíticos: niveles de evidencia contradictorios y presentación sin restricciones en la Fig. 4.11</w:t>
      </w:r>
    </w:p>
    <w:p>
      <w:r>
        <w:rPr>
          <w:i/>
        </w:rPr>
        <w:t xml:space="preserve">Severidad final: </w:t>
      </w:r>
      <w:r>
        <w:rPr>
          <w:i/>
          <w:color w:val="FFC000"/>
        </w:rPr>
        <w:t>🟡</w:t>
      </w:r>
      <w:r>
        <w:rPr>
          <w:i/>
        </w:rPr>
        <w:t xml:space="preserve"> MEDIA · Tema T21: Metodología y niveles de evidencia</w:t>
      </w:r>
    </w:p>
    <w:p>
      <w:pPr>
        <w:pStyle w:val="IntenseQuote"/>
      </w:pPr>
      <w:r>
        <w:rPr>
          <w:b/>
        </w:rPr>
        <w:t>Verificación independiente (CONFIRMADO):</w:t>
      </w:r>
      <w:r>
        <w:t xml:space="preserve"> Se verifican los 4 puntos de NOV-15. Para MET-08 sugiero rebajar de ALTA a MEDIA: es una incoherencia de gradación con impacto clínico limitado.</w:t>
      </w:r>
    </w:p>
    <w:p>
      <w:pPr>
        <w:pStyle w:val="ListBullet"/>
      </w:pPr>
      <w:r>
        <w:rPr>
          <w:b/>
        </w:rPr>
        <w:t>Tipo:</w:t>
      </w:r>
      <w:r>
        <w:t xml:space="preserve"> Incongruencia interna / Evidencia mal representada</w:t>
      </w:r>
    </w:p>
    <w:p>
      <w:pPr>
        <w:pStyle w:val="ListBullet"/>
      </w:pPr>
      <w:r>
        <w:rPr>
          <w:b/>
        </w:rPr>
        <w:t>Severidad:</w:t>
      </w:r>
      <w:r>
        <w:t xml:space="preserve"> MEDIA</w:t>
      </w:r>
    </w:p>
    <w:p>
      <w:pPr>
        <w:pStyle w:val="ListBullet"/>
      </w:pPr>
      <w:r>
        <w:rPr>
          <w:b/>
        </w:rPr>
        <w:t>Ubicación:</w:t>
      </w:r>
    </w:p>
    <w:p>
      <w:pPr>
        <w:pStyle w:val="ListBullet2"/>
      </w:pPr>
      <w:r>
        <w:t>PDF 160 / impr. 149 — Fig. A3.3.</w:t>
      </w:r>
    </w:p>
    <w:p>
      <w:pPr>
        <w:pStyle w:val="ListBullet2"/>
      </w:pPr>
      <w:r>
        <w:t>PDF 163 / impr. 152 y PDF 167 / impr. 156 — Apéndice 3.</w:t>
      </w:r>
    </w:p>
    <w:p>
      <w:pPr>
        <w:pStyle w:val="ListBullet2"/>
      </w:pPr>
      <w:r>
        <w:t>PDF 122 / impr. 111 — Fig. 4.11.</w:t>
      </w:r>
    </w:p>
    <w:p>
      <w:pPr>
        <w:pStyle w:val="ListBullet"/>
      </w:pPr>
      <w:r>
        <w:rPr>
          <w:b/>
        </w:rPr>
        <w:t>Cita:</w:t>
      </w:r>
      <w:r>
        <w:t xml:space="preserve"> Fig. A3.3: "…reduces the risk of exacerbations in select populations (Evidence B)" y "Antioxidant mucolytics are recommended only in selected patients (Evidence A)"</w:t>
      </w:r>
    </w:p>
    <w:p>
      <w:pPr>
        <w:pStyle w:val="ListBullet"/>
      </w:pPr>
      <w:r>
        <w:rPr>
          <w:b/>
        </w:rPr>
        <w:t>Problema:</w:t>
      </w:r>
    </w:p>
    <w:p>
      <w:pPr>
        <w:pStyle w:val="ListNumber"/>
        <w:numPr>
          <w:ilvl w:val="0"/>
          <w:numId w:val="46"/>
        </w:numPr>
      </w:pPr>
      <w:r>
        <w:rPr>
          <w:b/>
        </w:rPr>
        <w:t>Grado contradictorio:</w:t>
      </w:r>
      <w:r>
        <w:t xml:space="preserve"> la misma figura gradúa la misma intervención como B (eficacia) y A (recomendación en pacientes seleccionados). La recomendación no puede tener mayor certeza que la evidencia de eficacia, sobre todo cuando el propio texto (ref. 1604, Cochrane 2019) dice que los datos "no permiten identificar con precisión la población diana".</w:t>
      </w:r>
    </w:p>
    <w:p>
      <w:pPr>
        <w:pStyle w:val="ListNumber"/>
        <w:numPr>
          <w:ilvl w:val="0"/>
          <w:numId w:val="46"/>
        </w:numPr>
      </w:pPr>
      <w:r>
        <w:rPr>
          <w:b/>
        </w:rPr>
        <w:t>Resultados negativos:</w:t>
      </w:r>
      <w:r>
        <w:t xml:space="preserve"> el texto incluye un ECA negativo con N-acetilcisteína a dosis altas (ref. 1603), pero la Fig. 4.11 enumera NAC, carbocisteína y erdosteína sin restricción entre las intervenciones que reducen exacerbaciones.</w:t>
      </w:r>
    </w:p>
    <w:p>
      <w:pPr>
        <w:pStyle w:val="ListNumber"/>
        <w:numPr>
          <w:ilvl w:val="0"/>
          <w:numId w:val="46"/>
        </w:numPr>
      </w:pPr>
      <w:r>
        <w:rPr>
          <w:b/>
        </w:rPr>
        <w:t>Cochrane desactualizado:</w:t>
      </w:r>
      <w:r>
        <w:t xml:space="preserve"> en PDF 167 se cita la versión Cochrane de 2015 (ref. 1600), con la primera persona de sus autores ("we are moderately confident"), en lugar de la de 2019 (ref. 1604).</w:t>
      </w:r>
    </w:p>
    <w:p>
      <w:pPr>
        <w:pStyle w:val="ListNumber"/>
        <w:numPr>
          <w:ilvl w:val="0"/>
          <w:numId w:val="46"/>
        </w:numPr>
      </w:pPr>
      <w:r>
        <w:rPr>
          <w:b/>
        </w:rPr>
        <w:t>Cita de RESTORE incorrecta:</w:t>
      </w:r>
      <w:r>
        <w:t xml:space="preserve"> la ref. 1601 figura con el código de resumen "PA675" en lugar del artículo completo (Eur Respir J 2017;50:1700711).</w:t>
      </w:r>
    </w:p>
    <w:p>
      <w:pPr>
        <w:pStyle w:val="ListBullet"/>
      </w:pPr>
      <w:r>
        <w:rPr>
          <w:b/>
        </w:rPr>
        <w:t>Evidencia/justificación:</w:t>
      </w:r>
    </w:p>
    <w:p>
      <w:pPr>
        <w:pStyle w:val="ListBullet2"/>
      </w:pPr>
      <w:r>
        <w:t>Poole P et al., Cochrane 2019, CD001287 (PMID 31107966).</w:t>
      </w:r>
    </w:p>
    <w:p>
      <w:pPr>
        <w:pStyle w:val="ListBullet2"/>
      </w:pPr>
      <w:r>
        <w:t>Zhou Y et al., Nat Commun 2024;15:8468 (PMID 39349461).</w:t>
      </w:r>
    </w:p>
    <w:p>
      <w:pPr>
        <w:pStyle w:val="ListBullet2"/>
      </w:pPr>
      <w:r>
        <w:t>Dal Negro RW et al., RESTORE, Eur Respir J 2017 (PMID 29025888).</w:t>
      </w:r>
    </w:p>
    <w:p>
      <w:pPr>
        <w:pStyle w:val="ListBullet"/>
      </w:pPr>
      <w:r>
        <w:rPr>
          <w:b/>
        </w:rPr>
        <w:t>Recomendación:</w:t>
      </w:r>
    </w:p>
    <w:p>
      <w:pPr>
        <w:pStyle w:val="ListBullet2"/>
      </w:pPr>
      <w:r>
        <w:t>Unificar en Evidencia B: "reducción modesta de exacerbaciones en pacientes seleccionados (bronquitis crónica, sin ICS para NAC/carbocisteína)".</w:t>
      </w:r>
    </w:p>
    <w:p>
      <w:pPr>
        <w:pStyle w:val="ListBullet2"/>
      </w:pPr>
      <w:r>
        <w:t>En la Fig. 4.11, añadir "en pacientes seleccionados".</w:t>
      </w:r>
    </w:p>
    <w:p>
      <w:pPr>
        <w:pStyle w:val="ListBullet2"/>
      </w:pPr>
      <w:r>
        <w:t>Actualizar la ref. 1600 a la versión de 2019 y corregir la ref. 1601.</w:t>
      </w:r>
    </w:p>
    <w:p>
      <w:pPr>
        <w:pStyle w:val="ListBullet"/>
      </w:pPr>
      <w:r>
        <w:rPr>
          <w:b/>
        </w:rPr>
        <w:t>Confianza:</w:t>
      </w:r>
      <w:r>
        <w:t xml:space="preserve"> 4/5</w:t>
      </w:r>
    </w:p>
    <w:p>
      <w:pPr>
        <w:pStyle w:val="Heading4"/>
      </w:pPr>
      <w:r>
        <w:t>REH-18 · Evidencia A asignada a una afirmación pronóstica observacional («physical activity is a strong predictor of mortality»)</w:t>
      </w:r>
    </w:p>
    <w:p>
      <w:r>
        <w:rPr>
          <w:i/>
        </w:rPr>
        <w:t xml:space="preserve">Severidad final: </w:t>
      </w:r>
      <w:r>
        <w:rPr>
          <w:i/>
          <w:color w:val="FFC000"/>
        </w:rPr>
        <w:t>🟡</w:t>
      </w:r>
      <w:r>
        <w:rPr>
          <w:i/>
        </w:rPr>
        <w:t xml:space="preserve"> MEDIA · Tema T21: Metodología y niveles de evidencia</w:t>
      </w:r>
    </w:p>
    <w:p>
      <w:pPr>
        <w:pStyle w:val="ListBullet"/>
      </w:pPr>
      <w:r>
        <w:rPr>
          <w:b/>
        </w:rPr>
        <w:t>Tipo:</w:t>
      </w:r>
      <w:r>
        <w:t xml:space="preserve"> Evidencia mal representada</w:t>
      </w:r>
    </w:p>
    <w:p>
      <w:pPr>
        <w:pStyle w:val="ListBullet"/>
      </w:pPr>
      <w:r>
        <w:rPr>
          <w:b/>
        </w:rPr>
        <w:t>Severidad:</w:t>
      </w:r>
      <w:r>
        <w:t xml:space="preserve"> MEDIA</w:t>
      </w:r>
    </w:p>
    <w:p>
      <w:pPr>
        <w:pStyle w:val="ListBullet"/>
      </w:pPr>
      <w:r>
        <w:rPr>
          <w:b/>
        </w:rPr>
        <w:t>Ubicación:</w:t>
      </w:r>
      <w:r>
        <w:t xml:space="preserve"> PDF 172 / impr. 161 — Figura A4.1, «Physical Activity»; Tabla A, PDF 14 / impr. 3.</w:t>
      </w:r>
    </w:p>
    <w:p>
      <w:pPr>
        <w:pStyle w:val="ListBullet"/>
      </w:pPr>
      <w:r>
        <w:rPr>
          <w:b/>
        </w:rPr>
        <w:t>Cita:</w:t>
      </w:r>
      <w:r>
        <w:t xml:space="preserve"> «Physical activity is a strong predictor of mortality (Evidence A).»</w:t>
      </w:r>
    </w:p>
    <w:p>
      <w:pPr>
        <w:pStyle w:val="ListBullet"/>
      </w:pPr>
      <w:r>
        <w:rPr>
          <w:b/>
        </w:rPr>
        <w:t>Problema:</w:t>
      </w:r>
      <w:r>
        <w:t xml:space="preserve"> La Tabla A reserva el nivel A para variables de resultado de ECA bien diseñados y asigna el nivel C a los estudios observacionales. Que la actividad física prediga la mortalidad es una asociación de cohortes. Etiquetarla como A induce a pensar que aumentar la actividad física reduce la mortalidad, lo que no se ha demostrado en ensayos. Los programas con contador de pasos solo aumentan la actividad «a corto plazo», como indica la propia figura.</w:t>
      </w:r>
    </w:p>
    <w:p>
      <w:pPr>
        <w:pStyle w:val="ListBullet"/>
      </w:pPr>
      <w:r>
        <w:rPr>
          <w:b/>
        </w:rPr>
        <w:t>Evidencia/justificación:</w:t>
      </w:r>
      <w:r>
        <w:t xml:space="preserve"> Tabla A de GOLD (PDF 14). Waschki B et al., Chest 2011;140:331-342 (cohorte). No hay ECA que demuestren reducción de mortalidad mediante intervenciones de actividad física en la EPOC.</w:t>
      </w:r>
    </w:p>
    <w:p>
      <w:pPr>
        <w:pStyle w:val="ListBullet"/>
      </w:pPr>
      <w:r>
        <w:rPr>
          <w:b/>
        </w:rPr>
        <w:t>Recomendación:</w:t>
      </w:r>
      <w:r>
        <w:t xml:space="preserve"> Recalificar como «asociación consistente en estudios observacionales (Evidencia C)» y añadir: «no se ha demostrado que las intervenciones para aumentar la actividad física reduzcan la mortalidad».</w:t>
      </w:r>
    </w:p>
    <w:p>
      <w:pPr>
        <w:pStyle w:val="ListBullet"/>
      </w:pPr>
      <w:r>
        <w:rPr>
          <w:b/>
        </w:rPr>
        <w:t>Confianza:</w:t>
      </w:r>
      <w:r>
        <w:t xml:space="preserve"> 5/5</w:t>
      </w:r>
    </w:p>
    <w:p>
      <w:pPr>
        <w:pStyle w:val="Heading4"/>
      </w:pPr>
      <w:r>
        <w:t>COH-14 · Referencias cruzadas a figuras erróneas o que no sostienen lo que se afirma</w:t>
      </w:r>
    </w:p>
    <w:p>
      <w:r>
        <w:rPr>
          <w:i/>
        </w:rPr>
        <w:t xml:space="preserve">Severidad final: </w:t>
      </w:r>
      <w:r>
        <w:rPr>
          <w:i/>
          <w:color w:val="FFC000"/>
        </w:rPr>
        <w:t>🟡</w:t>
      </w:r>
      <w:r>
        <w:rPr>
          <w:i/>
        </w:rPr>
        <w:t xml:space="preserve"> MEDIA · Tema T23: Integridad de citas y referencias</w:t>
      </w:r>
    </w:p>
    <w:p>
      <w:pPr>
        <w:pStyle w:val="ListBullet"/>
      </w:pPr>
      <w:r>
        <w:rPr>
          <w:b/>
        </w:rPr>
        <w:t>Tipo:</w:t>
      </w:r>
      <w:r>
        <w:t xml:space="preserve"> Referencia cruzada</w:t>
      </w:r>
    </w:p>
    <w:p>
      <w:pPr>
        <w:pStyle w:val="ListBullet"/>
      </w:pPr>
      <w:r>
        <w:rPr>
          <w:b/>
        </w:rPr>
        <w:t>Severidad:</w:t>
      </w:r>
      <w:r>
        <w:t xml:space="preserve"> MEDIA</w:t>
      </w:r>
    </w:p>
    <w:p>
      <w:pPr>
        <w:pStyle w:val="ListBullet"/>
      </w:pPr>
      <w:r>
        <w:rPr>
          <w:b/>
        </w:rPr>
        <w:t>Ubicación:</w:t>
      </w:r>
      <w:r>
        <w:t xml:space="preserve"> PDF 78 / impr. 67; PDF 155 / impr. 144; PDF 94 / impr. 83; PDF 87 / impr. 76; PDF 5</w:t>
      </w:r>
    </w:p>
    <w:p>
      <w:pPr>
        <w:pStyle w:val="ListBullet"/>
      </w:pPr>
      <w:r>
        <w:rPr>
          <w:b/>
        </w:rPr>
        <w:t>Cita:</w:t>
      </w:r>
      <w:r>
        <w:t xml:space="preserve"> "Oxygen may offer some benefit even if the patient is not hypoxemic (SpO2 &gt; 92%) (Figure 3.17)" (PDF 94).</w:t>
      </w:r>
    </w:p>
    <w:p>
      <w:pPr>
        <w:pStyle w:val="ListBullet"/>
      </w:pPr>
      <w:r>
        <w:rPr>
          <w:b/>
        </w:rPr>
        <w:t>Problema:</w:t>
      </w:r>
    </w:p>
    <w:p>
      <w:pPr>
        <w:pStyle w:val="ListBullet2"/>
      </w:pPr>
      <w:r>
        <w:rPr>
          <w:b/>
        </w:rPr>
        <w:t>(a)</w:t>
      </w:r>
      <w:r>
        <w:t xml:space="preserve"> El pie de la Fig 3.10 remite a "(see Figures 3.8 &amp; A3.1 for recommendations)", pero A3.1 es el listado de fármacos (PDF 156). Probablemente debería decir Fig 3.9.</w:t>
      </w:r>
    </w:p>
    <w:p>
      <w:pPr>
        <w:pStyle w:val="ListBullet2"/>
      </w:pPr>
      <w:r>
        <w:rPr>
          <w:b/>
        </w:rPr>
        <w:t>(b)</w:t>
      </w:r>
      <w:r>
        <w:t xml:space="preserve"> "Toxicity is also dose-related (Figure A3.1)": la Fig A3.1 no trata ni la toxicidad ni la relación dosis-respuesta.</w:t>
      </w:r>
    </w:p>
    <w:p>
      <w:pPr>
        <w:pStyle w:val="ListBullet2"/>
      </w:pPr>
      <w:r>
        <w:rPr>
          <w:b/>
        </w:rPr>
        <w:t>(c)</w:t>
      </w:r>
      <w:r>
        <w:t xml:space="preserve"> La Fig 3.17 (PDF 88) dice que no hay beneficio sostenido en la desaturación moderada, lo contrario de lo que se le atribuye en PDF 87 y PDF 94. Además, "no hipoxémico" se define como SpO2 &gt;92 %, cuando el umbral de la LTOT es ≤88 %.</w:t>
      </w:r>
    </w:p>
    <w:p>
      <w:pPr>
        <w:pStyle w:val="ListBullet2"/>
      </w:pPr>
      <w:r>
        <w:rPr>
          <w:b/>
        </w:rPr>
        <w:t>(d)</w:t>
      </w:r>
      <w:r>
        <w:t xml:space="preserve"> Highlights iv omite la Fig 2.13 (ver COH-09).</w:t>
      </w:r>
    </w:p>
    <w:p>
      <w:pPr>
        <w:pStyle w:val="ListBullet"/>
      </w:pPr>
      <w:r>
        <w:rPr>
          <w:b/>
        </w:rPr>
        <w:t>Evidencia/justificación:</w:t>
      </w:r>
      <w:r>
        <w:t xml:space="preserve"> apertura de las PNG de PDF 78, 88 y 156.</w:t>
      </w:r>
    </w:p>
    <w:p>
      <w:pPr>
        <w:pStyle w:val="ListBullet"/>
      </w:pPr>
      <w:r>
        <w:rPr>
          <w:b/>
        </w:rPr>
        <w:t>Recomendación:</w:t>
      </w:r>
      <w:r>
        <w:t xml:space="preserve"> corregir los destinos de las remisiones y generarlas como hipervínculos automáticos.</w:t>
      </w:r>
    </w:p>
    <w:p>
      <w:pPr>
        <w:pStyle w:val="ListBullet"/>
      </w:pPr>
      <w:r>
        <w:rPr>
          <w:b/>
        </w:rPr>
        <w:t>Confianza:</w:t>
      </w:r>
      <w:r>
        <w:t xml:space="preserve"> 4</w:t>
      </w:r>
    </w:p>
    <w:p>
      <w:pPr>
        <w:pStyle w:val="Heading4"/>
      </w:pPr>
      <w:r>
        <w:t>COH-15 · Citas bibliográficas que no corresponden a la afirmación (cap. 4)</w:t>
      </w:r>
    </w:p>
    <w:p>
      <w:r>
        <w:rPr>
          <w:i/>
        </w:rPr>
        <w:t xml:space="preserve">Severidad final: </w:t>
      </w:r>
      <w:r>
        <w:rPr>
          <w:i/>
          <w:color w:val="FFC000"/>
        </w:rPr>
        <w:t>🟡</w:t>
      </w:r>
      <w:r>
        <w:rPr>
          <w:i/>
        </w:rPr>
        <w:t xml:space="preserve"> MEDIA · Tema T23: Integridad de citas y referencias</w:t>
      </w:r>
    </w:p>
    <w:p>
      <w:pPr>
        <w:pStyle w:val="ListBullet"/>
      </w:pPr>
      <w:r>
        <w:rPr>
          <w:b/>
        </w:rPr>
        <w:t>Tipo:</w:t>
      </w:r>
      <w:r>
        <w:t xml:space="preserve"> Referencia bibliográfica</w:t>
      </w:r>
    </w:p>
    <w:p>
      <w:pPr>
        <w:pStyle w:val="ListBullet"/>
      </w:pPr>
      <w:r>
        <w:rPr>
          <w:b/>
        </w:rPr>
        <w:t>Severidad:</w:t>
      </w:r>
      <w:r>
        <w:t xml:space="preserve"> MEDIA</w:t>
      </w:r>
    </w:p>
    <w:p>
      <w:pPr>
        <w:pStyle w:val="ListBullet"/>
      </w:pPr>
      <w:r>
        <w:rPr>
          <w:b/>
        </w:rPr>
        <w:t>Ubicación:</w:t>
      </w:r>
      <w:r>
        <w:t xml:space="preserve"> PDF 115 / impr. 104; PDF 117-118 / impr. 106-107</w:t>
      </w:r>
    </w:p>
    <w:p>
      <w:pPr>
        <w:pStyle w:val="ListBullet"/>
      </w:pPr>
      <w:r>
        <w:rPr>
          <w:b/>
        </w:rPr>
        <w:t>Cita:</w:t>
      </w:r>
      <w:r>
        <w:t xml:space="preserve"> "One RCT found a marked reduction in antibiotic prescriptions without impaired outcomes in UK primary care outpatients… guided by point-of-care CRP testing.(1047)"</w:t>
      </w:r>
    </w:p>
    <w:p>
      <w:pPr>
        <w:pStyle w:val="ListBullet"/>
      </w:pPr>
      <w:r>
        <w:rPr>
          <w:b/>
        </w:rPr>
        <w:t>Problema:</w:t>
      </w:r>
    </w:p>
    <w:p>
      <w:pPr>
        <w:pStyle w:val="ListBullet2"/>
      </w:pPr>
      <w:r>
        <w:rPr>
          <w:b/>
        </w:rPr>
        <w:t>(a)</w:t>
      </w:r>
      <w:r>
        <w:t xml:space="preserve"> La ref 1047 es Prins et al. (hospitalizados en los Países Bajos), que se describe en la frase siguiente; el ensayo británico es Butler et al., </w:t>
      </w:r>
      <w:r>
        <w:rPr>
          <w:i/>
        </w:rPr>
        <w:t>NEJM</w:t>
      </w:r>
      <w:r>
        <w:t xml:space="preserve"> 2019, que ya figura en la bibliografía.</w:t>
      </w:r>
    </w:p>
    <w:p>
      <w:pPr>
        <w:pStyle w:val="ListBullet2"/>
      </w:pPr>
      <w:r>
        <w:rPr>
          <w:b/>
        </w:rPr>
        <w:t>(b)</w:t>
      </w:r>
      <w:r>
        <w:t xml:space="preserve"> La ref 1077 (Cortegiani) es un </w:t>
      </w:r>
      <w:r>
        <w:rPr>
          <w:i/>
        </w:rPr>
        <w:t>protocolo</w:t>
      </w:r>
      <w:r>
        <w:t xml:space="preserve"> de estudio y se cita para resultados.</w:t>
      </w:r>
    </w:p>
    <w:p>
      <w:pPr>
        <w:pStyle w:val="ListBullet2"/>
      </w:pPr>
      <w:r>
        <w:rPr>
          <w:b/>
        </w:rPr>
        <w:t>(c)</w:t>
      </w:r>
      <w:r>
        <w:t xml:space="preserve"> "In a subsequent study, post-extubation HFNT with NIV was again non-inferior to HFNT alone… (1082)": la ref 1082 compara HFNT con NIV (Hernández 2016).</w:t>
      </w:r>
    </w:p>
    <w:p>
      <w:pPr>
        <w:pStyle w:val="ListBullet2"/>
      </w:pPr>
      <w:r>
        <w:t xml:space="preserve">La frase siguiente, que cita a Thille (1083), dice que HFNT+NIV fue </w:t>
      </w:r>
      <w:r>
        <w:rPr>
          <w:i/>
        </w:rPr>
        <w:t>superior</w:t>
      </w:r>
      <w:r>
        <w:t>.</w:t>
      </w:r>
    </w:p>
    <w:p>
      <w:pPr>
        <w:pStyle w:val="ListBullet2"/>
      </w:pPr>
      <w:r>
        <w:t>El porcentaje de pacientes con EPOC del mismo estudio se da como "18-22%" y como "21-25%".</w:t>
      </w:r>
    </w:p>
    <w:p>
      <w:pPr>
        <w:pStyle w:val="ListBullet"/>
      </w:pPr>
      <w:r>
        <w:rPr>
          <w:b/>
        </w:rPr>
        <w:t>Evidencia/justificación:</w:t>
      </w:r>
      <w:r>
        <w:t xml:space="preserve"> cotejo del texto con la lista de referencias del propio documento.</w:t>
      </w:r>
    </w:p>
    <w:p>
      <w:pPr>
        <w:pStyle w:val="ListBullet"/>
      </w:pPr>
      <w:r>
        <w:rPr>
          <w:b/>
        </w:rPr>
        <w:t>Recomendación:</w:t>
      </w:r>
      <w:r>
        <w:t xml:space="preserve"> revisar y reasignar las citas 1047, 1077 y 1082, y corregir la conclusión post-extubación.</w:t>
      </w:r>
    </w:p>
    <w:p>
      <w:pPr>
        <w:pStyle w:val="ListBullet"/>
      </w:pPr>
      <w:r>
        <w:rPr>
          <w:b/>
        </w:rPr>
        <w:t>Confianza:</w:t>
      </w:r>
      <w:r>
        <w:t xml:space="preserve"> 4</w:t>
      </w:r>
    </w:p>
    <w:p>
      <w:pPr>
        <w:pStyle w:val="Heading4"/>
      </w:pPr>
      <w:r>
        <w:t>EQ-04 · La única cita de evidencia de LMIC sobre instrumentos de cribado está mal atribuida</w:t>
      </w:r>
    </w:p>
    <w:p>
      <w:r>
        <w:rPr>
          <w:i/>
        </w:rPr>
        <w:t xml:space="preserve">Severidad final: </w:t>
      </w:r>
      <w:r>
        <w:rPr>
          <w:i/>
          <w:color w:val="FFC000"/>
        </w:rPr>
        <w:t>🟡</w:t>
      </w:r>
      <w:r>
        <w:rPr>
          <w:i/>
        </w:rPr>
        <w:t xml:space="preserve"> MEDIA · Tema T23: Integridad de citas y referencias</w:t>
      </w:r>
    </w:p>
    <w:p>
      <w:pPr>
        <w:pStyle w:val="ListBullet"/>
      </w:pPr>
      <w:r>
        <w:rPr>
          <w:b/>
        </w:rPr>
        <w:t>Tipo:</w:t>
      </w:r>
      <w:r>
        <w:t xml:space="preserve"> Evidencia mal representada</w:t>
      </w:r>
    </w:p>
    <w:p>
      <w:pPr>
        <w:pStyle w:val="ListBullet"/>
      </w:pPr>
      <w:r>
        <w:rPr>
          <w:b/>
        </w:rPr>
        <w:t>Severidad:</w:t>
      </w:r>
      <w:r>
        <w:t xml:space="preserve"> MEDIA</w:t>
      </w:r>
    </w:p>
    <w:p>
      <w:pPr>
        <w:pStyle w:val="ListBullet"/>
      </w:pPr>
      <w:r>
        <w:rPr>
          <w:b/>
        </w:rPr>
        <w:t>Ubicación:</w:t>
      </w:r>
      <w:r>
        <w:t xml:space="preserve"> PDF 43 / impr. 32 — párrafo sobre la EPOC no diagnosticada.</w:t>
      </w:r>
    </w:p>
    <w:p>
      <w:pPr>
        <w:pStyle w:val="ListBullet"/>
      </w:pPr>
      <w:r>
        <w:rPr>
          <w:b/>
        </w:rPr>
        <w:t>Cita:</w:t>
      </w:r>
      <w:r>
        <w:t xml:space="preserve"> "A Danish study showed… In addition, adults with undiagnosed, symptomatic COPD had a 4.3 times greater risk of death from respiratory causes, and a 2.0 times greater risk of death from any cause… (377)"</w:t>
      </w:r>
    </w:p>
    <w:p>
      <w:pPr>
        <w:pStyle w:val="ListBullet"/>
      </w:pPr>
      <w:r>
        <w:rPr>
          <w:b/>
        </w:rPr>
        <w:t>Problema:</w:t>
      </w:r>
      <w:r>
        <w:t xml:space="preserve"> La ref. 377 es Siddharthan T et al., "Discriminative Accuracy of COPD Screening Instruments in 3 Low- and Middle-Income Country Settings", JAMA 2022 (PMID 35015039). Se trata de un estudio de precisión diagnóstica en Nepal, Perú y Uganda, no de mortalidad en una cohorte danesa. Así, el texto atribuye a un estudio de LMIC datos que no contiene y, a la vez, no usa ese estudio para lo que realmente aporta: el rendimiento de los instrumentos de cribado en LMIC.</w:t>
      </w:r>
    </w:p>
    <w:p>
      <w:pPr>
        <w:pStyle w:val="ListBullet"/>
      </w:pPr>
      <w:r>
        <w:rPr>
          <w:b/>
        </w:rPr>
        <w:t>Evidencia/justificación:</w:t>
      </w:r>
      <w:r>
        <w:t xml:space="preserve"> Verificado en PubMed. Las cuatro cifras (15,5, 2,8, 4,3 y 2,0) proceden de Çolak Y et al., Lancet Respir Med 2017;5:426-34, PMID 28389225 (Copenhagen General Population Study). Además, GOLD atribuye los HR de 15,5 y 2,8 a la EPOC no diagnosticada en general, cuando en el estudio original corresponden solo a la EPOC no diagnosticada sintomática. En la asintomática fueron 5,0 y 1,7.</w:t>
      </w:r>
    </w:p>
    <w:p>
      <w:pPr>
        <w:pStyle w:val="ListBullet"/>
      </w:pPr>
      <w:r>
        <w:rPr>
          <w:b/>
        </w:rPr>
        <w:t>Recomendación:</w:t>
      </w:r>
      <w:r>
        <w:t xml:space="preserve"> Citar Çolak 2017 para las cifras danesas, precisando que se refieren a la EPOC sintomática, y usar Siddharthan 2022 en el apartado de instrumentos de búsqueda de casos y en la vía para entornos sin espirometría (EQ-03).</w:t>
      </w:r>
    </w:p>
    <w:p>
      <w:pPr>
        <w:pStyle w:val="ListBullet"/>
      </w:pPr>
      <w:r>
        <w:rPr>
          <w:b/>
        </w:rPr>
        <w:t>Confianza:</w:t>
      </w:r>
      <w:r>
        <w:t xml:space="preserve"> 5/5</w:t>
      </w:r>
    </w:p>
    <w:p>
      <w:pPr>
        <w:pStyle w:val="Heading4"/>
      </w:pPr>
      <w:r>
        <w:t>EXA-23 · Referencias citadas que no sustentan la afirmación (CRP, rehabilitación, antibióticos)</w:t>
      </w:r>
    </w:p>
    <w:p>
      <w:r>
        <w:rPr>
          <w:i/>
        </w:rPr>
        <w:t xml:space="preserve">Severidad final: </w:t>
      </w:r>
      <w:r>
        <w:rPr>
          <w:i/>
          <w:color w:val="FFC000"/>
        </w:rPr>
        <w:t>🟡</w:t>
      </w:r>
      <w:r>
        <w:rPr>
          <w:i/>
        </w:rPr>
        <w:t xml:space="preserve"> MEDIA · Tema T23: Integridad de citas y referencias</w:t>
      </w:r>
    </w:p>
    <w:p>
      <w:pPr>
        <w:pStyle w:val="ListBullet"/>
      </w:pPr>
      <w:r>
        <w:rPr>
          <w:b/>
        </w:rPr>
        <w:t>Tipo:</w:t>
      </w:r>
      <w:r>
        <w:t xml:space="preserve"> Evidencia mal representada / Editorial</w:t>
      </w:r>
    </w:p>
    <w:p>
      <w:pPr>
        <w:pStyle w:val="ListBullet"/>
      </w:pPr>
      <w:r>
        <w:rPr>
          <w:b/>
        </w:rPr>
        <w:t>Severidad:</w:t>
      </w:r>
      <w:r>
        <w:t xml:space="preserve"> MEDIA</w:t>
      </w:r>
    </w:p>
    <w:p>
      <w:pPr>
        <w:pStyle w:val="ListBullet"/>
      </w:pPr>
      <w:r>
        <w:rPr>
          <w:b/>
        </w:rPr>
        <w:t>Ubicación:</w:t>
      </w:r>
      <w:r>
        <w:t xml:space="preserve"> PDF 115 / impr. 104; PDF 116 / impr. 105; PDF 120 / impr. 109.</w:t>
      </w:r>
    </w:p>
    <w:p>
      <w:pPr>
        <w:pStyle w:val="ListBullet"/>
      </w:pPr>
      <w:r>
        <w:rPr>
          <w:b/>
        </w:rPr>
        <w:t>Cita:</w:t>
      </w:r>
    </w:p>
    <w:p>
      <w:pPr>
        <w:pStyle w:val="ListBullet2"/>
      </w:pPr>
      <w:r>
        <w:t>"of-care CRP testing.(1047) Another trial in patients hospitalized… in The Netherlands found similar results… (1047)".</w:t>
      </w:r>
    </w:p>
    <w:p>
      <w:pPr>
        <w:pStyle w:val="ListBullet2"/>
      </w:pPr>
      <w:r>
        <w:t>"may be associated with decreased readmission rate and improved survival,(1108)".</w:t>
      </w:r>
    </w:p>
    <w:p>
      <w:pPr>
        <w:pStyle w:val="ListBullet"/>
      </w:pPr>
      <w:r>
        <w:rPr>
          <w:b/>
        </w:rPr>
        <w:t>Problema:</w:t>
      </w:r>
    </w:p>
    <w:p>
      <w:pPr>
        <w:pStyle w:val="ListBullet2"/>
      </w:pPr>
      <w:r>
        <w:rPr>
          <w:b/>
        </w:rPr>
        <w:t>Ref. 1047 (Prins, ensayo neerlandés en hospitalizados):</w:t>
      </w:r>
      <w:r>
        <w:t xml:space="preserve"> se usa tanto para el ensayo británico de atención primaria como para el neerlandés. El ensayo británico es Butler CC et al., NEJM 2019;381:111-20 (PACE), presente en la guía como ref. 938.</w:t>
      </w:r>
    </w:p>
    <w:p>
      <w:pPr>
        <w:pStyle w:val="ListBullet2"/>
      </w:pPr>
      <w:r>
        <w:rPr>
          <w:b/>
        </w:rPr>
        <w:t>Ref. 1108 (Stergiopoulos, Front Digit Health 2024):</w:t>
      </w:r>
      <w:r>
        <w:t xml:space="preserve"> una revisión sistemática sobre telemonitorización y reingresos en insuficiencia cardiaca y EPOC, citada para la rehabilitación precoz tras el alta.</w:t>
      </w:r>
    </w:p>
    <w:p>
      <w:pPr>
        <w:pStyle w:val="ListBullet2"/>
      </w:pPr>
      <w:r>
        <w:rPr>
          <w:b/>
        </w:rPr>
        <w:t>Ref. 1043 (MAESTRAL):</w:t>
      </w:r>
      <w:r>
        <w:t xml:space="preserve"> ensayo con comparador activo (moxifloxacino frente a amoxicilina-clavulánico), citado como apoyo al beneficio del antibiótico frente a placebo.</w:t>
      </w:r>
    </w:p>
    <w:p>
      <w:pPr>
        <w:pStyle w:val="ListBullet2"/>
      </w:pPr>
      <w:r>
        <w:rPr>
          <w:b/>
        </w:rPr>
        <w:t>Ref. 1054:</w:t>
      </w:r>
      <w:r>
        <w:t xml:space="preserve"> citada para la duración del tratamiento ambulatorio (véase EXA-11).</w:t>
      </w:r>
    </w:p>
    <w:p>
      <w:pPr>
        <w:pStyle w:val="ListBullet2"/>
      </w:pPr>
      <w:r>
        <w:rPr>
          <w:b/>
        </w:rPr>
        <w:t>Ref. 565:</w:t>
      </w:r>
      <w:r>
        <w:t xml:space="preserve"> véase EXA-20.</w:t>
      </w:r>
    </w:p>
    <w:p>
      <w:pPr>
        <w:pStyle w:val="ListBullet"/>
      </w:pPr>
      <w:r>
        <w:rPr>
          <w:b/>
        </w:rPr>
        <w:t>Evidencia/justificación:</w:t>
      </w:r>
      <w:r>
        <w:t xml:space="preserve"> Verificación de títulos con </w:t>
      </w:r>
      <w:r>
        <w:rPr>
          <w:rFonts w:ascii="Consolas" w:hAnsi="Consolas"/>
        </w:rPr>
        <w:t>refs.py</w:t>
      </w:r>
      <w:r>
        <w:t xml:space="preserve"> sobre la lista de referencias (PDF 175-248).</w:t>
      </w:r>
    </w:p>
    <w:p>
      <w:pPr>
        <w:pStyle w:val="ListBullet"/>
      </w:pPr>
      <w:r>
        <w:rPr>
          <w:b/>
        </w:rPr>
        <w:t>Recomendación:</w:t>
      </w:r>
    </w:p>
    <w:p>
      <w:pPr>
        <w:pStyle w:val="ListBullet2"/>
      </w:pPr>
      <w:r>
        <w:t>Corregir las asignaciones: 938 para PACE y 1047 para Prins.</w:t>
      </w:r>
    </w:p>
    <w:p>
      <w:pPr>
        <w:pStyle w:val="ListBullet2"/>
      </w:pPr>
      <w:r>
        <w:t>Para la rehabilitación precoz, citar a Puhan MA et al. (Cochrane 2016, CD005305) o a Ryrsø 2018.</w:t>
      </w:r>
    </w:p>
    <w:p>
      <w:pPr>
        <w:pStyle w:val="ListBullet2"/>
      </w:pPr>
      <w:r>
        <w:t>Para el beneficio frente a placebo, citar a Vollenweider (Cochrane 2018).</w:t>
      </w:r>
    </w:p>
    <w:p>
      <w:pPr>
        <w:pStyle w:val="ListBullet2"/>
      </w:pPr>
      <w:r>
        <w:t>Revisar sistemáticamente las referencias del capítulo.</w:t>
      </w:r>
    </w:p>
    <w:p>
      <w:pPr>
        <w:pStyle w:val="ListBullet"/>
      </w:pPr>
      <w:r>
        <w:rPr>
          <w:b/>
        </w:rPr>
        <w:t>Confianza:</w:t>
      </w:r>
      <w:r>
        <w:t xml:space="preserve"> 5/5</w:t>
      </w:r>
    </w:p>
    <w:p>
      <w:pPr>
        <w:pStyle w:val="Heading4"/>
      </w:pPr>
      <w:r>
        <w:t>MET-15 · Se cita un artículo retractado (ref 241)</w:t>
      </w:r>
    </w:p>
    <w:p>
      <w:r>
        <w:rPr>
          <w:i/>
        </w:rPr>
        <w:t xml:space="preserve">Severidad final: </w:t>
      </w:r>
      <w:r>
        <w:rPr>
          <w:i/>
          <w:color w:val="FFC000"/>
        </w:rPr>
        <w:t>🟡</w:t>
      </w:r>
      <w:r>
        <w:rPr>
          <w:i/>
        </w:rPr>
        <w:t xml:space="preserve"> MEDIA · Tema T23: Integridad de citas y referencias</w:t>
      </w:r>
    </w:p>
    <w:p>
      <w:pPr>
        <w:pStyle w:val="IntenseQuote"/>
      </w:pPr>
      <w:r>
        <w:rPr>
          <w:b/>
        </w:rPr>
        <w:t>Verificación independiente (CONFIRMADO):</w:t>
      </w:r>
      <w:r>
        <w:t xml:space="preserve"> 1. Eliminar la ref. 241. 2. Sustituir las refs. 215 y 241 por fuentes válidas, por ejemplo la ref. 240 (Domej 2014) o una revisión actual. 3. Implantar un cribado de retractaciones mediante PubMed, Retraction Watch o Crossref.</w:t>
      </w:r>
    </w:p>
    <w:p>
      <w:pPr>
        <w:pStyle w:val="ListBullet"/>
      </w:pPr>
      <w:r>
        <w:rPr>
          <w:b/>
        </w:rPr>
        <w:t>Tipo:</w:t>
      </w:r>
      <w:r>
        <w:t xml:space="preserve"> Error factual</w:t>
      </w:r>
    </w:p>
    <w:p>
      <w:pPr>
        <w:pStyle w:val="ListBullet"/>
      </w:pPr>
      <w:r>
        <w:rPr>
          <w:b/>
        </w:rPr>
        <w:t>Severidad:</w:t>
      </w:r>
      <w:r>
        <w:t xml:space="preserve"> MEDIA</w:t>
      </w:r>
    </w:p>
    <w:p>
      <w:pPr>
        <w:pStyle w:val="ListBullet"/>
      </w:pPr>
      <w:r>
        <w:rPr>
          <w:b/>
        </w:rPr>
        <w:t>Ubicación:</w:t>
      </w:r>
      <w:r>
        <w:t xml:space="preserve"> PDF 28 / impr. 17 (cita); ref 241 (PDF 184 / impr. 173)</w:t>
      </w:r>
    </w:p>
    <w:p>
      <w:pPr>
        <w:pStyle w:val="ListBullet"/>
      </w:pPr>
      <w:r>
        <w:rPr>
          <w:b/>
        </w:rPr>
        <w:t>Cita:</w:t>
      </w:r>
      <w:r>
        <w:t xml:space="preserve"> «Oxidants are both generated by cigarette smoke and other inhaled particulates and released from activated inflammatory cells such as macrophages and neutrophils.(215,241)»</w:t>
      </w:r>
    </w:p>
    <w:p>
      <w:pPr>
        <w:pStyle w:val="ListBullet"/>
      </w:pPr>
      <w:r>
        <w:rPr>
          <w:b/>
        </w:rPr>
        <w:t>Problema:</w:t>
      </w:r>
    </w:p>
    <w:p>
      <w:pPr>
        <w:pStyle w:val="ListBullet2"/>
      </w:pPr>
      <w:r>
        <w:t>La ref 241 es Malhotra D et al., Am J Respir Crit Care Med 2009;180:1196-207 (PMID 19797762).</w:t>
      </w:r>
    </w:p>
    <w:p>
      <w:pPr>
        <w:pStyle w:val="ListBullet2"/>
      </w:pPr>
      <w:r>
        <w:t>Recibió una expresión de preocupación en 2014 y fue retractada en 2016 (AJRCCM 2016;193:344).</w:t>
      </w:r>
    </w:p>
    <w:p>
      <w:pPr>
        <w:pStyle w:val="ListBullet2"/>
      </w:pPr>
      <w:r>
        <w:t>El impacto clínico es mínimo porque la afirmación se sostiene con la ref 215, pero indica que no se cribaron retractaciones.</w:t>
      </w:r>
    </w:p>
    <w:p>
      <w:pPr>
        <w:pStyle w:val="ListBullet"/>
      </w:pPr>
      <w:r>
        <w:rPr>
          <w:b/>
        </w:rPr>
        <w:t>Evidencia/justificación:</w:t>
      </w:r>
      <w:r>
        <w:t xml:space="preserve"> Estado «Retracted Publication» del PMID 19797762 en NCBI esummary. Única retractación entre los 1696 PMIDs consultados.</w:t>
      </w:r>
    </w:p>
    <w:p>
      <w:pPr>
        <w:pStyle w:val="ListBullet"/>
      </w:pPr>
      <w:r>
        <w:rPr>
          <w:b/>
        </w:rPr>
        <w:t>Recomendación:</w:t>
      </w:r>
      <w:r>
        <w:t xml:space="preserve"> Eliminar la ref 241 e incorporar un cribado sistemático de retractaciones (PubMed, Retraction Watch/Crossref) antes de cada edición.</w:t>
      </w:r>
    </w:p>
    <w:p>
      <w:pPr>
        <w:pStyle w:val="ListBullet"/>
      </w:pPr>
      <w:r>
        <w:rPr>
          <w:b/>
        </w:rPr>
        <w:t>Confianza:</w:t>
      </w:r>
      <w:r>
        <w:t xml:space="preserve"> 5</w:t>
      </w:r>
    </w:p>
    <w:p>
      <w:pPr>
        <w:pStyle w:val="Heading4"/>
      </w:pPr>
      <w:r>
        <w:t>MET-17 · Otras citas que no respaldan la afirmación (refs 309, 1025, 1605, 319)</w:t>
      </w:r>
    </w:p>
    <w:p>
      <w:r>
        <w:rPr>
          <w:i/>
        </w:rPr>
        <w:t xml:space="preserve">Severidad final: </w:t>
      </w:r>
      <w:r>
        <w:rPr>
          <w:i/>
          <w:color w:val="FFC000"/>
        </w:rPr>
        <w:t>🟡</w:t>
      </w:r>
      <w:r>
        <w:rPr>
          <w:i/>
        </w:rPr>
        <w:t xml:space="preserve"> MEDIA · Tema T23: Integridad de citas y referencias</w:t>
      </w:r>
    </w:p>
    <w:p>
      <w:pPr>
        <w:pStyle w:val="ListBullet"/>
      </w:pPr>
      <w:r>
        <w:rPr>
          <w:b/>
        </w:rPr>
        <w:t>Tipo:</w:t>
      </w:r>
      <w:r>
        <w:t xml:space="preserve"> Evidencia mal representada</w:t>
      </w:r>
    </w:p>
    <w:p>
      <w:pPr>
        <w:pStyle w:val="ListBullet"/>
      </w:pPr>
      <w:r>
        <w:rPr>
          <w:b/>
        </w:rPr>
        <w:t>Severidad:</w:t>
      </w:r>
      <w:r>
        <w:t xml:space="preserve"> MEDIA</w:t>
      </w:r>
    </w:p>
    <w:p>
      <w:pPr>
        <w:pStyle w:val="ListBullet"/>
      </w:pPr>
      <w:r>
        <w:rPr>
          <w:b/>
        </w:rPr>
        <w:t>Ubicación:</w:t>
      </w:r>
      <w:r>
        <w:t xml:space="preserve"> PDF 34 / impr. 23; PDF 93 / impr. 82; PDF 114 / impr. 103; PDF 163 / impr. 152</w:t>
      </w:r>
    </w:p>
    <w:p>
      <w:pPr>
        <w:pStyle w:val="ListBullet"/>
      </w:pPr>
      <w:r>
        <w:rPr>
          <w:b/>
        </w:rPr>
        <w:t>Cita:</w:t>
      </w:r>
      <w:r>
        <w:t xml:space="preserve"> «Immediate-release morphine extended exercise endurance time in over half of the patients with advanced COPD in one study.(309)»</w:t>
      </w:r>
    </w:p>
    <w:p>
      <w:pPr>
        <w:pStyle w:val="ListBullet"/>
      </w:pPr>
      <w:r>
        <w:rPr>
          <w:b/>
        </w:rPr>
        <w:t>Problema:</w:t>
      </w:r>
    </w:p>
    <w:p>
      <w:pPr>
        <w:pStyle w:val="ListBullet2"/>
      </w:pPr>
      <w:r>
        <w:rPr>
          <w:b/>
        </w:rPr>
        <w:t>Ref 309</w:t>
      </w:r>
      <w:r>
        <w:t xml:space="preserve"> (MORDYC, Verberkt 2020, PMID 32804188).</w:t>
      </w:r>
    </w:p>
    <w:p>
      <w:pPr>
        <w:pStyle w:val="ListBullet2"/>
      </w:pPr>
      <w:r>
        <w:t>Evaluó morfina de liberación sostenida durante 4 semanas, con la disnea y el estado de salud como desenlaces. No estudió la morfina de liberación inmediata ni la resistencia al ejercicio.</w:t>
      </w:r>
    </w:p>
    <w:p>
      <w:pPr>
        <w:pStyle w:val="ListBullet2"/>
      </w:pPr>
      <w:r>
        <w:t>Tampoco sustenta la frase de PDF 34: «patients with high dyspnea scores incur higher healthcare resource utilization and costs.(309)».</w:t>
      </w:r>
    </w:p>
    <w:p>
      <w:pPr>
        <w:pStyle w:val="ListBullet2"/>
      </w:pPr>
      <w:r>
        <w:rPr>
          <w:b/>
        </w:rPr>
        <w:t>Ref 1025</w:t>
      </w:r>
      <w:r>
        <w:t xml:space="preserve"> (Aaron 2003, NEJM). Estudió pacientes dados de alta desde urgencias (ambulatorios), con la recaída como desenlace, pero se cita para la reducción de la estancia hospitalaria en PDF 114 («the length of hospitalization.(1020,1022,1025)»).</w:t>
      </w:r>
    </w:p>
    <w:p>
      <w:pPr>
        <w:pStyle w:val="ListBullet2"/>
      </w:pPr>
      <w:r>
        <w:rPr>
          <w:b/>
        </w:rPr>
        <w:t>Ref 1605</w:t>
      </w:r>
      <w:r>
        <w:t xml:space="preserve"> (ENHANCE, ensayo de eficacia). Se cita para un mecanismo, además enunciado de forma imprecisa: «PDE3 inhibition, through modulation of cyclic guanosine monophosphate levels, causes smooth muscle relaxation». La relajación del músculo liso bronquial mediada por PDE3 depende sobre todo del AMPc.</w:t>
      </w:r>
    </w:p>
    <w:p>
      <w:pPr>
        <w:pStyle w:val="ListBullet2"/>
      </w:pPr>
      <w:r>
        <w:rPr>
          <w:b/>
        </w:rPr>
        <w:t>Ref 319.</w:t>
      </w:r>
      <w:r>
        <w:t xml:space="preserve"> Es un protocolo de estudio observacional, citado para un dato epidemiológico (PDF 34).</w:t>
      </w:r>
    </w:p>
    <w:p>
      <w:pPr>
        <w:pStyle w:val="ListBullet"/>
      </w:pPr>
      <w:r>
        <w:rPr>
          <w:b/>
        </w:rPr>
        <w:t>Evidencia/justificación:</w:t>
      </w:r>
      <w:r>
        <w:t xml:space="preserve"> Abstracts de PubMed (efetch) de los PMIDs 32804188 y 12826636 y de la ref 1605.</w:t>
      </w:r>
    </w:p>
    <w:p>
      <w:pPr>
        <w:pStyle w:val="ListBullet"/>
      </w:pPr>
      <w:r>
        <w:rPr>
          <w:b/>
        </w:rPr>
        <w:t>Recomendación:</w:t>
      </w:r>
      <w:r>
        <w:t xml:space="preserve"> Sustituir por las fuentes adecuadas (p. ej., el ECA cruzado de morfina de liberación inmediata y ejercicio, y estudios de costes de la disnea) y corregir el mecanismo de la PDE3.</w:t>
      </w:r>
    </w:p>
    <w:p>
      <w:pPr>
        <w:pStyle w:val="ListBullet"/>
      </w:pPr>
      <w:r>
        <w:rPr>
          <w:b/>
        </w:rPr>
        <w:t>Confianza:</w:t>
      </w:r>
      <w:r>
        <w:t xml:space="preserve"> 4</w:t>
      </w:r>
    </w:p>
    <w:p>
      <w:pPr>
        <w:pStyle w:val="Heading4"/>
      </w:pPr>
      <w:r>
        <w:t>EPI-06 · Mortalidad: rango, cifras, años y fuentes incoherentes entre Background y el cap. 1</w:t>
      </w:r>
    </w:p>
    <w:p>
      <w:r>
        <w:rPr>
          <w:i/>
        </w:rPr>
        <w:t xml:space="preserve">Severidad final: </w:t>
      </w:r>
      <w:r>
        <w:rPr>
          <w:i/>
          <w:color w:val="FFC000"/>
        </w:rPr>
        <w:t>🟡</w:t>
      </w:r>
      <w:r>
        <w:rPr>
          <w:i/>
        </w:rPr>
        <w:t xml:space="preserve"> MEDIA · Tema T24: Cifras epidemiológicas y datos mal transcritos</w:t>
      </w:r>
    </w:p>
    <w:p>
      <w:pPr>
        <w:pStyle w:val="ListBullet"/>
      </w:pPr>
      <w:r>
        <w:rPr>
          <w:b/>
        </w:rPr>
        <w:t>Tipo:</w:t>
      </w:r>
      <w:r>
        <w:t xml:space="preserve"> Incongruencia interna / Desactualización</w:t>
      </w:r>
    </w:p>
    <w:p>
      <w:pPr>
        <w:pStyle w:val="ListBullet"/>
      </w:pPr>
      <w:r>
        <w:rPr>
          <w:b/>
        </w:rPr>
        <w:t>Severidad:</w:t>
      </w:r>
      <w:r>
        <w:t xml:space="preserve"> MEDIA</w:t>
      </w:r>
    </w:p>
    <w:p>
      <w:pPr>
        <w:pStyle w:val="ListBullet"/>
      </w:pPr>
      <w:r>
        <w:rPr>
          <w:b/>
        </w:rPr>
        <w:t>Ubicación:</w:t>
      </w:r>
      <w:r>
        <w:t xml:space="preserve"> PDF 12 / impr. 1 (Background) y PDF 20 / impr. 9 (Mortality)</w:t>
      </w:r>
    </w:p>
    <w:p>
      <w:pPr>
        <w:pStyle w:val="ListBullet"/>
      </w:pPr>
      <w:r>
        <w:rPr>
          <w:b/>
        </w:rPr>
        <w:t>Cita:</w:t>
      </w:r>
      <w:r>
        <w:t xml:space="preserve"> PDF 12: «one of the top three causes of death worldwide and nearly 90% of these deaths occur in LMICs.(1,2) More than 3 million people died of COPD in 2021 accounting for 5%…(3)»; PDF 20: «COPD is the third leading cause of death worldwide.(74)… 3.72 million in 2021»</w:t>
      </w:r>
    </w:p>
    <w:p>
      <w:pPr>
        <w:pStyle w:val="ListBullet"/>
      </w:pPr>
      <w:r>
        <w:rPr>
          <w:b/>
        </w:rPr>
        <w:t>Problema:</w:t>
      </w:r>
    </w:p>
    <w:p>
      <w:pPr>
        <w:pStyle w:val="ListBullet2"/>
      </w:pPr>
      <w:r>
        <w:rPr>
          <w:b/>
        </w:rPr>
        <w:t>Tres cifras distintas de muertes en 2021:</w:t>
      </w:r>
      <w:r>
        <w:t xml:space="preserve"> «&gt;3 M» (OMS), 3,5 M (fact sheet OMS citado como «2024») y 3,72 M (GBD 2021).</w:t>
      </w:r>
    </w:p>
    <w:p>
      <w:pPr>
        <w:pStyle w:val="ListBullet2"/>
      </w:pPr>
      <w:r>
        <w:rPr>
          <w:b/>
        </w:rPr>
        <w:t>El rango («third», ref 74) procede del GBD 2023, publicado después de la ventana de búsqueda</w:t>
      </w:r>
      <w:r>
        <w:t>, mientras que el recuento de muertes es del GBD 2021. En el GBD 2021 la EPOC era la 4.ª causa, por detrás de la COVID-19.</w:t>
      </w:r>
    </w:p>
    <w:p>
      <w:pPr>
        <w:pStyle w:val="ListBullet2"/>
      </w:pPr>
      <w:r>
        <w:rPr>
          <w:b/>
        </w:rPr>
        <w:t>El dato del 90% omite el calificativo de la OMS</w:t>
      </w:r>
      <w:r>
        <w:t>: según el fact sheet, se refiere a las muertes en menores de 70 años, no a todas las muertes por EPOC.</w:t>
      </w:r>
    </w:p>
    <w:p>
      <w:pPr>
        <w:pStyle w:val="ListBullet2"/>
      </w:pPr>
      <w:r>
        <w:rPr>
          <w:b/>
        </w:rPr>
        <w:t>La versión web vigente del fact sheet de la OMS</w:t>
      </w:r>
      <w:r>
        <w:t xml:space="preserve"> (consultada en «Oct 2025», ref 3) indica «third leading cause… 3.4 million deaths in 2023, approximately 6%», no lo que dice el Background.</w:t>
      </w:r>
    </w:p>
    <w:p>
      <w:pPr>
        <w:pStyle w:val="ListBullet"/>
      </w:pPr>
      <w:r>
        <w:rPr>
          <w:b/>
        </w:rPr>
        <w:t>Evidencia/justificación:</w:t>
      </w:r>
    </w:p>
    <w:p>
      <w:pPr>
        <w:pStyle w:val="ListBullet2"/>
      </w:pPr>
      <w:r>
        <w:t>Fact sheet de la OMS sobre EPOC (who.int/news-room/fact-sheets/detail/chronic-obstructive-pulmonary-disease-(copd)): «Nearly 90% of COPD deaths in those under 70 years of age occur in LMIC». Según mi conocimiento, la versión de 2024 decía «fourth… 3.5 million deaths in 2021». No pude fechar con exactitud la actualización.</w:t>
      </w:r>
    </w:p>
    <w:p>
      <w:pPr>
        <w:pStyle w:val="ListBullet2"/>
      </w:pPr>
      <w:r>
        <w:t xml:space="preserve">Wang Z et al., </w:t>
      </w:r>
      <w:r>
        <w:rPr>
          <w:i/>
        </w:rPr>
        <w:t>Respir Res</w:t>
      </w:r>
      <w:r>
        <w:t xml:space="preserve"> 2025;26:2 (GBD 2021, PMID 39748260): 3,72 M muertes.</w:t>
      </w:r>
    </w:p>
    <w:p>
      <w:pPr>
        <w:pStyle w:val="ListBullet2"/>
      </w:pPr>
      <w:r>
        <w:t xml:space="preserve">GBD 2023 Causes of Death Collaborators, </w:t>
      </w:r>
      <w:r>
        <w:rPr>
          <w:i/>
        </w:rPr>
        <w:t>Lancet</w:t>
      </w:r>
      <w:r>
        <w:t xml:space="preserve"> 2025;406:1811-72.</w:t>
      </w:r>
    </w:p>
    <w:p>
      <w:pPr>
        <w:pStyle w:val="ListBullet"/>
      </w:pPr>
      <w:r>
        <w:rPr>
          <w:b/>
        </w:rPr>
        <w:t>Recomendación:</w:t>
      </w:r>
    </w:p>
    <w:p>
      <w:pPr>
        <w:pStyle w:val="ListBullet2"/>
      </w:pPr>
      <w:r>
        <w:t>Armonizar todo el informe con una única fuente y año (preferiblemente el GBD 2023, ya citado, o el fact sheet vigente), indicando si son muertes absolutas, tasa bruta o estandarizada.</w:t>
      </w:r>
    </w:p>
    <w:p>
      <w:pPr>
        <w:pStyle w:val="ListBullet2"/>
      </w:pPr>
      <w:r>
        <w:t>Añadir «en menores de 70 años» al dato del 90%.</w:t>
      </w:r>
    </w:p>
    <w:p>
      <w:pPr>
        <w:pStyle w:val="ListBullet2"/>
      </w:pPr>
      <w:r>
        <w:t>Actualizar la fecha de la ref 3.</w:t>
      </w:r>
    </w:p>
    <w:p>
      <w:pPr>
        <w:pStyle w:val="ListBullet"/>
      </w:pPr>
      <w:r>
        <w:rPr>
          <w:b/>
        </w:rPr>
        <w:t>Confianza:</w:t>
      </w:r>
      <w:r>
        <w:t xml:space="preserve"> 4/5</w:t>
      </w:r>
    </w:p>
    <w:p>
      <w:pPr>
        <w:pStyle w:val="Heading4"/>
      </w:pPr>
      <w:r>
        <w:t>EPI-07 · Prevalencia GBD 2021: error de unidades y cambio no significativo presentado como tendencia</w:t>
      </w:r>
    </w:p>
    <w:p>
      <w:r>
        <w:rPr>
          <w:i/>
        </w:rPr>
        <w:t xml:space="preserve">Severidad final: </w:t>
      </w:r>
      <w:r>
        <w:rPr>
          <w:i/>
          <w:color w:val="FFC000"/>
        </w:rPr>
        <w:t>🟡</w:t>
      </w:r>
      <w:r>
        <w:rPr>
          <w:i/>
        </w:rPr>
        <w:t xml:space="preserve"> MEDIA · Tema T24: Cifras epidemiológicas y datos mal transcritos</w:t>
      </w:r>
    </w:p>
    <w:p>
      <w:pPr>
        <w:pStyle w:val="IntenseQuote"/>
      </w:pPr>
      <w:r>
        <w:rPr>
          <w:b/>
        </w:rPr>
        <w:t>Verificación independiente (CONFIRMADO):</w:t>
      </w:r>
      <w:r>
        <w:t xml:space="preserve"> Escribir «2.513 por 100.000 (≈2,5 %)». Indicar que la variación desde 1990 no es significativa. Matiz: la guía no habla expresamente de «tendencia», así que esa parte del hallazgo es menor.</w:t>
      </w:r>
    </w:p>
    <w:p>
      <w:pPr>
        <w:pStyle w:val="ListBullet"/>
      </w:pPr>
      <w:r>
        <w:rPr>
          <w:b/>
        </w:rPr>
        <w:t>Tipo:</w:t>
      </w:r>
      <w:r>
        <w:t xml:space="preserve"> Error factual / Evidencia mal representada</w:t>
      </w:r>
    </w:p>
    <w:p>
      <w:pPr>
        <w:pStyle w:val="ListBullet"/>
      </w:pPr>
      <w:r>
        <w:rPr>
          <w:b/>
        </w:rPr>
        <w:t>Severidad:</w:t>
      </w:r>
      <w:r>
        <w:t xml:space="preserve"> MEDIA</w:t>
      </w:r>
    </w:p>
    <w:p>
      <w:pPr>
        <w:pStyle w:val="ListBullet"/>
      </w:pPr>
      <w:r>
        <w:rPr>
          <w:b/>
        </w:rPr>
        <w:t>Ubicación:</w:t>
      </w:r>
      <w:r>
        <w:t xml:space="preserve"> PDF 19 / impr. 8 — Prevalence</w:t>
      </w:r>
    </w:p>
    <w:p>
      <w:pPr>
        <w:pStyle w:val="ListBullet"/>
      </w:pPr>
      <w:r>
        <w:rPr>
          <w:b/>
        </w:rPr>
        <w:t>Cita:</w:t>
      </w:r>
      <w:r>
        <w:t xml:space="preserve"> «213.39 million cases of COPD of all ages, which represents a prevalence of 2.7% (2.5 age-standardized prevalence per 100,000) a change of −1.46% since 1990.(70)»</w:t>
      </w:r>
    </w:p>
    <w:p>
      <w:pPr>
        <w:pStyle w:val="ListBullet"/>
      </w:pPr>
      <w:r>
        <w:rPr>
          <w:b/>
        </w:rPr>
        <w:t>Problema:</w:t>
      </w:r>
    </w:p>
    <w:p>
      <w:pPr>
        <w:pStyle w:val="ListNumber"/>
        <w:numPr>
          <w:ilvl w:val="0"/>
          <w:numId w:val="47"/>
        </w:numPr>
      </w:pPr>
      <w:r>
        <w:rPr>
          <w:b/>
        </w:rPr>
        <w:t>«2.5 per 100,000» es erróneo:</w:t>
      </w:r>
      <w:r>
        <w:t xml:space="preserve"> la prevalencia estandarizada es del orden de 2.500 por 100.000 (≈2,5%). El propio párrafo siguiente habla de «more than 3,000 cases per 100,000» en algunas regiones.</w:t>
      </w:r>
    </w:p>
    <w:p>
      <w:pPr>
        <w:pStyle w:val="ListNumber"/>
        <w:numPr>
          <w:ilvl w:val="0"/>
          <w:numId w:val="47"/>
        </w:numPr>
      </w:pPr>
      <w:r>
        <w:rPr>
          <w:b/>
        </w:rPr>
        <w:t>El −1,46% no es estadísticamente distinto de cero</w:t>
      </w:r>
      <w:r>
        <w:t>, y el texto lo presenta como cambio.</w:t>
      </w:r>
    </w:p>
    <w:p>
      <w:pPr>
        <w:pStyle w:val="ListNumber"/>
        <w:numPr>
          <w:ilvl w:val="0"/>
          <w:numId w:val="47"/>
        </w:numPr>
      </w:pPr>
      <w:r>
        <w:rPr>
          <w:b/>
        </w:rPr>
        <w:t>Contradicción en las edades incluidas:</w:t>
      </w:r>
      <w:r>
        <w:t xml:space="preserve"> el párrafo previo atribuye las discrepancias a que el GBD incluye a personas «≥ 15 years», mientras la cifra se da para «all ages».</w:t>
      </w:r>
    </w:p>
    <w:p>
      <w:pPr>
        <w:pStyle w:val="ListBullet"/>
      </w:pPr>
      <w:r>
        <w:rPr>
          <w:b/>
        </w:rPr>
        <w:t>Evidencia/justificación:</w:t>
      </w:r>
      <w:r>
        <w:t xml:space="preserve"> Wang Z et al., </w:t>
      </w:r>
      <w:r>
        <w:rPr>
          <w:i/>
        </w:rPr>
        <w:t>Respir Res</w:t>
      </w:r>
      <w:r>
        <w:t xml:space="preserve"> 2025;26:2 (doi:10.1186/s12931-024-03051-2): variación de la prevalencia estandarizada de −1,46% (UI 95% −3,36 a 0,39).</w:t>
      </w:r>
    </w:p>
    <w:p>
      <w:pPr>
        <w:pStyle w:val="ListBullet"/>
      </w:pPr>
      <w:r>
        <w:rPr>
          <w:b/>
        </w:rPr>
        <w:t>Recomendación:</w:t>
      </w:r>
    </w:p>
    <w:p>
      <w:pPr>
        <w:pStyle w:val="ListBullet2"/>
      </w:pPr>
      <w:r>
        <w:t>Corregir a «≈2.500 por 100.000 (2,5%)».</w:t>
      </w:r>
    </w:p>
    <w:p>
      <w:pPr>
        <w:pStyle w:val="ListBullet2"/>
      </w:pPr>
      <w:r>
        <w:t>Reportar el intervalo de incertidumbre y describir la tendencia como «estable».</w:t>
      </w:r>
    </w:p>
    <w:p>
      <w:pPr>
        <w:pStyle w:val="ListBullet2"/>
      </w:pPr>
      <w:r>
        <w:t>Aclarar el rango de edad del GBD.</w:t>
      </w:r>
    </w:p>
    <w:p>
      <w:pPr>
        <w:pStyle w:val="ListBullet"/>
      </w:pPr>
      <w:r>
        <w:rPr>
          <w:b/>
        </w:rPr>
        <w:t>Confianza:</w:t>
      </w:r>
      <w:r>
        <w:t xml:space="preserve"> 5/5</w:t>
      </w:r>
    </w:p>
    <w:p>
      <w:pPr>
        <w:pStyle w:val="Heading4"/>
      </w:pPr>
      <w:r>
        <w:t>EPI-08 · Figure 1.1: eje mal rotulado y comparación de estimaciones no comparables</w:t>
      </w:r>
    </w:p>
    <w:p>
      <w:r>
        <w:rPr>
          <w:i/>
        </w:rPr>
        <w:t xml:space="preserve">Severidad final: </w:t>
      </w:r>
      <w:r>
        <w:rPr>
          <w:i/>
          <w:color w:val="FFC000"/>
        </w:rPr>
        <w:t>🟡</w:t>
      </w:r>
      <w:r>
        <w:rPr>
          <w:i/>
        </w:rPr>
        <w:t xml:space="preserve"> MEDIA · Tema T24: Cifras epidemiológicas y datos mal transcritos</w:t>
      </w:r>
    </w:p>
    <w:p>
      <w:pPr>
        <w:pStyle w:val="ListBullet"/>
      </w:pPr>
      <w:r>
        <w:rPr>
          <w:b/>
        </w:rPr>
        <w:t>Tipo:</w:t>
      </w:r>
      <w:r>
        <w:t xml:space="preserve"> Error factual / Ambigüedad</w:t>
      </w:r>
    </w:p>
    <w:p>
      <w:pPr>
        <w:pStyle w:val="ListBullet"/>
      </w:pPr>
      <w:r>
        <w:rPr>
          <w:b/>
        </w:rPr>
        <w:t>Severidad:</w:t>
      </w:r>
      <w:r>
        <w:t xml:space="preserve"> MEDIA</w:t>
      </w:r>
    </w:p>
    <w:p>
      <w:pPr>
        <w:pStyle w:val="ListBullet"/>
      </w:pPr>
      <w:r>
        <w:rPr>
          <w:b/>
        </w:rPr>
        <w:t>Ubicación:</w:t>
      </w:r>
      <w:r>
        <w:t xml:space="preserve"> PDF 20 / impr. 9 — Figure 1.1 (prevalencia según fuentes)</w:t>
      </w:r>
    </w:p>
    <w:p>
      <w:pPr>
        <w:pStyle w:val="ListBullet"/>
      </w:pPr>
      <w:r>
        <w:rPr>
          <w:b/>
        </w:rPr>
        <w:t>Cita:</w:t>
      </w:r>
      <w:r>
        <w:t xml:space="preserve"> Rótulo del eje: «Number of cases (per million)»</w:t>
      </w:r>
    </w:p>
    <w:p>
      <w:pPr>
        <w:pStyle w:val="ListBullet"/>
      </w:pPr>
      <w:r>
        <w:rPr>
          <w:b/>
        </w:rPr>
        <w:t>Problema:</w:t>
      </w:r>
    </w:p>
    <w:p>
      <w:pPr>
        <w:pStyle w:val="ListBullet2"/>
      </w:pPr>
      <w:r>
        <w:rPr>
          <w:b/>
        </w:rPr>
        <w:t>Error de unidad:</w:t>
      </w:r>
      <w:r>
        <w:t xml:space="preserve"> la tabla de la figura da 212, 213, 392 y 479 «per million»; son millones de casos, no casos «por millón».</w:t>
      </w:r>
    </w:p>
    <w:p>
      <w:pPr>
        <w:pStyle w:val="ListBullet2"/>
      </w:pPr>
      <w:r>
        <w:rPr>
          <w:b/>
        </w:rPr>
        <w:t>Se yuxtaponen estimaciones con poblaciones, definiciones y tipos de tasa distintos sin indicarlo</w:t>
      </w:r>
      <w:r>
        <w:t xml:space="preserve"> (solo figura el año): GBD 2019 (Safiri, prevalencia estandarizada 2,6%, todas las edades), GBD 2021 (2,5% estandarizada frente a 2,7% bruta en el texto), Adeloye 2019 (30-79 años, espirometría con cociente fijo, 10,3%, 392 M) y Boers 2020 («Other sources»: ≥25 años, 10,6%, ≈479 M).</w:t>
      </w:r>
    </w:p>
    <w:p>
      <w:pPr>
        <w:pStyle w:val="ListBullet2"/>
      </w:pPr>
      <w:r>
        <w:rPr>
          <w:b/>
        </w:rPr>
        <w:t>El lector puede interpretar la diferencia (≈213 M frente a ≈392-479 M) como una tendencia</w:t>
      </w:r>
      <w:r>
        <w:t xml:space="preserve"> cuando es un artefacto de método.</w:t>
      </w:r>
    </w:p>
    <w:p>
      <w:pPr>
        <w:pStyle w:val="ListBullet"/>
      </w:pPr>
      <w:r>
        <w:rPr>
          <w:b/>
        </w:rPr>
        <w:t>Evidencia/justificación:</w:t>
      </w:r>
    </w:p>
    <w:p>
      <w:pPr>
        <w:pStyle w:val="ListBullet2"/>
      </w:pPr>
      <w:r>
        <w:t xml:space="preserve">Safiri S et al., </w:t>
      </w:r>
      <w:r>
        <w:rPr>
          <w:i/>
        </w:rPr>
        <w:t>BMJ</w:t>
      </w:r>
      <w:r>
        <w:t xml:space="preserve"> 2022;378:e069679.</w:t>
      </w:r>
    </w:p>
    <w:p>
      <w:pPr>
        <w:pStyle w:val="ListBullet2"/>
      </w:pPr>
      <w:r>
        <w:t xml:space="preserve">Adeloye D et al., </w:t>
      </w:r>
      <w:r>
        <w:rPr>
          <w:i/>
        </w:rPr>
        <w:t>Lancet Respir Med</w:t>
      </w:r>
      <w:r>
        <w:t xml:space="preserve"> 2022;10:447-58 (PMID 35279265).</w:t>
      </w:r>
    </w:p>
    <w:p>
      <w:pPr>
        <w:pStyle w:val="ListBullet2"/>
      </w:pPr>
      <w:r>
        <w:t xml:space="preserve">Boers E et al., </w:t>
      </w:r>
      <w:r>
        <w:rPr>
          <w:i/>
        </w:rPr>
        <w:t>JAMA Netw Open</w:t>
      </w:r>
      <w:r>
        <w:t xml:space="preserve"> 2023;6:e2346598 (PMID 38060225).</w:t>
      </w:r>
    </w:p>
    <w:p>
      <w:pPr>
        <w:pStyle w:val="ListBullet"/>
      </w:pPr>
      <w:r>
        <w:rPr>
          <w:b/>
        </w:rPr>
        <w:t>Recomendación:</w:t>
      </w:r>
      <w:r>
        <w:t xml:space="preserve"> Corregir la unidad a «millones de casos» y añadir para cada columna:</w:t>
      </w:r>
    </w:p>
    <w:p>
      <w:pPr>
        <w:pStyle w:val="ListBullet2"/>
      </w:pPr>
      <w:r>
        <w:t>el rango de edad;</w:t>
      </w:r>
    </w:p>
    <w:p>
      <w:pPr>
        <w:pStyle w:val="ListBullet2"/>
      </w:pPr>
      <w:r>
        <w:t>la definición (diagnóstico médico/modelado frente a espirometría con FEV1/FVC &lt;0,7 o LLN);</w:t>
      </w:r>
    </w:p>
    <w:p>
      <w:pPr>
        <w:pStyle w:val="ListBullet2"/>
      </w:pPr>
      <w:r>
        <w:t>el tipo de tasa;</w:t>
      </w:r>
    </w:p>
    <w:p>
      <w:pPr>
        <w:pStyle w:val="ListBullet2"/>
      </w:pPr>
      <w:r>
        <w:t>una nota explicando por qué las estimaciones del GBD son menores.</w:t>
      </w:r>
    </w:p>
    <w:p>
      <w:pPr>
        <w:pStyle w:val="ListBullet"/>
      </w:pPr>
      <w:r>
        <w:rPr>
          <w:b/>
        </w:rPr>
        <w:t>Confianza:</w:t>
      </w:r>
      <w:r>
        <w:t xml:space="preserve"> 5/5</w:t>
      </w:r>
    </w:p>
    <w:p>
      <w:pPr>
        <w:pStyle w:val="Heading4"/>
      </w:pPr>
      <w:r>
        <w:t>EPI-09 · Fracciones atribuibles a tabaco y contaminación: cifras heterogéneas, no aditivas y de fuentes débiles</w:t>
      </w:r>
    </w:p>
    <w:p>
      <w:r>
        <w:rPr>
          <w:i/>
        </w:rPr>
        <w:t xml:space="preserve">Severidad final: </w:t>
      </w:r>
      <w:r>
        <w:rPr>
          <w:i/>
          <w:color w:val="FFC000"/>
        </w:rPr>
        <w:t>🟡</w:t>
      </w:r>
      <w:r>
        <w:rPr>
          <w:i/>
        </w:rPr>
        <w:t xml:space="preserve"> MEDIA · Tema T24: Cifras epidemiológicas y datos mal transcritos</w:t>
      </w:r>
    </w:p>
    <w:p>
      <w:pPr>
        <w:pStyle w:val="ListBullet"/>
      </w:pPr>
      <w:r>
        <w:rPr>
          <w:b/>
        </w:rPr>
        <w:t>Tipo:</w:t>
      </w:r>
      <w:r>
        <w:t xml:space="preserve"> Incongruencia interna / Evidencia mal representada</w:t>
      </w:r>
    </w:p>
    <w:p>
      <w:pPr>
        <w:pStyle w:val="ListBullet"/>
      </w:pPr>
      <w:r>
        <w:rPr>
          <w:b/>
        </w:rPr>
        <w:t>Severidad:</w:t>
      </w:r>
      <w:r>
        <w:t xml:space="preserve"> MEDIA</w:t>
      </w:r>
    </w:p>
    <w:p>
      <w:pPr>
        <w:pStyle w:val="ListBullet"/>
      </w:pPr>
      <w:r>
        <w:rPr>
          <w:b/>
        </w:rPr>
        <w:t>Ubicación:</w:t>
      </w:r>
      <w:r>
        <w:t xml:space="preserve"> PDF 16 / impr. 5; PDF 17 / impr. 6; PDF 20 / impr. 9</w:t>
      </w:r>
    </w:p>
    <w:p>
      <w:pPr>
        <w:pStyle w:val="ListBullet"/>
      </w:pPr>
      <w:r>
        <w:rPr>
          <w:b/>
        </w:rPr>
        <w:t>Cita:</w:t>
      </w:r>
      <w:r>
        <w:t xml:space="preserve"> PDF 16: «half of all COPD cases worldwide are due to risk factors other than tobacco»; PDF 17: «responsible for approximately 50% of the attributable risk for COPD in LMICs.(43)»; PDF 20: «Smoking contributes to 35% of the COPD deaths globally»</w:t>
      </w:r>
    </w:p>
    <w:p>
      <w:pPr>
        <w:pStyle w:val="ListBullet"/>
      </w:pPr>
      <w:r>
        <w:rPr>
          <w:b/>
        </w:rPr>
        <w:t>Problema:</w:t>
      </w:r>
      <w:r>
        <w:t xml:space="preserve"> Se mezclan métricas distintas sin explicarlas:</w:t>
      </w:r>
    </w:p>
    <w:p>
      <w:pPr>
        <w:pStyle w:val="ListBullet2"/>
      </w:pPr>
      <w:r>
        <w:t>casos (PDF 16);</w:t>
      </w:r>
    </w:p>
    <w:p>
      <w:pPr>
        <w:pStyle w:val="ListBullet2"/>
      </w:pPr>
      <w:r>
        <w:t>«total burden» (PDF 16);</w:t>
      </w:r>
    </w:p>
    <w:p>
      <w:pPr>
        <w:pStyle w:val="ListBullet2"/>
      </w:pPr>
      <w:r>
        <w:t>riesgo atribuible en LMIC (PDF 17, con una web como fuente, ref 43 GBD Viz Hub);</w:t>
      </w:r>
    </w:p>
    <w:p>
      <w:pPr>
        <w:pStyle w:val="ListBullet2"/>
      </w:pPr>
      <w:r>
        <w:t>muertes (PDF 20).</w:t>
      </w:r>
    </w:p>
    <w:p>
      <w:r>
        <w:t>Además, se infiere que «non-smoking risk factors now contribute to over 50%» a partir de que los LMIC aportan «over 85% of the total burden», cifra distinta del 80,5% de casos de Adeloye que el propio capítulo cita en PDF 19. Las fracciones atribuibles poblacionales (PAF) de distintos factores no son aditivas, y el texto no lo advierte.</w:t>
      </w:r>
    </w:p>
    <w:p>
      <w:pPr>
        <w:pStyle w:val="ListBullet"/>
      </w:pPr>
      <w:r>
        <w:rPr>
          <w:b/>
        </w:rPr>
        <w:t>Evidencia/justificación:</w:t>
      </w:r>
      <w:r>
        <w:t xml:space="preserve"> Wang 2025 (GBD 2021) da las PAF de los DALY por EPOC: tabaco ≈34,8%, PM ambiental ≈22,2%, contaminación doméstica ≈19,5% y exposición ocupacional ≈15,8%. Su suma supera el 90% porque se solapan. Adeloye 2022: 80,5% de los casos en LMIC.</w:t>
      </w:r>
    </w:p>
    <w:p>
      <w:pPr>
        <w:pStyle w:val="ListBullet"/>
      </w:pPr>
      <w:r>
        <w:rPr>
          <w:b/>
        </w:rPr>
        <w:t>Recomendación:</w:t>
      </w:r>
      <w:r>
        <w:t xml:space="preserve"> Sustituir estas frases por una tabla única de PAF del GBD 2021/2023 (muertes y DALY, global y por nivel de ingresos/SDI), con una nota explícita de no aditividad. Citar fuentes revisadas por pares en lugar de la web del IHME.</w:t>
      </w:r>
    </w:p>
    <w:p>
      <w:pPr>
        <w:pStyle w:val="ListBullet"/>
      </w:pPr>
      <w:r>
        <w:rPr>
          <w:b/>
        </w:rPr>
        <w:t>Confianza:</w:t>
      </w:r>
      <w:r>
        <w:t xml:space="preserve"> 4/5</w:t>
      </w:r>
    </w:p>
    <w:p>
      <w:pPr>
        <w:pStyle w:val="Heading4"/>
      </w:pPr>
      <w:r>
        <w:t>EPI-10 · Códigos CIE-10 erróneos («J42-46», «COPD and allied conditions»)</w:t>
      </w:r>
    </w:p>
    <w:p>
      <w:r>
        <w:rPr>
          <w:i/>
        </w:rPr>
        <w:t xml:space="preserve">Severidad final: </w:t>
      </w:r>
      <w:r>
        <w:rPr>
          <w:i/>
          <w:color w:val="FFC000"/>
        </w:rPr>
        <w:t>🟡</w:t>
      </w:r>
      <w:r>
        <w:rPr>
          <w:i/>
        </w:rPr>
        <w:t xml:space="preserve"> MEDIA · Tema T24: Cifras epidemiológicas y datos mal transcritos</w:t>
      </w:r>
    </w:p>
    <w:p>
      <w:pPr>
        <w:pStyle w:val="IntenseQuote"/>
      </w:pPr>
      <w:r>
        <w:rPr>
          <w:b/>
        </w:rPr>
        <w:t>Verificación independiente (CONFIRMADO):</w:t>
      </w:r>
      <w:r>
        <w:t xml:space="preserve"> Escribir «CIE-10 J40-J44 (EPOC); CIE-9 490-496 "COPD and allied conditions"». Corrección al hallazgo: el GBD incluye J47, no solo J41-J44.</w:t>
      </w:r>
    </w:p>
    <w:p>
      <w:pPr>
        <w:pStyle w:val="ListBullet"/>
      </w:pPr>
      <w:r>
        <w:rPr>
          <w:b/>
        </w:rPr>
        <w:t>Tipo:</w:t>
      </w:r>
      <w:r>
        <w:t xml:space="preserve"> Error factual</w:t>
      </w:r>
    </w:p>
    <w:p>
      <w:pPr>
        <w:pStyle w:val="ListBullet"/>
      </w:pPr>
      <w:r>
        <w:rPr>
          <w:b/>
        </w:rPr>
        <w:t>Severidad:</w:t>
      </w:r>
      <w:r>
        <w:t xml:space="preserve"> MEDIA</w:t>
      </w:r>
    </w:p>
    <w:p>
      <w:pPr>
        <w:pStyle w:val="ListBullet"/>
      </w:pPr>
      <w:r>
        <w:rPr>
          <w:b/>
        </w:rPr>
        <w:t>Ubicación:</w:t>
      </w:r>
      <w:r>
        <w:t xml:space="preserve"> PDF 21 / impr. 10 — Mortality</w:t>
      </w:r>
    </w:p>
    <w:p>
      <w:pPr>
        <w:pStyle w:val="ListBullet"/>
      </w:pPr>
      <w:r>
        <w:rPr>
          <w:b/>
        </w:rPr>
        <w:t>Cita:</w:t>
      </w:r>
      <w:r>
        <w:t xml:space="preserve"> «included in the broad category of “COPD and allied conditions” (ICD-10 codes J42-46).»</w:t>
      </w:r>
    </w:p>
    <w:p>
      <w:pPr>
        <w:pStyle w:val="ListBullet"/>
      </w:pPr>
      <w:r>
        <w:rPr>
          <w:b/>
        </w:rPr>
        <w:t>Problema:</w:t>
      </w:r>
    </w:p>
    <w:p>
      <w:pPr>
        <w:pStyle w:val="ListBullet2"/>
      </w:pPr>
      <w:r>
        <w:rPr>
          <w:b/>
        </w:rPr>
        <w:t>«COPD and allied conditions» es la terminología de la CIE-9</w:t>
      </w:r>
      <w:r>
        <w:t xml:space="preserve"> (códigos 490-496), no de la CIE-10.</w:t>
      </w:r>
    </w:p>
    <w:p>
      <w:pPr>
        <w:pStyle w:val="ListBullet2"/>
      </w:pPr>
      <w:r>
        <w:rPr>
          <w:b/>
        </w:rPr>
        <w:t>En la CIE-10, J45-J46 son asma y estado asmático.</w:t>
      </w:r>
      <w:r>
        <w:t xml:space="preserve"> La EPOC se codifica en J44 (J40-J43 bronquitis/enfisema; J47 bronquiectasias).</w:t>
      </w:r>
    </w:p>
    <w:p>
      <w:pPr>
        <w:pStyle w:val="ListBullet2"/>
      </w:pPr>
      <w:r>
        <w:rPr>
          <w:b/>
        </w:rPr>
        <w:t>Usar J42-46 como definición de mortalidad por EPOC incluiría el asma</w:t>
      </w:r>
      <w:r>
        <w:t xml:space="preserve"> y excluiría parte del enfisema/bronquitis, lo que sesgaría cualquier análisis que siga esta indicación.</w:t>
      </w:r>
    </w:p>
    <w:p>
      <w:pPr>
        <w:pStyle w:val="ListBullet"/>
      </w:pPr>
      <w:r>
        <w:rPr>
          <w:b/>
        </w:rPr>
        <w:t>Evidencia/justificación:</w:t>
      </w:r>
      <w:r>
        <w:t xml:space="preserve"> CIE-10 de la OMS (versión 2019), capítulo X, bloque J40-J47 «Chronic lower respiratory diseases». El GBD define la EPOC con J41-J44.</w:t>
      </w:r>
    </w:p>
    <w:p>
      <w:pPr>
        <w:pStyle w:val="ListBullet"/>
      </w:pPr>
      <w:r>
        <w:rPr>
          <w:b/>
        </w:rPr>
        <w:t>Recomendación:</w:t>
      </w:r>
      <w:r>
        <w:t xml:space="preserve"> Corregir a «CIE-10 J40-J44 (principalmente J44); en la CIE-9, 490-492 y 496 ("COPD and allied conditions", 490-496)». Añadir una advertencia sobre la codificación como causa contribuyente frente a causa básica.</w:t>
      </w:r>
    </w:p>
    <w:p>
      <w:pPr>
        <w:pStyle w:val="ListBullet"/>
      </w:pPr>
      <w:r>
        <w:rPr>
          <w:b/>
        </w:rPr>
        <w:t>Confianza:</w:t>
      </w:r>
      <w:r>
        <w:t xml:space="preserve"> 5/5</w:t>
      </w:r>
    </w:p>
    <w:p>
      <w:pPr>
        <w:pStyle w:val="Heading4"/>
      </w:pPr>
      <w:r>
        <w:t>EPI-11 · Boers 2025: las exacerbaciones son un número de episodios, no dólares</w:t>
      </w:r>
    </w:p>
    <w:p>
      <w:r>
        <w:rPr>
          <w:i/>
        </w:rPr>
        <w:t xml:space="preserve">Severidad final: </w:t>
      </w:r>
      <w:r>
        <w:rPr>
          <w:i/>
          <w:color w:val="FFC000"/>
        </w:rPr>
        <w:t>🟡</w:t>
      </w:r>
      <w:r>
        <w:rPr>
          <w:i/>
        </w:rPr>
        <w:t xml:space="preserve"> MEDIA · Tema T24: Cifras epidemiológicas y datos mal transcritos</w:t>
      </w:r>
    </w:p>
    <w:p>
      <w:pPr>
        <w:pStyle w:val="IntenseQuote"/>
      </w:pPr>
      <w:r>
        <w:rPr>
          <w:b/>
        </w:rPr>
        <w:t>Verificación independiente (CONFIRMADO):</w:t>
      </w:r>
      <w:r>
        <w:t xml:space="preserve"> Cambiar a «15.600 millones de exacerbaciones acumuladas». Revisar también «trillion»/«billion» en todo el párrafo. Mencionar la financiación del estudio (industria).</w:t>
      </w:r>
    </w:p>
    <w:p>
      <w:pPr>
        <w:pStyle w:val="ListBullet"/>
      </w:pPr>
      <w:r>
        <w:rPr>
          <w:b/>
        </w:rPr>
        <w:t>Tipo:</w:t>
      </w:r>
      <w:r>
        <w:t xml:space="preserve"> Error factual</w:t>
      </w:r>
    </w:p>
    <w:p>
      <w:pPr>
        <w:pStyle w:val="ListBullet"/>
      </w:pPr>
      <w:r>
        <w:rPr>
          <w:b/>
        </w:rPr>
        <w:t>Severidad:</w:t>
      </w:r>
      <w:r>
        <w:t xml:space="preserve"> MEDIA</w:t>
      </w:r>
    </w:p>
    <w:p>
      <w:pPr>
        <w:pStyle w:val="ListBullet"/>
      </w:pPr>
      <w:r>
        <w:rPr>
          <w:b/>
        </w:rPr>
        <w:t>Ubicación:</w:t>
      </w:r>
      <w:r>
        <w:t xml:space="preserve"> PDF 21 / impr. 10 — Economic burden</w:t>
      </w:r>
    </w:p>
    <w:p>
      <w:pPr>
        <w:pStyle w:val="ListBullet"/>
      </w:pPr>
      <w:r>
        <w:rPr>
          <w:b/>
        </w:rPr>
        <w:t>Cita:</w:t>
      </w:r>
      <w:r>
        <w:t xml:space="preserve"> «and exacerbations are estimated to be $15.60 billion (a relative growth of 584% compared with 2025).(100)»</w:t>
      </w:r>
    </w:p>
    <w:p>
      <w:pPr>
        <w:pStyle w:val="ListBullet"/>
      </w:pPr>
      <w:r>
        <w:rPr>
          <w:b/>
        </w:rPr>
        <w:t>Problema:</w:t>
      </w:r>
    </w:p>
    <w:p>
      <w:pPr>
        <w:pStyle w:val="ListBullet2"/>
      </w:pPr>
      <w:r>
        <w:rPr>
          <w:b/>
        </w:rPr>
        <w:t>Confunde la métrica:</w:t>
      </w:r>
      <w:r>
        <w:t xml:space="preserve"> Boers et al. estiman unos </w:t>
      </w:r>
      <w:r>
        <w:rPr>
          <w:b/>
        </w:rPr>
        <w:t>15.600 millones de exacerbaciones</w:t>
      </w:r>
      <w:r>
        <w:t xml:space="preserve"> acumuladas en 2025-2050, no un coste de 15.600 M$.</w:t>
      </w:r>
    </w:p>
    <w:p>
      <w:pPr>
        <w:pStyle w:val="ListBullet2"/>
      </w:pPr>
      <w:r>
        <w:rPr>
          <w:b/>
        </w:rPr>
        <w:t>La frase, situada entre billones (trillions) de dólares, sugiere que las exacerbaciones son económicamente marginales.</w:t>
      </w:r>
      <w:r>
        <w:t xml:space="preserve"> Esto contradice la frase siguiente: «Exacerbations account for the greatest proportion of the total COPD burden».</w:t>
      </w:r>
    </w:p>
    <w:p>
      <w:pPr>
        <w:pStyle w:val="ListBullet2"/>
      </w:pPr>
      <w:r>
        <w:rPr>
          <w:b/>
        </w:rPr>
        <w:t>Faltan aclaraciones metodológicas:</w:t>
      </w:r>
      <w:r>
        <w:t xml:space="preserve"> que son cifras </w:t>
      </w:r>
      <w:r>
        <w:rPr>
          <w:b/>
        </w:rPr>
        <w:t>acumuladas</w:t>
      </w:r>
      <w:r>
        <w:t xml:space="preserve"> 2025-2050 y en qué unidad monetaria están (dólares internacionales de 2025).</w:t>
      </w:r>
    </w:p>
    <w:p>
      <w:pPr>
        <w:pStyle w:val="ListBullet"/>
      </w:pPr>
      <w:r>
        <w:rPr>
          <w:b/>
        </w:rPr>
        <w:t>Evidencia/justificación:</w:t>
      </w:r>
      <w:r>
        <w:t xml:space="preserve"> Boers E et al., «Forecasting the Global Economic and Health Burden of COPD From 2025 Through 2050», </w:t>
      </w:r>
      <w:r>
        <w:rPr>
          <w:i/>
        </w:rPr>
        <w:t>Chest</w:t>
      </w:r>
      <w:r>
        <w:t xml:space="preserve"> 2025;168(4):880-9 (PMID 40254152): costes directos acumulados de 24,35 billones de dólares e indirectos de 15,43 billones; 15,6 mil millones de exacerbaciones.</w:t>
      </w:r>
    </w:p>
    <w:p>
      <w:pPr>
        <w:pStyle w:val="ListBullet"/>
      </w:pPr>
      <w:r>
        <w:rPr>
          <w:b/>
        </w:rPr>
        <w:t>Recomendación:</w:t>
      </w:r>
      <w:r>
        <w:t xml:space="preserve"> Reescribir como «se estiman 15.600 millones de exacerbaciones acumuladas (2025-2050)». Indicar el carácter acumulado, el año y el tipo de dólar.</w:t>
      </w:r>
    </w:p>
    <w:p>
      <w:pPr>
        <w:pStyle w:val="ListBullet"/>
      </w:pPr>
      <w:r>
        <w:rPr>
          <w:b/>
        </w:rPr>
        <w:t>Confianza:</w:t>
      </w:r>
      <w:r>
        <w:t xml:space="preserve"> 5/5</w:t>
      </w:r>
    </w:p>
    <w:p>
      <w:pPr>
        <w:pStyle w:val="Heading4"/>
      </w:pPr>
      <w:r>
        <w:t>EPI-12 · Carga económica y proyecciones desactualizadas pese al Highlight i</w:t>
      </w:r>
    </w:p>
    <w:p>
      <w:r>
        <w:rPr>
          <w:i/>
        </w:rPr>
        <w:t xml:space="preserve">Severidad final: </w:t>
      </w:r>
      <w:r>
        <w:rPr>
          <w:i/>
          <w:color w:val="FFC000"/>
        </w:rPr>
        <w:t>🟡</w:t>
      </w:r>
      <w:r>
        <w:rPr>
          <w:i/>
        </w:rPr>
        <w:t xml:space="preserve"> MEDIA · Tema T24: Cifras epidemiológicas y datos mal transcritos</w:t>
      </w:r>
    </w:p>
    <w:p>
      <w:pPr>
        <w:pStyle w:val="ListBullet"/>
      </w:pPr>
      <w:r>
        <w:rPr>
          <w:b/>
        </w:rPr>
        <w:t>Tipo:</w:t>
      </w:r>
      <w:r>
        <w:t xml:space="preserve"> Desactualización / Incongruencia con Highlights</w:t>
      </w:r>
    </w:p>
    <w:p>
      <w:pPr>
        <w:pStyle w:val="ListBullet"/>
      </w:pPr>
      <w:r>
        <w:rPr>
          <w:b/>
        </w:rPr>
        <w:t>Severidad:</w:t>
      </w:r>
      <w:r>
        <w:t xml:space="preserve"> MEDIA</w:t>
      </w:r>
    </w:p>
    <w:p>
      <w:pPr>
        <w:pStyle w:val="ListBullet"/>
      </w:pPr>
      <w:r>
        <w:rPr>
          <w:b/>
        </w:rPr>
        <w:t>Ubicación:</w:t>
      </w:r>
      <w:r>
        <w:t xml:space="preserve"> PDF 21 / impr. 10 (Economic burden; proyecciones); Highlight i (PDF 5 / impr. iv)</w:t>
      </w:r>
    </w:p>
    <w:p>
      <w:pPr>
        <w:pStyle w:val="ListBullet"/>
      </w:pPr>
      <w:r>
        <w:rPr>
          <w:b/>
        </w:rPr>
        <w:t>Cita:</w:t>
      </w:r>
      <w:r>
        <w:t xml:space="preserve"> «about 6% of the total annual healthcare budget, with COPD accounting for 56% (38.6 billion Euros)…(97)»; «over 5.4 million annual deaths… by 2060.(90)»</w:t>
      </w:r>
    </w:p>
    <w:p>
      <w:pPr>
        <w:pStyle w:val="ListBullet"/>
      </w:pPr>
      <w:r>
        <w:rPr>
          <w:b/>
        </w:rPr>
        <w:t>Problema:</w:t>
      </w:r>
    </w:p>
    <w:p>
      <w:pPr>
        <w:pStyle w:val="ListBullet2"/>
      </w:pPr>
      <w:r>
        <w:rPr>
          <w:b/>
        </w:rPr>
        <w:t>El Highlight i afirma</w:t>
      </w:r>
      <w:r>
        <w:t xml:space="preserve"> que la sección de carga se ha actualizado «with the latest epidemiological statistics».</w:t>
      </w:r>
    </w:p>
    <w:p>
      <w:pPr>
        <w:pStyle w:val="ListBullet2"/>
      </w:pPr>
      <w:r>
        <w:rPr>
          <w:b/>
        </w:rPr>
        <w:t>El dato de la UE procede del European Lung White Book (2013)</w:t>
      </w:r>
      <w:r>
        <w:t>, con estimaciones de alrededor de 2011, reproducido por FIRS 2021 (ref 97).</w:t>
      </w:r>
    </w:p>
    <w:p>
      <w:pPr>
        <w:pStyle w:val="ListBullet2"/>
      </w:pPr>
      <w:r>
        <w:rPr>
          <w:b/>
        </w:rPr>
        <w:t>La proyección a 2060 procede de un blog personal</w:t>
      </w:r>
      <w:r>
        <w:t xml:space="preserve"> atribuido a la OMS (ref 90).</w:t>
      </w:r>
    </w:p>
    <w:p>
      <w:pPr>
        <w:pStyle w:val="ListBullet2"/>
      </w:pPr>
      <w:r>
        <w:rPr>
          <w:b/>
        </w:rPr>
        <w:t>En el Background se mantiene la ref 4 (Mathers &amp; Loncar 2006).</w:t>
      </w:r>
    </w:p>
    <w:p>
      <w:pPr>
        <w:pStyle w:val="ListBullet2"/>
      </w:pPr>
      <w:r>
        <w:rPr>
          <w:b/>
        </w:rPr>
        <w:t>Hay disponibles proyecciones revisadas por pares y más recientes:</w:t>
      </w:r>
      <w:r>
        <w:t xml:space="preserve"> Boers 2023 y 2025, ya citadas, y GBD Forecasting 2050.</w:t>
      </w:r>
    </w:p>
    <w:p>
      <w:pPr>
        <w:pStyle w:val="ListBullet"/>
      </w:pPr>
      <w:r>
        <w:rPr>
          <w:b/>
        </w:rPr>
        <w:t>Evidencia/justificación:</w:t>
      </w:r>
      <w:r>
        <w:t xml:space="preserve"> El contenido de las refs 4, 90 y 97 se comprobó en la lista de referencias. GBD 2021 Forecasting Collaborators, </w:t>
      </w:r>
      <w:r>
        <w:rPr>
          <w:i/>
        </w:rPr>
        <w:t>Lancet</w:t>
      </w:r>
      <w:r>
        <w:t xml:space="preserve"> 2024;403:2204-56 (previsiones de carga a 2050).</w:t>
      </w:r>
    </w:p>
    <w:p>
      <w:pPr>
        <w:pStyle w:val="ListBullet"/>
      </w:pPr>
      <w:r>
        <w:rPr>
          <w:b/>
        </w:rPr>
        <w:t>Recomendación:</w:t>
      </w:r>
    </w:p>
    <w:p>
      <w:pPr>
        <w:pStyle w:val="ListBullet2"/>
      </w:pPr>
      <w:r>
        <w:t>Fechar explícitamente las cifras económicas («datos de 2011») o sustituirlas por estimaciones recientes (p. ej., Boers 2025, desglosado por región).</w:t>
      </w:r>
    </w:p>
    <w:p>
      <w:pPr>
        <w:pStyle w:val="ListBullet2"/>
      </w:pPr>
      <w:r>
        <w:t>Retirar el blog y la referencia de 2006, o declararlas como históricas.</w:t>
      </w:r>
    </w:p>
    <w:p>
      <w:pPr>
        <w:pStyle w:val="ListBullet2"/>
      </w:pPr>
      <w:r>
        <w:t>Ajustar la redacción del Highlight i.</w:t>
      </w:r>
    </w:p>
    <w:p>
      <w:pPr>
        <w:pStyle w:val="ListBullet"/>
      </w:pPr>
      <w:r>
        <w:rPr>
          <w:b/>
        </w:rPr>
        <w:t>Confianza:</w:t>
      </w:r>
      <w:r>
        <w:t xml:space="preserve"> 4/5</w:t>
      </w:r>
    </w:p>
    <w:p>
      <w:pPr>
        <w:pStyle w:val="Heading4"/>
      </w:pPr>
      <w:r>
        <w:t>EPI-13 · Sexo: el capítulo se contradice sobre la prevalencia por sexo</w:t>
      </w:r>
    </w:p>
    <w:p>
      <w:r>
        <w:rPr>
          <w:i/>
        </w:rPr>
        <w:t xml:space="preserve">Severidad final: </w:t>
      </w:r>
      <w:r>
        <w:rPr>
          <w:i/>
          <w:color w:val="FFC000"/>
        </w:rPr>
        <w:t>🟡</w:t>
      </w:r>
      <w:r>
        <w:rPr>
          <w:i/>
        </w:rPr>
        <w:t xml:space="preserve"> MEDIA · Tema T24: Cifras epidemiológicas y datos mal transcritos</w:t>
      </w:r>
    </w:p>
    <w:p>
      <w:pPr>
        <w:pStyle w:val="ListBullet"/>
      </w:pPr>
      <w:r>
        <w:rPr>
          <w:b/>
        </w:rPr>
        <w:t>Tipo:</w:t>
      </w:r>
      <w:r>
        <w:t xml:space="preserve"> Incongruencia interna</w:t>
      </w:r>
    </w:p>
    <w:p>
      <w:pPr>
        <w:pStyle w:val="ListBullet"/>
      </w:pPr>
      <w:r>
        <w:rPr>
          <w:b/>
        </w:rPr>
        <w:t>Severidad:</w:t>
      </w:r>
      <w:r>
        <w:t xml:space="preserve"> MEDIA</w:t>
      </w:r>
    </w:p>
    <w:p>
      <w:pPr>
        <w:pStyle w:val="ListBullet"/>
      </w:pPr>
      <w:r>
        <w:rPr>
          <w:b/>
        </w:rPr>
        <w:t>Ubicación:</w:t>
      </w:r>
      <w:r>
        <w:t xml:space="preserve"> PDF 27 / impr. 16 (Sex), frente a PDF 19 / impr. 8 (Prevalence)</w:t>
      </w:r>
    </w:p>
    <w:p>
      <w:pPr>
        <w:pStyle w:val="ListBullet"/>
      </w:pPr>
      <w:r>
        <w:rPr>
          <w:b/>
        </w:rPr>
        <w:t>Cita:</w:t>
      </w:r>
      <w:r>
        <w:t xml:space="preserve"> PDF 27: «later data from developed countries has shown that the prevalence of COPD is almost equal in males and females…(222)»; PDF 19: «the COPD prevalence in men was more than double that in women… (14.1% vs. 6.5%).(71)»</w:t>
      </w:r>
    </w:p>
    <w:p>
      <w:pPr>
        <w:pStyle w:val="ListBullet"/>
      </w:pPr>
      <w:r>
        <w:rPr>
          <w:b/>
        </w:rPr>
        <w:t>Problema:</w:t>
      </w:r>
    </w:p>
    <w:p>
      <w:pPr>
        <w:pStyle w:val="ListBullet2"/>
      </w:pPr>
      <w:r>
        <w:rPr>
          <w:b/>
        </w:rPr>
        <w:t>Las dos páginas transmiten mensajes opuestos sin reconciliarlos.</w:t>
      </w:r>
      <w:r>
        <w:t xml:space="preserve"> La propia PDF 20 añade que la prevalencia es «appreciably higher… in men compared to women» (83-85).</w:t>
      </w:r>
    </w:p>
    <w:p>
      <w:pPr>
        <w:pStyle w:val="ListBullet2"/>
      </w:pPr>
      <w:r>
        <w:rPr>
          <w:b/>
        </w:rPr>
        <w:t>La afirmación de igualdad se apoya en una encuesta en línea</w:t>
      </w:r>
      <w:r>
        <w:t xml:space="preserve"> de 12 países, 2012-2013 (Landis 2014, ref 222), de diseño débil.</w:t>
      </w:r>
    </w:p>
    <w:p>
      <w:pPr>
        <w:pStyle w:val="ListBullet2"/>
      </w:pPr>
      <w:r>
        <w:rPr>
          <w:b/>
        </w:rPr>
        <w:t>El GBD 2021 muestra una prevalencia estandarizada mayor en varones</w:t>
      </w:r>
      <w:r>
        <w:t xml:space="preserve"> y más casos absolutos en mujeres; el texto lo menciona en PDF 19 pero no lo integra en la sección de sexo.</w:t>
      </w:r>
    </w:p>
    <w:p>
      <w:pPr>
        <w:pStyle w:val="ListBullet2"/>
      </w:pPr>
      <w:r>
        <w:rPr>
          <w:b/>
        </w:rPr>
        <w:t>La frase sobre la revisión sistemática de prevalencia por sexo y subregión de la OMS carece de cita.</w:t>
      </w:r>
    </w:p>
    <w:p>
      <w:pPr>
        <w:pStyle w:val="ListBullet2"/>
      </w:pPr>
      <w:r>
        <w:rPr>
          <w:b/>
        </w:rPr>
        <w:t>El texto alterna «sex» y «female gender»</w:t>
      </w:r>
      <w:r>
        <w:t xml:space="preserve"> (PDF 25).</w:t>
      </w:r>
    </w:p>
    <w:p>
      <w:pPr>
        <w:pStyle w:val="ListBullet"/>
      </w:pPr>
      <w:r>
        <w:rPr>
          <w:b/>
        </w:rPr>
        <w:t>Evidencia/justificación:</w:t>
      </w:r>
    </w:p>
    <w:p>
      <w:pPr>
        <w:pStyle w:val="ListBullet2"/>
      </w:pPr>
      <w:r>
        <w:t>Adeloye 2022 (OR varón ≈2,1).</w:t>
      </w:r>
    </w:p>
    <w:p>
      <w:pPr>
        <w:pStyle w:val="ListBullet2"/>
      </w:pPr>
      <w:r>
        <w:t>Wang 2025 (prevalencia estandarizada mayor en varones).</w:t>
      </w:r>
    </w:p>
    <w:p>
      <w:pPr>
        <w:pStyle w:val="ListBullet2"/>
      </w:pPr>
      <w:r>
        <w:t>Boers 2023 (crecimiento 2020-2050 del 47,1% en mujeres frente al 9,4% en varones).</w:t>
      </w:r>
    </w:p>
    <w:p>
      <w:pPr>
        <w:pStyle w:val="ListBullet"/>
      </w:pPr>
      <w:r>
        <w:rPr>
          <w:b/>
        </w:rPr>
        <w:t>Recomendación:</w:t>
      </w:r>
      <w:r>
        <w:t xml:space="preserve"> Reescribir la sección distinguiendo:</w:t>
      </w:r>
    </w:p>
    <w:p>
      <w:pPr>
        <w:pStyle w:val="ListBullet2"/>
      </w:pPr>
      <w:r>
        <w:t>prevalencia estandarizada frente a número absoluto;</w:t>
      </w:r>
    </w:p>
    <w:p>
      <w:pPr>
        <w:pStyle w:val="ListBullet2"/>
      </w:pPr>
      <w:r>
        <w:t>países de ingresos altos frente al conjunto global;</w:t>
      </w:r>
    </w:p>
    <w:p>
      <w:pPr>
        <w:pStyle w:val="ListBullet2"/>
      </w:pPr>
      <w:r>
        <w:t>tendencia al alza en mujeres (Boers 2023).</w:t>
      </w:r>
    </w:p>
    <w:p>
      <w:r>
        <w:t>Citar la revisión sistemática aludida y unificar la terminología (sexo).</w:t>
      </w:r>
    </w:p>
    <w:p>
      <w:pPr>
        <w:pStyle w:val="ListBullet"/>
      </w:pPr>
      <w:r>
        <w:rPr>
          <w:b/>
        </w:rPr>
        <w:t>Confianza:</w:t>
      </w:r>
      <w:r>
        <w:t xml:space="preserve"> 4/5</w:t>
      </w:r>
    </w:p>
    <w:p>
      <w:pPr>
        <w:pStyle w:val="Heading4"/>
      </w:pPr>
      <w:r>
        <w:t>EQ-23 · Costes futuros de la EPOC: cifras de Boers et al. mal transcritas y sin contexto</w:t>
      </w:r>
    </w:p>
    <w:p>
      <w:r>
        <w:rPr>
          <w:i/>
        </w:rPr>
        <w:t xml:space="preserve">Severidad final: </w:t>
      </w:r>
      <w:r>
        <w:rPr>
          <w:i/>
          <w:color w:val="FFC000"/>
        </w:rPr>
        <w:t>🟡</w:t>
      </w:r>
      <w:r>
        <w:rPr>
          <w:i/>
        </w:rPr>
        <w:t xml:space="preserve"> MEDIA · Tema T24: Cifras epidemiológicas y datos mal transcritos</w:t>
      </w:r>
    </w:p>
    <w:p>
      <w:pPr>
        <w:pStyle w:val="ListBullet"/>
      </w:pPr>
      <w:r>
        <w:rPr>
          <w:b/>
        </w:rPr>
        <w:t>Tipo:</w:t>
      </w:r>
      <w:r>
        <w:t xml:space="preserve"> Evidencia mal representada</w:t>
      </w:r>
    </w:p>
    <w:p>
      <w:pPr>
        <w:pStyle w:val="ListBullet"/>
      </w:pPr>
      <w:r>
        <w:rPr>
          <w:b/>
        </w:rPr>
        <w:t>Severidad:</w:t>
      </w:r>
      <w:r>
        <w:t xml:space="preserve"> MEDIA</w:t>
      </w:r>
    </w:p>
    <w:p>
      <w:pPr>
        <w:pStyle w:val="ListBullet"/>
      </w:pPr>
      <w:r>
        <w:rPr>
          <w:b/>
        </w:rPr>
        <w:t>Ubicación:</w:t>
      </w:r>
      <w:r>
        <w:t xml:space="preserve"> PDF 21 / impr. 10 — "Economic burden".</w:t>
      </w:r>
    </w:p>
    <w:p>
      <w:pPr>
        <w:pStyle w:val="ListBullet"/>
      </w:pPr>
      <w:r>
        <w:rPr>
          <w:b/>
        </w:rPr>
        <w:t>Cita:</w:t>
      </w:r>
      <w:r>
        <w:t xml:space="preserve"> "direct costs related to COPD are estimated to be $24.35 trillion… and exacerbations are estimated to be $15.60 billion (a relative growth of 584% compared with 2025).(100)"</w:t>
      </w:r>
    </w:p>
    <w:p>
      <w:pPr>
        <w:pStyle w:val="ListBullet"/>
      </w:pPr>
      <w:r>
        <w:rPr>
          <w:b/>
        </w:rPr>
        <w:t>Problema:</w:t>
      </w:r>
    </w:p>
    <w:p>
      <w:pPr>
        <w:pStyle w:val="ListBullet2"/>
      </w:pPr>
      <w:r>
        <w:t>En Boers et al. (Chest 2025, ref. 100, PMID 40254152), 15,60 mil millones es el número acumulado de exacerbaciones previstas, no un coste en dólares.</w:t>
      </w:r>
    </w:p>
    <w:p>
      <w:pPr>
        <w:pStyle w:val="ListBullet2"/>
      </w:pPr>
      <w:r>
        <w:t>Las cifras en billones (trillions) son acumuladas para 2025-2050, no anuales, y esto no se aclara.</w:t>
      </w:r>
    </w:p>
    <w:p>
      <w:pPr>
        <w:pStyle w:val="ListBullet2"/>
      </w:pPr>
      <w:r>
        <w:t>No se señala que los autores son empleados de un fabricante de dispositivos respiratorios (ResMed), lo que es relevante en un documento que se apoya en estas cifras para su argumento de política sanitaria.</w:t>
      </w:r>
    </w:p>
    <w:p>
      <w:pPr>
        <w:pStyle w:val="ListBullet"/>
      </w:pPr>
      <w:r>
        <w:rPr>
          <w:b/>
        </w:rPr>
        <w:t>Evidencia/justificación:</w:t>
      </w:r>
      <w:r>
        <w:t xml:space="preserve"> El resumen de Boers et al. habla de 24,35 billones de dólares de forma acumulada y de 15,60 mil millones de exacerbaciones (comprobado en PubMed).</w:t>
      </w:r>
    </w:p>
    <w:p>
      <w:pPr>
        <w:pStyle w:val="ListBullet"/>
      </w:pPr>
      <w:r>
        <w:rPr>
          <w:b/>
        </w:rPr>
        <w:t>Recomendación:</w:t>
      </w:r>
      <w:r>
        <w:t xml:space="preserve"> Corregir: "se proyectan 15.600 millones de exacerbaciones acumuladas entre 2025 y 2050". Indicar que las cifras económicas son acumuladas, y añadir estimaciones independientes, por ejemplo de GBD o de la OMS.</w:t>
      </w:r>
    </w:p>
    <w:p>
      <w:pPr>
        <w:pStyle w:val="ListBullet"/>
      </w:pPr>
      <w:r>
        <w:rPr>
          <w:b/>
        </w:rPr>
        <w:t>Confianza:</w:t>
      </w:r>
      <w:r>
        <w:t xml:space="preserve"> 4/5</w:t>
      </w:r>
    </w:p>
    <w:p>
      <w:pPr>
        <w:pStyle w:val="Heading4"/>
      </w:pPr>
      <w:r>
        <w:t>EXA-15 · Mortalidad hospitalaria "17 %-49 %" atribuida a un estudio que no la reporta</w:t>
      </w:r>
    </w:p>
    <w:p>
      <w:r>
        <w:rPr>
          <w:i/>
        </w:rPr>
        <w:t xml:space="preserve">Severidad final: </w:t>
      </w:r>
      <w:r>
        <w:rPr>
          <w:i/>
          <w:color w:val="FFC000"/>
        </w:rPr>
        <w:t>🟡</w:t>
      </w:r>
      <w:r>
        <w:rPr>
          <w:i/>
        </w:rPr>
        <w:t xml:space="preserve"> MEDIA · Tema T24: Cifras epidemiológicas y datos mal transcritos</w:t>
      </w:r>
    </w:p>
    <w:p>
      <w:pPr>
        <w:pStyle w:val="IntenseQuote"/>
      </w:pPr>
      <w:r>
        <w:rPr>
          <w:b/>
        </w:rPr>
        <w:t>Verificación independiente (CONFIRMADO):</w:t>
      </w:r>
      <w:r>
        <w:t xml:space="preserve"> Escribir «mortalidad hospitalaria del 8,3 % y mortalidad acumulada del 33-49 % a 1-3 años (n = 205)». Retirar «large». Puede añadirse como referencia pooled la mortalidad hospitalaria del 6,2 % de Waeijen-Smit 2024.</w:t>
      </w:r>
    </w:p>
    <w:p>
      <w:pPr>
        <w:pStyle w:val="ListBullet"/>
      </w:pPr>
      <w:r>
        <w:rPr>
          <w:b/>
        </w:rPr>
        <w:t>Tipo:</w:t>
      </w:r>
      <w:r>
        <w:t xml:space="preserve"> Error factual</w:t>
      </w:r>
    </w:p>
    <w:p>
      <w:pPr>
        <w:pStyle w:val="ListBullet"/>
      </w:pPr>
      <w:r>
        <w:rPr>
          <w:b/>
        </w:rPr>
        <w:t>Severidad:</w:t>
      </w:r>
      <w:r>
        <w:t xml:space="preserve"> MEDIA</w:t>
      </w:r>
    </w:p>
    <w:p>
      <w:pPr>
        <w:pStyle w:val="ListBullet"/>
      </w:pPr>
      <w:r>
        <w:rPr>
          <w:b/>
        </w:rPr>
        <w:t>Ubicación:</w:t>
      </w:r>
      <w:r>
        <w:t xml:space="preserve"> PDF 119 / impr. 108.</w:t>
      </w:r>
    </w:p>
    <w:p>
      <w:pPr>
        <w:pStyle w:val="ListBullet"/>
      </w:pPr>
      <w:r>
        <w:rPr>
          <w:b/>
        </w:rPr>
        <w:t>Cita:</w:t>
      </w:r>
      <w:r>
        <w:t xml:space="preserve"> "A large study of patients with COPD and acute respiratory failure reported in-hospital mortality of 17% to 49%.(1100)".</w:t>
      </w:r>
    </w:p>
    <w:p>
      <w:pPr>
        <w:pStyle w:val="ListBullet"/>
      </w:pPr>
      <w:r>
        <w:rPr>
          <w:b/>
        </w:rPr>
        <w:t>Problema:</w:t>
      </w:r>
    </w:p>
    <w:p>
      <w:pPr>
        <w:pStyle w:val="ListBullet2"/>
      </w:pPr>
      <w:r>
        <w:t>La ref. 1100 (Gunen H et al., Eur Respir J 2005;26:234-41) no es "a large study" ni un estudio de insuficiencia respiratoria aguda: es una cohorte unicéntrica de 205 hospitalizados en Turquía.</w:t>
      </w:r>
    </w:p>
    <w:p>
      <w:pPr>
        <w:pStyle w:val="ListBullet2"/>
      </w:pPr>
      <w:r>
        <w:t>La mortalidad hospitalaria fue del 8,3 %; el 49 % corresponde a la mortalidad a 3 años.</w:t>
      </w:r>
    </w:p>
    <w:p>
      <w:pPr>
        <w:pStyle w:val="ListBullet2"/>
      </w:pPr>
      <w:r>
        <w:t>Presentar 17-49 % como mortalidad hospitalaria contradice el mensaje de la frase anterior contra el "unwarranted prognostic pessimism" y puede alimentar la limitación de esfuerzo terapéutico.</w:t>
      </w:r>
    </w:p>
    <w:p>
      <w:pPr>
        <w:pStyle w:val="ListBullet"/>
      </w:pPr>
      <w:r>
        <w:rPr>
          <w:b/>
        </w:rPr>
        <w:t>Evidencia/justificación:</w:t>
      </w:r>
      <w:r>
        <w:t xml:space="preserve"> Resumen de Gunen 2005, verificado en PubMed.</w:t>
      </w:r>
    </w:p>
    <w:p>
      <w:pPr>
        <w:pStyle w:val="ListBullet"/>
      </w:pPr>
      <w:r>
        <w:rPr>
          <w:b/>
        </w:rPr>
        <w:t>Recomendación:</w:t>
      </w:r>
      <w:r>
        <w:t xml:space="preserve"> Sustituir por datos actuales de mortalidad hospitalaria en la exacerbación con VMI/VNI:</w:t>
      </w:r>
    </w:p>
    <w:p>
      <w:pPr>
        <w:pStyle w:val="ListBullet2"/>
      </w:pPr>
      <w:r>
        <w:t>Waeijen-Smit 2024: 6,2 % en el conjunto de hospitalizados.</w:t>
      </w:r>
    </w:p>
    <w:p>
      <w:pPr>
        <w:pStyle w:val="ListBullet2"/>
      </w:pPr>
      <w:r>
        <w:t>Series de UCI con VMI: ≈20-30 %.</w:t>
      </w:r>
    </w:p>
    <w:p>
      <w:r>
        <w:t>Citar correctamente cada cifra.</w:t>
      </w:r>
    </w:p>
    <w:p>
      <w:pPr>
        <w:pStyle w:val="ListBullet"/>
      </w:pPr>
      <w:r>
        <w:rPr>
          <w:b/>
        </w:rPr>
        <w:t>Confianza:</w:t>
      </w:r>
      <w:r>
        <w:t xml:space="preserve"> 5/5</w:t>
      </w:r>
    </w:p>
    <w:p>
      <w:pPr>
        <w:pStyle w:val="Heading4"/>
      </w:pPr>
      <w:r>
        <w:t>MUL-14 · Depresión por sexo: dato contrario a la fuente citada</w:t>
      </w:r>
    </w:p>
    <w:p>
      <w:r>
        <w:rPr>
          <w:i/>
        </w:rPr>
        <w:t xml:space="preserve">Severidad final: </w:t>
      </w:r>
      <w:r>
        <w:rPr>
          <w:i/>
          <w:color w:val="FFC000"/>
        </w:rPr>
        <w:t>🟡</w:t>
      </w:r>
      <w:r>
        <w:rPr>
          <w:i/>
        </w:rPr>
        <w:t xml:space="preserve"> MEDIA · Tema T24: Cifras epidemiológicas y datos mal transcritos</w:t>
      </w:r>
    </w:p>
    <w:p>
      <w:pPr>
        <w:pStyle w:val="IntenseQuote"/>
      </w:pPr>
      <w:r>
        <w:rPr>
          <w:b/>
        </w:rPr>
        <w:t>Verificación independiente (CONFIRMADO):</w:t>
      </w:r>
      <w:r>
        <w:t xml:space="preserve"> Confirmado: - la afirmación «more common in men» contradice la ref. 327; - «all approximately 34%» es falso para la ansiedad sola (20 %); - el 61/39 parece la composición por sexo de un subgrupo pequeño (depresión sola ≈5 % de 734, es decir, ≈37 personas), no una prevalencia. No pude verificarlo en el texto completo, que es de pago. Corrección: «La depresión es más prevalente en mujeres con EPOC (ECLIPSE); ≈1 de cada…</w:t>
      </w:r>
    </w:p>
    <w:p>
      <w:pPr>
        <w:pStyle w:val="ListBullet"/>
      </w:pPr>
      <w:r>
        <w:rPr>
          <w:b/>
        </w:rPr>
        <w:t>Tipo:</w:t>
      </w:r>
      <w:r>
        <w:t xml:space="preserve"> Evidencia mal representada</w:t>
      </w:r>
    </w:p>
    <w:p>
      <w:pPr>
        <w:pStyle w:val="ListBullet"/>
      </w:pPr>
      <w:r>
        <w:rPr>
          <w:b/>
        </w:rPr>
        <w:t>Severidad:</w:t>
      </w:r>
      <w:r>
        <w:t xml:space="preserve"> MEDIA</w:t>
      </w:r>
    </w:p>
    <w:p>
      <w:pPr>
        <w:pStyle w:val="ListBullet"/>
      </w:pPr>
      <w:r>
        <w:rPr>
          <w:b/>
        </w:rPr>
        <w:t>Ubicación:</w:t>
      </w:r>
      <w:r>
        <w:t xml:space="preserve"> PDF 133 / impr. 122 — Anxiety, depression and psychosis</w:t>
      </w:r>
    </w:p>
    <w:p>
      <w:pPr>
        <w:pStyle w:val="ListBullet"/>
      </w:pPr>
      <w:r>
        <w:rPr>
          <w:b/>
        </w:rPr>
        <w:t>Cita:</w:t>
      </w:r>
      <w:r>
        <w:t xml:space="preserve"> "whereas depression alone is more common in men than women (61% versus 39%).(88,327,1276,1278)"</w:t>
      </w:r>
    </w:p>
    <w:p>
      <w:pPr>
        <w:pStyle w:val="ListBullet"/>
      </w:pPr>
      <w:r>
        <w:rPr>
          <w:b/>
        </w:rPr>
        <w:t>Problema:</w:t>
      </w:r>
      <w:r>
        <w:t xml:space="preserve"> El cociente 61/39 parece describir la distribución por sexo de los deprimidos en cohortes con predominio masculino, no la prevalencia. Afirmar que la depresión es más frecuente en hombres contradice la literatura.</w:t>
      </w:r>
    </w:p>
    <w:p>
      <w:pPr>
        <w:pStyle w:val="ListBullet"/>
      </w:pPr>
      <w:r>
        <w:rPr>
          <w:b/>
        </w:rPr>
        <w:t>Evidencia/justificación:</w:t>
      </w:r>
    </w:p>
    <w:p>
      <w:pPr>
        <w:pStyle w:val="ListBullet2"/>
      </w:pPr>
      <w:r>
        <w:t>La ref. 327 (Hanania NA, AJRCCM 2011, ECLIPSE; PMID 20889909) dice textualmente que hubo «higher depression prevalence … in females» y que el sexo femenino es un determinante independiente.</w:t>
      </w:r>
    </w:p>
    <w:p>
      <w:pPr>
        <w:pStyle w:val="ListBullet2"/>
      </w:pPr>
      <w:r>
        <w:t>La ref. 88 trata de comorbilidad CV, no de depresión.</w:t>
      </w:r>
    </w:p>
    <w:p>
      <w:pPr>
        <w:pStyle w:val="ListBullet"/>
      </w:pPr>
      <w:r>
        <w:rPr>
          <w:b/>
        </w:rPr>
        <w:t>Recomendación:</w:t>
      </w:r>
      <w:r>
        <w:t xml:space="preserve"> Corregir: «La depresión es más prevalente en mujeres con EPOC (ECLIPSE)». Verificar la fuente del 61/39 o eliminar el dato.</w:t>
      </w:r>
    </w:p>
    <w:p>
      <w:pPr>
        <w:pStyle w:val="ListBullet"/>
      </w:pPr>
      <w:r>
        <w:rPr>
          <w:b/>
        </w:rPr>
        <w:t>Confianza:</w:t>
      </w:r>
      <w:r>
        <w:t xml:space="preserve"> 4/5</w:t>
      </w:r>
    </w:p>
    <w:p>
      <w:pPr>
        <w:pStyle w:val="Heading4"/>
      </w:pPr>
      <w:r>
        <w:t>EPI-18 · Raza/etnia y nivel socioeconómico: tratamiento mínimo y etiqueta incorrecta de la fuente</w:t>
      </w:r>
    </w:p>
    <w:p>
      <w:r>
        <w:rPr>
          <w:i/>
        </w:rPr>
        <w:t xml:space="preserve">Severidad final: </w:t>
      </w:r>
      <w:r>
        <w:rPr>
          <w:i/>
          <w:color w:val="FFC000"/>
        </w:rPr>
        <w:t>🟡</w:t>
      </w:r>
      <w:r>
        <w:rPr>
          <w:i/>
        </w:rPr>
        <w:t xml:space="preserve"> MEDIA · Tema T25: Equidad, países de ingresos bajos y medios, atención primaria</w:t>
      </w:r>
    </w:p>
    <w:p>
      <w:pPr>
        <w:pStyle w:val="ListBullet"/>
      </w:pPr>
      <w:r>
        <w:rPr>
          <w:b/>
        </w:rPr>
        <w:t>Tipo:</w:t>
      </w:r>
      <w:r>
        <w:t xml:space="preserve"> Sesgo/Equidad / Omisión</w:t>
      </w:r>
    </w:p>
    <w:p>
      <w:pPr>
        <w:pStyle w:val="ListBullet"/>
      </w:pPr>
      <w:r>
        <w:rPr>
          <w:b/>
        </w:rPr>
        <w:t>Severidad:</w:t>
      </w:r>
      <w:r>
        <w:t xml:space="preserve"> MEDIA</w:t>
      </w:r>
    </w:p>
    <w:p>
      <w:pPr>
        <w:pStyle w:val="ListBullet"/>
      </w:pPr>
      <w:r>
        <w:rPr>
          <w:b/>
        </w:rPr>
        <w:t>Ubicación:</w:t>
      </w:r>
      <w:r>
        <w:t xml:space="preserve"> PDF 27 / impr. 16 — Race and ethnicity; Socioeconomic status</w:t>
      </w:r>
    </w:p>
    <w:p>
      <w:pPr>
        <w:pStyle w:val="ListBullet"/>
      </w:pPr>
      <w:r>
        <w:rPr>
          <w:b/>
        </w:rPr>
        <w:t>Cita:</w:t>
      </w:r>
      <w:r>
        <w:t xml:space="preserve"> «An ATS workshop report(229) has recommended replacing race- and ethnicity-specific equations with race-neutral average reference equations…»</w:t>
      </w:r>
    </w:p>
    <w:p>
      <w:pPr>
        <w:pStyle w:val="ListBullet"/>
      </w:pPr>
      <w:r>
        <w:rPr>
          <w:b/>
        </w:rPr>
        <w:t>Problema:</w:t>
      </w:r>
    </w:p>
    <w:p>
      <w:pPr>
        <w:pStyle w:val="ListBullet2"/>
      </w:pPr>
      <w:r>
        <w:rPr>
          <w:b/>
        </w:rPr>
        <w:t>La sección de raza/etnia se reduce a dos frases</w:t>
      </w:r>
      <w:r>
        <w:t xml:space="preserve"> sobre ecuaciones espirométricas.</w:t>
      </w:r>
    </w:p>
    <w:p>
      <w:pPr>
        <w:pStyle w:val="ListBullet2"/>
      </w:pPr>
      <w:r>
        <w:rPr>
          <w:b/>
        </w:rPr>
        <w:t>La ref 229 está mal etiquetada:</w:t>
      </w:r>
      <w:r>
        <w:t xml:space="preserve"> es un «Official ATS Statement» (Bhakta 2023), no un «workshop report».</w:t>
      </w:r>
    </w:p>
    <w:p>
      <w:pPr>
        <w:pStyle w:val="ListBullet2"/>
      </w:pPr>
      <w:r>
        <w:rPr>
          <w:b/>
        </w:rPr>
        <w:t>Se omiten aspectos relevantes:</w:t>
      </w:r>
    </w:p>
    <w:p>
      <w:pPr>
        <w:pStyle w:val="ListBullet2"/>
      </w:pPr>
      <w:r>
        <w:t>las disparidades en exposición (ocupación, vivienda, contaminación);</w:t>
      </w:r>
    </w:p>
    <w:p>
      <w:pPr>
        <w:pStyle w:val="ListBullet2"/>
      </w:pPr>
      <w:r>
        <w:t>las disparidades en acceso a espirometría y tratamiento, y en infradiagnóstico;</w:t>
      </w:r>
    </w:p>
    <w:p>
      <w:pPr>
        <w:pStyle w:val="ListBullet2"/>
      </w:pPr>
      <w:r>
        <w:t>el hallazgo de Regan 2024 (ref 49), que el capítulo cita sin explicarlo: las ecuaciones específicas por raza ocultan EPOC temprana en personas negras.</w:t>
      </w:r>
    </w:p>
    <w:p>
      <w:pPr>
        <w:pStyle w:val="ListBullet2"/>
      </w:pPr>
      <w:r>
        <w:rPr>
          <w:b/>
        </w:rPr>
        <w:t>El cap. 2 (PDF 42) trata el tema con mucha más profundidad, y el cap. 1 no remite a él.</w:t>
      </w:r>
    </w:p>
    <w:p>
      <w:pPr>
        <w:pStyle w:val="ListBullet2"/>
      </w:pPr>
      <w:r>
        <w:rPr>
          <w:b/>
        </w:rPr>
        <w:t>La sección socioeconómica no cuantifica el efecto ni menciona las barreras de acceso</w:t>
      </w:r>
      <w:r>
        <w:t xml:space="preserve"> a pesar de que el capítulo enfatiza los LMIC.</w:t>
      </w:r>
    </w:p>
    <w:p>
      <w:pPr>
        <w:pStyle w:val="ListBullet"/>
      </w:pPr>
      <w:r>
        <w:rPr>
          <w:b/>
        </w:rPr>
        <w:t>Evidencia/justificación:</w:t>
      </w:r>
    </w:p>
    <w:p>
      <w:pPr>
        <w:pStyle w:val="ListBullet2"/>
      </w:pPr>
      <w:r>
        <w:t xml:space="preserve">Bhakta NR et al., </w:t>
      </w:r>
      <w:r>
        <w:rPr>
          <w:i/>
        </w:rPr>
        <w:t>AJRCCM</w:t>
      </w:r>
      <w:r>
        <w:t xml:space="preserve"> 2023;207:978-95.</w:t>
      </w:r>
    </w:p>
    <w:p>
      <w:pPr>
        <w:pStyle w:val="ListBullet2"/>
      </w:pPr>
      <w:r>
        <w:t xml:space="preserve">Regan EA et al., </w:t>
      </w:r>
      <w:r>
        <w:rPr>
          <w:i/>
        </w:rPr>
        <w:t>AJRCCM</w:t>
      </w:r>
      <w:r>
        <w:t xml:space="preserve"> 2024;209:59-69.</w:t>
      </w:r>
    </w:p>
    <w:p>
      <w:pPr>
        <w:pStyle w:val="ListBullet"/>
      </w:pPr>
      <w:r>
        <w:rPr>
          <w:b/>
        </w:rPr>
        <w:t>Recomendación:</w:t>
      </w:r>
      <w:r>
        <w:t xml:space="preserve"> Corregir la descripción de la ref 229 y resumir Regan 2024. Añadir disparidades estructurales (exposición, acceso, infradiagnóstico) y remitir al cap. 2 para la interpretación espirométrica.</w:t>
      </w:r>
    </w:p>
    <w:p>
      <w:pPr>
        <w:pStyle w:val="ListBullet"/>
      </w:pPr>
      <w:r>
        <w:rPr>
          <w:b/>
        </w:rPr>
        <w:t>Confianza:</w:t>
      </w:r>
      <w:r>
        <w:t xml:space="preserve"> 4/5</w:t>
      </w:r>
    </w:p>
    <w:p>
      <w:pPr>
        <w:pStyle w:val="Heading4"/>
      </w:pPr>
      <w:r>
        <w:t>EQ-06 · Tratamientos de alto coste presentados sin consideraciones de coste-efectividad y con un marco regulatorio estadounidense</w:t>
      </w:r>
    </w:p>
    <w:p>
      <w:r>
        <w:rPr>
          <w:i/>
        </w:rPr>
        <w:t xml:space="preserve">Severidad final: </w:t>
      </w:r>
      <w:r>
        <w:rPr>
          <w:i/>
          <w:color w:val="FFC000"/>
        </w:rPr>
        <w:t>🟡</w:t>
      </w:r>
      <w:r>
        <w:rPr>
          <w:i/>
        </w:rPr>
        <w:t xml:space="preserve"> MEDIA · Tema T25: Equidad, países de ingresos bajos y medios, atención primaria</w:t>
      </w:r>
    </w:p>
    <w:p>
      <w:pPr>
        <w:pStyle w:val="ListBullet"/>
      </w:pPr>
      <w:r>
        <w:rPr>
          <w:b/>
        </w:rPr>
        <w:t>Tipo:</w:t>
      </w:r>
      <w:r>
        <w:t xml:space="preserve"> Sesgo/Equidad</w:t>
      </w:r>
    </w:p>
    <w:p>
      <w:pPr>
        <w:pStyle w:val="ListBullet"/>
      </w:pPr>
      <w:r>
        <w:rPr>
          <w:b/>
        </w:rPr>
        <w:t>Severidad:</w:t>
      </w:r>
      <w:r>
        <w:t xml:space="preserve"> MEDIA</w:t>
      </w:r>
    </w:p>
    <w:p>
      <w:pPr>
        <w:pStyle w:val="ListBullet"/>
      </w:pPr>
      <w:r>
        <w:rPr>
          <w:b/>
        </w:rPr>
        <w:t>Ubicación:</w:t>
      </w:r>
    </w:p>
    <w:p>
      <w:pPr>
        <w:pStyle w:val="ListBullet2"/>
      </w:pPr>
      <w:r>
        <w:t>PDF 79 / impr. 68 — figura 3.11 (biológicos).</w:t>
      </w:r>
    </w:p>
    <w:p>
      <w:pPr>
        <w:pStyle w:val="ListBullet2"/>
      </w:pPr>
      <w:r>
        <w:t>PDF 77 / impr. 66 — ensifentrina.</w:t>
      </w:r>
    </w:p>
    <w:p>
      <w:pPr>
        <w:pStyle w:val="ListBullet2"/>
      </w:pPr>
      <w:r>
        <w:t>PDF 158 / impr. 147 — afirmación sobre el inhalador único.</w:t>
      </w:r>
    </w:p>
    <w:p>
      <w:pPr>
        <w:pStyle w:val="ListBullet"/>
      </w:pPr>
      <w:r>
        <w:rPr>
          <w:b/>
        </w:rPr>
        <w:t>Cita:</w:t>
      </w:r>
      <w:r>
        <w:t xml:space="preserve"> "*Molecules are listed in order of approval in the US." (fig. 3.11); "Considering adding ensifentrine if available." (PDF 77)</w:t>
      </w:r>
    </w:p>
    <w:p>
      <w:pPr>
        <w:pStyle w:val="ListBullet"/>
      </w:pPr>
      <w:r>
        <w:rPr>
          <w:b/>
        </w:rPr>
        <w:t>Problema:</w:t>
      </w:r>
    </w:p>
    <w:p>
      <w:pPr>
        <w:pStyle w:val="ListBullet2"/>
      </w:pPr>
      <w:r>
        <w:t>Los biológicos (dupilumab, mepolizumab) y la ensifentrina se presentan solo con datos de eficacia, sin mencionar el coste, el número necesario a tratar en términos económicos, los umbrales de coste-efectividad ni la equidad de acceso.</w:t>
      </w:r>
    </w:p>
    <w:p>
      <w:pPr>
        <w:pStyle w:val="ListBullet2"/>
      </w:pPr>
      <w:r>
        <w:t>El orden de la figura se basa en la aprobación en EE. UU.</w:t>
      </w:r>
    </w:p>
    <w:p>
      <w:pPr>
        <w:pStyle w:val="ListBullet2"/>
      </w:pPr>
      <w:r>
        <w:t>La única afirmación sobre coste-efectividad del inhalador único se apoya en un estudio con perspectiva alemana (ref. 1533), extrapolado de forma implícita a todos los contextos.</w:t>
      </w:r>
    </w:p>
    <w:p>
      <w:pPr>
        <w:pStyle w:val="ListBullet"/>
      </w:pPr>
      <w:r>
        <w:rPr>
          <w:b/>
        </w:rPr>
        <w:t>Evidencia/justificación:</w:t>
      </w:r>
      <w:r>
        <w:t xml:space="preserve"> Las agencias de evaluación de tecnologías sanitarias (NICE, ICER, entre otras) han evaluado los biológicos en EPOC con precios muy superiores a los del tratamiento inhalado. En LMIC, el coste anual de un biológico puede superar el PIB per cápita. </w:t>
      </w:r>
      <w:r>
        <w:rPr>
          <w:i/>
        </w:rPr>
        <w:t>Punto debatible:</w:t>
      </w:r>
      <w:r>
        <w:t xml:space="preserve"> no cuantificamos los precios por país.</w:t>
      </w:r>
    </w:p>
    <w:p>
      <w:pPr>
        <w:pStyle w:val="ListBullet"/>
      </w:pPr>
      <w:r>
        <w:rPr>
          <w:b/>
        </w:rPr>
        <w:t>Recomendación:</w:t>
      </w:r>
    </w:p>
    <w:p>
      <w:pPr>
        <w:pStyle w:val="ListBullet2"/>
      </w:pPr>
      <w:r>
        <w:t>Añadir a la figura 3.11 una columna o nota sobre el coste y el acceso.</w:t>
      </w:r>
    </w:p>
    <w:p>
      <w:pPr>
        <w:pStyle w:val="ListBullet2"/>
      </w:pPr>
      <w:r>
        <w:t>Citar evaluaciones de tecnologías sanitarias de más de una región.</w:t>
      </w:r>
    </w:p>
    <w:p>
      <w:pPr>
        <w:pStyle w:val="ListBullet2"/>
      </w:pPr>
      <w:r>
        <w:t>Ordenar las moléculas por evidencia y no por fecha de aprobación en EE. UU.</w:t>
      </w:r>
    </w:p>
    <w:p>
      <w:pPr>
        <w:pStyle w:val="ListBullet2"/>
      </w:pPr>
      <w:r>
        <w:t>Indicar de forma explícita que la ausencia de biológicos no constituye una atención deficiente cuando se han optimizado los tratamientos esenciales.</w:t>
      </w:r>
    </w:p>
    <w:p>
      <w:pPr>
        <w:pStyle w:val="ListBullet"/>
      </w:pPr>
      <w:r>
        <w:rPr>
          <w:b/>
        </w:rPr>
        <w:t>Confianza:</w:t>
      </w:r>
      <w:r>
        <w:t xml:space="preserve"> 4/5</w:t>
      </w:r>
    </w:p>
    <w:p>
      <w:pPr>
        <w:pStyle w:val="Heading4"/>
      </w:pPr>
      <w:r>
        <w:t>EQ-10 · Lenguaje no centrado en la persona y potencialmente estigmatizante</w:t>
      </w:r>
    </w:p>
    <w:p>
      <w:r>
        <w:rPr>
          <w:i/>
        </w:rPr>
        <w:t xml:space="preserve">Severidad final: </w:t>
      </w:r>
      <w:r>
        <w:rPr>
          <w:i/>
          <w:color w:val="FFC000"/>
        </w:rPr>
        <w:t>🟡</w:t>
      </w:r>
      <w:r>
        <w:rPr>
          <w:i/>
        </w:rPr>
        <w:t xml:space="preserve"> MEDIA · Tema T25: Equidad, países de ingresos bajos y medios, atención primaria</w:t>
      </w:r>
    </w:p>
    <w:p>
      <w:pPr>
        <w:pStyle w:val="ListBullet"/>
      </w:pPr>
      <w:r>
        <w:rPr>
          <w:b/>
        </w:rPr>
        <w:t>Tipo:</w:t>
      </w:r>
      <w:r>
        <w:t xml:space="preserve"> Sesgo/Equidad</w:t>
      </w:r>
    </w:p>
    <w:p>
      <w:pPr>
        <w:pStyle w:val="ListBullet"/>
      </w:pPr>
      <w:r>
        <w:rPr>
          <w:b/>
        </w:rPr>
        <w:t>Severidad:</w:t>
      </w:r>
      <w:r>
        <w:t xml:space="preserve"> MEDIA</w:t>
      </w:r>
    </w:p>
    <w:p>
      <w:pPr>
        <w:pStyle w:val="ListBullet"/>
      </w:pPr>
      <w:r>
        <w:rPr>
          <w:b/>
        </w:rPr>
        <w:t>Ubicación:</w:t>
      </w:r>
      <w:r>
        <w:t xml:space="preserve"> Todo el documento. Ejemplos: PDF 133 / impr. 122; PDF 19 / impr. 8; PDF 121 / impr. 110.</w:t>
      </w:r>
    </w:p>
    <w:p>
      <w:pPr>
        <w:pStyle w:val="ListBullet"/>
      </w:pPr>
      <w:r>
        <w:rPr>
          <w:b/>
        </w:rPr>
        <w:t>Cita:</w:t>
      </w:r>
      <w:r>
        <w:t xml:space="preserve"> "people with COPD are twice as likely to commit suicide" (PDF 133); "approaching nearly 600 million COPD patients by 2050" (PDF 19).</w:t>
      </w:r>
    </w:p>
    <w:p>
      <w:pPr>
        <w:pStyle w:val="ListBullet"/>
      </w:pPr>
      <w:r>
        <w:rPr>
          <w:b/>
        </w:rPr>
        <w:t>Problema:</w:t>
      </w:r>
      <w:r>
        <w:t xml:space="preserve"> El documento usa a veces "people with COPD" (71 veces), pero conviven:</w:t>
      </w:r>
    </w:p>
    <w:p>
      <w:pPr>
        <w:pStyle w:val="ListBullet2"/>
      </w:pPr>
      <w:r>
        <w:t>"COPD patients" (53) y "patients with COPD" (284), incluso para referirse a población no atendida ("600 million COPD patients");</w:t>
      </w:r>
    </w:p>
    <w:p>
      <w:pPr>
        <w:pStyle w:val="ListBullet2"/>
      </w:pPr>
      <w:r>
        <w:t>"suffer" (14) y "complain" (5);</w:t>
      </w:r>
    </w:p>
    <w:p>
      <w:pPr>
        <w:pStyle w:val="ListBullet2"/>
      </w:pPr>
      <w:r>
        <w:t>"elderly" (10);</w:t>
      </w:r>
    </w:p>
    <w:p>
      <w:pPr>
        <w:pStyle w:val="ListBullet2"/>
      </w:pPr>
      <w:r>
        <w:t>"patient compliance" (PDF 121);</w:t>
      </w:r>
    </w:p>
    <w:p>
      <w:pPr>
        <w:pStyle w:val="ListBullet2"/>
      </w:pPr>
      <w:r>
        <w:t>"commit suicide" (PDF 133);</w:t>
      </w:r>
    </w:p>
    <w:p>
      <w:pPr>
        <w:pStyle w:val="ListBullet2"/>
      </w:pPr>
      <w:r>
        <w:t>"smokers" (72) como etiqueta de identidad.</w:t>
      </w:r>
    </w:p>
    <w:p>
      <w:r>
        <w:t>La EPOC es una enfermedad muy estigmatizada (se asocia a la "culpa" del fumador), lo que retrasa la consulta y el diagnóstico.</w:t>
      </w:r>
    </w:p>
    <w:p>
      <w:pPr>
        <w:pStyle w:val="ListBullet"/>
      </w:pPr>
      <w:r>
        <w:rPr>
          <w:b/>
        </w:rPr>
        <w:t>Evidencia/justificación:</w:t>
      </w:r>
    </w:p>
    <w:p>
      <w:pPr>
        <w:pStyle w:val="ListBullet2"/>
      </w:pPr>
      <w:r>
        <w:t>Las guías de comunicación responsable sobre suicidio (OMS/IASP, actualización de 2023) desaconsejan "commit suicide", porque connota delito.</w:t>
      </w:r>
    </w:p>
    <w:p>
      <w:pPr>
        <w:pStyle w:val="ListBullet2"/>
      </w:pPr>
      <w:r>
        <w:t>En otras enfermedades crónicas existen guías consensuadas de lenguaje centrado en la persona (Dickinson JK et al., "The Use of Language in Diabetes Care and Education", Diabetes Care 2017;40:1790-9).</w:t>
      </w:r>
    </w:p>
    <w:p>
      <w:pPr>
        <w:pStyle w:val="ListBullet2"/>
      </w:pPr>
      <w:r>
        <w:t>"Adherence" es el término preferido frente a "compliance". El propio GOLD usa "adherence" en el apéndice 3.</w:t>
      </w:r>
    </w:p>
    <w:p>
      <w:pPr>
        <w:pStyle w:val="ListBullet"/>
      </w:pPr>
      <w:r>
        <w:rPr>
          <w:b/>
        </w:rPr>
        <w:t>Recomendación:</w:t>
      </w:r>
    </w:p>
    <w:p>
      <w:pPr>
        <w:pStyle w:val="ListBullet2"/>
      </w:pPr>
      <w:r>
        <w:t>Revisión editorial con un glosario de estilo: "personas con EPOC", "personas que fuman", "personas mayores", "adherencia", "morir por suicidio", "refiere" en lugar de "se queja", y evitar "sufrir".</w:t>
      </w:r>
    </w:p>
    <w:p>
      <w:pPr>
        <w:pStyle w:val="ListBullet2"/>
      </w:pPr>
      <w:r>
        <w:t>Añadir un párrafo sobre el estigma y el nihilismo terapéutico como barreras al diagnóstico.</w:t>
      </w:r>
    </w:p>
    <w:p>
      <w:pPr>
        <w:pStyle w:val="ListBullet"/>
      </w:pPr>
      <w:r>
        <w:rPr>
          <w:b/>
        </w:rPr>
        <w:t>Confianza:</w:t>
      </w:r>
      <w:r>
        <w:t xml:space="preserve"> 5/5</w:t>
      </w:r>
    </w:p>
    <w:p>
      <w:pPr>
        <w:pStyle w:val="Heading4"/>
      </w:pPr>
      <w:r>
        <w:t>EQ-11 · Escasa atención a la alfabetización en salud y a la perspectiva del paciente</w:t>
      </w:r>
    </w:p>
    <w:p>
      <w:r>
        <w:rPr>
          <w:i/>
        </w:rPr>
        <w:t xml:space="preserve">Severidad final: </w:t>
      </w:r>
      <w:r>
        <w:rPr>
          <w:i/>
          <w:color w:val="FFC000"/>
        </w:rPr>
        <w:t>🟡</w:t>
      </w:r>
      <w:r>
        <w:rPr>
          <w:i/>
        </w:rPr>
        <w:t xml:space="preserve"> MEDIA · Tema T25: Equidad, países de ingresos bajos y medios, atención primaria</w:t>
      </w:r>
    </w:p>
    <w:p>
      <w:pPr>
        <w:pStyle w:val="ListBullet"/>
      </w:pPr>
      <w:r>
        <w:rPr>
          <w:b/>
        </w:rPr>
        <w:t>Tipo:</w:t>
      </w:r>
      <w:r>
        <w:t xml:space="preserve"> Omisión</w:t>
      </w:r>
    </w:p>
    <w:p>
      <w:pPr>
        <w:pStyle w:val="ListBullet"/>
      </w:pPr>
      <w:r>
        <w:rPr>
          <w:b/>
        </w:rPr>
        <w:t>Severidad:</w:t>
      </w:r>
      <w:r>
        <w:t xml:space="preserve"> MEDIA</w:t>
      </w:r>
    </w:p>
    <w:p>
      <w:pPr>
        <w:pStyle w:val="ListBullet"/>
      </w:pPr>
      <w:r>
        <w:rPr>
          <w:b/>
        </w:rPr>
        <w:t>Ubicación:</w:t>
      </w:r>
    </w:p>
    <w:p>
      <w:pPr>
        <w:pStyle w:val="ListBullet2"/>
      </w:pPr>
      <w:r>
        <w:t>PDF 170 / impr. 159 — la única aparición de "health literacy".</w:t>
      </w:r>
    </w:p>
    <w:p>
      <w:pPr>
        <w:pStyle w:val="ListBullet2"/>
      </w:pPr>
      <w:r>
        <w:t>PDF 82-83 / impr. 71-72 — toma de decisiones compartida en la elección del dispositivo.</w:t>
      </w:r>
    </w:p>
    <w:p>
      <w:pPr>
        <w:pStyle w:val="ListBullet2"/>
      </w:pPr>
      <w:r>
        <w:t>Capítulo 3 — objetivos del tratamiento.</w:t>
      </w:r>
    </w:p>
    <w:p>
      <w:pPr>
        <w:pStyle w:val="ListBullet"/>
      </w:pPr>
      <w:r>
        <w:rPr>
          <w:b/>
        </w:rPr>
        <w:t>Cita:</w:t>
      </w:r>
      <w:r>
        <w:t xml:space="preserve"> "integrated care needs to be individualized to the stage of the person's illness and health literacy." (PDF 170)</w:t>
      </w:r>
    </w:p>
    <w:p>
      <w:pPr>
        <w:pStyle w:val="ListBullet"/>
      </w:pPr>
      <w:r>
        <w:rPr>
          <w:b/>
        </w:rPr>
        <w:t>Problema:</w:t>
      </w:r>
    </w:p>
    <w:p>
      <w:pPr>
        <w:pStyle w:val="ListBullet2"/>
      </w:pPr>
      <w:r>
        <w:t>La alfabetización en salud aparece una sola vez y la decisión compartida se limita a la elección del inhalador.</w:t>
      </w:r>
    </w:p>
    <w:p>
      <w:pPr>
        <w:pStyle w:val="ListBullet2"/>
      </w:pPr>
      <w:r>
        <w:t>No se discuten los resultados que priorizan las personas con EPOC (disnea en la vida diaria, actividad, independencia, sueño, participación social, carga del tratamiento, coste de bolsillo) ni el uso de herramientas de ayuda a la decisión (por ejemplo, para escalar a terapia triple o biológicos, OCD, VMNI o planificación anticipada).</w:t>
      </w:r>
    </w:p>
    <w:p>
      <w:pPr>
        <w:pStyle w:val="ListBullet2"/>
      </w:pPr>
      <w:r>
        <w:t>Los planes de acción escritos no se adaptan a personas con baja alfabetización ni se ofrecen formatos pictográficos.</w:t>
      </w:r>
    </w:p>
    <w:p>
      <w:pPr>
        <w:pStyle w:val="ListBullet"/>
      </w:pPr>
      <w:r>
        <w:rPr>
          <w:b/>
        </w:rPr>
        <w:t>Evidencia/justificación:</w:t>
      </w:r>
      <w:r>
        <w:t xml:space="preserve"> La baja alfabetización en salud es frecuente en la EPOC y se asocia a peor técnica inhalatoria y a más reingresos, según varias revisiones. Las guías de calidad exigen tener en cuenta los valores y preferencias de los pacientes (marco GRADE/EtD). GOLD sí recoge el método "teach-back" y la figura de educadores no profesionales ("lay health coaching") (PDF 82), lo cual es positivo pero aislado.</w:t>
      </w:r>
    </w:p>
    <w:p>
      <w:pPr>
        <w:pStyle w:val="ListBullet"/>
      </w:pPr>
      <w:r>
        <w:rPr>
          <w:b/>
        </w:rPr>
        <w:t>Recomendación:</w:t>
      </w:r>
    </w:p>
    <w:p>
      <w:pPr>
        <w:pStyle w:val="ListBullet2"/>
      </w:pPr>
      <w:r>
        <w:t>Incluir una sección breve sobre "Resultados importantes para las personas con EPOC y toma de decisiones compartida".</w:t>
      </w:r>
    </w:p>
    <w:p>
      <w:pPr>
        <w:pStyle w:val="ListBullet2"/>
      </w:pPr>
      <w:r>
        <w:t>Recomendar la detección de baja alfabetización, el uso de "teach-back" de forma sistemática y materiales en lenguaje sencillo y pictográficos.</w:t>
      </w:r>
    </w:p>
    <w:p>
      <w:pPr>
        <w:pStyle w:val="ListBullet2"/>
      </w:pPr>
      <w:r>
        <w:t>Publicar una versión de GOLD para pacientes, elaborada con ellos.</w:t>
      </w:r>
    </w:p>
    <w:p>
      <w:pPr>
        <w:pStyle w:val="ListBullet"/>
      </w:pPr>
      <w:r>
        <w:rPr>
          <w:b/>
        </w:rPr>
        <w:t>Confianza:</w:t>
      </w:r>
      <w:r>
        <w:t xml:space="preserve"> 4/5</w:t>
      </w:r>
    </w:p>
    <w:p>
      <w:pPr>
        <w:pStyle w:val="Heading4"/>
      </w:pPr>
      <w:r>
        <w:t>EQ-15 · EPOC post-TB: se reconoce, pero sin estándares de seguimiento y con la precaución sobre los ICS ausente de los algoritmos</w:t>
      </w:r>
    </w:p>
    <w:p>
      <w:r>
        <w:rPr>
          <w:i/>
        </w:rPr>
        <w:t xml:space="preserve">Severidad final: </w:t>
      </w:r>
      <w:r>
        <w:rPr>
          <w:i/>
          <w:color w:val="FFC000"/>
        </w:rPr>
        <w:t>🟡</w:t>
      </w:r>
      <w:r>
        <w:rPr>
          <w:i/>
        </w:rPr>
        <w:t xml:space="preserve"> MEDIA · Tema T25: Equidad, países de ingresos bajos y medios, atención primaria</w:t>
      </w:r>
    </w:p>
    <w:p>
      <w:pPr>
        <w:pStyle w:val="ListBullet"/>
      </w:pPr>
      <w:r>
        <w:rPr>
          <w:b/>
        </w:rPr>
        <w:t>Tipo:</w:t>
      </w:r>
      <w:r>
        <w:t xml:space="preserve"> Omisión</w:t>
      </w:r>
    </w:p>
    <w:p>
      <w:pPr>
        <w:pStyle w:val="ListBullet"/>
      </w:pPr>
      <w:r>
        <w:rPr>
          <w:b/>
        </w:rPr>
        <w:t>Severidad:</w:t>
      </w:r>
      <w:r>
        <w:t xml:space="preserve"> MEDIA</w:t>
      </w:r>
    </w:p>
    <w:p>
      <w:pPr>
        <w:pStyle w:val="ListBullet"/>
      </w:pPr>
      <w:r>
        <w:rPr>
          <w:b/>
        </w:rPr>
        <w:t>Ubicación:</w:t>
      </w:r>
    </w:p>
    <w:p>
      <w:pPr>
        <w:pStyle w:val="ListBullet2"/>
      </w:pPr>
      <w:r>
        <w:t>PDF 131-132 / impr. 120-121 ("Pulmonary tuberculosis").</w:t>
      </w:r>
    </w:p>
    <w:p>
      <w:pPr>
        <w:pStyle w:val="ListBullet2"/>
      </w:pPr>
      <w:r>
        <w:t>PDF 78 / impr. 67 (figura 3.10).</w:t>
      </w:r>
    </w:p>
    <w:p>
      <w:pPr>
        <w:pStyle w:val="ListBullet2"/>
      </w:pPr>
      <w:r>
        <w:t>PDF 73 / impr. 62 (figura 3.8).</w:t>
      </w:r>
    </w:p>
    <w:p>
      <w:pPr>
        <w:pStyle w:val="ListBullet"/>
      </w:pPr>
      <w:r>
        <w:rPr>
          <w:b/>
        </w:rPr>
        <w:t>Cita:</w:t>
      </w:r>
      <w:r>
        <w:t xml:space="preserve"> "In such settings, ICS should be used with caution and active TB must be excluded before initiation" (PDF 132)</w:t>
      </w:r>
    </w:p>
    <w:p>
      <w:pPr>
        <w:pStyle w:val="ListBullet"/>
      </w:pPr>
      <w:r>
        <w:rPr>
          <w:b/>
        </w:rPr>
        <w:t>Problema:</w:t>
      </w:r>
    </w:p>
    <w:p>
      <w:pPr>
        <w:pStyle w:val="ListBullet2"/>
      </w:pPr>
      <w:r>
        <w:t>La precaución sobre ICS en zonas endémicas o con secuelas radiológicas de TB solo aparece en el capítulo 5. La figura 3.10 recoge únicamente "History of mycobacterial infection" como factor en contra, y la figura 3.8 no la menciona.</w:t>
      </w:r>
    </w:p>
    <w:p>
      <w:pPr>
        <w:pStyle w:val="ListBullet2"/>
      </w:pPr>
      <w:r>
        <w:t>El médico de AP que usa los algoritmos, y no el capítulo de comorbilidades, no verá la indicación de descartar TB activa antes de iniciar ICS en zonas endémicas.</w:t>
      </w:r>
    </w:p>
    <w:p>
      <w:pPr>
        <w:pStyle w:val="ListBullet2"/>
      </w:pPr>
      <w:r>
        <w:t>No se recogen los estándares clínicos de enfermedad pulmonar post-TB: evaluación funcional al terminar el tratamiento antituberculoso, rehabilitación, vacunación, cesación tabáquica y seguimiento.</w:t>
      </w:r>
    </w:p>
    <w:p>
      <w:pPr>
        <w:pStyle w:val="ListBullet2"/>
      </w:pPr>
      <w:r>
        <w:t>Tampoco se aborda que la obstrucción post-TB pueda tener una respuesta diferente a broncodilatadores e ICS.</w:t>
      </w:r>
    </w:p>
    <w:p>
      <w:pPr>
        <w:pStyle w:val="ListBullet"/>
      </w:pPr>
      <w:r>
        <w:rPr>
          <w:b/>
        </w:rPr>
        <w:t>Evidencia/justificación:</w:t>
      </w:r>
      <w:r>
        <w:t xml:space="preserve"> Migliori GB et al., "Clinical standards for the assessment, management and rehabilitation of post-TB lung disease", Int J Tuberc Lung Dis 2021;25(10):797-813, doi:10.5588/ijtld.21.0425. Recomiendan evaluar a todos los pacientes al completar el tratamiento de la TB, con espirometría cuando sea posible, e incluirlos en rehabilitación.</w:t>
      </w:r>
    </w:p>
    <w:p>
      <w:pPr>
        <w:pStyle w:val="ListBullet"/>
      </w:pPr>
      <w:r>
        <w:rPr>
          <w:b/>
        </w:rPr>
        <w:t>Recomendación:</w:t>
      </w:r>
    </w:p>
    <w:p>
      <w:pPr>
        <w:pStyle w:val="ListBullet2"/>
      </w:pPr>
      <w:r>
        <w:t>Añadir a la figura 3.10, en "Against use / caution", la residencia en zona endémica de TB y las secuelas radiológicas de TB, con una nota sobre la exclusión de TB activa.</w:t>
      </w:r>
    </w:p>
    <w:p>
      <w:pPr>
        <w:pStyle w:val="ListBullet2"/>
      </w:pPr>
      <w:r>
        <w:t>Remitir a los estándares post-TB en el capítulo 5.</w:t>
      </w:r>
    </w:p>
    <w:p>
      <w:pPr>
        <w:pStyle w:val="ListBullet2"/>
      </w:pPr>
      <w:r>
        <w:t>Recomendar espirometría (o PEF si no hay) al terminar el tratamiento antituberculoso.</w:t>
      </w:r>
    </w:p>
    <w:p>
      <w:pPr>
        <w:pStyle w:val="ListBullet"/>
      </w:pPr>
      <w:r>
        <w:rPr>
          <w:b/>
        </w:rPr>
        <w:t>Confianza:</w:t>
      </w:r>
      <w:r>
        <w:t xml:space="preserve"> 4/5</w:t>
      </w:r>
    </w:p>
    <w:p>
      <w:pPr>
        <w:pStyle w:val="Heading4"/>
      </w:pPr>
      <w:r>
        <w:t>EQ-16 · Biomasa: recomendación genérica, no accionable y sin reflejar los ensayos de intervención</w:t>
      </w:r>
    </w:p>
    <w:p>
      <w:r>
        <w:rPr>
          <w:i/>
        </w:rPr>
        <w:t xml:space="preserve">Severidad final: </w:t>
      </w:r>
      <w:r>
        <w:rPr>
          <w:i/>
          <w:color w:val="FFC000"/>
        </w:rPr>
        <w:t>🟡</w:t>
      </w:r>
      <w:r>
        <w:rPr>
          <w:i/>
        </w:rPr>
        <w:t xml:space="preserve"> MEDIA · Tema T25: Equidad, países de ingresos bajos y medios, atención primaria</w:t>
      </w:r>
    </w:p>
    <w:p>
      <w:pPr>
        <w:pStyle w:val="ListBullet"/>
      </w:pPr>
      <w:r>
        <w:rPr>
          <w:b/>
        </w:rPr>
        <w:t>Tipo:</w:t>
      </w:r>
      <w:r>
        <w:t xml:space="preserve"> Omisión / Evidencia mal representada</w:t>
      </w:r>
    </w:p>
    <w:p>
      <w:pPr>
        <w:pStyle w:val="ListBullet"/>
      </w:pPr>
      <w:r>
        <w:rPr>
          <w:b/>
        </w:rPr>
        <w:t>Severidad:</w:t>
      </w:r>
      <w:r>
        <w:t xml:space="preserve"> MEDIA</w:t>
      </w:r>
    </w:p>
    <w:p>
      <w:pPr>
        <w:pStyle w:val="ListBullet"/>
      </w:pPr>
      <w:r>
        <w:rPr>
          <w:b/>
        </w:rPr>
        <w:t>Ubicación:</w:t>
      </w:r>
      <w:r>
        <w:t xml:space="preserve"> PDF 66 / impr. 55 (reducción de riesgo) y PDF 16 / impr. 5 (combustibles).</w:t>
      </w:r>
    </w:p>
    <w:p>
      <w:pPr>
        <w:pStyle w:val="ListBullet"/>
      </w:pPr>
      <w:r>
        <w:rPr>
          <w:b/>
        </w:rPr>
        <w:t>Cita:</w:t>
      </w:r>
      <w:r>
        <w:t xml:space="preserve"> "Efficient ventilation, non-polluting cooking stoves and similar interventions are feasible and should be recommended.(9,10)"</w:t>
      </w:r>
    </w:p>
    <w:p>
      <w:pPr>
        <w:pStyle w:val="ListBullet"/>
      </w:pPr>
      <w:r>
        <w:rPr>
          <w:b/>
        </w:rPr>
        <w:t>Problema:</w:t>
      </w:r>
    </w:p>
    <w:p>
      <w:pPr>
        <w:pStyle w:val="ListBullet2"/>
      </w:pPr>
      <w:r>
        <w:t>La exposición a la biomasa se reconoce como causa principal de EPOC en LMIC, pero la recomendación se limita a una frase.</w:t>
      </w:r>
    </w:p>
    <w:p>
      <w:pPr>
        <w:pStyle w:val="ListBullet2"/>
      </w:pPr>
      <w:r>
        <w:t>No distingue entre cocinas "mejoradas" de biomasa, que en ensayos reducen poco la exposición, y la transición a combustibles limpios (electricidad, GLP o biogás).</w:t>
      </w:r>
    </w:p>
    <w:p>
      <w:pPr>
        <w:pStyle w:val="ListBullet2"/>
      </w:pPr>
      <w:r>
        <w:t>No da orientación individual al médico (preguntar por el combustible, cocinar en exterior, ventilación, reducir el tiempo de exposición de mujeres y niños).</w:t>
      </w:r>
    </w:p>
    <w:p>
      <w:pPr>
        <w:pStyle w:val="ListBullet2"/>
      </w:pPr>
      <w:r>
        <w:t>Presenta el gas como "transitional fuel" (PDF 16), mientras que la OMS clasifica el GLP y el gas natural como combustibles limpios en el punto de uso.</w:t>
      </w:r>
    </w:p>
    <w:p>
      <w:pPr>
        <w:pStyle w:val="ListBullet"/>
      </w:pPr>
      <w:r>
        <w:rPr>
          <w:b/>
        </w:rPr>
        <w:t>Evidencia/justificación:</w:t>
      </w:r>
    </w:p>
    <w:p>
      <w:pPr>
        <w:pStyle w:val="ListBullet2"/>
      </w:pPr>
      <w:r>
        <w:t>CAPS (Mortimer K et al., Lancet 2017;389:167-75, PMID 27939058): una cocina de biomasa "más limpia" no redujo la neumonía infantil en Malaui.</w:t>
      </w:r>
    </w:p>
    <w:p>
      <w:pPr>
        <w:pStyle w:val="ListBullet2"/>
      </w:pPr>
      <w:r>
        <w:t xml:space="preserve">El ensayo multinacional HAPIN, que proporcionó cocinas y GLP, logró grandes reducciones de exposición, pero con efectos neutros en sus resultados primarios. </w:t>
      </w:r>
      <w:r>
        <w:rPr>
          <w:i/>
        </w:rPr>
        <w:t>Punto debatible</w:t>
      </w:r>
      <w:r>
        <w:t xml:space="preserve"> en cuanto a los resultados respiratorios de adultos, que no hemos verificado al detalle.</w:t>
      </w:r>
    </w:p>
    <w:p>
      <w:pPr>
        <w:pStyle w:val="ListBullet2"/>
      </w:pPr>
      <w:r>
        <w:t>Directrices de la OMS sobre calidad del aire interior y combustión doméstica de 2014.</w:t>
      </w:r>
    </w:p>
    <w:p>
      <w:pPr>
        <w:pStyle w:val="ListBullet"/>
      </w:pPr>
      <w:r>
        <w:rPr>
          <w:b/>
        </w:rPr>
        <w:t>Recomendación:</w:t>
      </w:r>
    </w:p>
    <w:p>
      <w:pPr>
        <w:pStyle w:val="ListBullet2"/>
      </w:pPr>
      <w:r>
        <w:t>Reescribir la sección distinguiendo entre cocinas mejoradas y combustibles limpios, con un resumen honesto de los ensayos.</w:t>
      </w:r>
    </w:p>
    <w:p>
      <w:pPr>
        <w:pStyle w:val="ListBullet2"/>
      </w:pPr>
      <w:r>
        <w:t>Incorporar una anamnesis estándar de exposición doméstica y consejos individuales.</w:t>
      </w:r>
    </w:p>
    <w:p>
      <w:pPr>
        <w:pStyle w:val="ListBullet2"/>
      </w:pPr>
      <w:r>
        <w:t>Alinear la terminología con la OMS.</w:t>
      </w:r>
    </w:p>
    <w:p>
      <w:pPr>
        <w:pStyle w:val="ListBullet2"/>
      </w:pPr>
      <w:r>
        <w:t>Indicar que la transición energética es una intervención de salud pública que requiere políticas.</w:t>
      </w:r>
    </w:p>
    <w:p>
      <w:pPr>
        <w:pStyle w:val="ListBullet"/>
      </w:pPr>
      <w:r>
        <w:rPr>
          <w:b/>
        </w:rPr>
        <w:t>Confianza:</w:t>
      </w:r>
      <w:r>
        <w:t xml:space="preserve"> 3/5</w:t>
      </w:r>
    </w:p>
    <w:p>
      <w:pPr>
        <w:pStyle w:val="Heading4"/>
      </w:pPr>
      <w:r>
        <w:t>EQ-17 · Exposición ocupacional: referencias desactualizadas, ausente en la anamnesis y con un mensaje débil</w:t>
      </w:r>
    </w:p>
    <w:p>
      <w:r>
        <w:rPr>
          <w:i/>
        </w:rPr>
        <w:t xml:space="preserve">Severidad final: </w:t>
      </w:r>
      <w:r>
        <w:rPr>
          <w:i/>
          <w:color w:val="FFC000"/>
        </w:rPr>
        <w:t>🟡</w:t>
      </w:r>
      <w:r>
        <w:rPr>
          <w:i/>
        </w:rPr>
        <w:t xml:space="preserve"> MEDIA · Tema T25: Equidad, países de ingresos bajos y medios, atención primaria</w:t>
      </w:r>
    </w:p>
    <w:p>
      <w:pPr>
        <w:pStyle w:val="ListBullet"/>
      </w:pPr>
      <w:r>
        <w:rPr>
          <w:b/>
        </w:rPr>
        <w:t>Tipo:</w:t>
      </w:r>
      <w:r>
        <w:t xml:space="preserve"> Desactualización / Omisión</w:t>
      </w:r>
    </w:p>
    <w:p>
      <w:pPr>
        <w:pStyle w:val="ListBullet"/>
      </w:pPr>
      <w:r>
        <w:rPr>
          <w:b/>
        </w:rPr>
        <w:t>Severidad:</w:t>
      </w:r>
      <w:r>
        <w:t xml:space="preserve"> MEDIA</w:t>
      </w:r>
    </w:p>
    <w:p>
      <w:pPr>
        <w:pStyle w:val="ListBullet"/>
      </w:pPr>
      <w:r>
        <w:rPr>
          <w:b/>
        </w:rPr>
        <w:t>Ubicación:</w:t>
      </w:r>
    </w:p>
    <w:p>
      <w:pPr>
        <w:pStyle w:val="ListBullet2"/>
      </w:pPr>
      <w:r>
        <w:t>PDF 17 / impr. 6 (ref. 42, ATS 2003).</w:t>
      </w:r>
    </w:p>
    <w:p>
      <w:pPr>
        <w:pStyle w:val="ListBullet2"/>
      </w:pPr>
      <w:r>
        <w:t>PDF 66-67 / impr. 55-56.</w:t>
      </w:r>
    </w:p>
    <w:p>
      <w:pPr>
        <w:pStyle w:val="ListBullet2"/>
      </w:pPr>
      <w:r>
        <w:t>PDF 36 / impr. 25 ("Medical history").</w:t>
      </w:r>
    </w:p>
    <w:p>
      <w:pPr>
        <w:pStyle w:val="ListBullet"/>
      </w:pPr>
      <w:r>
        <w:rPr>
          <w:b/>
        </w:rPr>
        <w:t>Cita:</w:t>
      </w:r>
      <w:r>
        <w:t xml:space="preserve"> "There are no studies that demonstrate whether interventions that reduce occupational exposure also reduce the burden…" (PDF 66). En la anamnesis: "Patient's exposure to risk factors, such as smoking and environmental exposures (household/outdoor)." (PDF 36)</w:t>
      </w:r>
    </w:p>
    <w:p>
      <w:pPr>
        <w:pStyle w:val="ListBullet"/>
      </w:pPr>
      <w:r>
        <w:rPr>
          <w:b/>
        </w:rPr>
        <w:t>Problema:</w:t>
      </w:r>
    </w:p>
    <w:p>
      <w:pPr>
        <w:pStyle w:val="ListBullet2"/>
      </w:pPr>
      <w:r>
        <w:t>La anamnesis recomendada no incluye la historia laboral, pese a que más adelante se reconoce que el riesgo ocupacional es "much higher" en zonas poco reguladas.</w:t>
      </w:r>
    </w:p>
    <w:p>
      <w:pPr>
        <w:pStyle w:val="ListBullet2"/>
      </w:pPr>
      <w:r>
        <w:t>La estimación de la fracción atribuible se apoya en una declaración de la ATS de 2003 y omite la declaración oficial ATS/ERS más reciente.</w:t>
      </w:r>
    </w:p>
    <w:p>
      <w:pPr>
        <w:pStyle w:val="ListBullet2"/>
      </w:pPr>
      <w:r>
        <w:t>El mensaje práctico ("it seems logical to advise… if possible") no menciona la notificación como enfermedad profesional, la compensación ni la protección respiratoria. Son aspectos relevantes para la equidad, sobre todo en trabajadores informales, agrícolas y mineros.</w:t>
      </w:r>
    </w:p>
    <w:p>
      <w:pPr>
        <w:pStyle w:val="ListBullet"/>
      </w:pPr>
      <w:r>
        <w:rPr>
          <w:b/>
        </w:rPr>
        <w:t>Evidencia/justificación:</w:t>
      </w:r>
      <w:r>
        <w:t xml:space="preserve"> Blanc PD et al., "The Occupational Burden of Nonmalignant Respiratory Disease. An Official ATS/ERS Statement", AJRCCM 2019;199:1312-34, PMID 31149852: fracción atribuible poblacional del 14 % para la EPOC. Esta referencia no figura en la bibliografía de GOLD 2026.</w:t>
      </w:r>
    </w:p>
    <w:p>
      <w:pPr>
        <w:pStyle w:val="ListBullet"/>
      </w:pPr>
      <w:r>
        <w:rPr>
          <w:b/>
        </w:rPr>
        <w:t>Recomendación:</w:t>
      </w:r>
    </w:p>
    <w:p>
      <w:pPr>
        <w:pStyle w:val="ListBullet2"/>
      </w:pPr>
      <w:r>
        <w:t>Añadir "ocupación actual y previa (polvo, humos, gases, sílice, agricultura, minería)" a la anamnesis de PDF 36.</w:t>
      </w:r>
    </w:p>
    <w:p>
      <w:pPr>
        <w:pStyle w:val="ListBullet2"/>
      </w:pPr>
      <w:r>
        <w:t>Actualizar la referencia a Blanc 2019.</w:t>
      </w:r>
    </w:p>
    <w:p>
      <w:pPr>
        <w:pStyle w:val="ListBullet2"/>
      </w:pPr>
      <w:r>
        <w:t>Recomendar la evaluación del puesto de trabajo, la reducción de la exposición y el reconocimiento como enfermedad profesional cuando corresponda.</w:t>
      </w:r>
    </w:p>
    <w:p>
      <w:pPr>
        <w:pStyle w:val="ListBullet"/>
      </w:pPr>
      <w:r>
        <w:rPr>
          <w:b/>
        </w:rPr>
        <w:t>Confianza:</w:t>
      </w:r>
      <w:r>
        <w:t xml:space="preserve"> 5/5</w:t>
      </w:r>
    </w:p>
    <w:p>
      <w:pPr>
        <w:pStyle w:val="Heading4"/>
      </w:pPr>
      <w:r>
        <w:t>EQ-21 · La advertencia contra el cambio de dispositivo por motivos ambientales se basa en un único estudio observacional con factores de confusión</w:t>
      </w:r>
    </w:p>
    <w:p>
      <w:r>
        <w:rPr>
          <w:i/>
        </w:rPr>
        <w:t xml:space="preserve">Severidad final: </w:t>
      </w:r>
      <w:r>
        <w:rPr>
          <w:i/>
          <w:color w:val="FFC000"/>
        </w:rPr>
        <w:t>🟡</w:t>
      </w:r>
      <w:r>
        <w:rPr>
          <w:i/>
        </w:rPr>
        <w:t xml:space="preserve"> MEDIA · Tema T26: Sostenibilidad ambiental de los inhaladores</w:t>
      </w:r>
    </w:p>
    <w:p>
      <w:pPr>
        <w:pStyle w:val="ListBullet"/>
      </w:pPr>
      <w:r>
        <w:rPr>
          <w:b/>
        </w:rPr>
        <w:t>Tipo:</w:t>
      </w:r>
      <w:r>
        <w:t xml:space="preserve"> Evidencia mal representada</w:t>
      </w:r>
    </w:p>
    <w:p>
      <w:pPr>
        <w:pStyle w:val="ListBullet"/>
      </w:pPr>
      <w:r>
        <w:rPr>
          <w:b/>
        </w:rPr>
        <w:t>Severidad:</w:t>
      </w:r>
      <w:r>
        <w:t xml:space="preserve"> MEDIA</w:t>
      </w:r>
    </w:p>
    <w:p>
      <w:pPr>
        <w:pStyle w:val="ListBullet"/>
      </w:pPr>
      <w:r>
        <w:rPr>
          <w:b/>
        </w:rPr>
        <w:t>Ubicación:</w:t>
      </w:r>
      <w:r>
        <w:t xml:space="preserve"> PDF 82-83 / impr. 71-72 ("Choice of inhaler device").</w:t>
      </w:r>
    </w:p>
    <w:p>
      <w:pPr>
        <w:pStyle w:val="ListBullet"/>
      </w:pPr>
      <w:r>
        <w:rPr>
          <w:b/>
        </w:rPr>
        <w:t>Cita:</w:t>
      </w:r>
      <w:r>
        <w:t xml:space="preserve"> "Mass switching of devices for cost or supply reasons driven by payors, or even for perceived impact of particular devices on the environment… has led to increased prednisolone use and higher healthcare utilization.(735)"</w:t>
      </w:r>
    </w:p>
    <w:p>
      <w:pPr>
        <w:pStyle w:val="ListBullet"/>
      </w:pPr>
      <w:r>
        <w:rPr>
          <w:b/>
        </w:rPr>
        <w:t>Problema:</w:t>
      </w:r>
    </w:p>
    <w:p>
      <w:pPr>
        <w:pStyle w:val="ListBullet2"/>
      </w:pPr>
      <w:r>
        <w:t>La ref. 735 estudia un cambio de formulario motivado por el coste en un único sistema (VA de EE. UU.). Se pasó de budesonida-formoterol en pMDI a fluticasona-salmeterol en DPI, de modo que cambiaron a la vez las moléculas y el dispositivo. Los efectos fueron de pequeña magnitud y se trata de un estudio observacional.</w:t>
      </w:r>
    </w:p>
    <w:p>
      <w:pPr>
        <w:pStyle w:val="ListBullet2"/>
      </w:pPr>
      <w:r>
        <w:t>Extrapolarlo al cambio por motivos ambientales ("perceived impact") resta legitimidad a una preocupación real y no menciona la evidencia de que un cambio bien acompañado puede mantener el control.</w:t>
      </w:r>
    </w:p>
    <w:p>
      <w:pPr>
        <w:pStyle w:val="ListBullet2"/>
      </w:pPr>
      <w:r>
        <w:t>Es razonable advertir contra los cambios masivos sin formación ni consentimiento, pero la frase mezcla conceptos distintos.</w:t>
      </w:r>
    </w:p>
    <w:p>
      <w:pPr>
        <w:pStyle w:val="ListBullet"/>
      </w:pPr>
      <w:r>
        <w:rPr>
          <w:b/>
        </w:rPr>
        <w:t>Evidencia/justificación:</w:t>
      </w:r>
    </w:p>
    <w:p>
      <w:pPr>
        <w:pStyle w:val="ListBullet2"/>
      </w:pPr>
      <w:r>
        <w:t>Rabin AS et al., JAMA Intern Med 2025, PMID 40622686: comparación de budesonida-formoterol pMDI frente a fluticasona-salmeterol DPI.</w:t>
      </w:r>
    </w:p>
    <w:p>
      <w:pPr>
        <w:pStyle w:val="ListBullet2"/>
      </w:pPr>
      <w:r>
        <w:t>Woodcock A et al., Thorax 2022;77:1187-92, PMID 35131893: el paso de pMDI a DPI redujo las emisiones sin pérdida de control (asma, análisis post hoc).</w:t>
      </w:r>
    </w:p>
    <w:p>
      <w:pPr>
        <w:pStyle w:val="ListBullet"/>
      </w:pPr>
      <w:r>
        <w:rPr>
          <w:b/>
        </w:rPr>
        <w:t>Recomendación:</w:t>
      </w:r>
    </w:p>
    <w:p>
      <w:pPr>
        <w:pStyle w:val="ListBullet2"/>
      </w:pPr>
      <w:r>
        <w:t>Reformular: "Los cambios de dispositivo, por cualquier motivo, deben ser individualizados, consensuados con la persona y acompañados de formación y revisión de la técnica."</w:t>
      </w:r>
    </w:p>
    <w:p>
      <w:pPr>
        <w:pStyle w:val="ListBullet2"/>
      </w:pPr>
      <w:r>
        <w:t>Eliminar "perceived" y describir con precisión las limitaciones de la ref. 735.</w:t>
      </w:r>
    </w:p>
    <w:p>
      <w:pPr>
        <w:pStyle w:val="ListBullet2"/>
      </w:pPr>
      <w:r>
        <w:t>Citar la evidencia de cambios bien acompañados.</w:t>
      </w:r>
    </w:p>
    <w:p>
      <w:pPr>
        <w:pStyle w:val="ListBullet"/>
      </w:pPr>
      <w:r>
        <w:rPr>
          <w:b/>
        </w:rPr>
        <w:t>Confianza:</w:t>
      </w:r>
      <w:r>
        <w:t xml:space="preserve"> 4/5</w:t>
      </w:r>
    </w:p>
    <w:p>
      <w:pPr>
        <w:pStyle w:val="Heading4"/>
      </w:pPr>
      <w:r>
        <w:t>FARM-22 · Contaminación y exposiciones: medidas individuales omitidas y huella de los inhaladores incompleta</w:t>
      </w:r>
    </w:p>
    <w:p>
      <w:r>
        <w:rPr>
          <w:i/>
        </w:rPr>
        <w:t xml:space="preserve">Severidad final: </w:t>
      </w:r>
      <w:r>
        <w:rPr>
          <w:i/>
          <w:color w:val="FFC000"/>
        </w:rPr>
        <w:t>🟡</w:t>
      </w:r>
      <w:r>
        <w:rPr>
          <w:i/>
        </w:rPr>
        <w:t xml:space="preserve"> MEDIA · Tema T26: Sostenibilidad ambiental de los inhaladores</w:t>
      </w:r>
    </w:p>
    <w:p>
      <w:pPr>
        <w:pStyle w:val="ListBullet"/>
      </w:pPr>
      <w:r>
        <w:rPr>
          <w:b/>
        </w:rPr>
        <w:t>Tipo:</w:t>
      </w:r>
      <w:r>
        <w:t xml:space="preserve"> Omisión / Desactualización</w:t>
      </w:r>
    </w:p>
    <w:p>
      <w:pPr>
        <w:pStyle w:val="ListBullet"/>
      </w:pPr>
      <w:r>
        <w:rPr>
          <w:b/>
        </w:rPr>
        <w:t>Severidad:</w:t>
      </w:r>
      <w:r>
        <w:t xml:space="preserve"> MEDIA</w:t>
      </w:r>
    </w:p>
    <w:p>
      <w:pPr>
        <w:pStyle w:val="ListBullet"/>
      </w:pPr>
      <w:r>
        <w:rPr>
          <w:b/>
        </w:rPr>
        <w:t>Ubicación:</w:t>
      </w:r>
      <w:r>
        <w:t xml:space="preserve"> PDF 64 / impr. 53 (Fig 3.3); PDF 66 / impr. 55 (contaminación); PDF 81 / impr. 70 (huella de carbono de dispositivos)</w:t>
      </w:r>
    </w:p>
    <w:p>
      <w:pPr>
        <w:pStyle w:val="ListBullet"/>
      </w:pPr>
      <w:r>
        <w:rPr>
          <w:b/>
        </w:rPr>
        <w:t>Cita:</w:t>
      </w:r>
      <w:r>
        <w:t xml:space="preserve"> "Efficient ventilation, non-polluting cooking stoves and similar interventions are feasible and should be recommended.(9,10)"</w:t>
      </w:r>
    </w:p>
    <w:p>
      <w:pPr>
        <w:pStyle w:val="ListBullet"/>
      </w:pPr>
      <w:r>
        <w:rPr>
          <w:b/>
        </w:rPr>
        <w:t>Problema:</w:t>
      </w:r>
    </w:p>
    <w:p>
      <w:pPr>
        <w:pStyle w:val="ListBullet2"/>
      </w:pPr>
      <w:r>
        <w:t>Las medidas de reducción del riesgo se limitan a la biomasa y la ventilación. No hay recomendaciones prácticas frente a la contaminación exterior y el humo de incendios forestales, cada vez más relevantes y coherentes con la sección de clima:</w:t>
      </w:r>
    </w:p>
    <w:p>
      <w:pPr>
        <w:pStyle w:val="ListBullet2"/>
      </w:pPr>
      <w:r>
        <w:t>Consultar índices de calidad del aire y adaptar la actividad.</w:t>
      </w:r>
    </w:p>
    <w:p>
      <w:pPr>
        <w:pStyle w:val="ListBullet2"/>
      </w:pPr>
      <w:r>
        <w:t>Usar purificadores HEPA en el domicilio.</w:t>
      </w:r>
    </w:p>
    <w:p>
      <w:pPr>
        <w:pStyle w:val="ListBullet2"/>
      </w:pPr>
      <w:r>
        <w:t>Usar mascarillas FFP2/N95 en episodios de humo.</w:t>
      </w:r>
    </w:p>
    <w:p>
      <w:pPr>
        <w:pStyle w:val="ListBullet2"/>
      </w:pPr>
      <w:r>
        <w:t>Al hablar de huella de carbono de dispositivos no se menciona la transición en curso a propelentes de bajo potencial de calentamiento global (HFO-1234ze, HFA-152a). Esa transición permite reducir la huella sin cambiar de pMDI a DPI (evita cambios forzados de dispositivo, cf. ref 735).</w:t>
      </w:r>
    </w:p>
    <w:p>
      <w:pPr>
        <w:pStyle w:val="ListBullet"/>
      </w:pPr>
      <w:r>
        <w:rPr>
          <w:b/>
        </w:rPr>
        <w:t>Evidencia/justificación:</w:t>
      </w:r>
    </w:p>
    <w:p>
      <w:pPr>
        <w:pStyle w:val="ListBullet2"/>
      </w:pPr>
      <w:r>
        <w:t xml:space="preserve">Hansel NN et al., AJRCCM 2022;205:421-430 (CLEAN AIR): purificadores HEPA en EPOC con beneficio en el análisis por protocolo. </w:t>
      </w:r>
      <w:r>
        <w:rPr>
          <w:b/>
        </w:rPr>
        <w:t>Punto debatible:</w:t>
      </w:r>
      <w:r>
        <w:t xml:space="preserve"> el resultado por intención de tratar no fue significativo.</w:t>
      </w:r>
    </w:p>
    <w:p>
      <w:pPr>
        <w:pStyle w:val="ListBullet2"/>
      </w:pPr>
      <w:r>
        <w:t>Comunicados regulatorios de 2025: MHRA (mayo) y CHMP de la EMA (julio) sobre la triple terapia en pMDI con HFO-1234ze.</w:t>
      </w:r>
    </w:p>
    <w:p>
      <w:pPr>
        <w:pStyle w:val="ListBullet"/>
      </w:pPr>
      <w:r>
        <w:rPr>
          <w:b/>
        </w:rPr>
        <w:t>Recomendación:</w:t>
      </w:r>
      <w:r>
        <w:t xml:space="preserve"> añadir un recuadro de "medidas individuales frente a la contaminación exterior y el humo de incendios" con su nivel de evidencia, y una frase sobre los pMDI con propelentes de bajo PCG.</w:t>
      </w:r>
    </w:p>
    <w:p>
      <w:pPr>
        <w:pStyle w:val="ListBullet"/>
      </w:pPr>
      <w:r>
        <w:rPr>
          <w:b/>
        </w:rPr>
        <w:t>Confianza:</w:t>
      </w:r>
      <w:r>
        <w:t xml:space="preserve"> 3/5</w:t>
      </w:r>
    </w:p>
    <w:p>
      <w:pPr>
        <w:pStyle w:val="Heading4"/>
      </w:pPr>
      <w:r>
        <w:t>COH-12 · ICS al alta: "should" frente a "should be considered", sin umbral de eosinófilos</w:t>
      </w:r>
    </w:p>
    <w:p>
      <w:r>
        <w:rPr>
          <w:i/>
        </w:rPr>
        <w:t xml:space="preserve">Severidad final: </w:t>
      </w:r>
      <w:r>
        <w:rPr>
          <w:i/>
          <w:color w:val="FFC000"/>
        </w:rPr>
        <w:t>🟡</w:t>
      </w:r>
      <w:r>
        <w:rPr>
          <w:i/>
        </w:rPr>
        <w:t xml:space="preserve"> MEDIA · Tema T27: Alta y prevención tras la exacerbación (ICS, vitamina D, mucolíticos)</w:t>
      </w:r>
    </w:p>
    <w:p>
      <w:pPr>
        <w:pStyle w:val="ListBullet"/>
      </w:pPr>
      <w:r>
        <w:rPr>
          <w:b/>
        </w:rPr>
        <w:t>Tipo:</w:t>
      </w:r>
      <w:r>
        <w:t xml:space="preserve"> Incoherencia de fuerza de recomendación</w:t>
      </w:r>
    </w:p>
    <w:p>
      <w:pPr>
        <w:pStyle w:val="ListBullet"/>
      </w:pPr>
      <w:r>
        <w:rPr>
          <w:b/>
        </w:rPr>
        <w:t>Severidad:</w:t>
      </w:r>
      <w:r>
        <w:t xml:space="preserve"> MEDIA</w:t>
      </w:r>
    </w:p>
    <w:p>
      <w:pPr>
        <w:pStyle w:val="ListBullet"/>
      </w:pPr>
      <w:r>
        <w:rPr>
          <w:b/>
        </w:rPr>
        <w:t>Ubicación:</w:t>
      </w:r>
      <w:r>
        <w:t xml:space="preserve"> Fig 4.10 (PDF 120 / impr. 109); key points en PDF 103 / impr. 92</w:t>
      </w:r>
    </w:p>
    <w:p>
      <w:pPr>
        <w:pStyle w:val="ListBullet"/>
      </w:pPr>
      <w:r>
        <w:rPr>
          <w:b/>
        </w:rPr>
        <w:t>Cita:</w:t>
      </w:r>
    </w:p>
    <w:p>
      <w:pPr>
        <w:pStyle w:val="ListBullet2"/>
      </w:pPr>
      <w:r>
        <w:t>Fig 4.10: "patients with elevated blood eosinophils should be discharged on LABA+LAMA+ICS".</w:t>
      </w:r>
    </w:p>
    <w:p>
      <w:pPr>
        <w:pStyle w:val="ListBullet2"/>
      </w:pPr>
      <w:r>
        <w:t>Key points: "the addition of ICSs to a dual bronchodilator regimen should be considered at discharge".</w:t>
      </w:r>
    </w:p>
    <w:p>
      <w:pPr>
        <w:pStyle w:val="ListBullet"/>
      </w:pPr>
      <w:r>
        <w:rPr>
          <w:b/>
        </w:rPr>
        <w:t>Problema:</w:t>
      </w:r>
    </w:p>
    <w:p>
      <w:pPr>
        <w:pStyle w:val="ListBullet2"/>
      </w:pPr>
      <w:r>
        <w:t>La fuerza de la recomendación difiere entre ambos sitios.</w:t>
      </w:r>
    </w:p>
    <w:p>
      <w:pPr>
        <w:pStyle w:val="ListBullet2"/>
      </w:pPr>
      <w:r>
        <w:t>"Elevated" no se cuantifica: en el cap. 3, ≥100 permite los ICS y ≥300 los favorece.</w:t>
      </w:r>
    </w:p>
    <w:p>
      <w:pPr>
        <w:pStyle w:val="ListBullet"/>
      </w:pPr>
      <w:r>
        <w:rPr>
          <w:b/>
        </w:rPr>
        <w:t>Evidencia/justificación:</w:t>
      </w:r>
      <w:r>
        <w:t xml:space="preserve"> PDF 77 y 161 (umbrales 100/300).</w:t>
      </w:r>
    </w:p>
    <w:p>
      <w:pPr>
        <w:pStyle w:val="ListBullet"/>
      </w:pPr>
      <w:r>
        <w:rPr>
          <w:b/>
        </w:rPr>
        <w:t>Recomendación:</w:t>
      </w:r>
      <w:r>
        <w:t xml:space="preserve"> especificar el umbral (≥100, con mayor beneficio a ≥300) y usar el mismo verbo en ambos sitios.</w:t>
      </w:r>
    </w:p>
    <w:p>
      <w:pPr>
        <w:pStyle w:val="ListBullet"/>
      </w:pPr>
      <w:r>
        <w:rPr>
          <w:b/>
        </w:rPr>
        <w:t>Confianza:</w:t>
      </w:r>
      <w:r>
        <w:t xml:space="preserve"> 4</w:t>
      </w:r>
    </w:p>
    <w:p>
      <w:pPr>
        <w:pStyle w:val="Heading4"/>
      </w:pPr>
      <w:r>
        <w:t>EXA-21 · Alta: eosinófilos sin umbral, ausencia de criterios objetivos de alta y de VNI domiciliaria, y evidencia observacional sesgada</w:t>
      </w:r>
    </w:p>
    <w:p>
      <w:r>
        <w:rPr>
          <w:i/>
        </w:rPr>
        <w:t xml:space="preserve">Severidad final: </w:t>
      </w:r>
      <w:r>
        <w:rPr>
          <w:i/>
          <w:color w:val="FFC000"/>
        </w:rPr>
        <w:t>🟡</w:t>
      </w:r>
      <w:r>
        <w:rPr>
          <w:i/>
        </w:rPr>
        <w:t xml:space="preserve"> MEDIA · Tema T27: Alta y prevención tras la exacerbación (ICS, vitamina D, mucolíticos)</w:t>
      </w:r>
    </w:p>
    <w:p>
      <w:pPr>
        <w:pStyle w:val="ListBullet"/>
      </w:pPr>
      <w:r>
        <w:rPr>
          <w:b/>
        </w:rPr>
        <w:t>Tipo:</w:t>
      </w:r>
      <w:r>
        <w:t xml:space="preserve"> Ambigüedad/Claridad / Omisión / Incongruencia interna</w:t>
      </w:r>
    </w:p>
    <w:p>
      <w:pPr>
        <w:pStyle w:val="ListBullet"/>
      </w:pPr>
      <w:r>
        <w:rPr>
          <w:b/>
        </w:rPr>
        <w:t>Severidad:</w:t>
      </w:r>
      <w:r>
        <w:t xml:space="preserve"> MEDIA</w:t>
      </w:r>
    </w:p>
    <w:p>
      <w:pPr>
        <w:pStyle w:val="ListBullet"/>
      </w:pPr>
      <w:r>
        <w:rPr>
          <w:b/>
        </w:rPr>
        <w:t>Ubicación:</w:t>
      </w:r>
      <w:r>
        <w:t xml:space="preserve"> PDF 120 / impr. 109 (Fig. 4.10 y texto) y PDF 121 / impr. 110.</w:t>
      </w:r>
    </w:p>
    <w:p>
      <w:pPr>
        <w:pStyle w:val="ListBullet"/>
      </w:pPr>
      <w:r>
        <w:rPr>
          <w:b/>
        </w:rPr>
        <w:t>Cita:</w:t>
      </w:r>
      <w:r>
        <w:t xml:space="preserve"> "patients with elevated blood eosinophils should be discharged on LABA+LAMA+ICS" (Fig. 4.10). En los puntos clave: "the addition of ICSs… should be considered at discharge".</w:t>
      </w:r>
    </w:p>
    <w:p>
      <w:pPr>
        <w:pStyle w:val="ListBullet"/>
      </w:pPr>
      <w:r>
        <w:rPr>
          <w:b/>
        </w:rPr>
        <w:t>Problema:</w:t>
      </w:r>
    </w:p>
    <w:p>
      <w:pPr>
        <w:pStyle w:val="ListBullet2"/>
      </w:pPr>
      <w:r>
        <w:rPr>
          <w:b/>
        </w:rPr>
        <w:t>Eosinófilos:</w:t>
      </w:r>
    </w:p>
    <w:p>
      <w:pPr>
        <w:pStyle w:val="ListBullet2"/>
      </w:pPr>
      <w:r>
        <w:t>"Elevated" no está definido, frente a ≥300 en la Fig. 3.8 y ≥100 en la Fig. 3.9.</w:t>
      </w:r>
    </w:p>
    <w:p>
      <w:pPr>
        <w:pStyle w:val="ListBullet2"/>
      </w:pPr>
      <w:r>
        <w:t>Los eosinófilos medidos durante la exacerbación o tras corticoides sistémicos no son fiables, y no se dice cuándo medirlos.</w:t>
      </w:r>
    </w:p>
    <w:p>
      <w:pPr>
        <w:pStyle w:val="ListBullet2"/>
      </w:pPr>
      <w:r>
        <w:t>"Should" en la figura frente a "should be considered" en los puntos clave.</w:t>
      </w:r>
    </w:p>
    <w:p>
      <w:pPr>
        <w:pStyle w:val="ListBullet2"/>
      </w:pPr>
      <w:r>
        <w:rPr>
          <w:b/>
        </w:rPr>
        <w:t>Criterios de alta.</w:t>
      </w:r>
      <w:r>
        <w:t xml:space="preserve"> La figura se titula "Discharge Criteria" pero no contiene criterios objetivos de estabilidad:</w:t>
      </w:r>
    </w:p>
    <w:p>
      <w:pPr>
        <w:pStyle w:val="ListBullet2"/>
      </w:pPr>
      <w:r>
        <w:t>estabilidad clínica y gasométrica 12-24 h;</w:t>
      </w:r>
    </w:p>
    <w:p>
      <w:pPr>
        <w:pStyle w:val="ListBullet2"/>
      </w:pPr>
      <w:r>
        <w:t>uso de SABA no más de cada 4 h;</w:t>
      </w:r>
    </w:p>
    <w:p>
      <w:pPr>
        <w:pStyle w:val="ListBullet2"/>
      </w:pPr>
      <w:r>
        <w:t>capacidad de deambular y de usar los inhaladores;</w:t>
      </w:r>
    </w:p>
    <w:p>
      <w:pPr>
        <w:pStyle w:val="ListBullet2"/>
      </w:pPr>
      <w:r>
        <w:t>soporte domiciliario.</w:t>
      </w:r>
    </w:p>
    <w:p>
      <w:pPr>
        <w:pStyle w:val="ListBullet2"/>
      </w:pPr>
      <w:r>
        <w:rPr>
          <w:b/>
        </w:rPr>
        <w:t>VNI domiciliaria.</w:t>
      </w:r>
      <w:r>
        <w:t xml:space="preserve"> Falta la reevaluación a las 2-4 semanas del alta de la hipercapnia persistente (PaCO2 &gt;53 mmHg) para VNI domiciliaria (HOT-HMV), que sí se recoge en el cap. 3 (PDF 89).</w:t>
      </w:r>
    </w:p>
    <w:p>
      <w:pPr>
        <w:pStyle w:val="ListBullet2"/>
      </w:pPr>
      <w:r>
        <w:rPr>
          <w:b/>
        </w:rPr>
        <w:t>Rehabilitación, vacunación y tabaco.</w:t>
      </w:r>
      <w:r>
        <w:t xml:space="preserve"> La rehabilitación aparece solo como "consider eligibility". En la figura faltan la vacunación y la deshabituación tabáquica.</w:t>
      </w:r>
    </w:p>
    <w:p>
      <w:pPr>
        <w:pStyle w:val="ListBullet2"/>
      </w:pPr>
      <w:r>
        <w:rPr>
          <w:b/>
        </w:rPr>
        <w:t>Evidencia de la triple terapia precoz:</w:t>
      </w:r>
    </w:p>
    <w:p>
      <w:pPr>
        <w:pStyle w:val="ListBullet2"/>
      </w:pPr>
      <w:r>
        <w:t>Las refs. 1103-1105 son análisis de bases de reclamaciones con riesgo de sesgo de tiempo inmortal.</w:t>
      </w:r>
    </w:p>
    <w:p>
      <w:pPr>
        <w:pStyle w:val="ListBullet2"/>
      </w:pPr>
      <w:r>
        <w:t>La ref. 1117 es un póster de congreso (ATS).</w:t>
      </w:r>
    </w:p>
    <w:p>
      <w:pPr>
        <w:pStyle w:val="ListBullet2"/>
      </w:pPr>
      <w:r>
        <w:t>Se presentan como "showed a significant reduction" sin advertir de estas limitaciones.</w:t>
      </w:r>
    </w:p>
    <w:p>
      <w:pPr>
        <w:pStyle w:val="ListBullet"/>
      </w:pPr>
      <w:r>
        <w:rPr>
          <w:b/>
        </w:rPr>
        <w:t>Evidencia/justificación:</w:t>
      </w:r>
    </w:p>
    <w:p>
      <w:pPr>
        <w:pStyle w:val="ListBullet2"/>
      </w:pPr>
      <w:r>
        <w:t>Murphy PB et al., JAMA 2017;317:2177-86 (HOT-HMV: menos reingresos y muerte a 12 meses).</w:t>
      </w:r>
    </w:p>
    <w:p>
      <w:pPr>
        <w:pStyle w:val="ListBullet2"/>
      </w:pPr>
      <w:r>
        <w:t>Suissa S, sobre el sesgo de tiempo inmortal en estudios de fármacos respiratorios (Am J Respir Crit Care Med 2003;168:49-53).</w:t>
      </w:r>
    </w:p>
    <w:p>
      <w:pPr>
        <w:pStyle w:val="ListBullet"/>
      </w:pPr>
      <w:r>
        <w:rPr>
          <w:b/>
        </w:rPr>
        <w:t>Recomendación:</w:t>
      </w:r>
    </w:p>
    <w:p>
      <w:pPr>
        <w:pStyle w:val="ListBullet2"/>
      </w:pPr>
      <w:r>
        <w:t>Definir el umbral de eosinófilos (p. ej., ≥300/µL en situación estable o antes de los corticoides) y cuándo medirlos.</w:t>
      </w:r>
    </w:p>
    <w:p>
      <w:pPr>
        <w:pStyle w:val="ListBullet2"/>
      </w:pPr>
      <w:r>
        <w:t>Añadir criterios objetivos de alta.</w:t>
      </w:r>
    </w:p>
    <w:p>
      <w:pPr>
        <w:pStyle w:val="ListBullet2"/>
      </w:pPr>
      <w:r>
        <w:t>Incluir "gasometría a las 2-4 semanas; si PaCO2 &gt;53 mmHg, valorar VNI domiciliaria".</w:t>
      </w:r>
    </w:p>
    <w:p>
      <w:pPr>
        <w:pStyle w:val="ListBullet2"/>
      </w:pPr>
      <w:r>
        <w:t>Convertir la rehabilitación en una recomendación de derivación activa dentro de las 4 semanas.</w:t>
      </w:r>
    </w:p>
    <w:p>
      <w:pPr>
        <w:pStyle w:val="ListBullet2"/>
      </w:pPr>
      <w:r>
        <w:t>Añadir la vacunación y la deshabituación tabáquica.</w:t>
      </w:r>
    </w:p>
    <w:p>
      <w:pPr>
        <w:pStyle w:val="ListBullet2"/>
      </w:pPr>
      <w:r>
        <w:t>Calificar la evidencia observacional.</w:t>
      </w:r>
    </w:p>
    <w:p>
      <w:pPr>
        <w:pStyle w:val="ListBullet"/>
      </w:pPr>
      <w:r>
        <w:rPr>
          <w:b/>
        </w:rPr>
        <w:t>Confianza:</w:t>
      </w:r>
      <w:r>
        <w:t xml:space="preserve"> 4/5</w:t>
      </w:r>
    </w:p>
    <w:p>
      <w:pPr>
        <w:pStyle w:val="Heading4"/>
      </w:pPr>
      <w:r>
        <w:t>EXA-22 · Vitamina D: efecto sobrestimado e incoherente con el cap. 5</w:t>
      </w:r>
    </w:p>
    <w:p>
      <w:r>
        <w:rPr>
          <w:i/>
        </w:rPr>
        <w:t xml:space="preserve">Severidad final: </w:t>
      </w:r>
      <w:r>
        <w:rPr>
          <w:i/>
          <w:color w:val="FFC000"/>
        </w:rPr>
        <w:t>🟡</w:t>
      </w:r>
      <w:r>
        <w:rPr>
          <w:i/>
        </w:rPr>
        <w:t xml:space="preserve"> MEDIA · Tema T27: Alta y prevención tras la exacerbación (ICS, vitamina D, mucolíticos)</w:t>
      </w:r>
    </w:p>
    <w:p>
      <w:pPr>
        <w:pStyle w:val="ListBullet"/>
      </w:pPr>
      <w:r>
        <w:rPr>
          <w:b/>
        </w:rPr>
        <w:t>Tipo:</w:t>
      </w:r>
      <w:r>
        <w:t xml:space="preserve"> Evidencia mal representada / Incongruencia interna</w:t>
      </w:r>
    </w:p>
    <w:p>
      <w:pPr>
        <w:pStyle w:val="ListBullet"/>
      </w:pPr>
      <w:r>
        <w:rPr>
          <w:b/>
        </w:rPr>
        <w:t>Severidad:</w:t>
      </w:r>
      <w:r>
        <w:t xml:space="preserve"> MEDIA</w:t>
      </w:r>
    </w:p>
    <w:p>
      <w:pPr>
        <w:pStyle w:val="ListBullet"/>
      </w:pPr>
      <w:r>
        <w:rPr>
          <w:b/>
        </w:rPr>
        <w:t>Ubicación:</w:t>
      </w:r>
      <w:r>
        <w:t xml:space="preserve"> PDF 111 / impr. 100; PDF 122 / impr. 111 (Fig. 4.11); PDF 138-139 / impr. 127-128 (cap. 5).</w:t>
      </w:r>
    </w:p>
    <w:p>
      <w:pPr>
        <w:pStyle w:val="ListBullet"/>
      </w:pPr>
      <w:r>
        <w:rPr>
          <w:b/>
        </w:rPr>
        <w:t>Cita:</w:t>
      </w:r>
      <w:r>
        <w:t xml:space="preserve"> "supplementation in people with severe deficiency results in a 50% reduction in episodes and hospital admission.(996,997) Therefore it is recommended that all patients hospitalized… should be assessed".</w:t>
      </w:r>
    </w:p>
    <w:p>
      <w:pPr>
        <w:pStyle w:val="ListBullet"/>
      </w:pPr>
      <w:r>
        <w:rPr>
          <w:b/>
        </w:rPr>
        <w:t>Problema:</w:t>
      </w:r>
    </w:p>
    <w:p>
      <w:pPr>
        <w:pStyle w:val="ListBullet2"/>
      </w:pPr>
      <w:r>
        <w:rPr>
          <w:b/>
        </w:rPr>
        <w:t>Ref. 996 (Jolliffe, Thorax 2019;74:337-45, metaanálisis con datos individuales):</w:t>
      </w:r>
      <w:r>
        <w:t xml:space="preserve"> la reducción se limitó a las exacerbaciones moderadas o graves en pacientes con 25(OH)D &lt;25 nmol/L. No demostró reducción de los ingresos hospitalarios.</w:t>
      </w:r>
    </w:p>
    <w:p>
      <w:pPr>
        <w:pStyle w:val="ListBullet2"/>
      </w:pPr>
      <w:r>
        <w:rPr>
          <w:b/>
        </w:rPr>
        <w:t>Ref. 997 (Rafiq 2022):</w:t>
      </w:r>
      <w:r>
        <w:t xml:space="preserve"> fue un ensayo aleatorizado negativo; no puede apoyar un "50 %".</w:t>
      </w:r>
    </w:p>
    <w:p>
      <w:pPr>
        <w:pStyle w:val="ListBullet2"/>
      </w:pPr>
      <w:r>
        <w:rPr>
          <w:b/>
        </w:rPr>
        <w:t>Discordancia de grado entre capítulos:</w:t>
      </w:r>
      <w:r>
        <w:t xml:space="preserve"> el cap. 4 lo recomienda para todos los hospitalizados, el cap. 5 (PDF 139) dice "consider checking… particularly if… frequent exacerbations" y la Fig. 4.11 incluye la vitamina D sin calificación.</w:t>
      </w:r>
    </w:p>
    <w:p>
      <w:pPr>
        <w:pStyle w:val="ListBullet"/>
      </w:pPr>
      <w:r>
        <w:rPr>
          <w:b/>
        </w:rPr>
        <w:t>Evidencia/justificación:</w:t>
      </w:r>
      <w:r>
        <w:t xml:space="preserve"> Jolliffe DA et al., Thorax 2019; Rafiq R et al., 2022 (ref. 997), verificados.</w:t>
      </w:r>
    </w:p>
    <w:p>
      <w:pPr>
        <w:pStyle w:val="ListBullet"/>
      </w:pPr>
      <w:r>
        <w:rPr>
          <w:b/>
        </w:rPr>
        <w:t>Recomendación:</w:t>
      </w:r>
    </w:p>
    <w:p>
      <w:pPr>
        <w:pStyle w:val="ListBullet2"/>
      </w:pPr>
      <w:r>
        <w:t>Reformular: "En pacientes con déficit grave (&lt;25 nmol/L) la suplementación redujo las exacerbaciones moderadas o graves en un metaanálisis con datos individuales; no hay evidencia de reducción de ingresos".</w:t>
      </w:r>
    </w:p>
    <w:p>
      <w:pPr>
        <w:pStyle w:val="ListBullet2"/>
      </w:pPr>
      <w:r>
        <w:t>Unificar el grado entre capítulos ("considerar") y matizar la Fig. 4.11.</w:t>
      </w:r>
    </w:p>
    <w:p>
      <w:pPr>
        <w:pStyle w:val="ListBullet"/>
      </w:pPr>
      <w:r>
        <w:rPr>
          <w:b/>
        </w:rPr>
        <w:t>Confianza:</w:t>
      </w:r>
      <w:r>
        <w:t xml:space="preserve"> 4/5</w:t>
      </w:r>
    </w:p>
    <w:p>
      <w:pPr>
        <w:pStyle w:val="Heading4"/>
      </w:pPr>
      <w:r>
        <w:t>FARM-18 · Vitamina D: la Fig 4.11 la presenta como intervención eficaz frente al Apéndice 3</w:t>
      </w:r>
    </w:p>
    <w:p>
      <w:r>
        <w:rPr>
          <w:i/>
        </w:rPr>
        <w:t xml:space="preserve">Severidad final: </w:t>
      </w:r>
      <w:r>
        <w:rPr>
          <w:i/>
          <w:color w:val="FFC000"/>
        </w:rPr>
        <w:t>🟡</w:t>
      </w:r>
      <w:r>
        <w:rPr>
          <w:i/>
        </w:rPr>
        <w:t xml:space="preserve"> MEDIA · Tema T27: Alta y prevención tras la exacerbación (ICS, vitamina D, mucolíticos)</w:t>
      </w:r>
    </w:p>
    <w:p>
      <w:pPr>
        <w:pStyle w:val="ListBullet"/>
      </w:pPr>
      <w:r>
        <w:rPr>
          <w:b/>
        </w:rPr>
        <w:t>Tipo:</w:t>
      </w:r>
      <w:r>
        <w:t xml:space="preserve"> Incongruencia interna (entre capítulos)</w:t>
      </w:r>
    </w:p>
    <w:p>
      <w:pPr>
        <w:pStyle w:val="ListBullet"/>
      </w:pPr>
      <w:r>
        <w:rPr>
          <w:b/>
        </w:rPr>
        <w:t>Severidad:</w:t>
      </w:r>
      <w:r>
        <w:t xml:space="preserve"> MEDIA</w:t>
      </w:r>
    </w:p>
    <w:p>
      <w:pPr>
        <w:pStyle w:val="ListBullet"/>
      </w:pPr>
      <w:r>
        <w:rPr>
          <w:b/>
        </w:rPr>
        <w:t>Ubicación:</w:t>
      </w:r>
      <w:r>
        <w:t xml:space="preserve"> PDF 122 / impr. 111 (Fig 4.11) vs PDF 164 / impr. 153 (Apéndice 3) y PDF 138-139 / impr. 127-128 (cap. 5)</w:t>
      </w:r>
    </w:p>
    <w:p>
      <w:pPr>
        <w:pStyle w:val="ListBullet"/>
      </w:pPr>
      <w:r>
        <w:rPr>
          <w:b/>
        </w:rPr>
        <w:t>Cita:</w:t>
      </w:r>
    </w:p>
    <w:p>
      <w:pPr>
        <w:pStyle w:val="ListBullet2"/>
      </w:pPr>
      <w:r>
        <w:t>Fig 4.11: "Vitamin D", listada entre "Interventions that Reduce the Frequency of COPD Exacerbations".</w:t>
      </w:r>
    </w:p>
    <w:p>
      <w:pPr>
        <w:pStyle w:val="ListBullet2"/>
      </w:pPr>
      <w:r>
        <w:t>Apéndice: "There is no evidence that supplementation with vitamin D has a positive impact on exacerbations in unselected patients."</w:t>
      </w:r>
    </w:p>
    <w:p>
      <w:pPr>
        <w:pStyle w:val="ListBullet"/>
      </w:pPr>
      <w:r>
        <w:rPr>
          <w:b/>
        </w:rPr>
        <w:t>Problema:</w:t>
      </w:r>
    </w:p>
    <w:p>
      <w:pPr>
        <w:pStyle w:val="ListBullet2"/>
      </w:pPr>
      <w:r>
        <w:t>La Fig 4.11 la presenta sin restricción.</w:t>
      </w:r>
    </w:p>
    <w:p>
      <w:pPr>
        <w:pStyle w:val="ListBullet2"/>
      </w:pPr>
      <w:r>
        <w:t>El Apéndice 3 y el cap. 5 limitan el posible beneficio a pacientes con déficit grave (&lt;25 nmol/L), e incluso el Apéndice cita un estudio posterior sin efecto.</w:t>
      </w:r>
    </w:p>
    <w:p>
      <w:pPr>
        <w:pStyle w:val="ListBullet2"/>
      </w:pPr>
      <w:r>
        <w:t>La Fig 4.11 puede inducir suplementación indiscriminada.</w:t>
      </w:r>
    </w:p>
    <w:p>
      <w:pPr>
        <w:pStyle w:val="ListBullet"/>
      </w:pPr>
      <w:r>
        <w:rPr>
          <w:b/>
        </w:rPr>
        <w:t>Evidencia/justificación:</w:t>
      </w:r>
      <w:r>
        <w:t xml:space="preserve"> Jolliffe DA et al., Thorax 2019;74:337-345 (metaanálisis de datos individuales): beneficio solo si 25(OH)D &lt;25 nmol/L.</w:t>
      </w:r>
    </w:p>
    <w:p>
      <w:pPr>
        <w:pStyle w:val="ListBullet"/>
      </w:pPr>
      <w:r>
        <w:rPr>
          <w:b/>
        </w:rPr>
        <w:t>Recomendación:</w:t>
      </w:r>
      <w:r>
        <w:t xml:space="preserve"> en la Fig 4.11, cambiar a "Vitamina D (solo si déficit grave, &lt;25 nmol/L)".</w:t>
      </w:r>
    </w:p>
    <w:p>
      <w:pPr>
        <w:pStyle w:val="ListBullet"/>
      </w:pPr>
      <w:r>
        <w:rPr>
          <w:b/>
        </w:rPr>
        <w:t>Confianza:</w:t>
      </w:r>
      <w:r>
        <w:t xml:space="preserve"> 4/5</w:t>
      </w:r>
    </w:p>
    <w:p>
      <w:pPr>
        <w:pStyle w:val="Heading4"/>
      </w:pPr>
      <w:r>
        <w:t>NOV-16 · Vitamina D: listada sin restricción en la Fig. 4.11 y cita de apoyo contradictoria en el cap. 4</w:t>
      </w:r>
    </w:p>
    <w:p>
      <w:r>
        <w:rPr>
          <w:i/>
        </w:rPr>
        <w:t xml:space="preserve">Severidad final: </w:t>
      </w:r>
      <w:r>
        <w:rPr>
          <w:i/>
          <w:color w:val="FFC000"/>
        </w:rPr>
        <w:t>🟡</w:t>
      </w:r>
      <w:r>
        <w:rPr>
          <w:i/>
        </w:rPr>
        <w:t xml:space="preserve"> MEDIA · Tema T27: Alta y prevención tras la exacerbación (ICS, vitamina D, mucolíticos)</w:t>
      </w:r>
    </w:p>
    <w:p>
      <w:pPr>
        <w:pStyle w:val="ListBullet"/>
      </w:pPr>
      <w:r>
        <w:rPr>
          <w:b/>
        </w:rPr>
        <w:t>Tipo:</w:t>
      </w:r>
      <w:r>
        <w:t xml:space="preserve"> Incongruencia interna / Evidencia mal representada</w:t>
      </w:r>
    </w:p>
    <w:p>
      <w:pPr>
        <w:pStyle w:val="ListBullet"/>
      </w:pPr>
      <w:r>
        <w:rPr>
          <w:b/>
        </w:rPr>
        <w:t>Severidad:</w:t>
      </w:r>
      <w:r>
        <w:t xml:space="preserve"> MEDIA</w:t>
      </w:r>
    </w:p>
    <w:p>
      <w:pPr>
        <w:pStyle w:val="ListBullet"/>
      </w:pPr>
      <w:r>
        <w:rPr>
          <w:b/>
        </w:rPr>
        <w:t>Ubicación:</w:t>
      </w:r>
    </w:p>
    <w:p>
      <w:pPr>
        <w:pStyle w:val="ListBullet2"/>
      </w:pPr>
      <w:r>
        <w:t>PDF 122 / impr. 111 — Fig. 4.11.</w:t>
      </w:r>
    </w:p>
    <w:p>
      <w:pPr>
        <w:pStyle w:val="ListBullet2"/>
      </w:pPr>
      <w:r>
        <w:t>PDF 111 / impr. 100 — cap. 4.</w:t>
      </w:r>
    </w:p>
    <w:p>
      <w:pPr>
        <w:pStyle w:val="ListBullet2"/>
      </w:pPr>
      <w:r>
        <w:t>PDF 164 / impr. 153 — Apéndice 3.</w:t>
      </w:r>
    </w:p>
    <w:p>
      <w:pPr>
        <w:pStyle w:val="ListBullet"/>
      </w:pPr>
      <w:r>
        <w:rPr>
          <w:b/>
        </w:rPr>
        <w:t>Cita:</w:t>
      </w:r>
      <w:r>
        <w:t xml:space="preserve"> Cap. 4: "Some, but not all studies have shown that supplementation in people with severe deficiency results in a 50% reduction in episodes and hospital admission.(996,997)"</w:t>
      </w:r>
    </w:p>
    <w:p>
      <w:pPr>
        <w:pStyle w:val="ListBullet"/>
      </w:pPr>
      <w:r>
        <w:rPr>
          <w:b/>
        </w:rPr>
        <w:t>Problema:</w:t>
      </w:r>
    </w:p>
    <w:p>
      <w:pPr>
        <w:pStyle w:val="ListBullet2"/>
      </w:pPr>
      <w:r>
        <w:rPr>
          <w:b/>
        </w:rPr>
        <w:t>Fig. 4.11:</w:t>
      </w:r>
      <w:r>
        <w:t xml:space="preserve"> incluye "Vitamin D" sin calificativo entre las intervenciones que reducen exacerbaciones. Sin embargo, el Apéndice 3 dice que no hay evidencia en pacientes no seleccionados y que el estudio más reciente (ref. 997) no mostró efecto.</w:t>
      </w:r>
    </w:p>
    <w:p>
      <w:pPr>
        <w:pStyle w:val="ListBullet2"/>
      </w:pPr>
      <w:r>
        <w:rPr>
          <w:b/>
        </w:rPr>
        <w:t>Cap. 4:</w:t>
      </w:r>
      <w:r>
        <w:t xml:space="preserve"> usa la ref. 997, un ensayo negativo, como apoyo de una reducción del 50 %.</w:t>
      </w:r>
    </w:p>
    <w:p>
      <w:pPr>
        <w:pStyle w:val="ListBullet2"/>
      </w:pPr>
      <w:r>
        <w:rPr>
          <w:b/>
        </w:rPr>
        <w:t>Hospitalizaciones:</w:t>
      </w:r>
      <w:r>
        <w:t xml:space="preserve"> la reducción de ~50 % procede de un subgrupo con 25(OH)D &lt;25 nmol/L de un metaanálisis de datos individuales y se refiere a exacerbaciones moderadas/graves, no demostradamente a hospitalizaciones.</w:t>
      </w:r>
    </w:p>
    <w:p>
      <w:pPr>
        <w:pStyle w:val="ListBullet"/>
      </w:pPr>
      <w:r>
        <w:rPr>
          <w:b/>
        </w:rPr>
        <w:t>Evidencia/justificación:</w:t>
      </w:r>
    </w:p>
    <w:p>
      <w:pPr>
        <w:pStyle w:val="ListBullet2"/>
      </w:pPr>
      <w:r>
        <w:t>Jolliffe DA et al., Thorax 2019;74:337-45: subgrupo &lt;25 nmol/L, RR ajustado ≈0,55; sin efecto global.</w:t>
      </w:r>
    </w:p>
    <w:p>
      <w:pPr>
        <w:pStyle w:val="ListBullet2"/>
      </w:pPr>
      <w:r>
        <w:t>Rafiq R et al. (ref. 997): sin efecto en pacientes con vitamina D baja.</w:t>
      </w:r>
    </w:p>
    <w:p>
      <w:pPr>
        <w:pStyle w:val="ListBullet"/>
      </w:pPr>
      <w:r>
        <w:rPr>
          <w:b/>
        </w:rPr>
        <w:t>Recomendación:</w:t>
      </w:r>
    </w:p>
    <w:p>
      <w:pPr>
        <w:pStyle w:val="ListBullet2"/>
      </w:pPr>
      <w:r>
        <w:t>En la Fig. 4.11, escribir "Vitamina D (solo si déficit grave &lt;25 nmol/L)".</w:t>
      </w:r>
    </w:p>
    <w:p>
      <w:pPr>
        <w:pStyle w:val="ListBullet2"/>
      </w:pPr>
      <w:r>
        <w:t>En el cap. 4, separar las citas (996 a favor, 997 en contra) y eliminar "hospital admission" salvo que haya fuente.</w:t>
      </w:r>
    </w:p>
    <w:p>
      <w:pPr>
        <w:pStyle w:val="ListBullet"/>
      </w:pPr>
      <w:r>
        <w:rPr>
          <w:b/>
        </w:rPr>
        <w:t>Confianza:</w:t>
      </w:r>
      <w:r>
        <w:t xml:space="preserve"> 4/5</w:t>
      </w:r>
    </w:p>
    <w:p>
      <w:pPr>
        <w:pStyle w:val="Heading4"/>
      </w:pPr>
      <w:r>
        <w:t>REH-19 · Componentes del entrenamiento: contradicción entre fuerza y resistencia, y sobreinterpretación de técnicas respiratorias</w:t>
      </w:r>
    </w:p>
    <w:p>
      <w:r>
        <w:rPr>
          <w:i/>
        </w:rPr>
        <w:t xml:space="preserve">Severidad final: </w:t>
      </w:r>
      <w:r>
        <w:rPr>
          <w:i/>
          <w:color w:val="FFC000"/>
        </w:rPr>
        <w:t>🟡</w:t>
      </w:r>
      <w:r>
        <w:rPr>
          <w:i/>
        </w:rPr>
        <w:t xml:space="preserve"> MEDIA · Tema T28: Rehabilitación, autogestión y algoritmos no farmacológicos</w:t>
      </w:r>
    </w:p>
    <w:p>
      <w:pPr>
        <w:pStyle w:val="ListBullet"/>
      </w:pPr>
      <w:r>
        <w:rPr>
          <w:b/>
        </w:rPr>
        <w:t>Tipo:</w:t>
      </w:r>
      <w:r>
        <w:t xml:space="preserve"> Incongruencia interna / Evidencia mal representada</w:t>
      </w:r>
    </w:p>
    <w:p>
      <w:pPr>
        <w:pStyle w:val="ListBullet"/>
      </w:pPr>
      <w:r>
        <w:rPr>
          <w:b/>
        </w:rPr>
        <w:t>Severidad:</w:t>
      </w:r>
      <w:r>
        <w:t xml:space="preserve"> MEDIA</w:t>
      </w:r>
    </w:p>
    <w:p>
      <w:pPr>
        <w:pStyle w:val="ListBullet"/>
      </w:pPr>
      <w:r>
        <w:rPr>
          <w:b/>
        </w:rPr>
        <w:t>Ubicación:</w:t>
      </w:r>
      <w:r>
        <w:t xml:space="preserve"> PDF 170 / impr. 159 y PDF 171 / impr. 160 — Apéndice 4.</w:t>
      </w:r>
    </w:p>
    <w:p>
      <w:pPr>
        <w:pStyle w:val="ListBullet"/>
      </w:pPr>
      <w:r>
        <w:rPr>
          <w:b/>
        </w:rPr>
        <w:t>Cita:</w:t>
      </w:r>
    </w:p>
    <w:p>
      <w:pPr>
        <w:pStyle w:val="ListBullet2"/>
      </w:pPr>
      <w:r>
        <w:t>PDF 170: «…strength training provides better outcomes than either method alone.(1699)»</w:t>
      </w:r>
    </w:p>
    <w:p>
      <w:pPr>
        <w:pStyle w:val="ListBullet2"/>
      </w:pPr>
      <w:r>
        <w:t>PDF 171: «…strength training to aerobic training is effective in improving strength, but does not improve health status or exercise tolerance».</w:t>
      </w:r>
    </w:p>
    <w:p>
      <w:pPr>
        <w:pStyle w:val="ListBullet2"/>
      </w:pPr>
      <w:r>
        <w:t>PDF 170: «pursed lip breathing and diaphragmatic breathing have also been shown to improve pulmonary function».</w:t>
      </w:r>
    </w:p>
    <w:p>
      <w:pPr>
        <w:pStyle w:val="ListBullet"/>
      </w:pPr>
      <w:r>
        <w:rPr>
          <w:b/>
        </w:rPr>
        <w:t>Problema:</w:t>
      </w:r>
    </w:p>
    <w:p>
      <w:pPr>
        <w:pStyle w:val="ListBullet2"/>
      </w:pPr>
      <w:r>
        <w:t>El mismo apéndice afirma y niega que combinar fuerza y resistencia sea superior. Ortega 2002 y Bernard 1999 se presentan sin conciliar.</w:t>
      </w:r>
    </w:p>
    <w:p>
      <w:pPr>
        <w:pStyle w:val="ListBullet2"/>
      </w:pPr>
      <w:r>
        <w:t>Se atribuye mejora de la «función pulmonar» a la respiración con labios fruncidos y la diafragmática (y al Baduanjin) a partir de metaanálisis de baja calidad. Los ejercicios respiratorios no modifican el FEV1 de forma relevante, y la respiración diafragmática puede aumentar la disnea en la EPOC grave hiperinsuflada.</w:t>
      </w:r>
    </w:p>
    <w:p>
      <w:pPr>
        <w:pStyle w:val="ListBullet2"/>
      </w:pPr>
      <w:r>
        <w:t>Se dice que el entrenamiento muscular inspiratorio «not consistently translate» en beneficios clínicos. Es correcto, pero no se indica cuándo considerarlo (debilidad inspiratoria).</w:t>
      </w:r>
    </w:p>
    <w:p>
      <w:pPr>
        <w:pStyle w:val="ListBullet"/>
      </w:pPr>
      <w:r>
        <w:rPr>
          <w:b/>
        </w:rPr>
        <w:t>Evidencia/justificación:</w:t>
      </w:r>
    </w:p>
    <w:p>
      <w:pPr>
        <w:pStyle w:val="ListBullet2"/>
      </w:pPr>
      <w:r>
        <w:t>Holland AE et al., Cochrane 2012;CD008250 (ejercicios respiratorios en EPOC: sin efecto consistente en la función pulmonar; evidencia de baja calidad).</w:t>
      </w:r>
    </w:p>
    <w:p>
      <w:pPr>
        <w:pStyle w:val="ListBullet2"/>
      </w:pPr>
      <w:r>
        <w:t>Spruit MA et al., declaración ATS/ERS 2013 (ref. 674): el entrenamiento combinado mejora la fuerza y la masa muscular; beneficios adicionales modestos en capacidad de ejercicio y calidad de vida.</w:t>
      </w:r>
    </w:p>
    <w:p>
      <w:pPr>
        <w:pStyle w:val="ListBullet"/>
      </w:pPr>
      <w:r>
        <w:rPr>
          <w:b/>
        </w:rPr>
        <w:t>Recomendación:</w:t>
      </w:r>
      <w:r>
        <w:t xml:space="preserve"> Conciliar: «añadir entrenamiento de fuerza al de resistencia mejora la fuerza y la masa muscular; los beneficios adicionales en tolerancia al ejercicio o calidad de vida son inconsistentes». Sustituir «improve pulmonary function» por «mejoran el patrón respiratorio y la disnea durante el esfuerzo» y advertir sobre la respiración diafragmática en la hiperinsuflación grave. Indicar el entrenamiento muscular inspiratorio en pacientes con debilidad inspiratoria demostrada.</w:t>
      </w:r>
    </w:p>
    <w:p>
      <w:pPr>
        <w:pStyle w:val="ListBullet"/>
      </w:pPr>
      <w:r>
        <w:rPr>
          <w:b/>
        </w:rPr>
        <w:t>Confianza:</w:t>
      </w:r>
      <w:r>
        <w:t xml:space="preserve"> 4/5</w:t>
      </w:r>
    </w:p>
    <w:p>
      <w:pPr>
        <w:pStyle w:val="Heading4"/>
      </w:pPr>
      <w:r>
        <w:t>REH-20 · Evaluación en RR incompleta: faltan la desaturación de esfuerzo, el estado nutricional y la fragilidad</w:t>
      </w:r>
    </w:p>
    <w:p>
      <w:r>
        <w:rPr>
          <w:i/>
        </w:rPr>
        <w:t xml:space="preserve">Severidad final: </w:t>
      </w:r>
      <w:r>
        <w:rPr>
          <w:i/>
          <w:color w:val="FFC000"/>
        </w:rPr>
        <w:t>🟡</w:t>
      </w:r>
      <w:r>
        <w:rPr>
          <w:i/>
        </w:rPr>
        <w:t xml:space="preserve"> MEDIA · Tema T28: Rehabilitación, autogestión y algoritmos no farmacológicos</w:t>
      </w:r>
    </w:p>
    <w:p>
      <w:pPr>
        <w:pStyle w:val="ListBullet"/>
      </w:pPr>
      <w:r>
        <w:rPr>
          <w:b/>
        </w:rPr>
        <w:t>Tipo:</w:t>
      </w:r>
      <w:r>
        <w:t xml:space="preserve"> Omisión</w:t>
      </w:r>
    </w:p>
    <w:p>
      <w:pPr>
        <w:pStyle w:val="ListBullet"/>
      </w:pPr>
      <w:r>
        <w:rPr>
          <w:b/>
        </w:rPr>
        <w:t>Severidad:</w:t>
      </w:r>
      <w:r>
        <w:t xml:space="preserve"> MEDIA</w:t>
      </w:r>
    </w:p>
    <w:p>
      <w:pPr>
        <w:pStyle w:val="ListBullet"/>
      </w:pPr>
      <w:r>
        <w:rPr>
          <w:b/>
        </w:rPr>
        <w:t>Ubicación:</w:t>
      </w:r>
      <w:r>
        <w:t xml:space="preserve"> PDF 86 / impr. 75 — cap. 3, «Assessment and follow-up of pulmonary rehabilitation»; Apéndice, PDF 171 y 173.</w:t>
      </w:r>
    </w:p>
    <w:p>
      <w:pPr>
        <w:pStyle w:val="ListBullet"/>
      </w:pPr>
      <w:r>
        <w:rPr>
          <w:b/>
        </w:rPr>
        <w:t>Cita:</w:t>
      </w:r>
      <w:r>
        <w:t xml:space="preserve"> Lista «Assessments should include:», que no menciona oxigenación, nutrición ni fragilidad. Apéndice: «Exercise-induced oxygen desaturation can be seen in a significant minority… associated with… mortality.(1717)»</w:t>
      </w:r>
    </w:p>
    <w:p>
      <w:pPr>
        <w:pStyle w:val="ListBullet"/>
      </w:pPr>
      <w:r>
        <w:rPr>
          <w:b/>
        </w:rPr>
        <w:t>Problema:</w:t>
      </w:r>
      <w:r>
        <w:t xml:space="preserve"> La lista de evaluación del cap. 3 omite:</w:t>
      </w:r>
    </w:p>
    <w:p>
      <w:pPr>
        <w:pStyle w:val="ListBullet2"/>
      </w:pPr>
      <w:r>
        <w:t xml:space="preserve">la </w:t>
      </w:r>
      <w:r>
        <w:rPr>
          <w:b/>
        </w:rPr>
        <w:t>pulsioximetría durante la prueba de campo y la titulación de O2 para el entrenamiento</w:t>
      </w:r>
      <w:r>
        <w:t>, que el Apéndice considera necesaria y relevante para la seguridad y la intensidad del ejercicio;</w:t>
      </w:r>
    </w:p>
    <w:p>
      <w:pPr>
        <w:pStyle w:val="ListBullet2"/>
      </w:pPr>
      <w:r>
        <w:t xml:space="preserve">el </w:t>
      </w:r>
      <w:r>
        <w:rPr>
          <w:b/>
        </w:rPr>
        <w:t>estado nutricional y la composición corporal</w:t>
      </w:r>
      <w:r>
        <w:t xml:space="preserve"> (IMC, pérdida de peso, FFMI);</w:t>
      </w:r>
    </w:p>
    <w:p>
      <w:pPr>
        <w:pStyle w:val="ListBullet2"/>
      </w:pPr>
      <w:r>
        <w:t xml:space="preserve">la </w:t>
      </w:r>
      <w:r>
        <w:rPr>
          <w:b/>
        </w:rPr>
        <w:t>fragilidad, el equilibrio y riesgo de caídas, y el estado cognitivo</w:t>
      </w:r>
      <w:r>
        <w:t>, que el cap. 5 (PDF 125 / impr. 114) considera relevantes.</w:t>
      </w:r>
    </w:p>
    <w:p>
      <w:r>
        <w:t>La lista tampoco coincide con el conjunto de resultados nucleares que cita (ref. 746).</w:t>
      </w:r>
    </w:p>
    <w:p>
      <w:pPr>
        <w:pStyle w:val="ListBullet"/>
      </w:pPr>
      <w:r>
        <w:rPr>
          <w:b/>
        </w:rPr>
        <w:t>Evidencia/justificación:</w:t>
      </w:r>
      <w:r>
        <w:t xml:space="preserve"> Declaración ATS/ERS 2013 (ref. 674) y guía ATS 2023 (ref. 736): evaluación de la oxigenación durante el ejercicio, de la composición corporal y de los factores psicosociales. Schols AM et al., declaración ERS sobre valoración y tratamiento nutricional en la EPOC, Eur Respir J 2014;44:1504-1520 (doi:10.1183/09031936.00070914).</w:t>
      </w:r>
    </w:p>
    <w:p>
      <w:pPr>
        <w:pStyle w:val="ListBullet"/>
      </w:pPr>
      <w:r>
        <w:rPr>
          <w:b/>
        </w:rPr>
        <w:t>Recomendación:</w:t>
      </w:r>
      <w:r>
        <w:t xml:space="preserve"> Añadir a la lista:</w:t>
      </w:r>
    </w:p>
    <w:p>
      <w:pPr>
        <w:pStyle w:val="ListBullet2"/>
      </w:pPr>
      <w:r>
        <w:t>«SpO2 durante la prueba de marcha y titulación de O2 para el entrenamiento si procede»;</w:t>
      </w:r>
    </w:p>
    <w:p>
      <w:pPr>
        <w:pStyle w:val="ListBullet2"/>
      </w:pPr>
      <w:r>
        <w:t>«cribado nutricional (IMC, pérdida de peso; FFMI si está disponible)»;</w:t>
      </w:r>
    </w:p>
    <w:p>
      <w:pPr>
        <w:pStyle w:val="ListBullet2"/>
      </w:pPr>
      <w:r>
        <w:t>«cribado de fragilidad, equilibrio, caídas y cognición».</w:t>
      </w:r>
    </w:p>
    <w:p>
      <w:pPr>
        <w:pStyle w:val="ListBullet"/>
      </w:pPr>
      <w:r>
        <w:rPr>
          <w:b/>
        </w:rPr>
        <w:t>Confianza:</w:t>
      </w:r>
      <w:r>
        <w:t xml:space="preserve"> 4/5</w:t>
      </w:r>
    </w:p>
    <w:p>
      <w:pPr>
        <w:pStyle w:val="Heading4"/>
      </w:pPr>
      <w:r>
        <w:t>REH-21 · Algoritmos no farmacológicos (Figuras 3.15 y 3.16): falta el rasgo de insuficiencia respiratoria y hay criterios de derivación dispares</w:t>
      </w:r>
    </w:p>
    <w:p>
      <w:r>
        <w:rPr>
          <w:i/>
        </w:rPr>
        <w:t xml:space="preserve">Severidad final: </w:t>
      </w:r>
      <w:r>
        <w:rPr>
          <w:i/>
          <w:color w:val="FFC000"/>
        </w:rPr>
        <w:t>🟡</w:t>
      </w:r>
      <w:r>
        <w:rPr>
          <w:i/>
        </w:rPr>
        <w:t xml:space="preserve"> MEDIA · Tema T28: Rehabilitación, autogestión y algoritmos no farmacológicos</w:t>
      </w:r>
    </w:p>
    <w:p>
      <w:pPr>
        <w:pStyle w:val="ListBullet"/>
      </w:pPr>
      <w:r>
        <w:rPr>
          <w:b/>
        </w:rPr>
        <w:t>Tipo:</w:t>
      </w:r>
      <w:r>
        <w:t xml:space="preserve"> Omisión / Incongruencia interna</w:t>
      </w:r>
    </w:p>
    <w:p>
      <w:pPr>
        <w:pStyle w:val="ListBullet"/>
      </w:pPr>
      <w:r>
        <w:rPr>
          <w:b/>
        </w:rPr>
        <w:t>Severidad:</w:t>
      </w:r>
      <w:r>
        <w:t xml:space="preserve"> MEDIA</w:t>
      </w:r>
    </w:p>
    <w:p>
      <w:pPr>
        <w:pStyle w:val="ListBullet"/>
      </w:pPr>
      <w:r>
        <w:rPr>
          <w:b/>
        </w:rPr>
        <w:t>Ubicación:</w:t>
      </w:r>
      <w:r>
        <w:t xml:space="preserve"> PDF 84 / impr. 73 — Figura 3.15; PDF 85 / impr. 74 — Figura 3.16 y texto «Groups B and E»; Figura A4.1 (PDF 172).</w:t>
      </w:r>
    </w:p>
    <w:p>
      <w:pPr>
        <w:pStyle w:val="ListBullet"/>
      </w:pPr>
      <w:r>
        <w:rPr>
          <w:b/>
        </w:rPr>
        <w:t>Cita:</w:t>
      </w:r>
      <w:r>
        <w:t xml:space="preserve"> Figura 3.16: «2. If not, consider the predominant treatable trait to target», con solo dos rasgos: «DYSPNEA» y «EXACERBATIONS». Texto: «Patients with high symptom burden and risk of exacerbations (Groups B and E)…». Figura A4.1: «indicated in all patients with relevant symptoms and/or a high risk for exacerbation».</w:t>
      </w:r>
    </w:p>
    <w:p>
      <w:pPr>
        <w:pStyle w:val="ListBullet"/>
      </w:pPr>
      <w:r>
        <w:rPr>
          <w:b/>
        </w:rPr>
        <w:t>Problema:</w:t>
      </w:r>
    </w:p>
    <w:p>
      <w:pPr>
        <w:pStyle w:val="ListBullet2"/>
      </w:pPr>
      <w:r>
        <w:t xml:space="preserve">Los algoritmos de inicio y seguimiento no incluyen la </w:t>
      </w:r>
      <w:r>
        <w:rPr>
          <w:b/>
        </w:rPr>
        <w:t>hipoxemia ni la hipercapnia crónicas</w:t>
      </w:r>
      <w:r>
        <w:t xml:space="preserve"> como rasgo tratable, aunque LTOT y VMNI son las intervenciones con evidencia de mortalidad (Figura 3.19), ni la </w:t>
      </w:r>
      <w:r>
        <w:rPr>
          <w:b/>
        </w:rPr>
        <w:t>malnutrición</w:t>
      </w:r>
      <w:r>
        <w:t>.</w:t>
      </w:r>
    </w:p>
    <w:p>
      <w:pPr>
        <w:pStyle w:val="ListBullet2"/>
      </w:pPr>
      <w:r>
        <w:t>La Figura 3.15 no incluye educación ni autogestión, que la Figura 3.16 da por supuestas («maintain and offer»).</w:t>
      </w:r>
    </w:p>
    <w:p>
      <w:pPr>
        <w:pStyle w:val="ListBullet2"/>
      </w:pPr>
      <w:r>
        <w:t>El asterisco del título de la Figura 3.15 («Can include pharmacological treatment») duplica la nota interna y confunde.</w:t>
      </w:r>
    </w:p>
    <w:p>
      <w:pPr>
        <w:pStyle w:val="ListBullet2"/>
      </w:pPr>
      <w:r>
        <w:t>«Y» frente a «y/o» como criterio de derivación a RR genera ambigüedad: el grupo E se define por exacerbaciones, con o sin síntomas.</w:t>
      </w:r>
    </w:p>
    <w:p>
      <w:pPr>
        <w:pStyle w:val="ListBullet"/>
      </w:pPr>
      <w:r>
        <w:rPr>
          <w:b/>
        </w:rPr>
        <w:t>Evidencia/justificación:</w:t>
      </w:r>
      <w:r>
        <w:t xml:space="preserve"> Coherencia interna con las Figuras 3.17-3.19 y A4.1.</w:t>
      </w:r>
    </w:p>
    <w:p>
      <w:pPr>
        <w:pStyle w:val="ListBullet"/>
      </w:pPr>
      <w:r>
        <w:rPr>
          <w:b/>
        </w:rPr>
        <w:t>Recomendación:</w:t>
      </w:r>
    </w:p>
    <w:p>
      <w:pPr>
        <w:pStyle w:val="ListBullet2"/>
      </w:pPr>
      <w:r>
        <w:t>Añadir a la Figura 3.16 un tercer rasgo, «insuficiencia respiratoria crónica» («SpO2 ≤ 92 % → gasometría → LTOT/VMNI según criterios; reevaluación»), y una línea de cribado nutricional.</w:t>
      </w:r>
    </w:p>
    <w:p>
      <w:pPr>
        <w:pStyle w:val="ListBullet2"/>
      </w:pPr>
      <w:r>
        <w:t>Incluir la autogestión en la Figura 3.15.</w:t>
      </w:r>
    </w:p>
    <w:p>
      <w:pPr>
        <w:pStyle w:val="ListBullet2"/>
      </w:pPr>
      <w:r>
        <w:t>Usar «y/o» en el texto de PDF 85.</w:t>
      </w:r>
    </w:p>
    <w:p>
      <w:pPr>
        <w:pStyle w:val="ListBullet2"/>
      </w:pPr>
      <w:r>
        <w:t>Eliminar el asterisco del título.</w:t>
      </w:r>
    </w:p>
    <w:p>
      <w:pPr>
        <w:pStyle w:val="ListBullet"/>
      </w:pPr>
      <w:r>
        <w:rPr>
          <w:b/>
        </w:rPr>
        <w:t>Confianza:</w:t>
      </w:r>
      <w:r>
        <w:t xml:space="preserve"> 4/5</w:t>
      </w:r>
    </w:p>
    <w:p>
      <w:pPr>
        <w:pStyle w:val="Heading4"/>
      </w:pPr>
      <w:r>
        <w:t>REH-22 · Nutrición: métricas desactualizadas, sin criterios diagnósticos ni objetivos, y un subgrupo post hoc presentado como concluyente</w:t>
      </w:r>
    </w:p>
    <w:p>
      <w:r>
        <w:rPr>
          <w:i/>
        </w:rPr>
        <w:t xml:space="preserve">Severidad final: </w:t>
      </w:r>
      <w:r>
        <w:rPr>
          <w:i/>
          <w:color w:val="FFC000"/>
        </w:rPr>
        <w:t>🟡</w:t>
      </w:r>
      <w:r>
        <w:rPr>
          <w:i/>
        </w:rPr>
        <w:t xml:space="preserve"> MEDIA · Tema T28: Rehabilitación, autogestión y algoritmos no farmacológicos</w:t>
      </w:r>
    </w:p>
    <w:p>
      <w:pPr>
        <w:pStyle w:val="ListBullet"/>
      </w:pPr>
      <w:r>
        <w:rPr>
          <w:b/>
        </w:rPr>
        <w:t>Tipo:</w:t>
      </w:r>
      <w:r>
        <w:t xml:space="preserve"> Desactualización / Evidencia mal representada / Omisión</w:t>
      </w:r>
    </w:p>
    <w:p>
      <w:pPr>
        <w:pStyle w:val="ListBullet"/>
      </w:pPr>
      <w:r>
        <w:rPr>
          <w:b/>
        </w:rPr>
        <w:t>Severidad:</w:t>
      </w:r>
      <w:r>
        <w:t xml:space="preserve"> MEDIA</w:t>
      </w:r>
    </w:p>
    <w:p>
      <w:pPr>
        <w:pStyle w:val="ListBullet"/>
      </w:pPr>
      <w:r>
        <w:rPr>
          <w:b/>
        </w:rPr>
        <w:t>Ubicación:</w:t>
      </w:r>
      <w:r>
        <w:t xml:space="preserve"> PDF 174 / impr. 163 — Apéndice 4, «Nutritional support»; PDF 94 / impr. 83 — cap. 3.</w:t>
      </w:r>
    </w:p>
    <w:p>
      <w:pPr>
        <w:pStyle w:val="ListBullet"/>
      </w:pPr>
      <w:r>
        <w:rPr>
          <w:b/>
        </w:rPr>
        <w:t>Cita:</w:t>
      </w:r>
    </w:p>
    <w:p>
      <w:pPr>
        <w:pStyle w:val="ListBullet2"/>
      </w:pPr>
      <w:r>
        <w:t>«up to 50% of people with COPD weigh less than 90% of ideal bodyweight.(1744)»</w:t>
      </w:r>
    </w:p>
    <w:p>
      <w:pPr>
        <w:pStyle w:val="ListBullet2"/>
      </w:pPr>
      <w:r>
        <w:t>«Among malnourished, hospitalized people with COPD, a protein enriched supplementation decreased mortality… (1756)»</w:t>
      </w:r>
    </w:p>
    <w:p>
      <w:pPr>
        <w:pStyle w:val="ListBullet2"/>
      </w:pPr>
      <w:r>
        <w:t>PDF 94: «Nutritional antioxidant supplementation (vitamin C and E, zinc, and selenium) has been shown to improve…»</w:t>
      </w:r>
    </w:p>
    <w:p>
      <w:pPr>
        <w:pStyle w:val="ListBullet"/>
      </w:pPr>
      <w:r>
        <w:rPr>
          <w:b/>
        </w:rPr>
        <w:t>Problema:</w:t>
      </w:r>
    </w:p>
    <w:p>
      <w:pPr>
        <w:pStyle w:val="ListBullet2"/>
      </w:pPr>
      <w:r>
        <w:t>Se usa el «% del peso ideal», una métrica en desuso.</w:t>
      </w:r>
    </w:p>
    <w:p>
      <w:pPr>
        <w:pStyle w:val="ListBullet2"/>
      </w:pPr>
      <w:r>
        <w:t>No se ofrecen criterios de cribado y diagnóstico (MUST/NRS-2002, criterios GLIM, FFMI bajo, sarcopenia) ni objetivos de energía y proteína (p. ej., 1,2-1,5 g/kg/día).</w:t>
      </w:r>
    </w:p>
    <w:p>
      <w:pPr>
        <w:pStyle w:val="ListBullet2"/>
      </w:pPr>
      <w:r>
        <w:t>El objetivo de IMC solo aparece en el cap. 5.</w:t>
      </w:r>
    </w:p>
    <w:p>
      <w:pPr>
        <w:pStyle w:val="ListBullet2"/>
      </w:pPr>
      <w:r>
        <w:t>Se omite la obesidad sarcopénica.</w:t>
      </w:r>
    </w:p>
    <w:p>
      <w:pPr>
        <w:pStyle w:val="ListBullet2"/>
      </w:pPr>
      <w:r>
        <w:t xml:space="preserve">El resultado de NOURISH procede de un </w:t>
      </w:r>
      <w:r>
        <w:rPr>
          <w:b/>
        </w:rPr>
        <w:t>análisis post hoc por subgrupos</w:t>
      </w:r>
      <w:r>
        <w:t xml:space="preserve"> de pacientes ≥ 65 años con un suplemento oral hiperproteico enriquecido con HMB (Evidencia B según la Tabla A), pero se presenta como concluyente.</w:t>
      </w:r>
    </w:p>
    <w:p>
      <w:pPr>
        <w:pStyle w:val="ListBullet2"/>
      </w:pPr>
      <w:r>
        <w:t>La afirmación sobre antioxidantes se apoya en un único ECA pequeño.</w:t>
      </w:r>
    </w:p>
    <w:p>
      <w:pPr>
        <w:pStyle w:val="ListBullet"/>
      </w:pPr>
      <w:r>
        <w:rPr>
          <w:b/>
        </w:rPr>
        <w:t>Evidencia/justificación:</w:t>
      </w:r>
    </w:p>
    <w:p>
      <w:pPr>
        <w:pStyle w:val="ListBullet2"/>
      </w:pPr>
      <w:r>
        <w:t>Deutz NE et al., Clin Nutr 2021 (ref. 1756; subgrupo con EPOC de NOURISH).</w:t>
      </w:r>
    </w:p>
    <w:p>
      <w:pPr>
        <w:pStyle w:val="ListBullet2"/>
      </w:pPr>
      <w:r>
        <w:t>Cederholm T et al., criterios GLIM, Clin Nutr 2019;38:1-9 (doi:10.1016/j.clnu.2018.08.002).</w:t>
      </w:r>
    </w:p>
    <w:p>
      <w:pPr>
        <w:pStyle w:val="ListBullet2"/>
      </w:pPr>
      <w:r>
        <w:t>Schols 2014 (declaración ERS).</w:t>
      </w:r>
    </w:p>
    <w:p>
      <w:pPr>
        <w:pStyle w:val="ListBullet2"/>
      </w:pPr>
      <w:r>
        <w:t>Collins PF et al., metaanálisis de suplementación nutricional en EPOC (Am J Clin Nutr 2012;95:1385-1395), coherente con la ref. 815.</w:t>
      </w:r>
    </w:p>
    <w:p>
      <w:pPr>
        <w:pStyle w:val="ListBullet"/>
      </w:pPr>
      <w:r>
        <w:rPr>
          <w:b/>
        </w:rPr>
        <w:t>Recomendación:</w:t>
      </w:r>
      <w:r>
        <w:t xml:space="preserve"> Sustituir la métrica por IMC &lt; 21 kg/m² o pérdida de peso no intencionada y FFMI bajo. Añadir el cribado y el diagnóstico (GLIM) y objetivos orientativos de energía y proteína combinados con ejercicio. Calificar NOURISH como «análisis de subgrupo (hipótesis)» y la suplementación antioxidante como «evidencia preliminar».</w:t>
      </w:r>
    </w:p>
    <w:p>
      <w:pPr>
        <w:pStyle w:val="ListBullet"/>
      </w:pPr>
      <w:r>
        <w:rPr>
          <w:b/>
        </w:rPr>
        <w:t>Confianza:</w:t>
      </w:r>
      <w:r>
        <w:t xml:space="preserve"> 4/5</w:t>
      </w:r>
    </w:p>
    <w:p>
      <w:pPr>
        <w:pStyle w:val="Heading4"/>
      </w:pPr>
      <w:r>
        <w:t>COH-16 · El checklist del Apéndice 2 está desalineado con los capítulos 2-4</w:t>
      </w:r>
    </w:p>
    <w:p>
      <w:r>
        <w:rPr>
          <w:i/>
        </w:rPr>
        <w:t xml:space="preserve">Severidad final: </w:t>
      </w:r>
      <w:r>
        <w:rPr>
          <w:i/>
          <w:color w:val="FFC000"/>
        </w:rPr>
        <w:t>🟡</w:t>
      </w:r>
      <w:r>
        <w:rPr>
          <w:i/>
        </w:rPr>
        <w:t xml:space="preserve"> MEDIA · Tema T29: Edición, erratas y estructura</w:t>
      </w:r>
    </w:p>
    <w:p>
      <w:pPr>
        <w:pStyle w:val="ListBullet"/>
      </w:pPr>
      <w:r>
        <w:rPr>
          <w:b/>
        </w:rPr>
        <w:t>Tipo:</w:t>
      </w:r>
      <w:r>
        <w:t xml:space="preserve"> Incoherencia apéndice-capítulos / obsolescencia</w:t>
      </w:r>
    </w:p>
    <w:p>
      <w:pPr>
        <w:pStyle w:val="ListBullet"/>
      </w:pPr>
      <w:r>
        <w:rPr>
          <w:b/>
        </w:rPr>
        <w:t>Severidad:</w:t>
      </w:r>
      <w:r>
        <w:t xml:space="preserve"> MEDIA</w:t>
      </w:r>
    </w:p>
    <w:p>
      <w:pPr>
        <w:pStyle w:val="ListBullet"/>
      </w:pPr>
      <w:r>
        <w:rPr>
          <w:b/>
        </w:rPr>
        <w:t>Ubicación:</w:t>
      </w:r>
      <w:r>
        <w:t xml:space="preserve"> PDF 151-152 / impr. 140-141</w:t>
      </w:r>
    </w:p>
    <w:p>
      <w:pPr>
        <w:pStyle w:val="ListBullet"/>
      </w:pPr>
      <w:r>
        <w:rPr>
          <w:b/>
        </w:rPr>
        <w:t>Cita:</w:t>
      </w:r>
      <w:r>
        <w:t xml:space="preserve"> "Non pharmacological Rx: O2: CPAP: BIPAP" y "Contact with someone positive for airborne virus?"</w:t>
      </w:r>
    </w:p>
    <w:p>
      <w:pPr>
        <w:pStyle w:val="ListBullet"/>
      </w:pPr>
      <w:r>
        <w:rPr>
          <w:b/>
        </w:rPr>
        <w:t>Problema:</w:t>
      </w:r>
    </w:p>
    <w:p>
      <w:pPr>
        <w:pStyle w:val="ListBullet2"/>
      </w:pPr>
      <w:r>
        <w:t>Solo registra ingresos y visitas a urgencias, no las exacerbaciones moderadas, que determinan el grupo E y la escalada.</w:t>
      </w:r>
    </w:p>
    <w:p>
      <w:pPr>
        <w:pStyle w:val="ListBullet2"/>
      </w:pPr>
      <w:r>
        <w:t>No recoge lo que pide el propio texto de seguimiento (PDF 74 / impr. 63; Fig 3.13; Fig 4.10):</w:t>
      </w:r>
    </w:p>
    <w:p>
      <w:pPr>
        <w:pStyle w:val="ListBullet2"/>
      </w:pPr>
      <w:r>
        <w:t>técnica inhalatoria y adherencia;</w:t>
      </w:r>
    </w:p>
    <w:p>
      <w:pPr>
        <w:pStyle w:val="ListBullet2"/>
      </w:pPr>
      <w:r>
        <w:t>tabaquismo activo;</w:t>
      </w:r>
    </w:p>
    <w:p>
      <w:pPr>
        <w:pStyle w:val="ListBullet2"/>
      </w:pPr>
      <w:r>
        <w:t>espirometría anual;</w:t>
      </w:r>
    </w:p>
    <w:p>
      <w:pPr>
        <w:pStyle w:val="ListBullet2"/>
      </w:pPr>
      <w:r>
        <w:t>eosinófilos;</w:t>
      </w:r>
    </w:p>
    <w:p>
      <w:pPr>
        <w:pStyle w:val="ListBullet2"/>
      </w:pPr>
      <w:r>
        <w:t>vacunas;</w:t>
      </w:r>
    </w:p>
    <w:p>
      <w:pPr>
        <w:pStyle w:val="ListBullet2"/>
      </w:pPr>
      <w:r>
        <w:t>SpO2;</w:t>
      </w:r>
    </w:p>
    <w:p>
      <w:pPr>
        <w:pStyle w:val="ListBullet2"/>
      </w:pPr>
      <w:r>
        <w:t>comorbilidades;</w:t>
      </w:r>
    </w:p>
    <w:p>
      <w:pPr>
        <w:pStyle w:val="ListBullet2"/>
      </w:pPr>
      <w:r>
        <w:t>derivación a rehabilitación;</w:t>
      </w:r>
    </w:p>
    <w:p>
      <w:pPr>
        <w:pStyle w:val="ListBullet2"/>
      </w:pPr>
      <w:r>
        <w:t>efectos adversos (neumonía con ICS).</w:t>
      </w:r>
    </w:p>
    <w:p>
      <w:pPr>
        <w:pStyle w:val="ListBullet2"/>
      </w:pPr>
      <w:r>
        <w:t>La lista de fármacos omite roflumilast, azitromicina, biológicos y ensifentrina.</w:t>
      </w:r>
    </w:p>
    <w:p>
      <w:pPr>
        <w:pStyle w:val="ListBullet2"/>
      </w:pPr>
      <w:r>
        <w:t>Usa "BIPAP" en lugar de NIV/NPPV.</w:t>
      </w:r>
    </w:p>
    <w:p>
      <w:pPr>
        <w:pStyle w:val="ListBullet2"/>
      </w:pPr>
      <w:r>
        <w:t>Conserva la sección COVID ("airborne virus") y unas instrucciones redactadas para visita remota.</w:t>
      </w:r>
    </w:p>
    <w:p>
      <w:pPr>
        <w:pStyle w:val="ListBullet"/>
      </w:pPr>
      <w:r>
        <w:rPr>
          <w:b/>
        </w:rPr>
        <w:t>Evidencia/justificación:</w:t>
      </w:r>
      <w:r>
        <w:t xml:space="preserve"> contraste con la viñeta de seguimiento de PDF 74: "Inhaler technique, adherence…, smoking status… Spirometry should be repeated at least annually."</w:t>
      </w:r>
    </w:p>
    <w:p>
      <w:pPr>
        <w:pStyle w:val="ListBullet"/>
      </w:pPr>
      <w:r>
        <w:rPr>
          <w:b/>
        </w:rPr>
        <w:t>Recomendación:</w:t>
      </w:r>
      <w:r>
        <w:t xml:space="preserve"> rediseñar el checklist a partir de la Fig 3.9, de PDF 74 y de la Fig 4.10, e incluir el número de exacerbaciones moderadas y graves.</w:t>
      </w:r>
    </w:p>
    <w:p>
      <w:pPr>
        <w:pStyle w:val="ListBullet"/>
      </w:pPr>
      <w:r>
        <w:rPr>
          <w:b/>
        </w:rPr>
        <w:t>Confianza:</w:t>
      </w:r>
      <w:r>
        <w:t xml:space="preserve"> 4</w:t>
      </w:r>
    </w:p>
    <w:p>
      <w:pPr>
        <w:pStyle w:val="Heading4"/>
      </w:pPr>
      <w:r>
        <w:t>COH-17 · Umbrales de FEV1 mezclados para la terapia de aumento en el DAAT</w:t>
      </w:r>
    </w:p>
    <w:p>
      <w:r>
        <w:rPr>
          <w:i/>
        </w:rPr>
        <w:t xml:space="preserve">Severidad final: </w:t>
      </w:r>
      <w:r>
        <w:rPr>
          <w:i/>
          <w:color w:val="FFC000"/>
        </w:rPr>
        <w:t>🟡</w:t>
      </w:r>
      <w:r>
        <w:rPr>
          <w:i/>
        </w:rPr>
        <w:t xml:space="preserve"> MEDIA · Tema T30: Déficit de alfa-1 antitripsina</w:t>
      </w:r>
    </w:p>
    <w:p>
      <w:pPr>
        <w:pStyle w:val="ListBullet"/>
      </w:pPr>
      <w:r>
        <w:rPr>
          <w:b/>
        </w:rPr>
        <w:t>Tipo:</w:t>
      </w:r>
      <w:r>
        <w:t xml:space="preserve"> Incoherencia de parámetros</w:t>
      </w:r>
    </w:p>
    <w:p>
      <w:pPr>
        <w:pStyle w:val="ListBullet"/>
      </w:pPr>
      <w:r>
        <w:rPr>
          <w:b/>
        </w:rPr>
        <w:t>Severidad:</w:t>
      </w:r>
      <w:r>
        <w:t xml:space="preserve"> MEDIA</w:t>
      </w:r>
    </w:p>
    <w:p>
      <w:pPr>
        <w:pStyle w:val="ListBullet"/>
      </w:pPr>
      <w:r>
        <w:rPr>
          <w:b/>
        </w:rPr>
        <w:t>Ubicación:</w:t>
      </w:r>
      <w:r>
        <w:t xml:space="preserve"> PDF 166-167 / impr. 155-156</w:t>
      </w:r>
    </w:p>
    <w:p>
      <w:pPr>
        <w:pStyle w:val="ListBullet"/>
      </w:pPr>
      <w:r>
        <w:rPr>
          <w:b/>
        </w:rPr>
        <w:t>Cita:</w:t>
      </w:r>
      <w:r>
        <w:t xml:space="preserve"> "Never- or ex-smokers with an FEV1 of 35% to 60% predicted have been suggested as those most suitable for AATD augmentation therapy (Evidence B)".</w:t>
      </w:r>
    </w:p>
    <w:p>
      <w:pPr>
        <w:pStyle w:val="ListBullet"/>
      </w:pPr>
      <w:r>
        <w:rPr>
          <w:b/>
        </w:rPr>
        <w:t>Problema:</w:t>
      </w:r>
    </w:p>
    <w:p>
      <w:pPr>
        <w:pStyle w:val="ListBullet2"/>
      </w:pPr>
      <w:r>
        <w:t>Coexisten cuatro umbrales sin una recomendación operativa: 35-49 % ("most effective"), 35-60 % (Evidencia B), "≤ 65%" y "&gt; 65% should be considered".</w:t>
      </w:r>
    </w:p>
    <w:p>
      <w:pPr>
        <w:pStyle w:val="ListBullet2"/>
      </w:pPr>
      <w:r>
        <w:t>Se aplica Evidencia B a algo "suggested".</w:t>
      </w:r>
    </w:p>
    <w:p>
      <w:pPr>
        <w:pStyle w:val="ListBullet2"/>
      </w:pPr>
      <w:r>
        <w:t>Se dice que "one study… recommended", cuando un estudio no emite recomendaciones.</w:t>
      </w:r>
    </w:p>
    <w:p>
      <w:pPr>
        <w:pStyle w:val="ListBullet"/>
      </w:pPr>
      <w:r>
        <w:rPr>
          <w:b/>
        </w:rPr>
        <w:t>Evidencia/justificación:</w:t>
      </w:r>
      <w:r>
        <w:t xml:space="preserve"> lectura directa de PDF 166-167.</w:t>
      </w:r>
    </w:p>
    <w:p>
      <w:pPr>
        <w:pStyle w:val="ListBullet"/>
      </w:pPr>
      <w:r>
        <w:rPr>
          <w:b/>
        </w:rPr>
        <w:t>Recomendación:</w:t>
      </w:r>
      <w:r>
        <w:t xml:space="preserve"> redactar una frase de síntesis, por ejemplo: "considerar la terapia en PiZZ/null con enfisema progresivo, con la evidencia más sólida para FEV1 35-60 %".</w:t>
      </w:r>
    </w:p>
    <w:p>
      <w:pPr>
        <w:pStyle w:val="ListBullet"/>
      </w:pPr>
      <w:r>
        <w:rPr>
          <w:b/>
        </w:rPr>
        <w:t>Confianza:</w:t>
      </w:r>
      <w:r>
        <w:t xml:space="preserve"> 4</w:t>
      </w:r>
    </w:p>
    <w:p>
      <w:pPr>
        <w:pStyle w:val="Heading4"/>
      </w:pPr>
      <w:r>
        <w:t>DX-21 · Déficit de alfa-1 antitripsina: buena recomendación universal, pero sin método ni umbrales y con remisión errónea</w:t>
      </w:r>
    </w:p>
    <w:p>
      <w:r>
        <w:rPr>
          <w:i/>
        </w:rPr>
        <w:t xml:space="preserve">Severidad final: </w:t>
      </w:r>
      <w:r>
        <w:rPr>
          <w:i/>
          <w:color w:val="FFC000"/>
        </w:rPr>
        <w:t>🟡</w:t>
      </w:r>
      <w:r>
        <w:rPr>
          <w:i/>
        </w:rPr>
        <w:t xml:space="preserve"> MEDIA · Tema T30: Déficit de alfa-1 antitripsina</w:t>
      </w:r>
    </w:p>
    <w:p>
      <w:pPr>
        <w:pStyle w:val="ListBullet"/>
      </w:pPr>
      <w:r>
        <w:rPr>
          <w:b/>
        </w:rPr>
        <w:t>Tipo:</w:t>
      </w:r>
      <w:r>
        <w:t xml:space="preserve"> Omisión / Incongruencia entre capítulos</w:t>
      </w:r>
    </w:p>
    <w:p>
      <w:pPr>
        <w:pStyle w:val="ListBullet"/>
      </w:pPr>
      <w:r>
        <w:rPr>
          <w:b/>
        </w:rPr>
        <w:t>Severidad:</w:t>
      </w:r>
      <w:r>
        <w:t xml:space="preserve"> MEDIA</w:t>
      </w:r>
    </w:p>
    <w:p>
      <w:pPr>
        <w:pStyle w:val="ListBullet"/>
      </w:pPr>
      <w:r>
        <w:rPr>
          <w:b/>
        </w:rPr>
        <w:t>Ubicación:</w:t>
      </w:r>
      <w:r>
        <w:t xml:space="preserve"> PDF 59 / impr. 48 — «Alpha-1 antitrypsin deficiency». Cotejado con el cap. 1 (PDF 18) y el apéndice 3 (PDF 166-167 / impr. 155-156).</w:t>
      </w:r>
    </w:p>
    <w:p>
      <w:pPr>
        <w:pStyle w:val="ListBullet"/>
      </w:pPr>
      <w:r>
        <w:rPr>
          <w:b/>
        </w:rPr>
        <w:t>Cita:</w:t>
      </w:r>
      <w:r>
        <w:t xml:space="preserve"> «GOLD recommends that all patients with a diagnosis of COPD should be tested for AATD.(546,547)… A low concentration (&lt; 20% normal) is highly suggestive of homozygous deficiency… (see Chapter 3)».</w:t>
      </w:r>
    </w:p>
    <w:p>
      <w:pPr>
        <w:pStyle w:val="ListBullet"/>
      </w:pPr>
      <w:r>
        <w:rPr>
          <w:b/>
        </w:rPr>
        <w:t>Problema:</w:t>
      </w:r>
    </w:p>
    <w:p>
      <w:pPr>
        <w:pStyle w:val="ListBullet2"/>
      </w:pPr>
      <w:r>
        <w:rPr>
          <w:b/>
        </w:rPr>
        <w:t>Coherencia con las guías: correcta.</w:t>
      </w:r>
      <w:r>
        <w:t xml:space="preserve"> La recomendación universal es coherente con la OMS 1997 (ref. 546), ATS/ERS 2003 y ERS 2017 (ref. 547).</w:t>
      </w:r>
    </w:p>
    <w:p>
      <w:pPr>
        <w:pStyle w:val="ListBullet2"/>
      </w:pPr>
      <w:r>
        <w:rPr>
          <w:b/>
        </w:rPr>
        <w:t>Falta el cómo:</w:t>
      </w:r>
    </w:p>
    <w:p>
      <w:pPr>
        <w:pStyle w:val="ListBullet2"/>
      </w:pPr>
      <w:r>
        <w:t>medir AAT sérica (con PCR, porque es reactante de fase aguda);</w:t>
      </w:r>
    </w:p>
    <w:p>
      <w:pPr>
        <w:pStyle w:val="ListBullet2"/>
      </w:pPr>
      <w:r>
        <w:t>si es baja o limítrofe, hacer fenotipo o genotipo;</w:t>
      </w:r>
    </w:p>
    <w:p>
      <w:pPr>
        <w:pStyle w:val="ListBullet2"/>
      </w:pPr>
      <w:r>
        <w:t>umbral de déficit grave (&lt;11 µmol/L, ≈50 mg/dL por nefelometría) en lugar de un «&lt;20% normal» sin unidades;</w:t>
      </w:r>
    </w:p>
    <w:p>
      <w:pPr>
        <w:pStyle w:val="ListBullet2"/>
      </w:pPr>
      <w:r>
        <w:t>interpretación de los heterocigotos MZ y SZ.</w:t>
      </w:r>
    </w:p>
    <w:p>
      <w:pPr>
        <w:pStyle w:val="ListBullet2"/>
      </w:pPr>
      <w:r>
        <w:rPr>
          <w:b/>
        </w:rPr>
        <w:t>Remisión errónea.</w:t>
      </w:r>
      <w:r>
        <w:t xml:space="preserve"> «See Chapter 3» (y «Chapter 3» en el cap. 1, PDF 18) no lleva a ningún contenido sobre AATD: la terapia de aumento está en el apéndice 3.</w:t>
      </w:r>
    </w:p>
    <w:p>
      <w:pPr>
        <w:pStyle w:val="ListBullet2"/>
      </w:pPr>
      <w:r>
        <w:rPr>
          <w:b/>
        </w:rPr>
        <w:t>Criterios contradictorios en el apéndice 3.</w:t>
      </w:r>
      <w:r>
        <w:t xml:space="preserve"> El apéndice da a la vez FEV1 35-60% (Evidencia B) y ≤65%, además de «&gt;65% con progresión».</w:t>
      </w:r>
    </w:p>
    <w:p>
      <w:pPr>
        <w:pStyle w:val="ListBullet"/>
      </w:pPr>
      <w:r>
        <w:rPr>
          <w:b/>
        </w:rPr>
        <w:t>Evidencia/justificación:</w:t>
      </w:r>
    </w:p>
    <w:p>
      <w:pPr>
        <w:pStyle w:val="ListBullet2"/>
      </w:pPr>
      <w:r>
        <w:t>American Thoracic Society/European Respiratory Society Statement. AJRCCM 2003;168:818-900.</w:t>
      </w:r>
    </w:p>
    <w:p>
      <w:pPr>
        <w:pStyle w:val="ListBullet2"/>
      </w:pPr>
      <w:r>
        <w:t>Miravitlles M et al. ERS statement. ERJ 2017;50:1700610.</w:t>
      </w:r>
    </w:p>
    <w:p>
      <w:pPr>
        <w:pStyle w:val="ListBullet2"/>
      </w:pPr>
      <w:r>
        <w:t>Texto del apéndice 3 (PDF 166-167).</w:t>
      </w:r>
    </w:p>
    <w:p>
      <w:pPr>
        <w:pStyle w:val="ListBullet"/>
      </w:pPr>
      <w:r>
        <w:rPr>
          <w:b/>
        </w:rPr>
        <w:t>Recomendación:</w:t>
      </w:r>
    </w:p>
    <w:p>
      <w:pPr>
        <w:pStyle w:val="ListBullet2"/>
      </w:pPr>
      <w:r>
        <w:t>Añadir un mini-algoritmo de diagnóstico (nivel sérico + PCR → fenotipo/genotipo; umbral de 11 µM).</w:t>
      </w:r>
    </w:p>
    <w:p>
      <w:pPr>
        <w:pStyle w:val="ListBullet2"/>
      </w:pPr>
      <w:r>
        <w:t>Corregir la remisión a «Apéndice 3».</w:t>
      </w:r>
    </w:p>
    <w:p>
      <w:pPr>
        <w:pStyle w:val="ListBullet2"/>
      </w:pPr>
      <w:r>
        <w:t>Armonizar en el apéndice los criterios de elegibilidad para la terapia de aumento.</w:t>
      </w:r>
    </w:p>
    <w:p>
      <w:pPr>
        <w:pStyle w:val="ListBullet"/>
      </w:pPr>
      <w:r>
        <w:rPr>
          <w:b/>
        </w:rPr>
        <w:t>Confianza:</w:t>
      </w:r>
      <w:r>
        <w:t xml:space="preserve"> 4/5</w:t>
      </w:r>
    </w:p>
    <w:p>
      <w:pPr>
        <w:pStyle w:val="Heading4"/>
      </w:pPr>
      <w:r>
        <w:t>EPI-14 · Genética/AATD: errores conceptuales, duplicación y remisión obsoleta</w:t>
      </w:r>
    </w:p>
    <w:p>
      <w:r>
        <w:rPr>
          <w:i/>
        </w:rPr>
        <w:t xml:space="preserve">Severidad final: </w:t>
      </w:r>
      <w:r>
        <w:rPr>
          <w:i/>
          <w:color w:val="FFC000"/>
        </w:rPr>
        <w:t>🟡</w:t>
      </w:r>
      <w:r>
        <w:rPr>
          <w:i/>
        </w:rPr>
        <w:t xml:space="preserve"> MEDIA · Tema T30: Déficit de alfa-1 antitripsina</w:t>
      </w:r>
    </w:p>
    <w:p>
      <w:pPr>
        <w:pStyle w:val="ListBullet"/>
      </w:pPr>
      <w:r>
        <w:rPr>
          <w:b/>
        </w:rPr>
        <w:t>Tipo:</w:t>
      </w:r>
      <w:r>
        <w:t xml:space="preserve"> Error factual / Incongruencia interna / Editorial</w:t>
      </w:r>
    </w:p>
    <w:p>
      <w:pPr>
        <w:pStyle w:val="ListBullet"/>
      </w:pPr>
      <w:r>
        <w:rPr>
          <w:b/>
        </w:rPr>
        <w:t>Severidad:</w:t>
      </w:r>
      <w:r>
        <w:t xml:space="preserve"> MEDIA</w:t>
      </w:r>
    </w:p>
    <w:p>
      <w:pPr>
        <w:pStyle w:val="ListBullet"/>
      </w:pPr>
      <w:r>
        <w:rPr>
          <w:b/>
        </w:rPr>
        <w:t>Ubicación:</w:t>
      </w:r>
      <w:r>
        <w:t xml:space="preserve"> PDF 17-18 / impr. 6-7 — Genetic factors</w:t>
      </w:r>
    </w:p>
    <w:p>
      <w:pPr>
        <w:pStyle w:val="ListBullet"/>
      </w:pPr>
      <w:r>
        <w:rPr>
          <w:b/>
        </w:rPr>
        <w:t>Cita:</w:t>
      </w:r>
      <w:r>
        <w:t xml:space="preserve"> «hundreds of genetic variants associated with reduced lung function and risk of COPD have been identified (albeit epidemiologically rare)»; «is not an indication for augmentation therapy (discussed in more detail in Chapter 3)»</w:t>
      </w:r>
    </w:p>
    <w:p>
      <w:pPr>
        <w:pStyle w:val="ListBullet"/>
      </w:pPr>
      <w:r>
        <w:rPr>
          <w:b/>
        </w:rPr>
        <w:t>Problema:</w:t>
      </w:r>
    </w:p>
    <w:p>
      <w:pPr>
        <w:pStyle w:val="ListNumber"/>
        <w:numPr>
          <w:ilvl w:val="0"/>
          <w:numId w:val="48"/>
        </w:numPr>
      </w:pPr>
      <w:r>
        <w:rPr>
          <w:b/>
        </w:rPr>
        <w:t>Las variantes GWAS no son «epidemiologically rare»:</w:t>
      </w:r>
      <w:r>
        <w:t xml:space="preserve"> son variantes comunes de efecto pequeño. El calificativo procede de la frase sobre AATD y parece copiado por error.</w:t>
      </w:r>
    </w:p>
    <w:p>
      <w:pPr>
        <w:pStyle w:val="ListNumber"/>
        <w:numPr>
          <w:ilvl w:val="0"/>
          <w:numId w:val="48"/>
        </w:numPr>
      </w:pPr>
      <w:r>
        <w:rPr>
          <w:b/>
        </w:rPr>
        <w:t>AATD se trata dos veces</w:t>
      </w:r>
      <w:r>
        <w:t xml:space="preserve"> en párrafos casi consecutivos.</w:t>
      </w:r>
    </w:p>
    <w:p>
      <w:pPr>
        <w:pStyle w:val="ListNumber"/>
        <w:numPr>
          <w:ilvl w:val="0"/>
          <w:numId w:val="48"/>
        </w:numPr>
      </w:pPr>
      <w:r>
        <w:rPr>
          <w:b/>
        </w:rPr>
        <w:t>«acquisition bias» debería ser «ascertainment bias».</w:t>
      </w:r>
    </w:p>
    <w:p>
      <w:pPr>
        <w:pStyle w:val="ListNumber"/>
        <w:numPr>
          <w:ilvl w:val="0"/>
          <w:numId w:val="48"/>
        </w:numPr>
      </w:pPr>
      <w:r>
        <w:rPr>
          <w:b/>
        </w:rPr>
        <w:t>Las cifras de Blanco 2020 se presentan como dos datos distintos («…0.12%… and a prevalence ranging from 1 in 408… to 1 in 1,274»)</w:t>
      </w:r>
      <w:r>
        <w:t xml:space="preserve">, pero 1/408 ≈ 0,245% y 1/1.274 ≈ 0,078%: es el mismo rango de prevalencia de PiZZ </w:t>
      </w:r>
      <w:r>
        <w:rPr>
          <w:b/>
        </w:rPr>
        <w:t>en pacientes con EPOC</w:t>
      </w:r>
      <w:r>
        <w:t xml:space="preserve"> (0,08-0,24%), no prevalencias poblacionales.</w:t>
      </w:r>
    </w:p>
    <w:p>
      <w:pPr>
        <w:pStyle w:val="ListNumber"/>
        <w:numPr>
          <w:ilvl w:val="0"/>
          <w:numId w:val="48"/>
        </w:numPr>
      </w:pPr>
      <w:r>
        <w:rPr>
          <w:b/>
        </w:rPr>
        <w:t>Se extrapola a «heterozygotes (MZ and SZ)» una conclusión de estudios de hermanos sobre MZ.</w:t>
      </w:r>
      <w:r>
        <w:t xml:space="preserve"> El genotipo SZ tiene un riesgo claramente mayor y algunas guías contemplan el tratamiento de aumento según los niveles séricos. Punto debatible.</w:t>
      </w:r>
    </w:p>
    <w:p>
      <w:pPr>
        <w:pStyle w:val="ListNumber"/>
        <w:numPr>
          <w:ilvl w:val="0"/>
          <w:numId w:val="48"/>
        </w:numPr>
      </w:pPr>
      <w:r>
        <w:rPr>
          <w:b/>
        </w:rPr>
        <w:t>La terapia de aumento ya no está en el cap. 3</w:t>
      </w:r>
      <w:r>
        <w:t>, sino en el Apéndice 3 (PDF 166-167 / impr. 155-156).</w:t>
      </w:r>
    </w:p>
    <w:p>
      <w:pPr>
        <w:pStyle w:val="ListBullet"/>
      </w:pPr>
      <w:r>
        <w:rPr>
          <w:b/>
        </w:rPr>
        <w:t>Evidencia/justificación:</w:t>
      </w:r>
    </w:p>
    <w:p>
      <w:pPr>
        <w:pStyle w:val="ListBullet2"/>
      </w:pPr>
      <w:r>
        <w:t xml:space="preserve">Sakornsakolpat P et al., </w:t>
      </w:r>
      <w:r>
        <w:rPr>
          <w:i/>
        </w:rPr>
        <w:t>Nat Genet</w:t>
      </w:r>
      <w:r>
        <w:t xml:space="preserve"> 2019;51:494-505 (82 loci, variantes comunes).</w:t>
      </w:r>
    </w:p>
    <w:p>
      <w:pPr>
        <w:pStyle w:val="ListBullet2"/>
      </w:pPr>
      <w:r>
        <w:t xml:space="preserve">Dahl M et al., </w:t>
      </w:r>
      <w:r>
        <w:rPr>
          <w:i/>
        </w:rPr>
        <w:t>ERJ</w:t>
      </w:r>
      <w:r>
        <w:t xml:space="preserve"> 2005;26:67-76 (PI*SZ: OR de EPOC ≈3,3).</w:t>
      </w:r>
    </w:p>
    <w:p>
      <w:pPr>
        <w:pStyle w:val="ListBullet2"/>
      </w:pPr>
      <w:r>
        <w:t xml:space="preserve">Miravitlles M et al., ERS statement, </w:t>
      </w:r>
      <w:r>
        <w:rPr>
          <w:i/>
        </w:rPr>
        <w:t>ERJ</w:t>
      </w:r>
      <w:r>
        <w:t xml:space="preserve"> 2017;50:1700610.</w:t>
      </w:r>
    </w:p>
    <w:p>
      <w:pPr>
        <w:pStyle w:val="ListBullet2"/>
      </w:pPr>
      <w:r>
        <w:t xml:space="preserve">Blanco I et al., </w:t>
      </w:r>
      <w:r>
        <w:rPr>
          <w:i/>
        </w:rPr>
        <w:t>Eur Respir Rev</w:t>
      </w:r>
      <w:r>
        <w:t xml:space="preserve"> 2020;29:200014.</w:t>
      </w:r>
    </w:p>
    <w:p>
      <w:pPr>
        <w:pStyle w:val="ListBullet"/>
      </w:pPr>
      <w:r>
        <w:rPr>
          <w:b/>
        </w:rPr>
        <w:t>Recomendación:</w:t>
      </w:r>
    </w:p>
    <w:p>
      <w:pPr>
        <w:pStyle w:val="ListBullet2"/>
      </w:pPr>
      <w:r>
        <w:t>Eliminar «albeit epidemiologically rare» de la frase GWAS.</w:t>
      </w:r>
    </w:p>
    <w:p>
      <w:pPr>
        <w:pStyle w:val="ListBullet2"/>
      </w:pPr>
      <w:r>
        <w:t>Fusionar los párrafos de AATD.</w:t>
      </w:r>
    </w:p>
    <w:p>
      <w:pPr>
        <w:pStyle w:val="ListBullet2"/>
      </w:pPr>
      <w:r>
        <w:t>Corregir «ascertainment».</w:t>
      </w:r>
    </w:p>
    <w:p>
      <w:pPr>
        <w:pStyle w:val="ListBullet2"/>
      </w:pPr>
      <w:r>
        <w:t>Expresar la cifra de Blanco como «0,12% (0,08-0,24%; 1/1.274 a 1/408) de los pacientes con EPOC».</w:t>
      </w:r>
    </w:p>
    <w:p>
      <w:pPr>
        <w:pStyle w:val="ListBullet2"/>
      </w:pPr>
      <w:r>
        <w:t>Separar MZ y SZ en la conclusión.</w:t>
      </w:r>
    </w:p>
    <w:p>
      <w:pPr>
        <w:pStyle w:val="ListBullet2"/>
      </w:pPr>
      <w:r>
        <w:t>Remitir al Apéndice 3.</w:t>
      </w:r>
    </w:p>
    <w:p>
      <w:pPr>
        <w:pStyle w:val="ListBullet"/>
      </w:pPr>
      <w:r>
        <w:rPr>
          <w:b/>
        </w:rPr>
        <w:t>Confianza:</w:t>
      </w:r>
      <w:r>
        <w:t xml:space="preserve"> 4/5 (3/5 para el punto 5)</w:t>
      </w:r>
    </w:p>
    <w:p>
      <w:pPr>
        <w:pStyle w:val="Heading3"/>
      </w:pPr>
      <w:r>
        <w:rPr>
          <w:color w:val="A6A6A6"/>
        </w:rPr>
        <w:t>⚪</w:t>
      </w:r>
      <w:r>
        <w:t xml:space="preserve"> Hallazgos de severidad baja (37)</w:t>
      </w:r>
    </w:p>
    <w:p>
      <w:pPr>
        <w:pStyle w:val="Heading4"/>
      </w:pPr>
      <w:r>
        <w:t>FARM-19 · "Single inhaler… more… effective… improve adherence": afirmación sobredimensionada</w:t>
      </w:r>
    </w:p>
    <w:p>
      <w:r>
        <w:rPr>
          <w:i/>
        </w:rPr>
        <w:t xml:space="preserve">Severidad final: </w:t>
      </w:r>
      <w:r>
        <w:rPr>
          <w:i/>
          <w:color w:val="A6A6A6"/>
        </w:rPr>
        <w:t>⚪</w:t>
      </w:r>
      <w:r>
        <w:rPr>
          <w:i/>
        </w:rPr>
        <w:t xml:space="preserve"> BAJA · Tema T07: Algoritmo farmacológico inicial/seguimiento (ABE, Fig 3.8-3.9, ICS, roflumilast)</w:t>
      </w:r>
    </w:p>
    <w:p>
      <w:pPr>
        <w:pStyle w:val="ListBullet"/>
      </w:pPr>
      <w:r>
        <w:rPr>
          <w:b/>
        </w:rPr>
        <w:t>Tipo:</w:t>
      </w:r>
      <w:r>
        <w:t xml:space="preserve"> Evidencia mal representada</w:t>
      </w:r>
    </w:p>
    <w:p>
      <w:pPr>
        <w:pStyle w:val="ListBullet"/>
      </w:pPr>
      <w:r>
        <w:rPr>
          <w:b/>
        </w:rPr>
        <w:t>Severidad:</w:t>
      </w:r>
      <w:r>
        <w:t xml:space="preserve"> BAJA</w:t>
      </w:r>
    </w:p>
    <w:p>
      <w:pPr>
        <w:pStyle w:val="ListBullet"/>
      </w:pPr>
      <w:r>
        <w:rPr>
          <w:b/>
        </w:rPr>
        <w:t>Ubicación:</w:t>
      </w:r>
      <w:r>
        <w:t xml:space="preserve"> PDF 73 / impr. 62 (nota de la Fig 3.8); PDF 74 / impr. 63 (nota de la Fig 3.9); Figs A3.2/A3.3 (PDF 157 y 160); PDF 82 / impr. 71</w:t>
      </w:r>
    </w:p>
    <w:p>
      <w:pPr>
        <w:pStyle w:val="ListBullet"/>
      </w:pPr>
      <w:r>
        <w:rPr>
          <w:b/>
        </w:rPr>
        <w:t>Cita:</w:t>
      </w:r>
      <w:r>
        <w:t xml:space="preserve"> "Single inhaler therapy may be more convenient and effective than multiple inhalers; single inhalers improve adherence to treatment."</w:t>
      </w:r>
    </w:p>
    <w:p>
      <w:pPr>
        <w:pStyle w:val="ListBullet"/>
      </w:pPr>
      <w:r>
        <w:rPr>
          <w:b/>
        </w:rPr>
        <w:t>Problema:</w:t>
      </w:r>
    </w:p>
    <w:p>
      <w:pPr>
        <w:pStyle w:val="ListBullet2"/>
      </w:pPr>
      <w:r>
        <w:t>Los RCT doble ciego de inhalador único frente a múltiples muestran no inferioridad en FEV1 y en estado de salud.</w:t>
      </w:r>
    </w:p>
    <w:p>
      <w:pPr>
        <w:pStyle w:val="ListBullet2"/>
      </w:pPr>
      <w:r>
        <w:t>La mejora de la adherencia procede sobre todo de estudios observacionales.</w:t>
      </w:r>
    </w:p>
    <w:p>
      <w:pPr>
        <w:pStyle w:val="ListBullet2"/>
      </w:pPr>
      <w:r>
        <w:t>La única referencia del texto (INTREPID, ref 710) es un ensayo pragmático abierto y es más prudente ("may help improve health status").</w:t>
      </w:r>
    </w:p>
    <w:p>
      <w:pPr>
        <w:pStyle w:val="ListBullet"/>
      </w:pPr>
      <w:r>
        <w:rPr>
          <w:b/>
        </w:rPr>
        <w:t>Evidencia/justificación:</w:t>
      </w:r>
    </w:p>
    <w:p>
      <w:pPr>
        <w:pStyle w:val="ListBullet2"/>
      </w:pPr>
      <w:r>
        <w:t>Bremner PR et al., Respir Res 2018;19:19: FF/UMEC/VI en un solo inhalador frente a varios, no inferior.</w:t>
      </w:r>
    </w:p>
    <w:p>
      <w:pPr>
        <w:pStyle w:val="ListBullet2"/>
      </w:pPr>
      <w:r>
        <w:t>Halpin DMG et al., ERJ Open Res 2021 (INTREPID).</w:t>
      </w:r>
    </w:p>
    <w:p>
      <w:pPr>
        <w:pStyle w:val="ListBullet"/>
      </w:pPr>
      <w:r>
        <w:rPr>
          <w:b/>
        </w:rPr>
        <w:t>Recomendación:</w:t>
      </w:r>
      <w:r>
        <w:t xml:space="preserve"> "Un único inhalador simplifica el régimen y puede mejorar la adherencia (evidencia principalmente observacional); su eficacia es similar a la de varios inhaladores con las mismas moléculas".</w:t>
      </w:r>
    </w:p>
    <w:p>
      <w:pPr>
        <w:pStyle w:val="ListBullet"/>
      </w:pPr>
      <w:r>
        <w:rPr>
          <w:b/>
        </w:rPr>
        <w:t>Confianza:</w:t>
      </w:r>
      <w:r>
        <w:t xml:space="preserve"> 4/5</w:t>
      </w:r>
    </w:p>
    <w:p>
      <w:pPr>
        <w:pStyle w:val="Heading4"/>
      </w:pPr>
      <w:r>
        <w:t>FARM-21 · Nomenclatura CAT/CAAT y umbrales ambiguos en las Figs 3.2 y 3.8</w:t>
      </w:r>
    </w:p>
    <w:p>
      <w:r>
        <w:rPr>
          <w:i/>
        </w:rPr>
        <w:t xml:space="preserve">Severidad final: </w:t>
      </w:r>
      <w:r>
        <w:rPr>
          <w:i/>
          <w:color w:val="A6A6A6"/>
        </w:rPr>
        <w:t>⚪</w:t>
      </w:r>
      <w:r>
        <w:rPr>
          <w:i/>
        </w:rPr>
        <w:t xml:space="preserve"> BAJA · Tema T07: Algoritmo farmacológico inicial/seguimiento (ABE, Fig 3.8-3.9, ICS, roflumilast)</w:t>
      </w:r>
    </w:p>
    <w:p>
      <w:pPr>
        <w:pStyle w:val="ListBullet"/>
      </w:pPr>
      <w:r>
        <w:rPr>
          <w:b/>
        </w:rPr>
        <w:t>Tipo:</w:t>
      </w:r>
      <w:r>
        <w:t xml:space="preserve"> Ambigüedad / Editorial</w:t>
      </w:r>
    </w:p>
    <w:p>
      <w:pPr>
        <w:pStyle w:val="ListBullet"/>
      </w:pPr>
      <w:r>
        <w:rPr>
          <w:b/>
        </w:rPr>
        <w:t>Severidad:</w:t>
      </w:r>
      <w:r>
        <w:t xml:space="preserve"> BAJA</w:t>
      </w:r>
    </w:p>
    <w:p>
      <w:pPr>
        <w:pStyle w:val="ListBullet"/>
      </w:pPr>
      <w:r>
        <w:rPr>
          <w:b/>
        </w:rPr>
        <w:t>Ubicación:</w:t>
      </w:r>
      <w:r>
        <w:t xml:space="preserve"> PDF 63 / impr. 52 (Fig 3.2); PDF 73 / impr. 62 (Fig 3.8)</w:t>
      </w:r>
    </w:p>
    <w:p>
      <w:pPr>
        <w:pStyle w:val="ListBullet"/>
      </w:pPr>
      <w:r>
        <w:rPr>
          <w:b/>
        </w:rPr>
        <w:t>Cita:</w:t>
      </w:r>
    </w:p>
    <w:p>
      <w:pPr>
        <w:pStyle w:val="ListBullet2"/>
      </w:pPr>
      <w:r>
        <w:t>Fig 3.2: "Symptoms (CAAT™ or mMRC)" en la evaluación inicial y "Symptoms (CAT or mMRC)" en la revisión.</w:t>
      </w:r>
    </w:p>
    <w:p>
      <w:pPr>
        <w:pStyle w:val="ListBullet2"/>
      </w:pPr>
      <w:r>
        <w:t>Fig 3.8: "mMRC 0-1, CAAT &lt; 10" / "mMRC ≥ 2, CAAT ≥ 10".</w:t>
      </w:r>
    </w:p>
    <w:p>
      <w:pPr>
        <w:pStyle w:val="ListBullet"/>
      </w:pPr>
      <w:r>
        <w:rPr>
          <w:b/>
        </w:rPr>
        <w:t>Problema:</w:t>
      </w:r>
    </w:p>
    <w:p>
      <w:pPr>
        <w:pStyle w:val="ListBullet2"/>
      </w:pPr>
      <w:r>
        <w:t>Dentro de la misma figura se usan dos nombres. El cap. 2 aclara que son equivalentes, pero la Fig 3.2 no.</w:t>
      </w:r>
    </w:p>
    <w:p>
      <w:pPr>
        <w:pStyle w:val="ListBullet2"/>
      </w:pPr>
      <w:r>
        <w:t>En la Fig 3.8, la coma no deja claro si el criterio es "y" u "o", ni qué hacer cuando las escalas no concuerdan (situación frecuente: mMRC 1 con CAAT ≥10). Eso determina si el paciente es del grupo A o B (monoterapia frente a LABA+LAMA).</w:t>
      </w:r>
    </w:p>
    <w:p>
      <w:pPr>
        <w:pStyle w:val="ListBullet"/>
      </w:pPr>
      <w:r>
        <w:rPr>
          <w:b/>
        </w:rPr>
        <w:t>Evidencia/justificación:</w:t>
      </w:r>
      <w:r>
        <w:t xml:space="preserve"> el propio cap. 2 (PDF 50 / impr. 39) afirma que CAT y CAAT son equivalentes e intercambiables.</w:t>
      </w:r>
    </w:p>
    <w:p>
      <w:pPr>
        <w:pStyle w:val="ListBullet"/>
      </w:pPr>
      <w:r>
        <w:rPr>
          <w:b/>
        </w:rPr>
        <w:t>Recomendación:</w:t>
      </w:r>
      <w:r>
        <w:t xml:space="preserve"> usar un solo término (CAAT™/CAT™) y escribir "mMRC ≥2 </w:t>
      </w:r>
      <w:r>
        <w:rPr>
          <w:b/>
        </w:rPr>
        <w:t>o</w:t>
      </w:r>
      <w:r>
        <w:t xml:space="preserve"> CAAT ≥10 (si las escalas no concuerdan, priorizar CAAT)", o el criterio que GOLD considere.</w:t>
      </w:r>
    </w:p>
    <w:p>
      <w:pPr>
        <w:pStyle w:val="ListBullet"/>
      </w:pPr>
      <w:r>
        <w:rPr>
          <w:b/>
        </w:rPr>
        <w:t>Confianza:</w:t>
      </w:r>
      <w:r>
        <w:t xml:space="preserve"> 4/5</w:t>
      </w:r>
    </w:p>
    <w:p>
      <w:pPr>
        <w:pStyle w:val="Heading4"/>
      </w:pPr>
      <w:r>
        <w:t>FARM-23 · Referencia cruzada errónea en la Fig 3.10</w:t>
      </w:r>
    </w:p>
    <w:p>
      <w:r>
        <w:rPr>
          <w:i/>
        </w:rPr>
        <w:t xml:space="preserve">Severidad final: </w:t>
      </w:r>
      <w:r>
        <w:rPr>
          <w:i/>
          <w:color w:val="A6A6A6"/>
        </w:rPr>
        <w:t>⚪</w:t>
      </w:r>
      <w:r>
        <w:rPr>
          <w:i/>
        </w:rPr>
        <w:t xml:space="preserve"> BAJA · Tema T07: Algoritmo farmacológico inicial/seguimiento (ABE, Fig 3.8-3.9, ICS, roflumilast)</w:t>
      </w:r>
    </w:p>
    <w:p>
      <w:pPr>
        <w:pStyle w:val="ListBullet"/>
      </w:pPr>
      <w:r>
        <w:rPr>
          <w:b/>
        </w:rPr>
        <w:t>Tipo:</w:t>
      </w:r>
      <w:r>
        <w:t xml:space="preserve"> Editorial / Incongruencia interna</w:t>
      </w:r>
    </w:p>
    <w:p>
      <w:pPr>
        <w:pStyle w:val="ListBullet"/>
      </w:pPr>
      <w:r>
        <w:rPr>
          <w:b/>
        </w:rPr>
        <w:t>Severidad:</w:t>
      </w:r>
      <w:r>
        <w:t xml:space="preserve"> BAJA</w:t>
      </w:r>
    </w:p>
    <w:p>
      <w:pPr>
        <w:pStyle w:val="ListBullet"/>
      </w:pPr>
      <w:r>
        <w:rPr>
          <w:b/>
        </w:rPr>
        <w:t>Ubicación:</w:t>
      </w:r>
      <w:r>
        <w:t xml:space="preserve"> PDF 78 / impr. 67 (nota al pie de la Fig 3.10)</w:t>
      </w:r>
    </w:p>
    <w:p>
      <w:pPr>
        <w:pStyle w:val="ListBullet"/>
      </w:pPr>
      <w:r>
        <w:rPr>
          <w:b/>
        </w:rPr>
        <w:t>Cita:</w:t>
      </w:r>
      <w:r>
        <w:t xml:space="preserve"> "despite appropriate long-acting bronchodilator maintenance therapy (see Figures 3.8 &amp; A3.1 for recommendations)".</w:t>
      </w:r>
    </w:p>
    <w:p>
      <w:pPr>
        <w:pStyle w:val="ListBullet"/>
      </w:pPr>
      <w:r>
        <w:rPr>
          <w:b/>
        </w:rPr>
        <w:t>Problema:</w:t>
      </w:r>
      <w:r>
        <w:t xml:space="preserve"> la Fig A3.1 es la tabla de fármacos y no contiene recomendaciones. La remisión correcta sería a las Figs 3.8 y 3.9 (o a la A3.3).</w:t>
      </w:r>
    </w:p>
    <w:p>
      <w:pPr>
        <w:pStyle w:val="ListBullet"/>
      </w:pPr>
      <w:r>
        <w:rPr>
          <w:b/>
        </w:rPr>
        <w:t>Evidencia/justificación:</w:t>
      </w:r>
      <w:r>
        <w:t xml:space="preserve"> contenido de la Fig A3.1 (PDF 156).</w:t>
      </w:r>
    </w:p>
    <w:p>
      <w:pPr>
        <w:pStyle w:val="ListBullet"/>
      </w:pPr>
      <w:r>
        <w:rPr>
          <w:b/>
        </w:rPr>
        <w:t>Recomendación:</w:t>
      </w:r>
      <w:r>
        <w:t xml:space="preserve"> cambiar a "see Figures 3.8 &amp; 3.9".</w:t>
      </w:r>
    </w:p>
    <w:p>
      <w:pPr>
        <w:pStyle w:val="ListBullet"/>
      </w:pPr>
      <w:r>
        <w:rPr>
          <w:b/>
        </w:rPr>
        <w:t>Confianza:</w:t>
      </w:r>
      <w:r>
        <w:t xml:space="preserve"> 5/5</w:t>
      </w:r>
    </w:p>
    <w:p>
      <w:pPr>
        <w:pStyle w:val="Heading4"/>
      </w:pPr>
      <w:r>
        <w:t>NOV-05 · Fig. 3.19 y referencias de ETHOS: cita inexistente, referencias duplicadas y erratas</w:t>
      </w:r>
    </w:p>
    <w:p>
      <w:r>
        <w:rPr>
          <w:i/>
        </w:rPr>
        <w:t xml:space="preserve">Severidad final: </w:t>
      </w:r>
      <w:r>
        <w:rPr>
          <w:i/>
          <w:color w:val="A6A6A6"/>
        </w:rPr>
        <w:t>⚪</w:t>
      </w:r>
      <w:r>
        <w:rPr>
          <w:i/>
        </w:rPr>
        <w:t xml:space="preserve"> BAJA · Tema T08: Terapia triple y mortalidad</w:t>
      </w:r>
    </w:p>
    <w:p>
      <w:pPr>
        <w:pStyle w:val="IntenseQuote"/>
      </w:pPr>
      <w:r>
        <w:rPr>
          <w:b/>
        </w:rPr>
        <w:t>Verificación independiente (CONFIRMADO PARCIAL):</w:t>
      </w:r>
      <w:r>
        <w:t xml:space="preserve"> 1. Añadir Martinez 2021 a la lista de referencias. 2. Fusionar las refs. 492 y 694. 3. Sustituir la ref. 791 por la 1181. 4. Corregir "suggesta". 5. No cambiar CAAT™.</w:t>
      </w:r>
    </w:p>
    <w:p>
      <w:pPr>
        <w:pStyle w:val="ListBullet"/>
      </w:pPr>
      <w:r>
        <w:rPr>
          <w:b/>
        </w:rPr>
        <w:t>Tipo:</w:t>
      </w:r>
      <w:r>
        <w:t xml:space="preserve"> Editorial / Incongruencia interna</w:t>
      </w:r>
    </w:p>
    <w:p>
      <w:pPr>
        <w:pStyle w:val="ListBullet"/>
      </w:pPr>
      <w:r>
        <w:rPr>
          <w:b/>
        </w:rPr>
        <w:t>Severidad:</w:t>
      </w:r>
      <w:r>
        <w:t xml:space="preserve"> BAJA</w:t>
      </w:r>
    </w:p>
    <w:p>
      <w:pPr>
        <w:pStyle w:val="ListBullet"/>
      </w:pPr>
      <w:r>
        <w:rPr>
          <w:b/>
        </w:rPr>
        <w:t>Ubicación:</w:t>
      </w:r>
    </w:p>
    <w:p>
      <w:pPr>
        <w:pStyle w:val="ListBullet2"/>
      </w:pPr>
      <w:r>
        <w:t>PDF 91 / impr. 80 — Fig. 3.19.</w:t>
      </w:r>
    </w:p>
    <w:p>
      <w:pPr>
        <w:pStyle w:val="ListBullet2"/>
      </w:pPr>
      <w:r>
        <w:t>Lista de referencias: 492 y 694.</w:t>
      </w:r>
    </w:p>
    <w:p>
      <w:pPr>
        <w:pStyle w:val="ListBullet2"/>
      </w:pPr>
      <w:r>
        <w:t>PDF 92 / impr. 81 — texto del cap. 3.</w:t>
      </w:r>
    </w:p>
    <w:p>
      <w:pPr>
        <w:pStyle w:val="ListBullet2"/>
      </w:pPr>
      <w:r>
        <w:t>PDF 160 — Fig. A3.3.</w:t>
      </w:r>
    </w:p>
    <w:p>
      <w:pPr>
        <w:pStyle w:val="ListBullet"/>
      </w:pPr>
      <w:r>
        <w:rPr>
          <w:b/>
        </w:rPr>
        <w:t>Cita:</w:t>
      </w:r>
      <w:r>
        <w:t xml:space="preserve"> "b) ETHOS trials (Martinez et al. 2021)"; "CAAT™ ≥ 10"; "Recent data suggesta beneficial effect"</w:t>
      </w:r>
    </w:p>
    <w:p>
      <w:pPr>
        <w:pStyle w:val="ListBullet"/>
      </w:pPr>
      <w:r>
        <w:rPr>
          <w:b/>
        </w:rPr>
        <w:t>Problema:</w:t>
      </w:r>
    </w:p>
    <w:p>
      <w:pPr>
        <w:pStyle w:val="ListBullet2"/>
      </w:pPr>
      <w:r>
        <w:rPr>
          <w:b/>
        </w:rPr>
        <w:t>Cita inexistente:</w:t>
      </w:r>
      <w:r>
        <w:t xml:space="preserve"> el artículo de mortalidad de ETHOS (Martinez, AJRCCM 2021) se cita en la figura, pero no figura en la lista numerada. El texto cita en su lugar la ref. 492 (NEJM 2020), que daba HR 0,54 y no 0,51.</w:t>
      </w:r>
    </w:p>
    <w:p>
      <w:pPr>
        <w:pStyle w:val="ListBullet2"/>
      </w:pPr>
      <w:r>
        <w:rPr>
          <w:b/>
        </w:rPr>
        <w:t>Duplicado:</w:t>
      </w:r>
      <w:r>
        <w:t xml:space="preserve"> las refs. 492 y 694 son el mismo artículo (Rabe, NEJM 2020).</w:t>
      </w:r>
    </w:p>
    <w:p>
      <w:pPr>
        <w:pStyle w:val="ListBullet2"/>
      </w:pPr>
      <w:r>
        <w:rPr>
          <w:b/>
        </w:rPr>
        <w:t>Erratas:</w:t>
      </w:r>
      <w:r>
        <w:t xml:space="preserve"> "CAAT™" en lugar de "CAT™" y "suggesta" en lugar de "suggest a".</w:t>
      </w:r>
    </w:p>
    <w:p>
      <w:pPr>
        <w:pStyle w:val="ListBullet2"/>
      </w:pPr>
      <w:r>
        <w:rPr>
          <w:b/>
        </w:rPr>
        <w:t>SUMMIT:</w:t>
      </w:r>
      <w:r>
        <w:t xml:space="preserve"> en el cap. 3 (PDF 92) se cita por su protocolo (ref. 791, ERJ 2013) para afirmar un resultado de mortalidad; el artículo de resultados es la ref. 1181 (Lancet 2016), que sí se usa en el Apéndice 3.</w:t>
      </w:r>
    </w:p>
    <w:p>
      <w:pPr>
        <w:pStyle w:val="ListBullet"/>
      </w:pPr>
      <w:r>
        <w:rPr>
          <w:b/>
        </w:rPr>
        <w:t>Evidencia/justificación:</w:t>
      </w:r>
      <w:r>
        <w:t xml:space="preserve"> Comprobación directa en la lista de referencias:</w:t>
      </w:r>
    </w:p>
    <w:p>
      <w:pPr>
        <w:pStyle w:val="ListBullet2"/>
      </w:pPr>
      <w:r>
        <w:t>"Martinez FJ, Rabe KF…" y el título "Reduced all-cause mortality in the ETHOS trial" no aparecen.</w:t>
      </w:r>
    </w:p>
    <w:p>
      <w:pPr>
        <w:pStyle w:val="ListBullet2"/>
      </w:pPr>
      <w:r>
        <w:t>Ref. 791 = "SUMMIT study protocol".</w:t>
      </w:r>
    </w:p>
    <w:p>
      <w:pPr>
        <w:pStyle w:val="ListBullet"/>
      </w:pPr>
      <w:r>
        <w:rPr>
          <w:b/>
        </w:rPr>
        <w:t>Recomendación:</w:t>
      </w:r>
    </w:p>
    <w:p>
      <w:pPr>
        <w:pStyle w:val="ListBullet2"/>
      </w:pPr>
      <w:r>
        <w:t>Añadir Martinez 2021 (PMID 33252985) como referencia numerada y citarla en el texto y la figura.</w:t>
      </w:r>
    </w:p>
    <w:p>
      <w:pPr>
        <w:pStyle w:val="ListBullet2"/>
      </w:pPr>
      <w:r>
        <w:t>Fusionar las refs. 492 y 694.</w:t>
      </w:r>
    </w:p>
    <w:p>
      <w:pPr>
        <w:pStyle w:val="ListBullet2"/>
      </w:pPr>
      <w:r>
        <w:t>Sustituir la ref. 791 por la 1181.</w:t>
      </w:r>
    </w:p>
    <w:p>
      <w:pPr>
        <w:pStyle w:val="ListBullet2"/>
      </w:pPr>
      <w:r>
        <w:t>Corregir las erratas.</w:t>
      </w:r>
    </w:p>
    <w:p>
      <w:pPr>
        <w:pStyle w:val="ListBullet"/>
      </w:pPr>
      <w:r>
        <w:rPr>
          <w:b/>
        </w:rPr>
        <w:t>Confianza:</w:t>
      </w:r>
      <w:r>
        <w:t xml:space="preserve"> 4/5</w:t>
      </w:r>
    </w:p>
    <w:p>
      <w:pPr>
        <w:pStyle w:val="Heading4"/>
      </w:pPr>
      <w:r>
        <w:t>COH-18 · Biológicos: imprecisiones en la Fig. 3.11 y la Fig. A3.3</w:t>
      </w:r>
    </w:p>
    <w:p>
      <w:r>
        <w:rPr>
          <w:i/>
        </w:rPr>
        <w:t xml:space="preserve">Severidad final: </w:t>
      </w:r>
      <w:r>
        <w:rPr>
          <w:i/>
          <w:color w:val="A6A6A6"/>
        </w:rPr>
        <w:t>⚪</w:t>
      </w:r>
      <w:r>
        <w:rPr>
          <w:i/>
        </w:rPr>
        <w:t xml:space="preserve"> BAJA · Tema T09: Biológicos, ensifentrina y nuevas terapias</w:t>
      </w:r>
    </w:p>
    <w:p>
      <w:pPr>
        <w:pStyle w:val="ListBullet"/>
      </w:pPr>
      <w:r>
        <w:rPr>
          <w:b/>
        </w:rPr>
        <w:t>Tipo:</w:t>
      </w:r>
      <w:r>
        <w:t xml:space="preserve"> Exactitud de datos / coherencia</w:t>
      </w:r>
    </w:p>
    <w:p>
      <w:pPr>
        <w:pStyle w:val="ListBullet"/>
      </w:pPr>
      <w:r>
        <w:rPr>
          <w:b/>
        </w:rPr>
        <w:t>Severidad:</w:t>
      </w:r>
      <w:r>
        <w:t xml:space="preserve"> BAJA</w:t>
      </w:r>
    </w:p>
    <w:p>
      <w:pPr>
        <w:pStyle w:val="ListBullet"/>
      </w:pPr>
      <w:r>
        <w:rPr>
          <w:b/>
        </w:rPr>
        <w:t>Ubicación:</w:t>
      </w:r>
      <w:r>
        <w:t xml:space="preserve"> Fig 3.11 (PDF 79 / impr. 68); Fig A3.3 (PDF 160 / impr. 149); PDF 163 / impr. 152</w:t>
      </w:r>
    </w:p>
    <w:p>
      <w:pPr>
        <w:pStyle w:val="ListBullet"/>
      </w:pPr>
      <w:r>
        <w:rPr>
          <w:b/>
        </w:rPr>
        <w:t>Cita:</w:t>
      </w:r>
      <w:r>
        <w:t xml:space="preserve"> BOREAS: "83mL; P &lt; 0.001 (95% CI: 42, 125)" con la nota "d: at 52 weeks".</w:t>
      </w:r>
    </w:p>
    <w:p>
      <w:pPr>
        <w:pStyle w:val="ListBullet"/>
      </w:pPr>
      <w:r>
        <w:rPr>
          <w:b/>
        </w:rPr>
        <w:t>Problema:</w:t>
      </w:r>
    </w:p>
    <w:p>
      <w:pPr>
        <w:pStyle w:val="ListBullet2"/>
      </w:pPr>
      <w:r>
        <w:t>El IC 42-125 corresponde a la semana 12. En la semana 52, BOREAS comunicó una diferencia de ~83 mL con IC 36-130.</w:t>
      </w:r>
    </w:p>
    <w:p>
      <w:pPr>
        <w:pStyle w:val="ListBullet2"/>
      </w:pPr>
      <w:r>
        <w:t>La línea de referencias termina en "…392:1710-1720; .".</w:t>
      </w:r>
    </w:p>
    <w:p>
      <w:pPr>
        <w:pStyle w:val="ListBullet2"/>
      </w:pPr>
      <w:r>
        <w:t>La Fig A3.3 habla de biológicos en "moderate to severe COPD", mientras que la inclusión de los ensayos fue GOLD 2-3 (dupilumab) y 2-4 (mepolizumab) (PDF 163). Contiene además la errata "suggesta".</w:t>
      </w:r>
    </w:p>
    <w:p>
      <w:pPr>
        <w:pStyle w:val="ListBullet"/>
      </w:pPr>
      <w:r>
        <w:rPr>
          <w:b/>
        </w:rPr>
        <w:t>Evidencia/justificación:</w:t>
      </w:r>
      <w:r>
        <w:t xml:space="preserve"> Bhatt SP et al., </w:t>
      </w:r>
      <w:r>
        <w:rPr>
          <w:i/>
        </w:rPr>
        <w:t>NEJM</w:t>
      </w:r>
      <w:r>
        <w:t xml:space="preserve"> 2023;389:205-14 (verificado por web, resumen secundario).</w:t>
      </w:r>
    </w:p>
    <w:p>
      <w:pPr>
        <w:pStyle w:val="ListBullet"/>
      </w:pPr>
      <w:r>
        <w:rPr>
          <w:b/>
        </w:rPr>
        <w:t>Recomendación:</w:t>
      </w:r>
      <w:r>
        <w:t xml:space="preserve"> corregir el IC o la nota d, limpiar la referencia y alinear la población de A3.3.</w:t>
      </w:r>
    </w:p>
    <w:p>
      <w:pPr>
        <w:pStyle w:val="ListBullet"/>
      </w:pPr>
      <w:r>
        <w:rPr>
          <w:b/>
        </w:rPr>
        <w:t>Confianza:</w:t>
      </w:r>
      <w:r>
        <w:t xml:space="preserve"> 3</w:t>
      </w:r>
    </w:p>
    <w:p>
      <w:pPr>
        <w:pStyle w:val="Heading4"/>
      </w:pPr>
      <w:r>
        <w:t>NOV-10 · Ensifentrina: grado de evidencia sobre estado de salud inconsistente entre la Fig. A3.2 y el texto</w:t>
      </w:r>
    </w:p>
    <w:p>
      <w:r>
        <w:rPr>
          <w:i/>
        </w:rPr>
        <w:t xml:space="preserve">Severidad final: </w:t>
      </w:r>
      <w:r>
        <w:rPr>
          <w:i/>
          <w:color w:val="A6A6A6"/>
        </w:rPr>
        <w:t>⚪</w:t>
      </w:r>
      <w:r>
        <w:rPr>
          <w:i/>
        </w:rPr>
        <w:t xml:space="preserve"> BAJA · Tema T09: Biológicos, ensifentrina y nuevas terapias</w:t>
      </w:r>
    </w:p>
    <w:p>
      <w:pPr>
        <w:pStyle w:val="ListBullet"/>
      </w:pPr>
      <w:r>
        <w:rPr>
          <w:b/>
        </w:rPr>
        <w:t>Tipo:</w:t>
      </w:r>
      <w:r>
        <w:t xml:space="preserve"> Incongruencia interna</w:t>
      </w:r>
    </w:p>
    <w:p>
      <w:pPr>
        <w:pStyle w:val="ListBullet"/>
      </w:pPr>
      <w:r>
        <w:rPr>
          <w:b/>
        </w:rPr>
        <w:t>Severidad:</w:t>
      </w:r>
      <w:r>
        <w:t xml:space="preserve"> BAJA</w:t>
      </w:r>
    </w:p>
    <w:p>
      <w:pPr>
        <w:pStyle w:val="ListBullet"/>
      </w:pPr>
      <w:r>
        <w:rPr>
          <w:b/>
        </w:rPr>
        <w:t>Ubicación:</w:t>
      </w:r>
    </w:p>
    <w:p>
      <w:pPr>
        <w:pStyle w:val="ListBullet2"/>
      </w:pPr>
      <w:r>
        <w:t>PDF 157 / impr. 146 — Fig. A3.2.</w:t>
      </w:r>
    </w:p>
    <w:p>
      <w:pPr>
        <w:pStyle w:val="ListBullet2"/>
      </w:pPr>
      <w:r>
        <w:t>PDF 163 / impr. 152 — texto.</w:t>
      </w:r>
    </w:p>
    <w:p>
      <w:pPr>
        <w:pStyle w:val="ListBullet"/>
      </w:pPr>
      <w:r>
        <w:rPr>
          <w:b/>
        </w:rPr>
        <w:t>Cita:</w:t>
      </w:r>
      <w:r>
        <w:t xml:space="preserve"> Fig. A3.2: "improves lung function (Evidence A), dyspnea (Evidence A) and health status (Evidence B)"; texto: "inconsistent effects on quality of life"</w:t>
      </w:r>
    </w:p>
    <w:p>
      <w:pPr>
        <w:pStyle w:val="ListBullet"/>
      </w:pPr>
      <w:r>
        <w:rPr>
          <w:b/>
        </w:rPr>
        <w:t>Problema:</w:t>
      </w:r>
    </w:p>
    <w:p>
      <w:pPr>
        <w:pStyle w:val="ListBullet2"/>
      </w:pPr>
      <w:r>
        <w:rPr>
          <w:b/>
        </w:rPr>
        <w:t>Disnea:</w:t>
      </w:r>
      <w:r>
        <w:t xml:space="preserve"> la Evidencia A es defendible. El TDI mejoró en ambos ensayos (+1,0 y +0,9 frente a placebo; P&lt;0,001), aunque el E-RS solo fue significativo en ENHANCE-1.</w:t>
      </w:r>
    </w:p>
    <w:p>
      <w:pPr>
        <w:pStyle w:val="ListBullet2"/>
      </w:pPr>
      <w:r>
        <w:rPr>
          <w:b/>
        </w:rPr>
        <w:t>Estado de salud:</w:t>
      </w:r>
      <w:r>
        <w:t xml:space="preserve"> el SGRQ solo fue significativo en ENHANCE-1. La figura dice "improves health status" y el texto "inconsistent". El mensaje es contradictorio para el mismo dato.</w:t>
      </w:r>
    </w:p>
    <w:p>
      <w:pPr>
        <w:pStyle w:val="ListBullet2"/>
      </w:pPr>
      <w:r>
        <w:rPr>
          <w:b/>
        </w:rPr>
        <w:t>Exacerbaciones:</w:t>
      </w:r>
      <w:r>
        <w:t xml:space="preserve"> la figura no menciona la reducción observada en el análisis combinado (RR 0,64 y 0,57 a 24 semanas en población no enriquecida), que el texto sí recoge como "sugerida".</w:t>
      </w:r>
    </w:p>
    <w:p>
      <w:pPr>
        <w:pStyle w:val="ListBullet"/>
      </w:pPr>
      <w:r>
        <w:rPr>
          <w:b/>
        </w:rPr>
        <w:t>Evidencia/justificación:</w:t>
      </w:r>
      <w:r>
        <w:t xml:space="preserve"> Anzueto 2023 (texto completo PMC10449067), tabla 2.</w:t>
      </w:r>
    </w:p>
    <w:p>
      <w:pPr>
        <w:pStyle w:val="ListBullet"/>
      </w:pPr>
      <w:r>
        <w:rPr>
          <w:b/>
        </w:rPr>
        <w:t>Recomendación:</w:t>
      </w:r>
      <w:r>
        <w:t xml:space="preserve"> En la Fig. A3.2, sustituir por "health status: resultados inconsistentes entre ensayos (Evidencia B)" y homogeneizar con el texto.</w:t>
      </w:r>
    </w:p>
    <w:p>
      <w:pPr>
        <w:pStyle w:val="ListBullet"/>
      </w:pPr>
      <w:r>
        <w:rPr>
          <w:b/>
        </w:rPr>
        <w:t>Confianza:</w:t>
      </w:r>
      <w:r>
        <w:t xml:space="preserve"> 4/5</w:t>
      </w:r>
    </w:p>
    <w:p>
      <w:pPr>
        <w:pStyle w:val="Heading4"/>
      </w:pPr>
      <w:r>
        <w:t>NOV-18 · Umbral de eosinófilos en porcentaje en la Fig. A3.3 frente a valores absolutos en el resto</w:t>
      </w:r>
    </w:p>
    <w:p>
      <w:r>
        <w:rPr>
          <w:i/>
        </w:rPr>
        <w:t xml:space="preserve">Severidad final: </w:t>
      </w:r>
      <w:r>
        <w:rPr>
          <w:i/>
          <w:color w:val="A6A6A6"/>
        </w:rPr>
        <w:t>⚪</w:t>
      </w:r>
      <w:r>
        <w:rPr>
          <w:i/>
        </w:rPr>
        <w:t xml:space="preserve"> BAJA · Tema T09: Biológicos, ensifentrina y nuevas terapias</w:t>
      </w:r>
    </w:p>
    <w:p>
      <w:pPr>
        <w:pStyle w:val="ListBullet"/>
      </w:pPr>
      <w:r>
        <w:rPr>
          <w:b/>
        </w:rPr>
        <w:t>Tipo:</w:t>
      </w:r>
      <w:r>
        <w:t xml:space="preserve"> Incongruencia interna / Editorial</w:t>
      </w:r>
    </w:p>
    <w:p>
      <w:pPr>
        <w:pStyle w:val="ListBullet"/>
      </w:pPr>
      <w:r>
        <w:rPr>
          <w:b/>
        </w:rPr>
        <w:t>Severidad:</w:t>
      </w:r>
      <w:r>
        <w:t xml:space="preserve"> BAJA</w:t>
      </w:r>
    </w:p>
    <w:p>
      <w:pPr>
        <w:pStyle w:val="ListBullet"/>
      </w:pPr>
      <w:r>
        <w:rPr>
          <w:b/>
        </w:rPr>
        <w:t>Ubicación:</w:t>
      </w:r>
      <w:r>
        <w:t xml:space="preserve"> PDF 160 / impr. 149 — Fig. A3.3, bloque ICS.</w:t>
      </w:r>
    </w:p>
    <w:p>
      <w:pPr>
        <w:pStyle w:val="ListBullet"/>
      </w:pPr>
      <w:r>
        <w:rPr>
          <w:b/>
        </w:rPr>
        <w:t>Cita:</w:t>
      </w:r>
      <w:r>
        <w:t xml:space="preserve"> "Independent of ICS use, there is evidence that a blood eosinophil count &lt; 2% increases the risk of pneumonia (Evidence C)"</w:t>
      </w:r>
    </w:p>
    <w:p>
      <w:pPr>
        <w:pStyle w:val="ListBullet"/>
      </w:pPr>
      <w:r>
        <w:rPr>
          <w:b/>
        </w:rPr>
        <w:t>Problema:</w:t>
      </w:r>
      <w:r>
        <w:t xml:space="preserve"> Toda la guía expresa los umbrales en células/µL (100/300), y la Fig. A3.3 introduce un umbral en porcentaje sin equivalencia. Además, la relación entre eosinófilos bajos y neumonía procede de estudios observacionales heterogéneos y no se aclara si los eosinófilos bajos deben influir en la decisión sobre ICS.</w:t>
      </w:r>
    </w:p>
    <w:p>
      <w:pPr>
        <w:pStyle w:val="ListBullet"/>
      </w:pPr>
      <w:r>
        <w:rPr>
          <w:b/>
        </w:rPr>
        <w:t>Evidencia/justificación:</w:t>
      </w:r>
      <w:r>
        <w:t xml:space="preserve"> Coherencia interna (Figs. 3.9, 3.10 y A3.3). La revisión de GOLD sobre eosinófilos (Singh 2022, ref. 453) usa células/µL.</w:t>
      </w:r>
    </w:p>
    <w:p>
      <w:pPr>
        <w:pStyle w:val="ListBullet"/>
      </w:pPr>
      <w:r>
        <w:rPr>
          <w:b/>
        </w:rPr>
        <w:t>Recomendación:</w:t>
      </w:r>
      <w:r>
        <w:t xml:space="preserve"> Expresar el umbral también en células/µL (p. ej., "&lt;2 % [≈&lt;100-150 células/µL]") o explicar por qué se mantiene en porcentaje.</w:t>
      </w:r>
    </w:p>
    <w:p>
      <w:pPr>
        <w:pStyle w:val="ListBullet"/>
      </w:pPr>
      <w:r>
        <w:rPr>
          <w:b/>
        </w:rPr>
        <w:t>Confianza:</w:t>
      </w:r>
      <w:r>
        <w:t xml:space="preserve"> 3/5</w:t>
      </w:r>
    </w:p>
    <w:p>
      <w:pPr>
        <w:pStyle w:val="Heading4"/>
      </w:pPr>
      <w:r>
        <w:t>EXA-12 · Especificidad del esputo purulento mal transcrita</w:t>
      </w:r>
    </w:p>
    <w:p>
      <w:r>
        <w:rPr>
          <w:i/>
        </w:rPr>
        <w:t xml:space="preserve">Severidad final: </w:t>
      </w:r>
      <w:r>
        <w:rPr>
          <w:i/>
          <w:color w:val="A6A6A6"/>
        </w:rPr>
        <w:t>⚪</w:t>
      </w:r>
      <w:r>
        <w:rPr>
          <w:i/>
        </w:rPr>
        <w:t xml:space="preserve"> BAJA · Tema T11: Tratamiento de la exacerbación: antimicrobianos, corticoides, TEP, riesgo CV</w:t>
      </w:r>
    </w:p>
    <w:p>
      <w:pPr>
        <w:pStyle w:val="ListBullet"/>
      </w:pPr>
      <w:r>
        <w:rPr>
          <w:b/>
        </w:rPr>
        <w:t>Tipo:</w:t>
      </w:r>
      <w:r>
        <w:t xml:space="preserve"> Error factual</w:t>
      </w:r>
    </w:p>
    <w:p>
      <w:pPr>
        <w:pStyle w:val="ListBullet"/>
      </w:pPr>
      <w:r>
        <w:rPr>
          <w:b/>
        </w:rPr>
        <w:t>Severidad:</w:t>
      </w:r>
      <w:r>
        <w:t xml:space="preserve"> BAJA</w:t>
      </w:r>
    </w:p>
    <w:p>
      <w:pPr>
        <w:pStyle w:val="ListBullet"/>
      </w:pPr>
      <w:r>
        <w:rPr>
          <w:b/>
        </w:rPr>
        <w:t>Ubicación:</w:t>
      </w:r>
      <w:r>
        <w:t xml:space="preserve"> PDF 115 / impr. 104.</w:t>
      </w:r>
    </w:p>
    <w:p>
      <w:pPr>
        <w:pStyle w:val="ListBullet"/>
      </w:pPr>
      <w:r>
        <w:rPr>
          <w:b/>
        </w:rPr>
        <w:t>Cita:</w:t>
      </w:r>
      <w:r>
        <w:t xml:space="preserve"> "94.4% sensitivity and 52% specificity for high bacterial load.(318)".</w:t>
      </w:r>
    </w:p>
    <w:p>
      <w:pPr>
        <w:pStyle w:val="ListBullet"/>
      </w:pPr>
      <w:r>
        <w:rPr>
          <w:b/>
        </w:rPr>
        <w:t>Problema:</w:t>
      </w:r>
      <w:r>
        <w:t xml:space="preserve"> Stockley et al. (Chest 2000;117:1638-45, ref. 318) comunican una sensibilidad del 94,4 % y una especificidad del 77,0 % del esputo verde (purulento) para carga bacteriana alta. El 52 % no aparece en el resumen original.</w:t>
      </w:r>
    </w:p>
    <w:p>
      <w:pPr>
        <w:pStyle w:val="ListBullet"/>
      </w:pPr>
      <w:r>
        <w:rPr>
          <w:b/>
        </w:rPr>
        <w:t>Evidencia/justificación:</w:t>
      </w:r>
      <w:r>
        <w:t xml:space="preserve"> Resumen de PubMed (PMID 10858396), verificado.</w:t>
      </w:r>
    </w:p>
    <w:p>
      <w:pPr>
        <w:pStyle w:val="ListBullet"/>
      </w:pPr>
      <w:r>
        <w:rPr>
          <w:b/>
        </w:rPr>
        <w:t>Recomendación:</w:t>
      </w:r>
      <w:r>
        <w:t xml:space="preserve"> Corregir a "77 % de especificidad".</w:t>
      </w:r>
    </w:p>
    <w:p>
      <w:pPr>
        <w:pStyle w:val="ListBullet"/>
      </w:pPr>
      <w:r>
        <w:rPr>
          <w:b/>
        </w:rPr>
        <w:t>Confianza:</w:t>
      </w:r>
      <w:r>
        <w:t xml:space="preserve"> 5/5</w:t>
      </w:r>
    </w:p>
    <w:p>
      <w:pPr>
        <w:pStyle w:val="Heading4"/>
      </w:pPr>
      <w:r>
        <w:t>EXA-24 · Duración del exceso de riesgo cardiovascular tras la exacerbación: cifras distintas en el mismo capítulo</w:t>
      </w:r>
    </w:p>
    <w:p>
      <w:r>
        <w:rPr>
          <w:i/>
        </w:rPr>
        <w:t xml:space="preserve">Severidad final: </w:t>
      </w:r>
      <w:r>
        <w:rPr>
          <w:i/>
          <w:color w:val="A6A6A6"/>
        </w:rPr>
        <w:t>⚪</w:t>
      </w:r>
      <w:r>
        <w:rPr>
          <w:i/>
        </w:rPr>
        <w:t xml:space="preserve"> BAJA · Tema T11: Tratamiento de la exacerbación: antimicrobianos, corticoides, TEP, riesgo CV</w:t>
      </w:r>
    </w:p>
    <w:p>
      <w:pPr>
        <w:pStyle w:val="ListBullet"/>
      </w:pPr>
      <w:r>
        <w:rPr>
          <w:b/>
        </w:rPr>
        <w:t>Tipo:</w:t>
      </w:r>
      <w:r>
        <w:t xml:space="preserve"> Incongruencia interna</w:t>
      </w:r>
    </w:p>
    <w:p>
      <w:pPr>
        <w:pStyle w:val="ListBullet"/>
      </w:pPr>
      <w:r>
        <w:rPr>
          <w:b/>
        </w:rPr>
        <w:t>Severidad:</w:t>
      </w:r>
      <w:r>
        <w:t xml:space="preserve"> BAJA</w:t>
      </w:r>
    </w:p>
    <w:p>
      <w:pPr>
        <w:pStyle w:val="ListBullet"/>
      </w:pPr>
      <w:r>
        <w:rPr>
          <w:b/>
        </w:rPr>
        <w:t>Ubicación:</w:t>
      </w:r>
    </w:p>
    <w:p>
      <w:pPr>
        <w:pStyle w:val="ListBullet2"/>
      </w:pPr>
      <w:r>
        <w:t>PDF 108 / impr. 97.</w:t>
      </w:r>
    </w:p>
    <w:p>
      <w:pPr>
        <w:pStyle w:val="ListBullet2"/>
      </w:pPr>
      <w:r>
        <w:t>PDF 112 / impr. 101.</w:t>
      </w:r>
    </w:p>
    <w:p>
      <w:pPr>
        <w:pStyle w:val="ListBullet2"/>
      </w:pPr>
      <w:r>
        <w:t>Cap. 2: PDF 53 / impr. 42.</w:t>
      </w:r>
    </w:p>
    <w:p>
      <w:pPr>
        <w:pStyle w:val="ListBullet2"/>
      </w:pPr>
      <w:r>
        <w:t>Cap. 5: PDF 123 / impr. 112.</w:t>
      </w:r>
    </w:p>
    <w:p>
      <w:pPr>
        <w:pStyle w:val="ListBullet"/>
      </w:pPr>
      <w:r>
        <w:rPr>
          <w:b/>
        </w:rPr>
        <w:t>Cita:</w:t>
      </w:r>
      <w:r>
        <w:t xml:space="preserve"> "remains elevated up to one year after the exacerbation.(484,485)" (PDF 108) frente a "heightened risk in the first 30 days persisting for up to 1–2 years(1005)" (PDF 112).</w:t>
      </w:r>
    </w:p>
    <w:p>
      <w:pPr>
        <w:pStyle w:val="ListBullet"/>
      </w:pPr>
      <w:r>
        <w:rPr>
          <w:b/>
        </w:rPr>
        <w:t>Problema:</w:t>
      </w:r>
    </w:p>
    <w:p>
      <w:pPr>
        <w:pStyle w:val="ListBullet2"/>
      </w:pPr>
      <w:r>
        <w:t>El mismo capítulo da dos horizontes distintos (1 año frente a 1-2 años); los caps. 2 y 5 usan "up to one year".</w:t>
      </w:r>
    </w:p>
    <w:p>
      <w:pPr>
        <w:pStyle w:val="ListBullet2"/>
      </w:pPr>
      <w:r>
        <w:t>No se traduce en ninguna acción concreta tras el alta: revisión de las estatinas y antiagregantes, control de la presión arterial, o cribado de FA o IC con NT-proBNP. Solo hay un genérico "Follow-up comorbidities such as cardiovascular disease" (Fig. 4.10).</w:t>
      </w:r>
    </w:p>
    <w:p>
      <w:pPr>
        <w:pStyle w:val="ListBullet"/>
      </w:pPr>
      <w:r>
        <w:rPr>
          <w:b/>
        </w:rPr>
        <w:t>Evidencia/justificación:</w:t>
      </w:r>
      <w:r>
        <w:t xml:space="preserve"> Lectura cruzada; EXACOS-CV (refs. 484 y 485) y ref. 1005.</w:t>
      </w:r>
    </w:p>
    <w:p>
      <w:pPr>
        <w:pStyle w:val="ListBullet"/>
      </w:pPr>
      <w:r>
        <w:rPr>
          <w:b/>
        </w:rPr>
        <w:t>Recomendación:</w:t>
      </w:r>
    </w:p>
    <w:p>
      <w:pPr>
        <w:pStyle w:val="ListBullet2"/>
      </w:pPr>
      <w:r>
        <w:t>Unificar la frase: "máximo en los primeros 30 días y persistente al menos 1 año (hasta 2 años en algunos estudios)".</w:t>
      </w:r>
    </w:p>
    <w:p>
      <w:pPr>
        <w:pStyle w:val="ListBullet2"/>
      </w:pPr>
      <w:r>
        <w:t>Añadir en la Fig. 4.10 acciones cardiovasculares concretas.</w:t>
      </w:r>
    </w:p>
    <w:p>
      <w:pPr>
        <w:pStyle w:val="ListBullet"/>
      </w:pPr>
      <w:r>
        <w:rPr>
          <w:b/>
        </w:rPr>
        <w:t>Confianza:</w:t>
      </w:r>
      <w:r>
        <w:t xml:space="preserve"> 5/5</w:t>
      </w:r>
    </w:p>
    <w:p>
      <w:pPr>
        <w:pStyle w:val="Heading4"/>
      </w:pPr>
      <w:r>
        <w:t>REH-23 · Datos de NOTT y MRC simplificados de forma imprecisa (Figura 3.19 y PDF 92)</w:t>
      </w:r>
    </w:p>
    <w:p>
      <w:r>
        <w:rPr>
          <w:i/>
        </w:rPr>
        <w:t xml:space="preserve">Severidad final: </w:t>
      </w:r>
      <w:r>
        <w:rPr>
          <w:i/>
          <w:color w:val="A6A6A6"/>
        </w:rPr>
        <w:t>⚪</w:t>
      </w:r>
      <w:r>
        <w:rPr>
          <w:i/>
        </w:rPr>
        <w:t xml:space="preserve"> BAJA · Tema T12: Oxigenoterapia crónica domiciliaria (LTOT)</w:t>
      </w:r>
    </w:p>
    <w:p>
      <w:pPr>
        <w:pStyle w:val="ListBullet"/>
      </w:pPr>
      <w:r>
        <w:rPr>
          <w:b/>
        </w:rPr>
        <w:t>Tipo:</w:t>
      </w:r>
      <w:r>
        <w:t xml:space="preserve"> Error factual (menor)</w:t>
      </w:r>
    </w:p>
    <w:p>
      <w:pPr>
        <w:pStyle w:val="ListBullet"/>
      </w:pPr>
      <w:r>
        <w:rPr>
          <w:b/>
        </w:rPr>
        <w:t>Severidad:</w:t>
      </w:r>
      <w:r>
        <w:t xml:space="preserve"> BAJA</w:t>
      </w:r>
    </w:p>
    <w:p>
      <w:pPr>
        <w:pStyle w:val="ListBullet"/>
      </w:pPr>
      <w:r>
        <w:rPr>
          <w:b/>
        </w:rPr>
        <w:t>Ubicación:</w:t>
      </w:r>
      <w:r>
        <w:t xml:space="preserve"> PDF 91 / impr. 80 — Figura 3.19, fila «Long-term oxygen therapy»; PDF 92 / impr. 81 — texto.</w:t>
      </w:r>
    </w:p>
    <w:p>
      <w:pPr>
        <w:pStyle w:val="ListBullet"/>
      </w:pPr>
      <w:r>
        <w:rPr>
          <w:b/>
        </w:rPr>
        <w:t>Cita:</w:t>
      </w:r>
      <w:r>
        <w:t xml:space="preserve"> «NOTT: ≥ 19 hours of continuous oxygen vs ≤ 13 hours: 50% reduction; MRC: ≥ 15 hours vs no oxygen: 50% reduction».</w:t>
      </w:r>
    </w:p>
    <w:p>
      <w:pPr>
        <w:pStyle w:val="ListBullet"/>
      </w:pPr>
      <w:r>
        <w:rPr>
          <w:b/>
        </w:rPr>
        <w:t>Problema:</w:t>
      </w:r>
      <w:r>
        <w:t xml:space="preserve"> En NOTT, el grupo de oxígeno continuo lo usó de media unas 17,7 h/día, frente a unas 12 h del nocturno; la mortalidad del grupo nocturno fue 1,94 veces mayor. El uso de «≥ 19 h» no se corresponde con la media publicada. Atribuir una reducción idéntica del «50 %» a ambos ensayos simplifica en exceso resultados con distinta métrica y seguimiento. La nota al pie escribe «Kohlein» por «Köhnlein».</w:t>
      </w:r>
    </w:p>
    <w:p>
      <w:pPr>
        <w:pStyle w:val="ListBullet"/>
      </w:pPr>
      <w:r>
        <w:rPr>
          <w:b/>
        </w:rPr>
        <w:t>Evidencia/justificación:</w:t>
      </w:r>
      <w:r>
        <w:t xml:space="preserve"> NOTT Group, Ann Intern Med 1980;93:391-398 (PMID 6776858). Report of the MRC Working Party, Lancet 1981;1:681-686.</w:t>
      </w:r>
    </w:p>
    <w:p>
      <w:pPr>
        <w:pStyle w:val="ListBullet"/>
      </w:pPr>
      <w:r>
        <w:rPr>
          <w:b/>
        </w:rPr>
        <w:t>Recomendación:</w:t>
      </w:r>
      <w:r>
        <w:t xml:space="preserve"> Indicar «O2 continuo (media ≈ 18 h/día) frente a nocturno (≈ 12 h): mortalidad ≈ 2 veces mayor con el nocturno» y expresar el resultado de MRC con su métrica real. Corregir la grafía del nombre.</w:t>
      </w:r>
    </w:p>
    <w:p>
      <w:pPr>
        <w:pStyle w:val="ListBullet"/>
      </w:pPr>
      <w:r>
        <w:rPr>
          <w:b/>
        </w:rPr>
        <w:t>Confianza:</w:t>
      </w:r>
      <w:r>
        <w:t xml:space="preserve"> 3/5</w:t>
      </w:r>
    </w:p>
    <w:p>
      <w:pPr>
        <w:pStyle w:val="Heading4"/>
      </w:pPr>
      <w:r>
        <w:t>INT-19 · La afirmación sobre morfina de liberación inmediata y resistencia al ejercicio cita el estudio equivocado (309 en vez de 806)</w:t>
      </w:r>
    </w:p>
    <w:p>
      <w:r>
        <w:rPr>
          <w:i/>
        </w:rPr>
        <w:t xml:space="preserve">Severidad final: </w:t>
      </w:r>
      <w:r>
        <w:rPr>
          <w:i/>
          <w:color w:val="A6A6A6"/>
        </w:rPr>
        <w:t>⚪</w:t>
      </w:r>
      <w:r>
        <w:rPr>
          <w:i/>
        </w:rPr>
        <w:t xml:space="preserve"> BAJA · Tema T14: Cuidados paliativos y disnea refractaria</w:t>
      </w:r>
    </w:p>
    <w:p>
      <w:pPr>
        <w:pStyle w:val="ListBullet"/>
      </w:pPr>
      <w:r>
        <w:rPr>
          <w:b/>
        </w:rPr>
        <w:t>Tipo:</w:t>
      </w:r>
      <w:r>
        <w:t xml:space="preserve"> Error factual (cita)</w:t>
      </w:r>
    </w:p>
    <w:p>
      <w:pPr>
        <w:pStyle w:val="ListBullet"/>
      </w:pPr>
      <w:r>
        <w:rPr>
          <w:b/>
        </w:rPr>
        <w:t>Severidad:</w:t>
      </w:r>
      <w:r>
        <w:t xml:space="preserve"> BAJA</w:t>
      </w:r>
    </w:p>
    <w:p>
      <w:pPr>
        <w:pStyle w:val="ListBullet"/>
      </w:pPr>
      <w:r>
        <w:rPr>
          <w:b/>
        </w:rPr>
        <w:t>Ubicación:</w:t>
      </w:r>
      <w:r>
        <w:t xml:space="preserve"> PDF 93 / impr. 82</w:t>
      </w:r>
    </w:p>
    <w:p>
      <w:pPr>
        <w:pStyle w:val="ListBullet"/>
      </w:pPr>
      <w:r>
        <w:rPr>
          <w:b/>
        </w:rPr>
        <w:t>Cita:</w:t>
      </w:r>
      <w:r>
        <w:t xml:space="preserve"> "Immediate-release morphine extended exercise endurance time in over half of the patients with advanced COPD in one study.(309)"</w:t>
      </w:r>
    </w:p>
    <w:p>
      <w:pPr>
        <w:pStyle w:val="ListBullet"/>
      </w:pPr>
      <w:r>
        <w:rPr>
          <w:b/>
        </w:rPr>
        <w:t>Problema:</w:t>
      </w:r>
      <w:r>
        <w:t xml:space="preserve"> La ref. 309 es MORDYC (Verberkt 2020, morfina de liberación sostenida durante 4 semanas, desenlace CAT). El estudio que describe la frase es Abdallah 2017 (ref. 806): ensayo cruzado con 20 pacientes, en el que 11/20 respondieron, con unos +2,5 min de resistencia. Dar el dato sin el tamaño muestral exagera su peso.</w:t>
      </w:r>
    </w:p>
    <w:p>
      <w:pPr>
        <w:pStyle w:val="ListBullet"/>
      </w:pPr>
      <w:r>
        <w:rPr>
          <w:b/>
        </w:rPr>
        <w:t>Evidencia/justificación:</w:t>
      </w:r>
      <w:r>
        <w:t xml:space="preserve"> Abdallah SJ et al., </w:t>
      </w:r>
      <w:r>
        <w:rPr>
          <w:i/>
        </w:rPr>
        <w:t>Eur Respir J</w:t>
      </w:r>
      <w:r>
        <w:t xml:space="preserve"> 2017;50:1701235.</w:t>
      </w:r>
    </w:p>
    <w:p>
      <w:pPr>
        <w:pStyle w:val="ListBullet"/>
      </w:pPr>
      <w:r>
        <w:rPr>
          <w:b/>
        </w:rPr>
        <w:t>Recomendación:</w:t>
      </w:r>
      <w:r>
        <w:t xml:space="preserve"> Cambiar la cita a la ref. 806 y añadir «ensayo cruzado, n = 20».</w:t>
      </w:r>
    </w:p>
    <w:p>
      <w:pPr>
        <w:pStyle w:val="ListBullet"/>
      </w:pPr>
      <w:r>
        <w:rPr>
          <w:b/>
        </w:rPr>
        <w:t>Confianza:</w:t>
      </w:r>
      <w:r>
        <w:t xml:space="preserve"> 5/5</w:t>
      </w:r>
    </w:p>
    <w:p>
      <w:pPr>
        <w:pStyle w:val="Heading4"/>
      </w:pPr>
      <w:r>
        <w:t>INT-20 · Citas erróneas o inadecuadas que respaldan afirmaciones clave</w:t>
      </w:r>
    </w:p>
    <w:p>
      <w:r>
        <w:rPr>
          <w:i/>
        </w:rPr>
        <w:t xml:space="preserve">Severidad final: </w:t>
      </w:r>
      <w:r>
        <w:rPr>
          <w:i/>
          <w:color w:val="A6A6A6"/>
        </w:rPr>
        <w:t>⚪</w:t>
      </w:r>
      <w:r>
        <w:rPr>
          <w:i/>
        </w:rPr>
        <w:t xml:space="preserve"> BAJA · Tema T14: Cuidados paliativos y disnea refractaria</w:t>
      </w:r>
    </w:p>
    <w:p>
      <w:pPr>
        <w:pStyle w:val="ListBullet"/>
      </w:pPr>
      <w:r>
        <w:rPr>
          <w:b/>
        </w:rPr>
        <w:t>Tipo:</w:t>
      </w:r>
      <w:r>
        <w:t xml:space="preserve"> Error factual (citas) / Editorial</w:t>
      </w:r>
    </w:p>
    <w:p>
      <w:pPr>
        <w:pStyle w:val="ListBullet"/>
      </w:pPr>
      <w:r>
        <w:rPr>
          <w:b/>
        </w:rPr>
        <w:t>Severidad:</w:t>
      </w:r>
      <w:r>
        <w:t xml:space="preserve"> BAJA</w:t>
      </w:r>
    </w:p>
    <w:p>
      <w:pPr>
        <w:pStyle w:val="ListBullet"/>
      </w:pPr>
      <w:r>
        <w:rPr>
          <w:b/>
        </w:rPr>
        <w:t>Ubicación:</w:t>
      </w:r>
      <w:r>
        <w:t xml:space="preserve"> PDF 93, 95, 92, 98, 99-100 / impr. 82, 84, 81, 87, 88-89</w:t>
      </w:r>
    </w:p>
    <w:p>
      <w:pPr>
        <w:pStyle w:val="ListBullet"/>
      </w:pPr>
      <w:r>
        <w:rPr>
          <w:b/>
        </w:rPr>
        <w:t>Cita:</w:t>
      </w:r>
      <w:r>
        <w:t xml:space="preserve"> "approved for treatment in many countries ... (862,872,873)"; "even prolong survival for patients with advanced lung cancer.(794)"</w:t>
      </w:r>
    </w:p>
    <w:p>
      <w:pPr>
        <w:pStyle w:val="ListBullet"/>
      </w:pPr>
      <w:r>
        <w:rPr>
          <w:b/>
        </w:rPr>
        <w:t>Problema:</w:t>
      </w:r>
    </w:p>
    <w:p>
      <w:pPr>
        <w:pStyle w:val="ListBullet2"/>
      </w:pPr>
      <w:r>
        <w:rPr>
          <w:b/>
        </w:rPr>
        <w:t>Aprobación de las EBV:</w:t>
      </w:r>
      <w:r>
        <w:t xml:space="preserve"> se apoya en las refs. 872 y 873, que son artículos del NETT sobre LVRS quirúrgica.</w:t>
      </w:r>
    </w:p>
    <w:p>
      <w:pPr>
        <w:pStyle w:val="ListBullet2"/>
      </w:pPr>
      <w:r>
        <w:rPr>
          <w:b/>
        </w:rPr>
        <w:t>Supervivencia con paliativos precoces en cáncer de pulmón:</w:t>
      </w:r>
      <w:r>
        <w:t xml:space="preserve"> se cita la ref. 794 (guía NCCN 2012) en lugar del ECA de Temel 2010.</w:t>
      </w:r>
    </w:p>
    <w:p>
      <w:pPr>
        <w:pStyle w:val="ListBullet2"/>
      </w:pPr>
      <w:r>
        <w:rPr>
          <w:b/>
        </w:rPr>
        <w:t>Criterios NHPCO de hospice:</w:t>
      </w:r>
      <w:r>
        <w:t xml:space="preserve"> se citan con las refs. 793 (utilización de recursos) y 794 (NCCN, cáncer).</w:t>
      </w:r>
    </w:p>
    <w:p>
      <w:pPr>
        <w:pStyle w:val="ListBullet2"/>
      </w:pPr>
      <w:r>
        <w:rPr>
          <w:b/>
        </w:rPr>
        <w:t>Recuadro de LVR:</w:t>
      </w:r>
      <w:r>
        <w:t xml:space="preserve"> se apoya en la ref. 859 (Cochrane 2006 de LVRS) para técnicas broncoscópicas.</w:t>
      </w:r>
    </w:p>
    <w:p>
      <w:pPr>
        <w:pStyle w:val="ListBullet2"/>
      </w:pPr>
      <w:r>
        <w:rPr>
          <w:b/>
        </w:rPr>
        <w:t>SUMMIT:</w:t>
      </w:r>
      <w:r>
        <w:t xml:space="preserve"> se cita con su </w:t>
      </w:r>
      <w:r>
        <w:rPr>
          <w:b/>
        </w:rPr>
        <w:t>protocolo</w:t>
      </w:r>
      <w:r>
        <w:t xml:space="preserve"> (ref. 791), no con los resultados (Vestbo, </w:t>
      </w:r>
      <w:r>
        <w:rPr>
          <w:i/>
        </w:rPr>
        <w:t>Lancet</w:t>
      </w:r>
      <w:r>
        <w:t xml:space="preserve"> 2016).</w:t>
      </w:r>
    </w:p>
    <w:p>
      <w:pPr>
        <w:pStyle w:val="ListBullet2"/>
      </w:pPr>
      <w:r>
        <w:rPr>
          <w:b/>
        </w:rPr>
        <w:t>UPLIFT:</w:t>
      </w:r>
      <w:r>
        <w:t xml:space="preserve"> aparece sin referencia.</w:t>
      </w:r>
    </w:p>
    <w:p>
      <w:pPr>
        <w:pStyle w:val="ListBullet2"/>
      </w:pPr>
      <w:r>
        <w:rPr>
          <w:b/>
        </w:rPr>
        <w:t>«Lower number of exacerbations … compared to usual care» (PDF 99):</w:t>
      </w:r>
      <w:r>
        <w:t xml:space="preserve"> no tiene cita.</w:t>
      </w:r>
    </w:p>
    <w:p>
      <w:pPr>
        <w:pStyle w:val="ListBullet2"/>
      </w:pPr>
      <w:r>
        <w:rPr>
          <w:b/>
        </w:rPr>
        <w:t>NHPCO:</w:t>
      </w:r>
      <w:r>
        <w:t xml:space="preserve"> la ref. 831 es una web de 2019 consultada en 2022.</w:t>
      </w:r>
    </w:p>
    <w:p>
      <w:pPr>
        <w:pStyle w:val="ListBullet"/>
      </w:pPr>
      <w:r>
        <w:rPr>
          <w:b/>
        </w:rPr>
        <w:t>Evidencia/justificación:</w:t>
      </w:r>
    </w:p>
    <w:p>
      <w:pPr>
        <w:pStyle w:val="ListBullet2"/>
      </w:pPr>
      <w:r>
        <w:t>Lista de referencias de GOLD (comprobada).</w:t>
      </w:r>
    </w:p>
    <w:p>
      <w:pPr>
        <w:pStyle w:val="ListBullet2"/>
      </w:pPr>
      <w:r>
        <w:t xml:space="preserve">Temel JS et al., </w:t>
      </w:r>
      <w:r>
        <w:rPr>
          <w:i/>
        </w:rPr>
        <w:t>NEJM</w:t>
      </w:r>
      <w:r>
        <w:t xml:space="preserve"> 2010;363:733-42.</w:t>
      </w:r>
    </w:p>
    <w:p>
      <w:pPr>
        <w:pStyle w:val="ListBullet2"/>
      </w:pPr>
      <w:r>
        <w:t xml:space="preserve">Vestbo J et al., </w:t>
      </w:r>
      <w:r>
        <w:rPr>
          <w:i/>
        </w:rPr>
        <w:t>Lancet</w:t>
      </w:r>
      <w:r>
        <w:t xml:space="preserve"> 2016;387:1817-26.</w:t>
      </w:r>
    </w:p>
    <w:p>
      <w:pPr>
        <w:pStyle w:val="ListBullet2"/>
      </w:pPr>
      <w:r>
        <w:t xml:space="preserve">Tashkin DP et al., </w:t>
      </w:r>
      <w:r>
        <w:rPr>
          <w:i/>
        </w:rPr>
        <w:t>NEJM</w:t>
      </w:r>
      <w:r>
        <w:t xml:space="preserve"> 2008;359:1543-54.</w:t>
      </w:r>
    </w:p>
    <w:p>
      <w:pPr>
        <w:pStyle w:val="ListBullet"/>
      </w:pPr>
      <w:r>
        <w:rPr>
          <w:b/>
        </w:rPr>
        <w:t>Recomendación:</w:t>
      </w:r>
      <w:r>
        <w:t xml:space="preserve"> Corregir cada cita. Para la aprobación de las EBV, citar las aprobaciones de la FDA (Zephyr, jun-2018; Spiration, dic-2018) y LIBERATE/EMPROVE.</w:t>
      </w:r>
    </w:p>
    <w:p>
      <w:pPr>
        <w:pStyle w:val="ListBullet"/>
      </w:pPr>
      <w:r>
        <w:rPr>
          <w:b/>
        </w:rPr>
        <w:t>Confianza:</w:t>
      </w:r>
      <w:r>
        <w:t xml:space="preserve"> 5/5</w:t>
      </w:r>
    </w:p>
    <w:p>
      <w:pPr>
        <w:pStyle w:val="Heading4"/>
      </w:pPr>
      <w:r>
        <w:t>INT-21 · Frase confusa sobre las EBV en enfisema heterogéneo y homogéneo</w:t>
      </w:r>
    </w:p>
    <w:p>
      <w:r>
        <w:rPr>
          <w:i/>
        </w:rPr>
        <w:t xml:space="preserve">Severidad final: </w:t>
      </w:r>
      <w:r>
        <w:rPr>
          <w:i/>
          <w:color w:val="A6A6A6"/>
        </w:rPr>
        <w:t>⚪</w:t>
      </w:r>
      <w:r>
        <w:rPr>
          <w:i/>
        </w:rPr>
        <w:t xml:space="preserve"> BAJA · Tema T15: Intervenciones broncoscópicas y quirúrgicas</w:t>
      </w:r>
    </w:p>
    <w:p>
      <w:pPr>
        <w:pStyle w:val="ListBullet"/>
      </w:pPr>
      <w:r>
        <w:rPr>
          <w:b/>
        </w:rPr>
        <w:t>Tipo:</w:t>
      </w:r>
      <w:r>
        <w:t xml:space="preserve"> Ambigüedad/Claridad</w:t>
      </w:r>
    </w:p>
    <w:p>
      <w:pPr>
        <w:pStyle w:val="ListBullet"/>
      </w:pPr>
      <w:r>
        <w:rPr>
          <w:b/>
        </w:rPr>
        <w:t>Severidad:</w:t>
      </w:r>
      <w:r>
        <w:t xml:space="preserve"> BAJA</w:t>
      </w:r>
    </w:p>
    <w:p>
      <w:pPr>
        <w:pStyle w:val="ListBullet"/>
      </w:pPr>
      <w:r>
        <w:rPr>
          <w:b/>
        </w:rPr>
        <w:t>Ubicación:</w:t>
      </w:r>
      <w:r>
        <w:t xml:space="preserve"> PDF 99 / impr. 88</w:t>
      </w:r>
    </w:p>
    <w:p>
      <w:pPr>
        <w:pStyle w:val="ListBullet"/>
      </w:pPr>
      <w:r>
        <w:rPr>
          <w:b/>
        </w:rPr>
        <w:t>Cita:</w:t>
      </w:r>
      <w:r>
        <w:t xml:space="preserve"> "But benefits have also been shown in patients with heterogeneous compared to those with homogenous emphysema in one study.(528)"</w:t>
      </w:r>
    </w:p>
    <w:p>
      <w:pPr>
        <w:pStyle w:val="ListBullet"/>
      </w:pPr>
      <w:r>
        <w:rPr>
          <w:b/>
        </w:rPr>
        <w:t>Problema:</w:t>
      </w:r>
      <w:r>
        <w:t xml:space="preserve"> La frase sugiere una comparación de beneficio entre fenotipos que no existe como tal. STELVIO (ref. 528) incluyó ambos fenotipos, y el ECA específico en enfisema </w:t>
      </w:r>
      <w:r>
        <w:rPr>
          <w:b/>
        </w:rPr>
        <w:t>homogéneo</w:t>
      </w:r>
      <w:r>
        <w:t xml:space="preserve"> es IMPACT (ref. 864), que no se menciona aquí. Además, las referencias de eficacia omiten TRANSFORM (863) y EMPROVE (865).</w:t>
      </w:r>
    </w:p>
    <w:p>
      <w:pPr>
        <w:pStyle w:val="ListBullet"/>
      </w:pPr>
      <w:r>
        <w:rPr>
          <w:b/>
        </w:rPr>
        <w:t>Evidencia/justificación:</w:t>
      </w:r>
    </w:p>
    <w:p>
      <w:pPr>
        <w:pStyle w:val="ListBullet2"/>
      </w:pPr>
      <w:r>
        <w:t xml:space="preserve">Klooster K et al., </w:t>
      </w:r>
      <w:r>
        <w:rPr>
          <w:i/>
        </w:rPr>
        <w:t>NEJM</w:t>
      </w:r>
      <w:r>
        <w:t xml:space="preserve"> 2015 (ref. 528).</w:t>
      </w:r>
    </w:p>
    <w:p>
      <w:pPr>
        <w:pStyle w:val="ListBullet2"/>
      </w:pPr>
      <w:r>
        <w:t xml:space="preserve">Valipour A et al., </w:t>
      </w:r>
      <w:r>
        <w:rPr>
          <w:i/>
        </w:rPr>
        <w:t>AJRCCM</w:t>
      </w:r>
      <w:r>
        <w:t xml:space="preserve"> 2016 (ref. 864).</w:t>
      </w:r>
    </w:p>
    <w:p>
      <w:pPr>
        <w:pStyle w:val="ListBullet"/>
      </w:pPr>
      <w:r>
        <w:rPr>
          <w:b/>
        </w:rPr>
        <w:t>Recomendación:</w:t>
      </w:r>
      <w:r>
        <w:t xml:space="preserve"> Reescribir: «El beneficio se ha demostrado tanto en enfisema heterogéneo (LIBERATE, TRANSFORM, EMPROVE) como homogéneo (IMPACT), siempre en ausencia de ventilación colateral».</w:t>
      </w:r>
    </w:p>
    <w:p>
      <w:pPr>
        <w:pStyle w:val="ListBullet"/>
      </w:pPr>
      <w:r>
        <w:rPr>
          <w:b/>
        </w:rPr>
        <w:t>Confianza:</w:t>
      </w:r>
      <w:r>
        <w:t xml:space="preserve"> 4/5</w:t>
      </w:r>
    </w:p>
    <w:p>
      <w:pPr>
        <w:pStyle w:val="Heading4"/>
      </w:pPr>
      <w:r>
        <w:t>INT-22 · Se equiparan colapso dinámico excesivo de la vía aérea (EDAC) y traqueobroncomalacia</w:t>
      </w:r>
    </w:p>
    <w:p>
      <w:r>
        <w:rPr>
          <w:i/>
        </w:rPr>
        <w:t xml:space="preserve">Severidad final: </w:t>
      </w:r>
      <w:r>
        <w:rPr>
          <w:i/>
          <w:color w:val="A6A6A6"/>
        </w:rPr>
        <w:t>⚪</w:t>
      </w:r>
      <w:r>
        <w:rPr>
          <w:i/>
        </w:rPr>
        <w:t xml:space="preserve"> BAJA · Tema T15: Intervenciones broncoscópicas y quirúrgicas</w:t>
      </w:r>
    </w:p>
    <w:p>
      <w:pPr>
        <w:pStyle w:val="ListBullet"/>
      </w:pPr>
      <w:r>
        <w:rPr>
          <w:b/>
        </w:rPr>
        <w:t>Tipo:</w:t>
      </w:r>
      <w:r>
        <w:t xml:space="preserve"> Error conceptual</w:t>
      </w:r>
    </w:p>
    <w:p>
      <w:pPr>
        <w:pStyle w:val="ListBullet"/>
      </w:pPr>
      <w:r>
        <w:rPr>
          <w:b/>
        </w:rPr>
        <w:t>Severidad:</w:t>
      </w:r>
      <w:r>
        <w:t xml:space="preserve"> BAJA</w:t>
      </w:r>
    </w:p>
    <w:p>
      <w:pPr>
        <w:pStyle w:val="ListBullet"/>
      </w:pPr>
      <w:r>
        <w:rPr>
          <w:b/>
        </w:rPr>
        <w:t>Ubicación:</w:t>
      </w:r>
      <w:r>
        <w:t xml:space="preserve"> PDF 101 / impr. 90 — «Excessive dynamic airway collapse»</w:t>
      </w:r>
    </w:p>
    <w:p>
      <w:pPr>
        <w:pStyle w:val="ListBullet"/>
      </w:pPr>
      <w:r>
        <w:rPr>
          <w:b/>
        </w:rPr>
        <w:t>Cita:</w:t>
      </w:r>
      <w:r>
        <w:t xml:space="preserve"> "Excessive dynamic airway collapse or tracheobronchomalacia is a disorder of the large airways"</w:t>
      </w:r>
    </w:p>
    <w:p>
      <w:pPr>
        <w:pStyle w:val="ListBullet"/>
      </w:pPr>
      <w:r>
        <w:rPr>
          <w:b/>
        </w:rPr>
        <w:t>Problema:</w:t>
      </w:r>
    </w:p>
    <w:p>
      <w:pPr>
        <w:pStyle w:val="ListBullet2"/>
      </w:pPr>
      <w:r>
        <w:t>EDAC (abombamiento de la membrana posterior) y traqueobroncomalacia (debilidad del cartílago) son entidades distintas, con implicaciones terapéuticas diferentes.</w:t>
      </w:r>
    </w:p>
    <w:p>
      <w:pPr>
        <w:pStyle w:val="ListBullet2"/>
      </w:pPr>
      <w:r>
        <w:t>El 5 % de Bhatt 2016 se refiere al «expiratory central airway collapse» en TC.</w:t>
      </w:r>
    </w:p>
    <w:p>
      <w:pPr>
        <w:pStyle w:val="ListBullet2"/>
      </w:pPr>
      <w:r>
        <w:t>El stent y la traqueobroncoplastia solo deben considerarse tras una prueba con CPAP y una broncoscopia dinámica en centros expertos.</w:t>
      </w:r>
    </w:p>
    <w:p>
      <w:pPr>
        <w:pStyle w:val="ListBullet"/>
      </w:pPr>
      <w:r>
        <w:rPr>
          <w:b/>
        </w:rPr>
        <w:t>Evidencia/justificación:</w:t>
      </w:r>
    </w:p>
    <w:p>
      <w:pPr>
        <w:pStyle w:val="ListBullet2"/>
      </w:pPr>
      <w:r>
        <w:t xml:space="preserve">Bhatt SP et al., </w:t>
      </w:r>
      <w:r>
        <w:rPr>
          <w:i/>
        </w:rPr>
        <w:t>JAMA</w:t>
      </w:r>
      <w:r>
        <w:t xml:space="preserve"> 2016;315:498-505 (ref. 893).</w:t>
      </w:r>
    </w:p>
    <w:p>
      <w:pPr>
        <w:pStyle w:val="ListBullet2"/>
      </w:pPr>
      <w:r>
        <w:t>Revisiones de Murgu S y Colt H (</w:t>
      </w:r>
      <w:r>
        <w:rPr>
          <w:i/>
        </w:rPr>
        <w:t>Chest</w:t>
      </w:r>
      <w:r>
        <w:t xml:space="preserve"> 2006) y de Kheir F y Majid A (</w:t>
      </w:r>
      <w:r>
        <w:rPr>
          <w:i/>
        </w:rPr>
        <w:t>Semin Respir Crit Care Med</w:t>
      </w:r>
      <w:r>
        <w:t xml:space="preserve"> 2018). Conf. 4.</w:t>
      </w:r>
    </w:p>
    <w:p>
      <w:pPr>
        <w:pStyle w:val="ListBullet"/>
      </w:pPr>
      <w:r>
        <w:rPr>
          <w:b/>
        </w:rPr>
        <w:t>Recomendación:</w:t>
      </w:r>
      <w:r>
        <w:t xml:space="preserve"> Diferenciar las dos entidades y definir la secuencia diagnóstica y terapéutica: broncoscopia dinámica, CPAP, prueba con stent temporal y cirugía en casos seleccionados.</w:t>
      </w:r>
    </w:p>
    <w:p>
      <w:pPr>
        <w:pStyle w:val="ListBullet"/>
      </w:pPr>
      <w:r>
        <w:rPr>
          <w:b/>
        </w:rPr>
        <w:t>Confianza:</w:t>
      </w:r>
      <w:r>
        <w:t xml:space="preserve"> 4/5</w:t>
      </w:r>
    </w:p>
    <w:p>
      <w:pPr>
        <w:pStyle w:val="Heading4"/>
      </w:pPr>
      <w:r>
        <w:t>INT-23 · Coste de la LVRS presentado de forma sesgada</w:t>
      </w:r>
    </w:p>
    <w:p>
      <w:r>
        <w:rPr>
          <w:i/>
        </w:rPr>
        <w:t xml:space="preserve">Severidad final: </w:t>
      </w:r>
      <w:r>
        <w:rPr>
          <w:i/>
          <w:color w:val="A6A6A6"/>
        </w:rPr>
        <w:t>⚪</w:t>
      </w:r>
      <w:r>
        <w:rPr>
          <w:i/>
        </w:rPr>
        <w:t xml:space="preserve"> BAJA · Tema T15: Intervenciones broncoscópicas y quirúrgicas</w:t>
      </w:r>
    </w:p>
    <w:p>
      <w:pPr>
        <w:pStyle w:val="ListBullet"/>
      </w:pPr>
      <w:r>
        <w:rPr>
          <w:b/>
        </w:rPr>
        <w:t>Tipo:</w:t>
      </w:r>
      <w:r>
        <w:t xml:space="preserve"> Evidencia mal representada</w:t>
      </w:r>
    </w:p>
    <w:p>
      <w:pPr>
        <w:pStyle w:val="ListBullet"/>
      </w:pPr>
      <w:r>
        <w:rPr>
          <w:b/>
        </w:rPr>
        <w:t>Severidad:</w:t>
      </w:r>
      <w:r>
        <w:t xml:space="preserve"> BAJA</w:t>
      </w:r>
    </w:p>
    <w:p>
      <w:pPr>
        <w:pStyle w:val="ListBullet"/>
      </w:pPr>
      <w:r>
        <w:rPr>
          <w:b/>
        </w:rPr>
        <w:t>Ubicación:</w:t>
      </w:r>
      <w:r>
        <w:t xml:space="preserve"> PDF 98 / impr. 87</w:t>
      </w:r>
    </w:p>
    <w:p>
      <w:pPr>
        <w:pStyle w:val="ListBullet"/>
      </w:pPr>
      <w:r>
        <w:rPr>
          <w:b/>
        </w:rPr>
        <w:t>Cita:</w:t>
      </w:r>
      <w:r>
        <w:t xml:space="preserve"> "A prospective economic analysis in NETT indicated that LVRS is costly relative to healthcare programs that do not include surgery.(852)"</w:t>
      </w:r>
    </w:p>
    <w:p>
      <w:pPr>
        <w:pStyle w:val="ListBullet"/>
      </w:pPr>
      <w:r>
        <w:rPr>
          <w:b/>
        </w:rPr>
        <w:t>Problema:</w:t>
      </w:r>
      <w:r>
        <w:t xml:space="preserve"> Ramsey 2003 concluyó que la LVRS es cara a 3 años, pero que su coste-efectividad mejora claramente a 10 años y es más favorable en el subgrupo de lóbulo superior y baja capacidad de ejercicio. Citar solo «costly» desincentiva una intervención infrautilizada, algo que el propio texto lamenta en el párrafo siguiente.</w:t>
      </w:r>
    </w:p>
    <w:p>
      <w:pPr>
        <w:pStyle w:val="ListBullet"/>
      </w:pPr>
      <w:r>
        <w:rPr>
          <w:b/>
        </w:rPr>
        <w:t>Evidencia/justificación:</w:t>
      </w:r>
      <w:r>
        <w:t xml:space="preserve"> Ramsey SD et al., </w:t>
      </w:r>
      <w:r>
        <w:rPr>
          <w:i/>
        </w:rPr>
        <w:t>NEJM</w:t>
      </w:r>
      <w:r>
        <w:t xml:space="preserve"> 2003;348:2092-102: aproximadamente 190.000 USD/AVAC a 3 años, proyectado a unos 53.000 USD/AVAC a 10 años. Las cifras son aproximadas (conf. 3).</w:t>
      </w:r>
    </w:p>
    <w:p>
      <w:pPr>
        <w:pStyle w:val="ListBullet"/>
      </w:pPr>
      <w:r>
        <w:rPr>
          <w:b/>
        </w:rPr>
        <w:t>Recomendación:</w:t>
      </w:r>
      <w:r>
        <w:t xml:space="preserve"> Añadir que el coste-efectividad es aceptable a largo plazo en los subgrupos seleccionados.</w:t>
      </w:r>
    </w:p>
    <w:p>
      <w:pPr>
        <w:pStyle w:val="ListBullet"/>
      </w:pPr>
      <w:r>
        <w:rPr>
          <w:b/>
        </w:rPr>
        <w:t>Confianza:</w:t>
      </w:r>
      <w:r>
        <w:t xml:space="preserve"> 3/5</w:t>
      </w:r>
    </w:p>
    <w:p>
      <w:pPr>
        <w:pStyle w:val="Heading4"/>
      </w:pPr>
      <w:r>
        <w:t>DX-06 · PURE: cifra de población sana errónea y confusión región/raza</w:t>
      </w:r>
    </w:p>
    <w:p>
      <w:r>
        <w:rPr>
          <w:i/>
        </w:rPr>
        <w:t xml:space="preserve">Severidad final: </w:t>
      </w:r>
      <w:r>
        <w:rPr>
          <w:i/>
          <w:color w:val="A6A6A6"/>
        </w:rPr>
        <w:t>⚪</w:t>
      </w:r>
      <w:r>
        <w:rPr>
          <w:i/>
        </w:rPr>
        <w:t xml:space="preserve"> BAJA · Tema T18: Diagnóstico, espirometría, búsqueda de casos, pre-EPOC/PRISm</w:t>
      </w:r>
    </w:p>
    <w:p>
      <w:pPr>
        <w:pStyle w:val="ListBullet"/>
      </w:pPr>
      <w:r>
        <w:rPr>
          <w:b/>
        </w:rPr>
        <w:t>Tipo:</w:t>
      </w:r>
      <w:r>
        <w:t xml:space="preserve"> Error factual</w:t>
      </w:r>
    </w:p>
    <w:p>
      <w:pPr>
        <w:pStyle w:val="ListBullet"/>
      </w:pPr>
      <w:r>
        <w:rPr>
          <w:b/>
        </w:rPr>
        <w:t>Severidad:</w:t>
      </w:r>
      <w:r>
        <w:t xml:space="preserve"> BAJA</w:t>
      </w:r>
    </w:p>
    <w:p>
      <w:pPr>
        <w:pStyle w:val="ListBullet"/>
      </w:pPr>
      <w:r>
        <w:rPr>
          <w:b/>
        </w:rPr>
        <w:t>Ubicación:</w:t>
      </w:r>
      <w:r>
        <w:t xml:space="preserve"> PDF 42 / impr. 31</w:t>
      </w:r>
    </w:p>
    <w:p>
      <w:pPr>
        <w:pStyle w:val="ListBullet"/>
      </w:pPr>
      <w:r>
        <w:rPr>
          <w:b/>
        </w:rPr>
        <w:t>Cita:</w:t>
      </w:r>
      <w:r>
        <w:t xml:space="preserve"> «…analyzed pre-bronchodilator spirometry data from 153,996 healthy people with &lt; 5 pack-year smoking histories in 17 countries and observed wide variation by region.(92)»</w:t>
      </w:r>
    </w:p>
    <w:p>
      <w:pPr>
        <w:pStyle w:val="ListBullet"/>
      </w:pPr>
      <w:r>
        <w:rPr>
          <w:b/>
        </w:rPr>
        <w:t>Problema:</w:t>
      </w:r>
    </w:p>
    <w:p>
      <w:pPr>
        <w:pStyle w:val="ListBullet2"/>
      </w:pPr>
      <w:r>
        <w:t>153.996 es el total de participantes de PURE. El análisis de valores de referencia se hizo en un subgrupo sano y asintomático de unos 38.500 no fumadores.</w:t>
      </w:r>
    </w:p>
    <w:p>
      <w:pPr>
        <w:pStyle w:val="ListBullet2"/>
      </w:pPr>
      <w:r>
        <w:t>El párrafo usa diferencias geográficas o socioeconómicas por región para argumentar sobre la «race-correction», mezclando región de residencia con raza/etnia.</w:t>
      </w:r>
    </w:p>
    <w:p>
      <w:pPr>
        <w:pStyle w:val="ListBullet"/>
      </w:pPr>
      <w:r>
        <w:rPr>
          <w:b/>
        </w:rPr>
        <w:t>Evidencia/justificación:</w:t>
      </w:r>
      <w:r>
        <w:t xml:space="preserve"> Duong M et al. </w:t>
      </w:r>
      <w:r>
        <w:rPr>
          <w:i/>
        </w:rPr>
        <w:t>Global differences in lung function by region (PURE)</w:t>
      </w:r>
      <w:r>
        <w:t>. Lancet Respir Med 2013;1:599-609 (doi:10.1016/S2213-2600(13)70164-4). En los resultados, los análisis de función pulmonar sana se limitan a 38.517 participantes asintomáticos no fumadores de 153.996 cribados.</w:t>
      </w:r>
    </w:p>
    <w:p>
      <w:pPr>
        <w:pStyle w:val="ListBullet"/>
      </w:pPr>
      <w:r>
        <w:rPr>
          <w:b/>
        </w:rPr>
        <w:t>Recomendación:</w:t>
      </w:r>
    </w:p>
    <w:p>
      <w:pPr>
        <w:pStyle w:val="ListBullet2"/>
      </w:pPr>
      <w:r>
        <w:t>Corregir a «de 153.996 participantes, ~38.500 adultos sanos asintomáticos no fumadores».</w:t>
      </w:r>
    </w:p>
    <w:p>
      <w:pPr>
        <w:pStyle w:val="ListBullet2"/>
      </w:pPr>
      <w:r>
        <w:t>Aclarar que las diferencias son regionales (en parte socioeconómicas y nutricionales), lo que de hecho refuerza el argumento race-neutral.</w:t>
      </w:r>
    </w:p>
    <w:p>
      <w:pPr>
        <w:pStyle w:val="ListBullet"/>
      </w:pPr>
      <w:r>
        <w:rPr>
          <w:b/>
        </w:rPr>
        <w:t>Confianza:</w:t>
      </w:r>
      <w:r>
        <w:t xml:space="preserve"> 4/5</w:t>
      </w:r>
    </w:p>
    <w:p>
      <w:pPr>
        <w:pStyle w:val="Heading4"/>
      </w:pPr>
      <w:r>
        <w:t>DX-23 · Fig. 2.5B: los valores rotulados no corresponden a la curva dibujada</w:t>
      </w:r>
    </w:p>
    <w:p>
      <w:r>
        <w:rPr>
          <w:i/>
        </w:rPr>
        <w:t xml:space="preserve">Severidad final: </w:t>
      </w:r>
      <w:r>
        <w:rPr>
          <w:i/>
          <w:color w:val="A6A6A6"/>
        </w:rPr>
        <w:t>⚪</w:t>
      </w:r>
      <w:r>
        <w:rPr>
          <w:i/>
        </w:rPr>
        <w:t xml:space="preserve"> BAJA · Tema T18: Diagnóstico, espirometría, búsqueda de casos, pre-EPOC/PRISm</w:t>
      </w:r>
    </w:p>
    <w:p>
      <w:pPr>
        <w:pStyle w:val="ListBullet"/>
      </w:pPr>
      <w:r>
        <w:rPr>
          <w:b/>
        </w:rPr>
        <w:t>Tipo:</w:t>
      </w:r>
      <w:r>
        <w:t xml:space="preserve"> Editorial / Incongruencia texto-figura</w:t>
      </w:r>
    </w:p>
    <w:p>
      <w:pPr>
        <w:pStyle w:val="ListBullet"/>
      </w:pPr>
      <w:r>
        <w:rPr>
          <w:b/>
        </w:rPr>
        <w:t>Severidad:</w:t>
      </w:r>
      <w:r>
        <w:t xml:space="preserve"> BAJA</w:t>
      </w:r>
    </w:p>
    <w:p>
      <w:pPr>
        <w:pStyle w:val="ListBullet"/>
      </w:pPr>
      <w:r>
        <w:rPr>
          <w:b/>
        </w:rPr>
        <w:t>Ubicación:</w:t>
      </w:r>
      <w:r>
        <w:t xml:space="preserve"> Fig. 2.5B (PDF 39 / impr. 28)</w:t>
      </w:r>
    </w:p>
    <w:p>
      <w:pPr>
        <w:pStyle w:val="ListBullet"/>
      </w:pPr>
      <w:r>
        <w:rPr>
          <w:b/>
        </w:rPr>
        <w:t>Cita:</w:t>
      </w:r>
      <w:r>
        <w:t xml:space="preserve"> Rótulos de la figura: «FEV1 = 1.8 L», «FVC = 3.2 L», «FEV1/FVC = 0.56».</w:t>
      </w:r>
    </w:p>
    <w:p>
      <w:pPr>
        <w:pStyle w:val="ListBullet"/>
      </w:pPr>
      <w:r>
        <w:rPr>
          <w:b/>
        </w:rPr>
        <w:t>Problema:</w:t>
      </w:r>
    </w:p>
    <w:p>
      <w:pPr>
        <w:pStyle w:val="ListBullet2"/>
      </w:pPr>
      <w:r>
        <w:t>En la curva volumen-tiempo trazada, el FEV1 a 1 s queda en ≈1,5 L y la meseta de la FVC en ≈3,05 L, lo que da un cociente gráfico ≈0,49 frente al 0,56 rotulado (verificado con recorte ampliado).</w:t>
      </w:r>
    </w:p>
    <w:p>
      <w:pPr>
        <w:pStyle w:val="ListBullet2"/>
      </w:pPr>
      <w:r>
        <w:t>La Fig. 2.5A sí es coherente.</w:t>
      </w:r>
    </w:p>
    <w:p>
      <w:pPr>
        <w:pStyle w:val="ListBullet2"/>
      </w:pPr>
      <w:r>
        <w:t>En una figura docente, esta discrepancia confunde a quien aprende a leer la curva.</w:t>
      </w:r>
    </w:p>
    <w:p>
      <w:pPr>
        <w:pStyle w:val="ListBullet"/>
      </w:pPr>
      <w:r>
        <w:rPr>
          <w:b/>
        </w:rPr>
        <w:t>Evidencia/justificación:</w:t>
      </w:r>
      <w:r>
        <w:t xml:space="preserve"> Inspección visual ampliada del PNG p039.</w:t>
      </w:r>
    </w:p>
    <w:p>
      <w:pPr>
        <w:pStyle w:val="ListBullet"/>
      </w:pPr>
      <w:r>
        <w:rPr>
          <w:b/>
        </w:rPr>
        <w:t>Recomendación:</w:t>
      </w:r>
      <w:r>
        <w:t xml:space="preserve"> Redibujar la curva o ajustar los rótulos para que coincidan.</w:t>
      </w:r>
    </w:p>
    <w:p>
      <w:pPr>
        <w:pStyle w:val="ListBullet"/>
      </w:pPr>
      <w:r>
        <w:rPr>
          <w:b/>
        </w:rPr>
        <w:t>Confianza:</w:t>
      </w:r>
      <w:r>
        <w:t xml:space="preserve"> 4/5</w:t>
      </w:r>
    </w:p>
    <w:p>
      <w:pPr>
        <w:pStyle w:val="Heading4"/>
      </w:pPr>
      <w:r>
        <w:t>DX-24 · Fig. 2.3: insuficiencia cardiaca descrita como «restricción, no obstrucción»</w:t>
      </w:r>
    </w:p>
    <w:p>
      <w:r>
        <w:rPr>
          <w:i/>
        </w:rPr>
        <w:t xml:space="preserve">Severidad final: </w:t>
      </w:r>
      <w:r>
        <w:rPr>
          <w:i/>
          <w:color w:val="A6A6A6"/>
        </w:rPr>
        <w:t>⚪</w:t>
      </w:r>
      <w:r>
        <w:rPr>
          <w:i/>
        </w:rPr>
        <w:t xml:space="preserve"> BAJA · Tema T18: Diagnóstico, espirometría, búsqueda de casos, pre-EPOC/PRISm</w:t>
      </w:r>
    </w:p>
    <w:p>
      <w:pPr>
        <w:pStyle w:val="ListBullet"/>
      </w:pPr>
      <w:r>
        <w:rPr>
          <w:b/>
        </w:rPr>
        <w:t>Tipo:</w:t>
      </w:r>
      <w:r>
        <w:t xml:space="preserve"> Ambigüedad / Omisión</w:t>
      </w:r>
    </w:p>
    <w:p>
      <w:pPr>
        <w:pStyle w:val="ListBullet"/>
      </w:pPr>
      <w:r>
        <w:rPr>
          <w:b/>
        </w:rPr>
        <w:t>Severidad:</w:t>
      </w:r>
      <w:r>
        <w:t xml:space="preserve"> BAJA</w:t>
      </w:r>
    </w:p>
    <w:p>
      <w:pPr>
        <w:pStyle w:val="ListBullet"/>
      </w:pPr>
      <w:r>
        <w:rPr>
          <w:b/>
        </w:rPr>
        <w:t>Ubicación:</w:t>
      </w:r>
      <w:r>
        <w:t xml:space="preserve"> Fig. 2.3 «Differential Diagnosis of COPD» (PDF 36 / impr. 25)</w:t>
      </w:r>
    </w:p>
    <w:p>
      <w:pPr>
        <w:pStyle w:val="ListBullet"/>
      </w:pPr>
      <w:r>
        <w:rPr>
          <w:b/>
        </w:rPr>
        <w:t>Cita:</w:t>
      </w:r>
      <w:r>
        <w:t xml:space="preserve"> Entrada de insuficiencia cardiaca congestiva: «…Pulmonary function tests indicate volume restriction, not airflow obstruction».</w:t>
      </w:r>
    </w:p>
    <w:p>
      <w:pPr>
        <w:pStyle w:val="ListBullet"/>
      </w:pPr>
      <w:r>
        <w:rPr>
          <w:b/>
        </w:rPr>
        <w:t>Problema:</w:t>
      </w:r>
    </w:p>
    <w:p>
      <w:pPr>
        <w:pStyle w:val="ListBullet2"/>
      </w:pPr>
      <w:r>
        <w:t>La congestión pulmonar puede producir obstrucción espirométrica (cociente &lt;0,7) que revierte con la euvolemia. Esto causa falsos diagnósticos de EPOC en pacientes con insuficiencia cardiaca, y a la inversa la EPOC se infradiagnostica en ellos.</w:t>
      </w:r>
    </w:p>
    <w:p>
      <w:pPr>
        <w:pStyle w:val="ListBullet2"/>
      </w:pPr>
      <w:r>
        <w:t>La figura no aconseja hacer la espirometría en situación de euvolemia.</w:t>
      </w:r>
    </w:p>
    <w:p>
      <w:pPr>
        <w:pStyle w:val="ListBullet2"/>
      </w:pPr>
      <w:r>
        <w:t>Faltan diagnósticos diferenciales espirométricos relevantes: obstrucción de vía aérea central (morfología de la curva flujo-volumen) y EPID/CPFE.</w:t>
      </w:r>
    </w:p>
    <w:p>
      <w:pPr>
        <w:pStyle w:val="ListBullet"/>
      </w:pPr>
      <w:r>
        <w:rPr>
          <w:b/>
        </w:rPr>
        <w:t>Evidencia/justificación:</w:t>
      </w:r>
    </w:p>
    <w:p>
      <w:pPr>
        <w:pStyle w:val="ListBullet2"/>
      </w:pPr>
      <w:r>
        <w:t>Güder G et al. Eur J Heart Fail 2014;16:1273-1282 (PMID 25345927): obstrucción espirométrica y sobrediagnóstico de EPOC en la insuficiencia cardiaca.</w:t>
      </w:r>
    </w:p>
    <w:p>
      <w:pPr>
        <w:pStyle w:val="ListBullet2"/>
      </w:pPr>
      <w:r>
        <w:t>Güder G et al. J Card Fail 2012;18:637-644 (PMID 22858080): la insuficiencia cardiaca modifica la clasificación de gravedad de la EPOC.</w:t>
      </w:r>
    </w:p>
    <w:p>
      <w:pPr>
        <w:pStyle w:val="ListBullet2"/>
      </w:pPr>
      <w:r>
        <w:t>Minasian AG et al. Heart Lung 2013;42:365-371 (PMID 23998385) y Transl Respir Med 2014;2:12 (PMID 25285269): en la IC crónica la obstrucción es menos frecuente de lo supuesto y deben usarse pruebas seriadas en estabilidad.</w:t>
      </w:r>
    </w:p>
    <w:p>
      <w:pPr>
        <w:pStyle w:val="ListBullet"/>
      </w:pPr>
      <w:r>
        <w:rPr>
          <w:b/>
        </w:rPr>
        <w:t>Recomendación:</w:t>
      </w:r>
      <w:r>
        <w:t xml:space="preserve"> Cambiar a «puede mostrar restricción u obstrucción reversible con diuresis; realizar la espirometría en euvolemia». Añadir la obstrucción de vía aérea central y la CPFE al diagnóstico diferencial.</w:t>
      </w:r>
    </w:p>
    <w:p>
      <w:pPr>
        <w:pStyle w:val="ListBullet"/>
      </w:pPr>
      <w:r>
        <w:rPr>
          <w:b/>
        </w:rPr>
        <w:t>Confianza:</w:t>
      </w:r>
      <w:r>
        <w:t xml:space="preserve"> 3/5</w:t>
      </w:r>
    </w:p>
    <w:p>
      <w:pPr>
        <w:pStyle w:val="Heading4"/>
      </w:pPr>
      <w:r>
        <w:t>EPI-21 · VIH y EPOC: inferencia causal no respaldada</w:t>
      </w:r>
    </w:p>
    <w:p>
      <w:r>
        <w:rPr>
          <w:i/>
        </w:rPr>
        <w:t xml:space="preserve">Severidad final: </w:t>
      </w:r>
      <w:r>
        <w:rPr>
          <w:i/>
          <w:color w:val="A6A6A6"/>
        </w:rPr>
        <w:t>⚪</w:t>
      </w:r>
      <w:r>
        <w:rPr>
          <w:i/>
        </w:rPr>
        <w:t xml:space="preserve"> BAJA · Tema T19: Multimorbilidad (cardiovascular, HP, SAOS, salud mental, metabólica, otras)</w:t>
      </w:r>
    </w:p>
    <w:p>
      <w:pPr>
        <w:pStyle w:val="ListBullet"/>
      </w:pPr>
      <w:r>
        <w:rPr>
          <w:b/>
        </w:rPr>
        <w:t>Tipo:</w:t>
      </w:r>
      <w:r>
        <w:t xml:space="preserve"> Evidencia mal representada</w:t>
      </w:r>
    </w:p>
    <w:p>
      <w:pPr>
        <w:pStyle w:val="ListBullet"/>
      </w:pPr>
      <w:r>
        <w:rPr>
          <w:b/>
        </w:rPr>
        <w:t>Severidad:</w:t>
      </w:r>
      <w:r>
        <w:t xml:space="preserve"> BAJA</w:t>
      </w:r>
    </w:p>
    <w:p>
      <w:pPr>
        <w:pStyle w:val="ListBullet"/>
      </w:pPr>
      <w:r>
        <w:rPr>
          <w:b/>
        </w:rPr>
        <w:t>Ubicación:</w:t>
      </w:r>
      <w:r>
        <w:t xml:space="preserve"> PDF 26 / impr. 15 — Infections</w:t>
      </w:r>
    </w:p>
    <w:p>
      <w:pPr>
        <w:pStyle w:val="ListBullet"/>
      </w:pPr>
      <w:r>
        <w:rPr>
          <w:b/>
        </w:rPr>
        <w:t>Cita:</w:t>
      </w:r>
      <w:r>
        <w:t xml:space="preserve"> «patients with HIV are at increased risk of COPD… probably due to methylation disruptions in airway epithelium.(164,220,221)»</w:t>
      </w:r>
    </w:p>
    <w:p>
      <w:pPr>
        <w:pStyle w:val="ListBullet"/>
      </w:pPr>
      <w:r>
        <w:rPr>
          <w:b/>
        </w:rPr>
        <w:t>Problema:</w:t>
      </w:r>
    </w:p>
    <w:p>
      <w:pPr>
        <w:pStyle w:val="ListBullet2"/>
      </w:pPr>
      <w:r>
        <w:rPr>
          <w:b/>
        </w:rPr>
        <w:t>La única referencia pertinente (ref 220) es transversal y asociativa.</w:t>
      </w:r>
      <w:r>
        <w:t xml:space="preserve"> Las otras dos son erróneas (EPI-01).</w:t>
      </w:r>
    </w:p>
    <w:p>
      <w:pPr>
        <w:pStyle w:val="ListBullet2"/>
      </w:pPr>
      <w:r>
        <w:rPr>
          <w:b/>
        </w:rPr>
        <w:t>Atribuir el exceso de riesgo «probablemente» a la metilación</w:t>
      </w:r>
      <w:r>
        <w:t xml:space="preserve"> ignora mecanismos mejor documentados: tabaquismo muy prevalente, infecciones respiratorias recurrentes, TB, inflamación crónica e inicio tardío del tratamiento antirretroviral.</w:t>
      </w:r>
    </w:p>
    <w:p>
      <w:pPr>
        <w:pStyle w:val="ListBullet"/>
      </w:pPr>
      <w:r>
        <w:rPr>
          <w:b/>
        </w:rPr>
        <w:t>Evidencia/justificación:</w:t>
      </w:r>
      <w:r>
        <w:t xml:space="preserve"> Hernández Cordero AI et al., </w:t>
      </w:r>
      <w:r>
        <w:rPr>
          <w:i/>
        </w:rPr>
        <w:t>Thorax</w:t>
      </w:r>
      <w:r>
        <w:t xml:space="preserve"> 2021;76(5) (ref 220; asociación de la metilación con la obstrucción en personas con VIH). Bigna JJ et al., revisión sistemática de la prevalencia de EPOC en VIH (ref 218).</w:t>
      </w:r>
    </w:p>
    <w:p>
      <w:pPr>
        <w:pStyle w:val="ListBullet"/>
      </w:pPr>
      <w:r>
        <w:rPr>
          <w:b/>
        </w:rPr>
        <w:t>Recomendación:</w:t>
      </w:r>
      <w:r>
        <w:t xml:space="preserve"> Sustituir por «posiblemente multifactorial (tabaco, infecciones, inflamación persistente; se han descrito alteraciones epigenéticas)».</w:t>
      </w:r>
    </w:p>
    <w:p>
      <w:pPr>
        <w:pStyle w:val="ListBullet"/>
      </w:pPr>
      <w:r>
        <w:rPr>
          <w:b/>
        </w:rPr>
        <w:t>Confianza:</w:t>
      </w:r>
      <w:r>
        <w:t xml:space="preserve"> 4/5</w:t>
      </w:r>
    </w:p>
    <w:p>
      <w:pPr>
        <w:pStyle w:val="Heading4"/>
      </w:pPr>
      <w:r>
        <w:t>IA-24 · Definición de IA y taxonomía de la Figura 6.1, imprecisas</w:t>
      </w:r>
    </w:p>
    <w:p>
      <w:r>
        <w:rPr>
          <w:i/>
        </w:rPr>
        <w:t xml:space="preserve">Severidad final: </w:t>
      </w:r>
      <w:r>
        <w:rPr>
          <w:i/>
          <w:color w:val="A6A6A6"/>
        </w:rPr>
        <w:t>⚪</w:t>
      </w:r>
      <w:r>
        <w:rPr>
          <w:i/>
        </w:rPr>
        <w:t xml:space="preserve"> BAJA · Tema T20: Telesalud e inteligencia artificial</w:t>
      </w:r>
    </w:p>
    <w:p>
      <w:pPr>
        <w:pStyle w:val="ListBullet"/>
      </w:pPr>
      <w:r>
        <w:rPr>
          <w:b/>
        </w:rPr>
        <w:t>Tipo:</w:t>
      </w:r>
      <w:r>
        <w:t xml:space="preserve"> Ambigüedad/Claridad</w:t>
      </w:r>
    </w:p>
    <w:p>
      <w:pPr>
        <w:pStyle w:val="ListBullet"/>
      </w:pPr>
      <w:r>
        <w:rPr>
          <w:b/>
        </w:rPr>
        <w:t>Severidad:</w:t>
      </w:r>
      <w:r>
        <w:t xml:space="preserve"> BAJA</w:t>
      </w:r>
    </w:p>
    <w:p>
      <w:pPr>
        <w:pStyle w:val="ListBullet"/>
      </w:pPr>
      <w:r>
        <w:rPr>
          <w:b/>
        </w:rPr>
        <w:t>Ubicación:</w:t>
      </w:r>
      <w:r>
        <w:t xml:space="preserve"> Cap. 6, PDF 142 / impr. 131; Figura 6.1, PDF 143 / impr. 132</w:t>
      </w:r>
    </w:p>
    <w:p>
      <w:pPr>
        <w:pStyle w:val="ListBullet"/>
      </w:pPr>
      <w:r>
        <w:rPr>
          <w:b/>
        </w:rPr>
        <w:t>Cita:</w:t>
      </w:r>
      <w:r>
        <w:t xml:space="preserve"> "The term artificial intelligence refers to a set of rules (algorithms) that enable computers to learn…"; Figura 6.1: NLP "focused on analyzing and generating human language from medical text"</w:t>
      </w:r>
    </w:p>
    <w:p>
      <w:pPr>
        <w:pStyle w:val="ListBullet"/>
      </w:pPr>
      <w:r>
        <w:rPr>
          <w:b/>
        </w:rPr>
        <w:t>Problema:</w:t>
      </w:r>
    </w:p>
    <w:p>
      <w:pPr>
        <w:pStyle w:val="ListBullet2"/>
      </w:pPr>
      <w:r>
        <w:t>La definición confunde la IA con el aprendizaje automático (la IA incluye también sistemas basados en reglas que no "aprenden").</w:t>
      </w:r>
    </w:p>
    <w:p>
      <w:pPr>
        <w:pStyle w:val="ListBullet2"/>
      </w:pPr>
      <w:r>
        <w:t>La Figura 6.1 mezcla en una misma lista paradigmas de aprendizaje (supervisado, no supervisado, por refuerzo), arquitecturas (redes neuronales, aprendizaje profundo) y familias de aplicación (procesamiento del lenguaje natural, LLM, IA generativa) sin jerarquía.</w:t>
      </w:r>
    </w:p>
    <w:p>
      <w:pPr>
        <w:pStyle w:val="ListBullet2"/>
      </w:pPr>
      <w:r>
        <w:t>Restringe el procesamiento del lenguaje natural a "medical text".</w:t>
      </w:r>
    </w:p>
    <w:p>
      <w:pPr>
        <w:pStyle w:val="ListBullet"/>
      </w:pPr>
      <w:r>
        <w:rPr>
          <w:b/>
        </w:rPr>
        <w:t>Evidencia/justificación:</w:t>
      </w:r>
      <w:r>
        <w:t xml:space="preserve"> Hay definiciones estándar: OCDE y Ley de IA de la UE, art. 3(1).</w:t>
      </w:r>
    </w:p>
    <w:p>
      <w:pPr>
        <w:pStyle w:val="ListBullet"/>
      </w:pPr>
      <w:r>
        <w:rPr>
          <w:b/>
        </w:rPr>
        <w:t>Recomendación:</w:t>
      </w:r>
    </w:p>
    <w:p>
      <w:pPr>
        <w:pStyle w:val="ListBullet2"/>
      </w:pPr>
      <w:r>
        <w:t>Adoptar la definición de la OCDE o de la Ley de IA.</w:t>
      </w:r>
    </w:p>
    <w:p>
      <w:pPr>
        <w:pStyle w:val="ListBullet2"/>
      </w:pPr>
      <w:r>
        <w:t>Reorganizar la figura de forma jerárquica (paradigmas, arquitecturas, aplicaciones).</w:t>
      </w:r>
    </w:p>
    <w:p>
      <w:pPr>
        <w:pStyle w:val="ListBullet"/>
      </w:pPr>
      <w:r>
        <w:rPr>
          <w:b/>
        </w:rPr>
        <w:t>Confianza:</w:t>
      </w:r>
      <w:r>
        <w:t xml:space="preserve"> 4/5</w:t>
      </w:r>
    </w:p>
    <w:p>
      <w:pPr>
        <w:pStyle w:val="Heading4"/>
      </w:pPr>
      <w:r>
        <w:t>MET-21 · Erratas y redundancias en las figuras con niveles de evidencia</w:t>
      </w:r>
    </w:p>
    <w:p>
      <w:r>
        <w:rPr>
          <w:i/>
        </w:rPr>
        <w:t xml:space="preserve">Severidad final: </w:t>
      </w:r>
      <w:r>
        <w:rPr>
          <w:i/>
          <w:color w:val="A6A6A6"/>
        </w:rPr>
        <w:t>⚪</w:t>
      </w:r>
      <w:r>
        <w:rPr>
          <w:i/>
        </w:rPr>
        <w:t xml:space="preserve"> BAJA · Tema T21: Metodología y niveles de evidencia</w:t>
      </w:r>
    </w:p>
    <w:p>
      <w:pPr>
        <w:pStyle w:val="ListBullet"/>
      </w:pPr>
      <w:r>
        <w:rPr>
          <w:b/>
        </w:rPr>
        <w:t>Tipo:</w:t>
      </w:r>
      <w:r>
        <w:t xml:space="preserve"> Editorial</w:t>
      </w:r>
    </w:p>
    <w:p>
      <w:pPr>
        <w:pStyle w:val="ListBullet"/>
      </w:pPr>
      <w:r>
        <w:rPr>
          <w:b/>
        </w:rPr>
        <w:t>Severidad:</w:t>
      </w:r>
      <w:r>
        <w:t xml:space="preserve"> BAJA</w:t>
      </w:r>
    </w:p>
    <w:p>
      <w:pPr>
        <w:pStyle w:val="ListBullet"/>
      </w:pPr>
      <w:r>
        <w:rPr>
          <w:b/>
        </w:rPr>
        <w:t>Ubicación:</w:t>
      </w:r>
      <w:r>
        <w:t xml:space="preserve"> Fig 3.22 (PDF 97 / impr. 86); Fig 3.17 (PDF 88 / impr. 77); Fig 3.20 (PDF 93 / impr. 82); Fig A3.3 (PDF 160 / impr. 149); Fig 3.19 (PDF 91 / impr. 80); texto (PDF 117 / impr. 106)</w:t>
      </w:r>
    </w:p>
    <w:p>
      <w:pPr>
        <w:pStyle w:val="ListBullet"/>
      </w:pPr>
      <w:r>
        <w:rPr>
          <w:b/>
        </w:rPr>
        <w:t>Cita:</w:t>
      </w:r>
      <w:r>
        <w:t xml:space="preserve"> «Nutritional supplementation should be considered in malnourished patients with COPD (Evidence B) as it may improve respiratory muscle strength and overall health status (Evidence B)»</w:t>
      </w:r>
    </w:p>
    <w:p>
      <w:pPr>
        <w:pStyle w:val="ListBullet"/>
      </w:pPr>
      <w:r>
        <w:rPr>
          <w:b/>
        </w:rPr>
        <w:t>Problema:</w:t>
      </w:r>
    </w:p>
    <w:p>
      <w:pPr>
        <w:pStyle w:val="ListBullet2"/>
      </w:pPr>
      <w:r>
        <w:rPr>
          <w:b/>
        </w:rPr>
        <w:t>Fig 3.22.</w:t>
      </w:r>
      <w:r>
        <w:t xml:space="preserve"> «upper-lobe» aparece sin sustantivo (falta «emphysema»).</w:t>
      </w:r>
    </w:p>
    <w:p>
      <w:pPr>
        <w:pStyle w:val="ListBullet2"/>
      </w:pPr>
      <w:r>
        <w:rPr>
          <w:b/>
        </w:rPr>
        <w:t>Duplicaciones:</w:t>
      </w:r>
    </w:p>
    <w:p>
      <w:pPr>
        <w:pStyle w:val="ListBullet2"/>
      </w:pPr>
      <w:r>
        <w:t>dos viñetas de NPPV en la Fig 3.17;</w:t>
      </w:r>
    </w:p>
    <w:p>
      <w:pPr>
        <w:pStyle w:val="ListBullet2"/>
      </w:pPr>
      <w:r>
        <w:t>un «(Evidence B)» repetido en la misma viñeta de la Fig 3.20;</w:t>
      </w:r>
    </w:p>
    <w:p>
      <w:pPr>
        <w:pStyle w:val="ListBullet2"/>
      </w:pPr>
      <w:r>
        <w:t>dos viñetas de estatinas con nivel A en la Fig A3.3.</w:t>
      </w:r>
    </w:p>
    <w:p>
      <w:pPr>
        <w:pStyle w:val="ListBullet2"/>
      </w:pPr>
      <w:r>
        <w:rPr>
          <w:b/>
        </w:rPr>
        <w:t>PDF 117.</w:t>
      </w:r>
      <w:r>
        <w:t xml:space="preserve"> Errata «cardon dioxide».</w:t>
      </w:r>
    </w:p>
    <w:p>
      <w:pPr>
        <w:pStyle w:val="ListBullet2"/>
      </w:pPr>
      <w:r>
        <w:rPr>
          <w:b/>
        </w:rPr>
        <w:t>Fig 3.19.</w:t>
      </w:r>
      <w:r>
        <w:t xml:space="preserve"> Bajo el título «Evidence Supporting a Reduction in Mortality» incluye la rehabilitación pulmonar con «New trials: RR 0.68 (95% CI 0.28, 1.67)», un resultado no significativo, aunque matizado por una nota al pie.</w:t>
      </w:r>
    </w:p>
    <w:p>
      <w:pPr>
        <w:pStyle w:val="ListBullet"/>
      </w:pPr>
      <w:r>
        <w:rPr>
          <w:b/>
        </w:rPr>
        <w:t>Evidencia/justificación:</w:t>
      </w:r>
      <w:r>
        <w:t xml:space="preserve"> Inspección visual de las figuras.</w:t>
      </w:r>
    </w:p>
    <w:p>
      <w:pPr>
        <w:pStyle w:val="ListBullet"/>
      </w:pPr>
      <w:r>
        <w:rPr>
          <w:b/>
        </w:rPr>
        <w:t>Recomendación:</w:t>
      </w:r>
      <w:r>
        <w:t xml:space="preserve"> Corrección editorial; para la rehabilitación pulmonar en la Fig 3.19, indicar «evidencia inconsistente» en la propia celda.</w:t>
      </w:r>
    </w:p>
    <w:p>
      <w:pPr>
        <w:pStyle w:val="ListBullet"/>
      </w:pPr>
      <w:r>
        <w:rPr>
          <w:b/>
        </w:rPr>
        <w:t>Confianza:</w:t>
      </w:r>
      <w:r>
        <w:t xml:space="preserve"> 5</w:t>
      </w:r>
    </w:p>
    <w:p>
      <w:pPr>
        <w:pStyle w:val="Heading4"/>
      </w:pPr>
      <w:r>
        <w:t>MET-19 · Referencias duplicadas y versiones Cochrane superadas</w:t>
      </w:r>
    </w:p>
    <w:p>
      <w:r>
        <w:rPr>
          <w:i/>
        </w:rPr>
        <w:t xml:space="preserve">Severidad final: </w:t>
      </w:r>
      <w:r>
        <w:rPr>
          <w:i/>
          <w:color w:val="A6A6A6"/>
        </w:rPr>
        <w:t>⚪</w:t>
      </w:r>
      <w:r>
        <w:rPr>
          <w:i/>
        </w:rPr>
        <w:t xml:space="preserve"> BAJA · Tema T23: Integridad de citas y referencias</w:t>
      </w:r>
    </w:p>
    <w:p>
      <w:pPr>
        <w:pStyle w:val="ListBullet"/>
      </w:pPr>
      <w:r>
        <w:rPr>
          <w:b/>
        </w:rPr>
        <w:t>Tipo:</w:t>
      </w:r>
      <w:r>
        <w:t xml:space="preserve"> Editorial</w:t>
      </w:r>
    </w:p>
    <w:p>
      <w:pPr>
        <w:pStyle w:val="ListBullet"/>
      </w:pPr>
      <w:r>
        <w:rPr>
          <w:b/>
        </w:rPr>
        <w:t>Severidad:</w:t>
      </w:r>
      <w:r>
        <w:t xml:space="preserve"> BAJA</w:t>
      </w:r>
    </w:p>
    <w:p>
      <w:pPr>
        <w:pStyle w:val="ListBullet"/>
      </w:pPr>
      <w:r>
        <w:rPr>
          <w:b/>
        </w:rPr>
        <w:t>Ubicación:</w:t>
      </w:r>
      <w:r>
        <w:t xml:space="preserve"> Lista de referencias (PDF 175-248 / impr. 164-237), p. ej. refs 1345 y 1363 (ambas en PDF 230 / impr. 219)</w:t>
      </w:r>
    </w:p>
    <w:p>
      <w:pPr>
        <w:pStyle w:val="ListBullet"/>
      </w:pPr>
      <w:r>
        <w:rPr>
          <w:b/>
        </w:rPr>
        <w:t>Cita:</w:t>
      </w:r>
      <w:r>
        <w:t xml:space="preserve"> «Incalzi RA, Corsonello A, Pedone C, et al. Chronic renal failure: a neglected comorbidity of COPD. Chest 2010» (idéntica en las refs 1345 y 1363)</w:t>
      </w:r>
    </w:p>
    <w:p>
      <w:pPr>
        <w:pStyle w:val="ListBullet"/>
      </w:pPr>
      <w:r>
        <w:rPr>
          <w:b/>
        </w:rPr>
        <w:t>Problema:</w:t>
      </w:r>
    </w:p>
    <w:p>
      <w:pPr>
        <w:pStyle w:val="ListBullet2"/>
      </w:pPr>
      <w:r>
        <w:rPr>
          <w:b/>
        </w:rPr>
        <w:t>Cinco referencias duplicadas</w:t>
      </w:r>
      <w:r>
        <w:t xml:space="preserve"> con dos números:</w:t>
      </w:r>
    </w:p>
    <w:p>
      <w:pPr>
        <w:pStyle w:val="ListBullet2"/>
      </w:pPr>
      <w:r>
        <w:t>114 = 423 (Melén, Lancet 2024);</w:t>
      </w:r>
    </w:p>
    <w:p>
      <w:pPr>
        <w:pStyle w:val="ListBullet2"/>
      </w:pPr>
      <w:r>
        <w:t>414 = 1209 (NLST, NEJM 2011);</w:t>
      </w:r>
    </w:p>
    <w:p>
      <w:pPr>
        <w:pStyle w:val="ListBullet2"/>
      </w:pPr>
      <w:r>
        <w:t>1345 = 1363 (Incalzi, Chest 2010);</w:t>
      </w:r>
    </w:p>
    <w:p>
      <w:pPr>
        <w:pStyle w:val="ListBullet2"/>
      </w:pPr>
      <w:r>
        <w:t>492 = 694 (ETHOS, NEJM 2020; la 694 sin URL);</w:t>
      </w:r>
    </w:p>
    <w:p>
      <w:pPr>
        <w:pStyle w:val="ListBullet2"/>
      </w:pPr>
      <w:r>
        <w:t>752 = 1718 (LOTT, NEJM 2016; la 752 sin URL y con la paginación truncada «1617»).</w:t>
      </w:r>
    </w:p>
    <w:p>
      <w:pPr>
        <w:pStyle w:val="ListBullet2"/>
      </w:pPr>
      <w:r>
        <w:rPr>
          <w:b/>
        </w:rPr>
        <w:t>Versiones Cochrane superadas</w:t>
      </w:r>
      <w:r>
        <w:t xml:space="preserve"> citadas junto a su actualización: 684/1531, 780/781, 1038/1042 y 1600/1604.</w:t>
      </w:r>
    </w:p>
    <w:p>
      <w:pPr>
        <w:pStyle w:val="ListBullet"/>
      </w:pPr>
      <w:r>
        <w:rPr>
          <w:b/>
        </w:rPr>
        <w:t>Evidencia/justificación:</w:t>
      </w:r>
      <w:r>
        <w:t xml:space="preserve"> Script de deduplicación por PMID, DOI y título normalizado.</w:t>
      </w:r>
    </w:p>
    <w:p>
      <w:pPr>
        <w:pStyle w:val="ListBullet"/>
      </w:pPr>
      <w:r>
        <w:rPr>
          <w:b/>
        </w:rPr>
        <w:t>Recomendación:</w:t>
      </w:r>
      <w:r>
        <w:t xml:space="preserve"> Fusionar los duplicados, citar solo la versión Cochrane vigente y usar un gestor bibliográfico con deduplicación.</w:t>
      </w:r>
    </w:p>
    <w:p>
      <w:pPr>
        <w:pStyle w:val="ListBullet"/>
      </w:pPr>
      <w:r>
        <w:rPr>
          <w:b/>
        </w:rPr>
        <w:t>Confianza:</w:t>
      </w:r>
      <w:r>
        <w:t xml:space="preserve"> 5</w:t>
      </w:r>
    </w:p>
    <w:p>
      <w:pPr>
        <w:pStyle w:val="Heading4"/>
      </w:pPr>
      <w:r>
        <w:t>MET-20 · Referencias nunca citadas, fuentes no verificables y accesos web caducados</w:t>
      </w:r>
    </w:p>
    <w:p>
      <w:r>
        <w:rPr>
          <w:i/>
        </w:rPr>
        <w:t xml:space="preserve">Severidad final: </w:t>
      </w:r>
      <w:r>
        <w:rPr>
          <w:i/>
          <w:color w:val="A6A6A6"/>
        </w:rPr>
        <w:t>⚪</w:t>
      </w:r>
      <w:r>
        <w:rPr>
          <w:i/>
        </w:rPr>
        <w:t xml:space="preserve"> BAJA · Tema T23: Integridad de citas y referencias</w:t>
      </w:r>
    </w:p>
    <w:p>
      <w:pPr>
        <w:pStyle w:val="ListBullet"/>
      </w:pPr>
      <w:r>
        <w:rPr>
          <w:b/>
        </w:rPr>
        <w:t>Tipo:</w:t>
      </w:r>
      <w:r>
        <w:t xml:space="preserve"> Editorial</w:t>
      </w:r>
    </w:p>
    <w:p>
      <w:pPr>
        <w:pStyle w:val="ListBullet"/>
      </w:pPr>
      <w:r>
        <w:rPr>
          <w:b/>
        </w:rPr>
        <w:t>Severidad:</w:t>
      </w:r>
      <w:r>
        <w:t xml:space="preserve"> BAJA</w:t>
      </w:r>
    </w:p>
    <w:p>
      <w:pPr>
        <w:pStyle w:val="ListBullet"/>
      </w:pPr>
      <w:r>
        <w:rPr>
          <w:b/>
        </w:rPr>
        <w:t>Ubicación:</w:t>
      </w:r>
    </w:p>
    <w:p>
      <w:pPr>
        <w:pStyle w:val="ListBullet2"/>
      </w:pPr>
      <w:r>
        <w:t>Refs 1269-1270: PDF 227 / impr. 216.</w:t>
      </w:r>
    </w:p>
    <w:p>
      <w:pPr>
        <w:pStyle w:val="ListBullet2"/>
      </w:pPr>
      <w:r>
        <w:t>Ref 295: PDF 186 / impr. 175.</w:t>
      </w:r>
    </w:p>
    <w:p>
      <w:pPr>
        <w:pStyle w:val="ListBullet2"/>
      </w:pPr>
      <w:r>
        <w:t>Ref 1393: PDF 232 / impr. 221.</w:t>
      </w:r>
    </w:p>
    <w:p>
      <w:pPr>
        <w:pStyle w:val="ListBullet2"/>
      </w:pPr>
      <w:r>
        <w:t>Ref 1117: PDF 220 / impr. 209.</w:t>
      </w:r>
    </w:p>
    <w:p>
      <w:pPr>
        <w:pStyle w:val="ListBullet2"/>
      </w:pPr>
      <w:r>
        <w:t>Refs 831 y 1161: PDF 208 y 222 / impr. 197 y 211.</w:t>
      </w:r>
    </w:p>
    <w:p>
      <w:pPr>
        <w:pStyle w:val="ListBullet"/>
      </w:pPr>
      <w:r>
        <w:rPr>
          <w:b/>
        </w:rPr>
        <w:t>Cita:</w:t>
      </w:r>
      <w:r>
        <w:t xml:space="preserve"> «Dharmage S, Agusti A. Personal communication. 2022» y «Artificial Intelligence in COPD: a view from the GOLD science committee (submitted). 2025»</w:t>
      </w:r>
    </w:p>
    <w:p>
      <w:pPr>
        <w:pStyle w:val="ListBullet"/>
      </w:pPr>
      <w:r>
        <w:rPr>
          <w:b/>
        </w:rPr>
        <w:t>Problema:</w:t>
      </w:r>
    </w:p>
    <w:p>
      <w:pPr>
        <w:pStyle w:val="ListBullet2"/>
      </w:pPr>
      <w:r>
        <w:rPr>
          <w:b/>
        </w:rPr>
        <w:t>Nunca citadas en el texto:</w:t>
      </w:r>
      <w:r>
        <w:t xml:space="preserve"> refs 1269 (escala de Epworth) y 1270 (cuestionarios de AOS). Probablemente son restos de la sección de AOS (PDF 133).</w:t>
      </w:r>
    </w:p>
    <w:p>
      <w:pPr>
        <w:pStyle w:val="ListBullet2"/>
      </w:pPr>
      <w:r>
        <w:rPr>
          <w:b/>
        </w:rPr>
        <w:t>No verificables:</w:t>
      </w:r>
    </w:p>
    <w:p>
      <w:pPr>
        <w:pStyle w:val="ListBullet2"/>
      </w:pPr>
      <w:r>
        <w:t>una comunicación personal (ref 295) y un manuscrito «submitted» del propio comité (ref 1393), ambos en la lista de referencias;</w:t>
      </w:r>
    </w:p>
    <w:p>
      <w:pPr>
        <w:pStyle w:val="ListBullet2"/>
      </w:pPr>
      <w:r>
        <w:t>un póster sin título («Noorduyn SG ea.», ref 1117).</w:t>
      </w:r>
    </w:p>
    <w:p>
      <w:pPr>
        <w:pStyle w:val="ListBullet2"/>
      </w:pPr>
      <w:r>
        <w:rPr>
          <w:b/>
        </w:rPr>
        <w:t>Sin PMID:</w:t>
      </w:r>
      <w:r>
        <w:t xml:space="preserve"> 60 referencias. Por ejemplo, las refs 694, 752 y 1397 no tienen URL y la ref 1423 no tiene revista.</w:t>
      </w:r>
    </w:p>
    <w:p>
      <w:pPr>
        <w:pStyle w:val="ListBullet2"/>
      </w:pPr>
      <w:r>
        <w:rPr>
          <w:b/>
        </w:rPr>
        <w:t>Accesos web caducados:</w:t>
      </w:r>
      <w:r>
        <w:t xml:space="preserve"> refs 831 (oct 2022) y 1161 (oct 2021).</w:t>
      </w:r>
    </w:p>
    <w:p>
      <w:pPr>
        <w:pStyle w:val="ListBullet"/>
      </w:pPr>
      <w:r>
        <w:rPr>
          <w:b/>
        </w:rPr>
        <w:t>Evidencia/justificación:</w:t>
      </w:r>
      <w:r>
        <w:t xml:space="preserve"> Cruce mediante script de los 1754 números citados con los 1756 de la lista. Normas ICMJE: las comunicaciones personales y los manuscritos no aceptados no deben ir en la lista de referencias.</w:t>
      </w:r>
    </w:p>
    <w:p>
      <w:pPr>
        <w:pStyle w:val="ListBullet"/>
      </w:pPr>
      <w:r>
        <w:rPr>
          <w:b/>
        </w:rPr>
        <w:t>Recomendación:</w:t>
      </w:r>
      <w:r>
        <w:t xml:space="preserve"> Eliminar las refs 1269-1270 o citarlas, sacar las refs 295 y 1393 de la lista (o esperar a su publicación), completar los metadatos y actualizar los accesos.</w:t>
      </w:r>
    </w:p>
    <w:p>
      <w:pPr>
        <w:pStyle w:val="ListBullet"/>
      </w:pPr>
      <w:r>
        <w:rPr>
          <w:b/>
        </w:rPr>
        <w:t>Confianza:</w:t>
      </w:r>
      <w:r>
        <w:t xml:space="preserve"> 5</w:t>
      </w:r>
    </w:p>
    <w:p>
      <w:pPr>
        <w:pStyle w:val="Heading4"/>
      </w:pPr>
      <w:r>
        <w:t>EPI-19 · DALY: mezcla de rondas del GBD, tiempo verbal y orden regional incoherentes</w:t>
      </w:r>
    </w:p>
    <w:p>
      <w:r>
        <w:rPr>
          <w:i/>
        </w:rPr>
        <w:t xml:space="preserve">Severidad final: </w:t>
      </w:r>
      <w:r>
        <w:rPr>
          <w:i/>
          <w:color w:val="A6A6A6"/>
        </w:rPr>
        <w:t>⚪</w:t>
      </w:r>
      <w:r>
        <w:rPr>
          <w:i/>
        </w:rPr>
        <w:t xml:space="preserve"> BAJA · Tema T24: Cifras epidemiológicas y datos mal transcritos</w:t>
      </w:r>
    </w:p>
    <w:p>
      <w:pPr>
        <w:pStyle w:val="ListBullet"/>
      </w:pPr>
      <w:r>
        <w:rPr>
          <w:b/>
        </w:rPr>
        <w:t>Tipo:</w:t>
      </w:r>
      <w:r>
        <w:t xml:space="preserve"> Evidencia mal representada / Editorial</w:t>
      </w:r>
    </w:p>
    <w:p>
      <w:pPr>
        <w:pStyle w:val="ListBullet"/>
      </w:pPr>
      <w:r>
        <w:rPr>
          <w:b/>
        </w:rPr>
        <w:t>Severidad:</w:t>
      </w:r>
      <w:r>
        <w:t xml:space="preserve"> BAJA</w:t>
      </w:r>
    </w:p>
    <w:p>
      <w:pPr>
        <w:pStyle w:val="ListBullet"/>
      </w:pPr>
      <w:r>
        <w:rPr>
          <w:b/>
        </w:rPr>
        <w:t>Ubicación:</w:t>
      </w:r>
      <w:r>
        <w:t xml:space="preserve"> PDF 22 / impr. 11 — Social burden</w:t>
      </w:r>
    </w:p>
    <w:p>
      <w:pPr>
        <w:pStyle w:val="ListBullet"/>
      </w:pPr>
      <w:r>
        <w:rPr>
          <w:b/>
        </w:rPr>
        <w:t>Cita:</w:t>
      </w:r>
      <w:r>
        <w:t xml:space="preserve"> «The GBD 2019 estimated a COPD DALY rate of 926.1 per 100,000, and GBD 2021 estimated it to be 940.7 per 100,000.»; «Predictions indicated that in 2022, COPD DALYs will rank sixth…»</w:t>
      </w:r>
    </w:p>
    <w:p>
      <w:pPr>
        <w:pStyle w:val="ListBullet"/>
      </w:pPr>
      <w:r>
        <w:rPr>
          <w:b/>
        </w:rPr>
        <w:t>Problema:</w:t>
      </w:r>
    </w:p>
    <w:p>
      <w:pPr>
        <w:pStyle w:val="ListBullet2"/>
      </w:pPr>
      <w:r>
        <w:rPr>
          <w:b/>
        </w:rPr>
        <w:t>Comparar tasas de rondas distintas del GBD sugiere un aumento</w:t>
      </w:r>
      <w:r>
        <w:t>, mientras que dentro del GBD 2021 la tasa estandarizada cayó un 36,98% desde 1990. Cada ronda reestima toda la serie, así que las rondas no son comparables entre sí.</w:t>
      </w:r>
    </w:p>
    <w:p>
      <w:pPr>
        <w:pStyle w:val="ListBullet2"/>
      </w:pPr>
      <w:r>
        <w:rPr>
          <w:b/>
        </w:rPr>
        <w:t>Tiempo verbal futuro para un año ya pasado</w:t>
      </w:r>
      <w:r>
        <w:t xml:space="preserve"> («in 2022… will rank»).</w:t>
      </w:r>
    </w:p>
    <w:p>
      <w:pPr>
        <w:pStyle w:val="ListBullet2"/>
      </w:pPr>
      <w:r>
        <w:rPr>
          <w:b/>
        </w:rPr>
        <w:t>El orden «East Asia, South Asia» no coincide con las cifras</w:t>
      </w:r>
      <w:r>
        <w:t xml:space="preserve"> (South Asia 28,01 M &gt; East Asia 24,39 M).</w:t>
      </w:r>
    </w:p>
    <w:p>
      <w:pPr>
        <w:pStyle w:val="ListBullet"/>
      </w:pPr>
      <w:r>
        <w:rPr>
          <w:b/>
        </w:rPr>
        <w:t>Evidencia/justificación:</w:t>
      </w:r>
      <w:r>
        <w:t xml:space="preserve"> Wang 2025 (DALY estandarizados 940,7/100.000; −36,98%); Safiri 2022 (GBD 2019).</w:t>
      </w:r>
    </w:p>
    <w:p>
      <w:pPr>
        <w:pStyle w:val="ListBullet"/>
      </w:pPr>
      <w:r>
        <w:rPr>
          <w:b/>
        </w:rPr>
        <w:t>Recomendación:</w:t>
      </w:r>
      <w:r>
        <w:t xml:space="preserve"> Usar solo series de una misma ronda del GBD, corregir el tiempo verbal y ordenar las regiones por magnitud.</w:t>
      </w:r>
    </w:p>
    <w:p>
      <w:pPr>
        <w:pStyle w:val="ListBullet"/>
      </w:pPr>
      <w:r>
        <w:rPr>
          <w:b/>
        </w:rPr>
        <w:t>Confianza:</w:t>
      </w:r>
      <w:r>
        <w:t xml:space="preserve"> 4/5</w:t>
      </w:r>
    </w:p>
    <w:p>
      <w:pPr>
        <w:pStyle w:val="Heading4"/>
      </w:pPr>
      <w:r>
        <w:t>EQ-24 · Error factual: la materia particulada y los óxidos de nitrógeno y azufre se clasifican como "otros gases de efecto invernadero"</w:t>
      </w:r>
    </w:p>
    <w:p>
      <w:r>
        <w:rPr>
          <w:i/>
        </w:rPr>
        <w:t xml:space="preserve">Severidad final: </w:t>
      </w:r>
      <w:r>
        <w:rPr>
          <w:i/>
          <w:color w:val="A6A6A6"/>
        </w:rPr>
        <w:t>⚪</w:t>
      </w:r>
      <w:r>
        <w:rPr>
          <w:i/>
        </w:rPr>
        <w:t xml:space="preserve"> BAJA · Tema T24: Cifras epidemiológicas y datos mal transcritos</w:t>
      </w:r>
    </w:p>
    <w:p>
      <w:pPr>
        <w:pStyle w:val="ListBullet"/>
      </w:pPr>
      <w:r>
        <w:rPr>
          <w:b/>
        </w:rPr>
        <w:t>Tipo:</w:t>
      </w:r>
      <w:r>
        <w:t xml:space="preserve"> Error factual</w:t>
      </w:r>
    </w:p>
    <w:p>
      <w:pPr>
        <w:pStyle w:val="ListBullet"/>
      </w:pPr>
      <w:r>
        <w:rPr>
          <w:b/>
        </w:rPr>
        <w:t>Severidad:</w:t>
      </w:r>
      <w:r>
        <w:t xml:space="preserve"> BAJA</w:t>
      </w:r>
    </w:p>
    <w:p>
      <w:pPr>
        <w:pStyle w:val="ListBullet"/>
      </w:pPr>
      <w:r>
        <w:rPr>
          <w:b/>
        </w:rPr>
        <w:t>Ubicación:</w:t>
      </w:r>
      <w:r>
        <w:t xml:space="preserve"> PDF 17 / impr. 6 — "Air pollution".</w:t>
      </w:r>
    </w:p>
    <w:p>
      <w:pPr>
        <w:pStyle w:val="ListBullet"/>
      </w:pPr>
      <w:r>
        <w:rPr>
          <w:b/>
        </w:rPr>
        <w:t>Cita:</w:t>
      </w:r>
      <w:r>
        <w:t xml:space="preserve"> "Air pollution typically consists of particulate matter, ozone, oxides of nitrogen or sulfur, heavy metals, and other greenhouse gases"</w:t>
      </w:r>
    </w:p>
    <w:p>
      <w:pPr>
        <w:pStyle w:val="ListBullet"/>
      </w:pPr>
      <w:r>
        <w:rPr>
          <w:b/>
        </w:rPr>
        <w:t>Problema:</w:t>
      </w:r>
    </w:p>
    <w:p>
      <w:pPr>
        <w:pStyle w:val="ListBullet2"/>
      </w:pPr>
      <w:r>
        <w:t>La materia particulada, los metales pesados, el NOx y el SO2 no son gases de efecto invernadero. Algunos aerosoles incluso enfrían, y el ozono troposférico sí es un GEI.</w:t>
      </w:r>
    </w:p>
    <w:p>
      <w:pPr>
        <w:pStyle w:val="ListBullet2"/>
      </w:pPr>
      <w:r>
        <w:t>La frase confunde contaminación atmosférica con gases de efecto invernadero, lo que resta credibilidad a la sección de clima.</w:t>
      </w:r>
    </w:p>
    <w:p>
      <w:pPr>
        <w:pStyle w:val="ListBullet"/>
      </w:pPr>
      <w:r>
        <w:rPr>
          <w:b/>
        </w:rPr>
        <w:t>Evidencia/justificación:</w:t>
      </w:r>
      <w:r>
        <w:t xml:space="preserve"> Definiciones del IPCC de gases de efecto invernadero (CO2, CH4, N2O, O3, gases fluorados, vapor de agua).</w:t>
      </w:r>
    </w:p>
    <w:p>
      <w:pPr>
        <w:pStyle w:val="ListBullet"/>
      </w:pPr>
      <w:r>
        <w:rPr>
          <w:b/>
        </w:rPr>
        <w:t>Recomendación:</w:t>
      </w:r>
      <w:r>
        <w:t xml:space="preserve"> Reescribir: "Air pollution typically consists of particulate matter (PM2.5, PM10), ozone, nitrogen and sulfur oxides, and heavy metals."</w:t>
      </w:r>
    </w:p>
    <w:p>
      <w:pPr>
        <w:pStyle w:val="ListBullet"/>
      </w:pPr>
      <w:r>
        <w:rPr>
          <w:b/>
        </w:rPr>
        <w:t>Confianza:</w:t>
      </w:r>
      <w:r>
        <w:t xml:space="preserve"> 5/5</w:t>
      </w:r>
    </w:p>
    <w:p>
      <w:pPr>
        <w:pStyle w:val="Heading4"/>
      </w:pPr>
      <w:r>
        <w:t>COH-19 · La lista de abreviaturas (Apéndice 1) tiene expansiones erróneas, omisiones y sobrantes</w:t>
      </w:r>
    </w:p>
    <w:p>
      <w:r>
        <w:rPr>
          <w:i/>
        </w:rPr>
        <w:t xml:space="preserve">Severidad final: </w:t>
      </w:r>
      <w:r>
        <w:rPr>
          <w:i/>
          <w:color w:val="A6A6A6"/>
        </w:rPr>
        <w:t>⚪</w:t>
      </w:r>
      <w:r>
        <w:rPr>
          <w:i/>
        </w:rPr>
        <w:t xml:space="preserve"> BAJA · Tema T29: Edición, erratas y estructura</w:t>
      </w:r>
    </w:p>
    <w:p>
      <w:pPr>
        <w:pStyle w:val="ListBullet"/>
      </w:pPr>
      <w:r>
        <w:rPr>
          <w:b/>
        </w:rPr>
        <w:t>Tipo:</w:t>
      </w:r>
      <w:r>
        <w:t xml:space="preserve"> Editorial / terminología</w:t>
      </w:r>
    </w:p>
    <w:p>
      <w:pPr>
        <w:pStyle w:val="ListBullet"/>
      </w:pPr>
      <w:r>
        <w:rPr>
          <w:b/>
        </w:rPr>
        <w:t>Severidad:</w:t>
      </w:r>
      <w:r>
        <w:t xml:space="preserve"> BAJA</w:t>
      </w:r>
    </w:p>
    <w:p>
      <w:pPr>
        <w:pStyle w:val="ListBullet"/>
      </w:pPr>
      <w:r>
        <w:rPr>
          <w:b/>
        </w:rPr>
        <w:t>Ubicación:</w:t>
      </w:r>
      <w:r>
        <w:t xml:space="preserve"> PDF 149-150 / impr. 138-139; usos en PDF 21, 50, 61, 70 y 135</w:t>
      </w:r>
    </w:p>
    <w:p>
      <w:pPr>
        <w:pStyle w:val="ListBullet"/>
      </w:pPr>
      <w:r>
        <w:rPr>
          <w:b/>
        </w:rPr>
        <w:t>Cita:</w:t>
      </w:r>
      <w:r>
        <w:t xml:space="preserve"> "LAS, lung allocation severity"; "USPSTF, United States Preventative Service Task Force".</w:t>
      </w:r>
    </w:p>
    <w:p>
      <w:pPr>
        <w:pStyle w:val="ListBullet"/>
      </w:pPr>
      <w:r>
        <w:rPr>
          <w:b/>
        </w:rPr>
        <w:t>Problema:</w:t>
      </w:r>
    </w:p>
    <w:p>
      <w:pPr>
        <w:pStyle w:val="ListBullet2"/>
      </w:pPr>
      <w:r>
        <w:rPr>
          <w:b/>
        </w:rPr>
        <w:t>Expansiones erróneas:</w:t>
      </w:r>
      <w:r>
        <w:t xml:space="preserve"> LAS es </w:t>
      </w:r>
      <w:r>
        <w:rPr>
          <w:i/>
        </w:rPr>
        <w:t>score</w:t>
      </w:r>
      <w:r>
        <w:t xml:space="preserve">; USPSTF es </w:t>
      </w:r>
      <w:r>
        <w:rPr>
          <w:i/>
        </w:rPr>
        <w:t>Preventive Services</w:t>
      </w:r>
      <w:r>
        <w:t>.</w:t>
      </w:r>
    </w:p>
    <w:p>
      <w:pPr>
        <w:pStyle w:val="ListBullet2"/>
      </w:pPr>
      <w:r>
        <w:rPr>
          <w:b/>
        </w:rPr>
        <w:t>NAFLD contradictoria:</w:t>
      </w:r>
      <w:r>
        <w:t xml:space="preserve"> se define como "non-alcoholic fatty liver disease", pero PDF 135 dice que NAFLD es "also known as metabolic dysfunction-associated steatotic liver disease", que es MASLD.</w:t>
      </w:r>
    </w:p>
    <w:p>
      <w:pPr>
        <w:pStyle w:val="ListBullet2"/>
      </w:pPr>
      <w:r>
        <w:rPr>
          <w:b/>
        </w:rPr>
        <w:t>Expansión inusual:</w:t>
      </w:r>
      <w:r>
        <w:t xml:space="preserve"> "HMICs, high- and middle-income countries", con un solo uso.</w:t>
      </w:r>
    </w:p>
    <w:p>
      <w:pPr>
        <w:pStyle w:val="ListBullet2"/>
      </w:pPr>
      <w:r>
        <w:rPr>
          <w:b/>
        </w:rPr>
        <w:t>Usadas pero no definidas:</w:t>
      </w:r>
      <w:r>
        <w:t xml:space="preserve"> SpO2, HFrEF, Tdap, PCV13/15/20/21, PPSV23, COVID, NO2.</w:t>
      </w:r>
    </w:p>
    <w:p>
      <w:pPr>
        <w:pStyle w:val="ListBullet2"/>
      </w:pPr>
      <w:r>
        <w:rPr>
          <w:b/>
        </w:rPr>
        <w:t>Definidas pero sin uso en el cuerpo:</w:t>
      </w:r>
      <w:r>
        <w:t xml:space="preserve"> BAI, BD, COPD-PS, Ig, LFQ, NS, PUMA, SABD, SE.</w:t>
      </w:r>
    </w:p>
    <w:p>
      <w:pPr>
        <w:pStyle w:val="ListBullet2"/>
      </w:pPr>
      <w:r>
        <w:rPr>
          <w:b/>
        </w:rPr>
        <w:t>Variantes de nombre:</w:t>
      </w:r>
      <w:r>
        <w:t xml:space="preserve"> CAT™ y CAAT™ coexisten ("CAAT™*/CAT™†" en PDF 50), y NIV (40 usos) y NPPV (7) se emplean indistintamente.</w:t>
      </w:r>
    </w:p>
    <w:p>
      <w:pPr>
        <w:pStyle w:val="ListBullet2"/>
      </w:pPr>
      <w:r>
        <w:rPr>
          <w:b/>
        </w:rPr>
        <w:t>Vacunas:</w:t>
      </w:r>
      <w:r>
        <w:t xml:space="preserve"> "dTaP/dTPa" equipara la formulación pediátrica con la Tdap del adulto, y aparece la errata "diptheria" (PDF 61).</w:t>
      </w:r>
    </w:p>
    <w:p>
      <w:pPr>
        <w:pStyle w:val="ListBullet"/>
      </w:pPr>
      <w:r>
        <w:rPr>
          <w:b/>
        </w:rPr>
        <w:t>Evidencia/justificación:</w:t>
      </w:r>
      <w:r>
        <w:t xml:space="preserve"> script de cotejo entre la lista y el uso en el texto.</w:t>
      </w:r>
    </w:p>
    <w:p>
      <w:pPr>
        <w:pStyle w:val="ListBullet"/>
      </w:pPr>
      <w:r>
        <w:rPr>
          <w:b/>
        </w:rPr>
        <w:t>Recomendación:</w:t>
      </w:r>
      <w:r>
        <w:t xml:space="preserve"> corregir las expansiones, completar las faltantes, retirar las no usadas y fijar CAAT™ y NIV como términos únicos.</w:t>
      </w:r>
    </w:p>
    <w:p>
      <w:pPr>
        <w:pStyle w:val="ListBullet"/>
      </w:pPr>
      <w:r>
        <w:rPr>
          <w:b/>
        </w:rPr>
        <w:t>Confianza:</w:t>
      </w:r>
      <w:r>
        <w:t xml:space="preserve"> 5</w:t>
      </w:r>
    </w:p>
    <w:p>
      <w:pPr>
        <w:pStyle w:val="Heading4"/>
      </w:pPr>
      <w:r>
        <w:t>COH-20 · Índice, Highlights y numeración: estructura correcta pero incompleta</w:t>
      </w:r>
    </w:p>
    <w:p>
      <w:r>
        <w:rPr>
          <w:i/>
        </w:rPr>
        <w:t xml:space="preserve">Severidad final: </w:t>
      </w:r>
      <w:r>
        <w:rPr>
          <w:i/>
          <w:color w:val="A6A6A6"/>
        </w:rPr>
        <w:t>⚪</w:t>
      </w:r>
      <w:r>
        <w:rPr>
          <w:i/>
        </w:rPr>
        <w:t xml:space="preserve"> BAJA · Tema T29: Edición, erratas y estructura</w:t>
      </w:r>
    </w:p>
    <w:p>
      <w:pPr>
        <w:pStyle w:val="ListBullet"/>
      </w:pPr>
      <w:r>
        <w:rPr>
          <w:b/>
        </w:rPr>
        <w:t>Tipo:</w:t>
      </w:r>
      <w:r>
        <w:t xml:space="preserve"> Editorial / navegación</w:t>
      </w:r>
    </w:p>
    <w:p>
      <w:pPr>
        <w:pStyle w:val="ListBullet"/>
      </w:pPr>
      <w:r>
        <w:rPr>
          <w:b/>
        </w:rPr>
        <w:t>Severidad:</w:t>
      </w:r>
      <w:r>
        <w:t xml:space="preserve"> BAJA</w:t>
      </w:r>
    </w:p>
    <w:p>
      <w:pPr>
        <w:pStyle w:val="ListBullet"/>
      </w:pPr>
      <w:r>
        <w:rPr>
          <w:b/>
        </w:rPr>
        <w:t>Ubicación:</w:t>
      </w:r>
      <w:r>
        <w:t xml:space="preserve"> índice en PDF 7-11; Highlights en PDF 5; encabezado del cap. 6 en PDF 142 / impr. 131</w:t>
      </w:r>
    </w:p>
    <w:p>
      <w:pPr>
        <w:pStyle w:val="ListBullet"/>
      </w:pPr>
      <w:r>
        <w:rPr>
          <w:b/>
        </w:rPr>
        <w:t>Cita:</w:t>
      </w:r>
      <w:r>
        <w:t xml:space="preserve"> índice: "ARTIFICAL INTELLIGENCE IN COPD"; Highlights x: "A new Chapter 6 – Artificial Intelligence &amp; Emerging Technologies in COPD".</w:t>
      </w:r>
    </w:p>
    <w:p>
      <w:pPr>
        <w:pStyle w:val="ListBullet"/>
      </w:pPr>
      <w:r>
        <w:rPr>
          <w:b/>
        </w:rPr>
        <w:t>Problema:</w:t>
      </w:r>
    </w:p>
    <w:p>
      <w:pPr>
        <w:pStyle w:val="ListBullet2"/>
      </w:pPr>
      <w:r>
        <w:t>La paginación del índice es exacta (impr. = PDF − 11).</w:t>
      </w:r>
    </w:p>
    <w:p>
      <w:pPr>
        <w:pStyle w:val="ListBullet2"/>
      </w:pPr>
      <w:r>
        <w:t>El título del cap. 6 no coincide entre el índice/encabezado y Highlights, y contiene la errata "ARTIFICAL".</w:t>
      </w:r>
    </w:p>
    <w:p>
      <w:pPr>
        <w:pStyle w:val="ListBullet2"/>
      </w:pPr>
      <w:r>
        <w:t>No hay lista de figuras pese a tener unas 75.</w:t>
      </w:r>
    </w:p>
    <w:p>
      <w:pPr>
        <w:pStyle w:val="ListBullet2"/>
      </w:pPr>
      <w:r>
        <w:t>Solo "Table A" usa la etiqueta de tabla; el resto son "Figure", incluidas tablas puras.</w:t>
      </w:r>
    </w:p>
    <w:p>
      <w:pPr>
        <w:pStyle w:val="ListBullet2"/>
      </w:pPr>
      <w:r>
        <w:t>El epígrafe "DISEASES WITH MULTIPLE ORGANS LOSS OF TISSUE" (índice, impr. 125) es agramatical.</w:t>
      </w:r>
    </w:p>
    <w:p>
      <w:pPr>
        <w:pStyle w:val="ListBullet"/>
      </w:pPr>
      <w:r>
        <w:rPr>
          <w:b/>
        </w:rPr>
        <w:t>Evidencia/justificación:</w:t>
      </w:r>
      <w:r>
        <w:t xml:space="preserve"> script que cruza el índice con los encabezados de página.</w:t>
      </w:r>
    </w:p>
    <w:p>
      <w:pPr>
        <w:pStyle w:val="ListBullet"/>
      </w:pPr>
      <w:r>
        <w:rPr>
          <w:b/>
        </w:rPr>
        <w:t>Recomendación:</w:t>
      </w:r>
      <w:r>
        <w:t xml:space="preserve"> unificar el título del cap. 6, añadir una lista de figuras y tablas y renombrar las tablas como "Table".</w:t>
      </w:r>
    </w:p>
    <w:p>
      <w:pPr>
        <w:pStyle w:val="ListBullet"/>
      </w:pPr>
      <w:r>
        <w:rPr>
          <w:b/>
        </w:rPr>
        <w:t>Confianza:</w:t>
      </w:r>
      <w:r>
        <w:t xml:space="preserve"> 4</w:t>
      </w:r>
    </w:p>
    <w:p>
      <w:pPr>
        <w:pStyle w:val="Heading4"/>
      </w:pPr>
      <w:r>
        <w:t>COH-21 · Erratas, codificación y unidades (clúster editorial)</w:t>
      </w:r>
    </w:p>
    <w:p>
      <w:r>
        <w:rPr>
          <w:i/>
        </w:rPr>
        <w:t xml:space="preserve">Severidad final: </w:t>
      </w:r>
      <w:r>
        <w:rPr>
          <w:i/>
          <w:color w:val="A6A6A6"/>
        </w:rPr>
        <w:t>⚪</w:t>
      </w:r>
      <w:r>
        <w:rPr>
          <w:i/>
        </w:rPr>
        <w:t xml:space="preserve"> BAJA · Tema T29: Edición, erratas y estructura</w:t>
      </w:r>
    </w:p>
    <w:p>
      <w:pPr>
        <w:pStyle w:val="ListBullet"/>
      </w:pPr>
      <w:r>
        <w:rPr>
          <w:b/>
        </w:rPr>
        <w:t>Tipo:</w:t>
      </w:r>
      <w:r>
        <w:t xml:space="preserve"> Editorial</w:t>
      </w:r>
    </w:p>
    <w:p>
      <w:pPr>
        <w:pStyle w:val="ListBullet"/>
      </w:pPr>
      <w:r>
        <w:rPr>
          <w:b/>
        </w:rPr>
        <w:t>Severidad:</w:t>
      </w:r>
      <w:r>
        <w:t xml:space="preserve"> BAJA</w:t>
      </w:r>
    </w:p>
    <w:p>
      <w:pPr>
        <w:pStyle w:val="ListBullet"/>
      </w:pPr>
      <w:r>
        <w:rPr>
          <w:b/>
        </w:rPr>
        <w:t>Ubicación:</w:t>
      </w:r>
      <w:r>
        <w:t xml:space="preserve"> varias (se indican abajo)</w:t>
      </w:r>
    </w:p>
    <w:p>
      <w:pPr>
        <w:pStyle w:val="ListBullet"/>
      </w:pPr>
      <w:r>
        <w:rPr>
          <w:b/>
        </w:rPr>
        <w:t>Cita:</w:t>
      </w:r>
      <w:r>
        <w:t xml:space="preserve"> "self-management invention group" (PDF 169 / impr. 158).</w:t>
      </w:r>
    </w:p>
    <w:p>
      <w:pPr>
        <w:pStyle w:val="ListBullet"/>
      </w:pPr>
      <w:r>
        <w:rPr>
          <w:b/>
        </w:rPr>
        <w:t>Problema:</w:t>
      </w:r>
    </w:p>
    <w:p>
      <w:pPr>
        <w:pStyle w:val="ListBullet2"/>
      </w:pPr>
      <w:r>
        <w:rPr>
          <w:b/>
        </w:rPr>
        <w:t>Erratas:</w:t>
      </w:r>
    </w:p>
    <w:p>
      <w:pPr>
        <w:pStyle w:val="ListBullet2"/>
      </w:pPr>
      <w:r>
        <w:t>"ARTIFICAL" (PDF 10 y 142);</w:t>
      </w:r>
    </w:p>
    <w:p>
      <w:pPr>
        <w:pStyle w:val="ListBullet2"/>
      </w:pPr>
      <w:r>
        <w:t>"Ed Portilllo" frente a "Ed Portillo" (PDF 3-4), y "Mazur Witold" con el orden invertido (PDF 4);</w:t>
      </w:r>
    </w:p>
    <w:p>
      <w:pPr>
        <w:pStyle w:val="ListBullet2"/>
      </w:pPr>
      <w:r>
        <w:t>"covenient" (Fig 3.8, PDF 73);</w:t>
      </w:r>
    </w:p>
    <w:p>
      <w:pPr>
        <w:pStyle w:val="ListBullet2"/>
      </w:pPr>
      <w:r>
        <w:t>"reroduced" (Fig 3.10, PDF 78);</w:t>
      </w:r>
    </w:p>
    <w:p>
      <w:pPr>
        <w:pStyle w:val="ListBullet2"/>
      </w:pPr>
      <w:r>
        <w:t>"arrythmia" (PDF 53);</w:t>
      </w:r>
    </w:p>
    <w:p>
      <w:pPr>
        <w:pStyle w:val="ListBullet2"/>
      </w:pPr>
      <w:r>
        <w:t>"diptheria" (PDF 61);</w:t>
      </w:r>
    </w:p>
    <w:p>
      <w:pPr>
        <w:pStyle w:val="ListBullet2"/>
      </w:pPr>
      <w:r>
        <w:t>"cardon dioxide" (PDF 117);</w:t>
      </w:r>
    </w:p>
    <w:p>
      <w:pPr>
        <w:pStyle w:val="ListBullet2"/>
      </w:pPr>
      <w:r>
        <w:t>"Contraintidaction" (Fig 4.7, PDF 117);</w:t>
      </w:r>
    </w:p>
    <w:p>
      <w:pPr>
        <w:pStyle w:val="ListBullet2"/>
      </w:pPr>
      <w:r>
        <w:t>"suggesta" (Fig A3.3);</w:t>
      </w:r>
    </w:p>
    <w:p>
      <w:pPr>
        <w:pStyle w:val="ListBullet2"/>
      </w:pPr>
      <w:r>
        <w:t>"invention" por "intervention" (PDF 169).</w:t>
      </w:r>
    </w:p>
    <w:p>
      <w:pPr>
        <w:pStyle w:val="ListBullet2"/>
      </w:pPr>
      <w:r>
        <w:rPr>
          <w:b/>
        </w:rPr>
        <w:t>Codificación:</w:t>
      </w:r>
    </w:p>
    <w:p>
      <w:pPr>
        <w:pStyle w:val="ListBullet2"/>
      </w:pPr>
      <w:r>
        <w:t>el signo micro "µ" (18 usos) se mezcla con la mu griega "μ" (PDF 76 y 163);</w:t>
      </w:r>
    </w:p>
    <w:p>
      <w:pPr>
        <w:pStyle w:val="ListBullet2"/>
      </w:pPr>
      <w:r>
        <w:t>aparecen viñetas de uso privado (U+F075) en PDF 62-63 y 105;</w:t>
      </w:r>
    </w:p>
    <w:p>
      <w:pPr>
        <w:pStyle w:val="ListBullet2"/>
      </w:pPr>
      <w:r>
        <w:t>no se detectaron caracteres "�" en el texto extraído.</w:t>
      </w:r>
    </w:p>
    <w:p>
      <w:pPr>
        <w:pStyle w:val="ListBullet2"/>
      </w:pPr>
      <w:r>
        <w:rPr>
          <w:b/>
        </w:rPr>
        <w:t>Otros:</w:t>
      </w:r>
    </w:p>
    <w:p>
      <w:pPr>
        <w:pStyle w:val="ListBullet2"/>
      </w:pPr>
      <w:r>
        <w:t>la Fig 5.6 define SARC-F, que no aparece en la figura;</w:t>
      </w:r>
    </w:p>
    <w:p>
      <w:pPr>
        <w:pStyle w:val="ListBullet2"/>
      </w:pPr>
      <w:r>
        <w:t>"Two of three RCTs(763,767-770)" cita cinco referencias (PDF 89);</w:t>
      </w:r>
    </w:p>
    <w:p>
      <w:pPr>
        <w:pStyle w:val="ListBullet2"/>
      </w:pPr>
      <w:r>
        <w:t>la Fig 4.5 conserva la terminología antigua "Severe but not Life-threatening", incoherente con Roma.</w:t>
      </w:r>
    </w:p>
    <w:p>
      <w:pPr>
        <w:pStyle w:val="ListBullet"/>
      </w:pPr>
      <w:r>
        <w:rPr>
          <w:b/>
        </w:rPr>
        <w:t>Evidencia/justificación:</w:t>
      </w:r>
      <w:r>
        <w:t xml:space="preserve"> barrido con regex y diccionario; escaneo de caracteres no ASCII.</w:t>
      </w:r>
    </w:p>
    <w:p>
      <w:pPr>
        <w:pStyle w:val="ListBullet"/>
      </w:pPr>
      <w:r>
        <w:rPr>
          <w:b/>
        </w:rPr>
        <w:t>Recomendación:</w:t>
      </w:r>
      <w:r>
        <w:t xml:space="preserve"> pasar una corrección de estilo profesional y normalizar los caracteres (U+00B5) y las viñetas.</w:t>
      </w:r>
    </w:p>
    <w:p>
      <w:pPr>
        <w:pStyle w:val="ListBullet"/>
      </w:pPr>
      <w:r>
        <w:rPr>
          <w:b/>
        </w:rPr>
        <w:t>Confianza:</w:t>
      </w:r>
      <w:r>
        <w:t xml:space="preserve"> 5</w:t>
      </w:r>
    </w:p>
    <w:p>
      <w:pPr>
        <w:pStyle w:val="Heading4"/>
      </w:pPr>
      <w:r>
        <w:t>COH-22 · Párrafos duplicados o casi duplicados entre capítulos</w:t>
      </w:r>
    </w:p>
    <w:p>
      <w:r>
        <w:rPr>
          <w:i/>
        </w:rPr>
        <w:t xml:space="preserve">Severidad final: </w:t>
      </w:r>
      <w:r>
        <w:rPr>
          <w:i/>
          <w:color w:val="A6A6A6"/>
        </w:rPr>
        <w:t>⚪</w:t>
      </w:r>
      <w:r>
        <w:rPr>
          <w:i/>
        </w:rPr>
        <w:t xml:space="preserve"> BAJA · Tema T29: Edición, erratas y estructura</w:t>
      </w:r>
    </w:p>
    <w:p>
      <w:pPr>
        <w:pStyle w:val="ListBullet"/>
      </w:pPr>
      <w:r>
        <w:rPr>
          <w:b/>
        </w:rPr>
        <w:t>Tipo:</w:t>
      </w:r>
      <w:r>
        <w:t xml:space="preserve"> Editorial / redundancia</w:t>
      </w:r>
    </w:p>
    <w:p>
      <w:pPr>
        <w:pStyle w:val="ListBullet"/>
      </w:pPr>
      <w:r>
        <w:rPr>
          <w:b/>
        </w:rPr>
        <w:t>Severidad:</w:t>
      </w:r>
      <w:r>
        <w:t xml:space="preserve"> BAJA</w:t>
      </w:r>
    </w:p>
    <w:p>
      <w:pPr>
        <w:pStyle w:val="ListBullet"/>
      </w:pPr>
      <w:r>
        <w:rPr>
          <w:b/>
        </w:rPr>
        <w:t>Ubicación:</w:t>
      </w:r>
      <w:r>
        <w:t xml:space="preserve"> pares de páginas detectados (se indican abajo)</w:t>
      </w:r>
    </w:p>
    <w:p>
      <w:pPr>
        <w:pStyle w:val="ListBullet"/>
      </w:pPr>
      <w:r>
        <w:rPr>
          <w:b/>
        </w:rPr>
        <w:t>Cita:</w:t>
      </w:r>
      <w:r>
        <w:t xml:space="preserve"> "There is insufficient evidence to recommend that blood eosinophils should be used to predict future exacerbation risk…" (idéntico en PDF 51 y 111).</w:t>
      </w:r>
    </w:p>
    <w:p>
      <w:pPr>
        <w:pStyle w:val="ListBullet"/>
      </w:pPr>
      <w:r>
        <w:rPr>
          <w:b/>
        </w:rPr>
        <w:t>Problema:</w:t>
      </w:r>
      <w:r>
        <w:t xml:space="preserve"> el script de similitud de </w:t>
      </w:r>
      <w:r>
        <w:rPr>
          <w:i/>
        </w:rPr>
        <w:t>shingles</w:t>
      </w:r>
      <w:r>
        <w:t xml:space="preserve"> detectó repeticiones casi literales, contrarias al objetivo declarado en Highlights xi ("reduce repetition"):</w:t>
      </w:r>
    </w:p>
    <w:p>
      <w:pPr>
        <w:pStyle w:val="ListBullet2"/>
      </w:pPr>
      <w:r>
        <w:t>PDF 51 ↔ 111: eosinófilos (Jaccard = 1,0);</w:t>
      </w:r>
    </w:p>
    <w:p>
      <w:pPr>
        <w:pStyle w:val="ListBullet2"/>
      </w:pPr>
      <w:r>
        <w:t>PDF 71 ↔ 170: atención integrada (0,75);</w:t>
      </w:r>
    </w:p>
    <w:p>
      <w:pPr>
        <w:pStyle w:val="ListBullet2"/>
      </w:pPr>
      <w:r>
        <w:t>PDF 15 ↔ 18: key points copiados en el texto (0,76);</w:t>
      </w:r>
    </w:p>
    <w:p>
      <w:pPr>
        <w:pStyle w:val="ListBullet2"/>
      </w:pPr>
      <w:r>
        <w:t>PDF 51 ↔ 161: eosinófilos y ICS (0,51);</w:t>
      </w:r>
    </w:p>
    <w:p>
      <w:pPr>
        <w:pStyle w:val="ListBullet2"/>
      </w:pPr>
      <w:r>
        <w:t>PDF 68 ↔ 81: huella de carbono (0,49);</w:t>
      </w:r>
    </w:p>
    <w:p>
      <w:pPr>
        <w:pStyle w:val="ListBullet2"/>
      </w:pPr>
      <w:r>
        <w:t>PDF 101 ↔ 168: intervenciones sobre el moco;</w:t>
      </w:r>
    </w:p>
    <w:p>
      <w:pPr>
        <w:pStyle w:val="ListBullet2"/>
      </w:pPr>
      <w:r>
        <w:t>PDF 70 ↔ 110: VRS 8,7 %;</w:t>
      </w:r>
    </w:p>
    <w:p>
      <w:pPr>
        <w:pStyle w:val="ListBullet2"/>
      </w:pPr>
      <w:r>
        <w:t>PDF 91 ↔ 172: "190,000" frente a "more than 190,000";</w:t>
      </w:r>
    </w:p>
    <w:p>
      <w:pPr>
        <w:pStyle w:val="ListBullet2"/>
      </w:pPr>
      <w:r>
        <w:t>PDF 92 ↔ 94: definición de cuidados paliativos;</w:t>
      </w:r>
    </w:p>
    <w:p>
      <w:pPr>
        <w:pStyle w:val="ListBullet2"/>
      </w:pPr>
      <w:r>
        <w:t>PDF 89: dos frases consecutivas casi idénticas sobre CPAP en EPOC+AOS.</w:t>
      </w:r>
    </w:p>
    <w:p>
      <w:pPr>
        <w:pStyle w:val="ListBullet"/>
      </w:pPr>
      <w:r>
        <w:rPr>
          <w:b/>
        </w:rPr>
        <w:t>Evidencia/justificación:</w:t>
      </w:r>
      <w:r>
        <w:t xml:space="preserve"> salida del script (umbral Jaccard ≥0,3, revisión manual).</w:t>
      </w:r>
    </w:p>
    <w:p>
      <w:pPr>
        <w:pStyle w:val="ListBullet"/>
      </w:pPr>
      <w:r>
        <w:rPr>
          <w:b/>
        </w:rPr>
        <w:t>Recomendación:</w:t>
      </w:r>
      <w:r>
        <w:t xml:space="preserve"> mantener una sola versión de cada bloque y sustituir las demás por remisiones.</w:t>
      </w:r>
    </w:p>
    <w:p>
      <w:pPr>
        <w:pStyle w:val="ListBullet"/>
      </w:pPr>
      <w:r>
        <w:rPr>
          <w:b/>
        </w:rPr>
        <w:t>Confianza:</w:t>
      </w:r>
      <w:r>
        <w:t xml:space="preserve"> 5</w:t>
      </w:r>
    </w:p>
    <w:p>
      <w:pPr>
        <w:pStyle w:val="Heading4"/>
      </w:pPr>
      <w:r>
        <w:t>EPI-20 · Highlights: referencias cruzadas imprecisas y promesas no plenamente cumplidas</w:t>
      </w:r>
    </w:p>
    <w:p>
      <w:r>
        <w:rPr>
          <w:i/>
        </w:rPr>
        <w:t xml:space="preserve">Severidad final: </w:t>
      </w:r>
      <w:r>
        <w:rPr>
          <w:i/>
          <w:color w:val="A6A6A6"/>
        </w:rPr>
        <w:t>⚪</w:t>
      </w:r>
      <w:r>
        <w:rPr>
          <w:i/>
        </w:rPr>
        <w:t xml:space="preserve"> BAJA · Tema T29: Edición, erratas y estructura</w:t>
      </w:r>
    </w:p>
    <w:p>
      <w:pPr>
        <w:pStyle w:val="ListBullet"/>
      </w:pPr>
      <w:r>
        <w:rPr>
          <w:b/>
        </w:rPr>
        <w:t>Tipo:</w:t>
      </w:r>
      <w:r>
        <w:t xml:space="preserve"> Incongruencia interna / Editorial</w:t>
      </w:r>
    </w:p>
    <w:p>
      <w:pPr>
        <w:pStyle w:val="ListBullet"/>
      </w:pPr>
      <w:r>
        <w:rPr>
          <w:b/>
        </w:rPr>
        <w:t>Severidad:</w:t>
      </w:r>
      <w:r>
        <w:t xml:space="preserve"> BAJA</w:t>
      </w:r>
    </w:p>
    <w:p>
      <w:pPr>
        <w:pStyle w:val="ListBullet"/>
      </w:pPr>
      <w:r>
        <w:rPr>
          <w:b/>
        </w:rPr>
        <w:t>Ubicación:</w:t>
      </w:r>
      <w:r>
        <w:t xml:space="preserve"> PDF 5 / impr. iv — Highlights i, iv y xiii</w:t>
      </w:r>
    </w:p>
    <w:p>
      <w:pPr>
        <w:pStyle w:val="ListBullet"/>
      </w:pPr>
      <w:r>
        <w:rPr>
          <w:b/>
        </w:rPr>
        <w:t>Cita:</w:t>
      </w:r>
      <w:r>
        <w:t xml:space="preserve"> Highlight iv: «The criteria defining GOLD A, B and E categories have been adjusted… (Figure 3.7, 3.8 and 3.9).»</w:t>
      </w:r>
    </w:p>
    <w:p>
      <w:pPr>
        <w:pStyle w:val="ListBullet"/>
      </w:pPr>
      <w:r>
        <w:rPr>
          <w:b/>
        </w:rPr>
        <w:t>Problema:</w:t>
      </w:r>
    </w:p>
    <w:p>
      <w:pPr>
        <w:pStyle w:val="ListBullet2"/>
      </w:pPr>
      <w:r>
        <w:rPr>
          <w:b/>
        </w:rPr>
        <w:t>Highlight iv:</w:t>
      </w:r>
      <w:r>
        <w:t xml:space="preserve"> los criterios ABE se definen en la </w:t>
      </w:r>
      <w:r>
        <w:rPr>
          <w:b/>
        </w:rPr>
        <w:t>Figure 2.13</w:t>
      </w:r>
      <w:r>
        <w:t xml:space="preserve"> (PDF 54 / impr. 43), que no se cita. Las Figures 3.7-3.9 son el ciclo de manejo y los algoritmos terapéuticos. Además, el cambio se basa en evidencia observacional y no se acompaña de nivel de evidencia (ver EPI-05).</w:t>
      </w:r>
    </w:p>
    <w:p>
      <w:pPr>
        <w:pStyle w:val="ListBullet2"/>
      </w:pPr>
      <w:r>
        <w:rPr>
          <w:b/>
        </w:rPr>
        <w:t>Highlights i y xiii:</w:t>
      </w:r>
      <w:r>
        <w:t xml:space="preserve"> prometen estadísticas actualizadas y referencias verificadas, lo que no se cumple plenamente (EPI-01, EPI-12).</w:t>
      </w:r>
    </w:p>
    <w:p>
      <w:pPr>
        <w:pStyle w:val="ListBullet2"/>
      </w:pPr>
      <w:r>
        <w:rPr>
          <w:b/>
        </w:rPr>
        <w:t>El resto de highlights sí se reflejan en el cuerpo:</w:t>
      </w:r>
      <w:r>
        <w:t xml:space="preserve"> Figures 2.8 y 2.9, sección «Disease activity» (PDF 62), Figure 3.11 sobre biológicos, cap. 6, apéndices y abreviaturas.</w:t>
      </w:r>
    </w:p>
    <w:p>
      <w:pPr>
        <w:pStyle w:val="ListBullet"/>
      </w:pPr>
      <w:r>
        <w:rPr>
          <w:b/>
        </w:rPr>
        <w:t>Evidencia/justificación:</w:t>
      </w:r>
      <w:r>
        <w:t xml:space="preserve"> Comprobación con grep en </w:t>
      </w:r>
      <w:r>
        <w:rPr>
          <w:rFonts w:ascii="Consolas" w:hAnsi="Consolas"/>
        </w:rPr>
        <w:t>gold_full.txt</w:t>
      </w:r>
      <w:r>
        <w:t xml:space="preserve"> y en las PNG.</w:t>
      </w:r>
    </w:p>
    <w:p>
      <w:pPr>
        <w:pStyle w:val="ListBullet"/>
      </w:pPr>
      <w:r>
        <w:rPr>
          <w:b/>
        </w:rPr>
        <w:t>Recomendación:</w:t>
      </w:r>
      <w:r>
        <w:t xml:space="preserve"> En el Highlight iv, citar «Figure 2.13 (evaluación ABE) y Figures 3.8-3.9 (tratamiento)». Matizar los Highlights i y xiii.</w:t>
      </w:r>
    </w:p>
    <w:p>
      <w:pPr>
        <w:pStyle w:val="ListBullet"/>
      </w:pPr>
      <w:r>
        <w:rPr>
          <w:b/>
        </w:rPr>
        <w:t>Confianza:</w:t>
      </w:r>
      <w:r>
        <w:t xml:space="preserve"> 4/5</w:t>
      </w:r>
    </w:p>
    <w:p>
      <w:pPr>
        <w:pStyle w:val="Heading4"/>
      </w:pPr>
      <w:r>
        <w:t>EPI-22 · Erratas, terminología y claridad conceptual</w:t>
      </w:r>
    </w:p>
    <w:p>
      <w:r>
        <w:rPr>
          <w:i/>
        </w:rPr>
        <w:t xml:space="preserve">Severidad final: </w:t>
      </w:r>
      <w:r>
        <w:rPr>
          <w:i/>
          <w:color w:val="A6A6A6"/>
        </w:rPr>
        <w:t>⚪</w:t>
      </w:r>
      <w:r>
        <w:rPr>
          <w:i/>
        </w:rPr>
        <w:t xml:space="preserve"> BAJA · Tema T29: Edición, erratas y estructura</w:t>
      </w:r>
    </w:p>
    <w:p>
      <w:pPr>
        <w:pStyle w:val="ListBullet"/>
      </w:pPr>
      <w:r>
        <w:rPr>
          <w:b/>
        </w:rPr>
        <w:t>Tipo:</w:t>
      </w:r>
      <w:r>
        <w:t xml:space="preserve"> Editorial / Ambigüedad</w:t>
      </w:r>
    </w:p>
    <w:p>
      <w:pPr>
        <w:pStyle w:val="ListBullet"/>
      </w:pPr>
      <w:r>
        <w:rPr>
          <w:b/>
        </w:rPr>
        <w:t>Severidad:</w:t>
      </w:r>
      <w:r>
        <w:t xml:space="preserve"> BAJA</w:t>
      </w:r>
    </w:p>
    <w:p>
      <w:pPr>
        <w:pStyle w:val="ListBullet"/>
      </w:pPr>
      <w:r>
        <w:rPr>
          <w:b/>
        </w:rPr>
        <w:t>Ubicación:</w:t>
      </w:r>
      <w:r>
        <w:t xml:space="preserve"> PDF 15, 19, 21, 23, 30 / impr. 4, 8, 10, 12, 19; abreviaturas PDF 149</w:t>
      </w:r>
    </w:p>
    <w:p>
      <w:pPr>
        <w:pStyle w:val="ListBullet"/>
      </w:pPr>
      <w:r>
        <w:rPr>
          <w:b/>
        </w:rPr>
        <w:t>Cita:</w:t>
      </w:r>
      <w:r>
        <w:t xml:space="preserve"> «it is of the outmost importance» (PDF 30); «HMICs showing the largest decreases.(73)» (PDF 21)</w:t>
      </w:r>
    </w:p>
    <w:p>
      <w:pPr>
        <w:pStyle w:val="ListBullet"/>
      </w:pPr>
      <w:r>
        <w:rPr>
          <w:b/>
        </w:rPr>
        <w:t>Problema:</w:t>
      </w:r>
    </w:p>
    <w:p>
      <w:pPr>
        <w:pStyle w:val="ListBullet2"/>
      </w:pPr>
      <w:r>
        <w:rPr>
          <w:b/>
        </w:rPr>
        <w:t>«outmost»</w:t>
      </w:r>
      <w:r>
        <w:t xml:space="preserve"> debe ser «utmost».</w:t>
      </w:r>
    </w:p>
    <w:p>
      <w:pPr>
        <w:pStyle w:val="ListBullet2"/>
      </w:pPr>
      <w:r>
        <w:rPr>
          <w:b/>
        </w:rPr>
        <w:t>«HMICs»</w:t>
      </w:r>
      <w:r>
        <w:t xml:space="preserve"> se define en el Apéndice 1 como «high- and middle-income countries», categoría inexistente en el Banco Mundial. Probablemente alude al quintil SDI «high-middle» del GBD.</w:t>
      </w:r>
    </w:p>
    <w:p>
      <w:pPr>
        <w:pStyle w:val="ListBullet2"/>
      </w:pPr>
      <w:r>
        <w:rPr>
          <w:b/>
        </w:rPr>
        <w:t>«World Bank/WHO GBD Study» (PDF 19):</w:t>
      </w:r>
      <w:r>
        <w:t xml:space="preserve"> el GBD lo coordina el IHME.</w:t>
      </w:r>
    </w:p>
    <w:p>
      <w:pPr>
        <w:pStyle w:val="ListBullet2"/>
      </w:pPr>
      <w:r>
        <w:rPr>
          <w:b/>
        </w:rPr>
        <w:t>En la definición de EPOC (PDF 15), «exacerbations» figura entre los «chronic respiratory symptoms»</w:t>
      </w:r>
      <w:r>
        <w:t>, aunque es un evento agudo.</w:t>
      </w:r>
    </w:p>
    <w:p>
      <w:pPr>
        <w:pStyle w:val="ListBullet2"/>
      </w:pPr>
      <w:r>
        <w:rPr>
          <w:b/>
        </w:rPr>
        <w:t>La Figure 1.2 (PDF 23)</w:t>
      </w:r>
      <w:r>
        <w:t xml:space="preserve"> usa etiquetas de trayectoria, como «pseudonormal» o recuperación (catch-up), que el texto no explica.</w:t>
      </w:r>
    </w:p>
    <w:p>
      <w:pPr>
        <w:pStyle w:val="ListBullet"/>
      </w:pPr>
      <w:r>
        <w:rPr>
          <w:b/>
        </w:rPr>
        <w:t>Evidencia/justificación:</w:t>
      </w:r>
      <w:r>
        <w:t xml:space="preserve"> Lectura directa del texto y de las PNG p020 y p023; clasificación de ingresos del Banco Mundial.</w:t>
      </w:r>
    </w:p>
    <w:p>
      <w:pPr>
        <w:pStyle w:val="ListBullet"/>
      </w:pPr>
      <w:r>
        <w:rPr>
          <w:b/>
        </w:rPr>
        <w:t>Recomendación:</w:t>
      </w:r>
    </w:p>
    <w:p>
      <w:pPr>
        <w:pStyle w:val="ListBullet2"/>
      </w:pPr>
      <w:r>
        <w:t>Corregir las erratas.</w:t>
      </w:r>
    </w:p>
    <w:p>
      <w:pPr>
        <w:pStyle w:val="ListBullet2"/>
      </w:pPr>
      <w:r>
        <w:t>Sustituir «HMICs» por la categoría correcta (p. ej., «high-middle SDI»).</w:t>
      </w:r>
    </w:p>
    <w:p>
      <w:pPr>
        <w:pStyle w:val="ListBullet2"/>
      </w:pPr>
      <w:r>
        <w:t>Redactar la definición como «síntomas respiratorios crónicos (disnea, tos, expectoración) y/o exacerbaciones».</w:t>
      </w:r>
    </w:p>
    <w:p>
      <w:pPr>
        <w:pStyle w:val="ListBullet2"/>
      </w:pPr>
      <w:r>
        <w:t>Añadir a la Figure 1.2 una leyenda breve de cada trayectoria.</w:t>
      </w:r>
    </w:p>
    <w:p>
      <w:pPr>
        <w:pStyle w:val="ListBullet"/>
      </w:pPr>
      <w:r>
        <w:rPr>
          <w:b/>
        </w:rPr>
        <w:t>Confianza:</w:t>
      </w:r>
      <w:r>
        <w:t xml:space="preserve"> 5/5</w:t>
      </w:r>
    </w:p>
    <w:p>
      <w:pPr>
        <w:pStyle w:val="Heading4"/>
      </w:pPr>
      <w:r>
        <w:t>EQ-25 · Erratas y atribuciones imprecisas con repercusión en la equidad</w:t>
      </w:r>
    </w:p>
    <w:p>
      <w:r>
        <w:rPr>
          <w:i/>
        </w:rPr>
        <w:t xml:space="preserve">Severidad final: </w:t>
      </w:r>
      <w:r>
        <w:rPr>
          <w:i/>
          <w:color w:val="A6A6A6"/>
        </w:rPr>
        <w:t>⚪</w:t>
      </w:r>
      <w:r>
        <w:rPr>
          <w:i/>
        </w:rPr>
        <w:t xml:space="preserve"> BAJA · Tema T29: Edición, erratas y estructura</w:t>
      </w:r>
    </w:p>
    <w:p>
      <w:pPr>
        <w:pStyle w:val="ListBullet"/>
      </w:pPr>
      <w:r>
        <w:rPr>
          <w:b/>
        </w:rPr>
        <w:t>Tipo:</w:t>
      </w:r>
      <w:r>
        <w:t xml:space="preserve"> Editorial</w:t>
      </w:r>
    </w:p>
    <w:p>
      <w:pPr>
        <w:pStyle w:val="ListBullet"/>
      </w:pPr>
      <w:r>
        <w:rPr>
          <w:b/>
        </w:rPr>
        <w:t>Severidad:</w:t>
      </w:r>
      <w:r>
        <w:t xml:space="preserve"> BAJA</w:t>
      </w:r>
    </w:p>
    <w:p>
      <w:pPr>
        <w:pStyle w:val="ListBullet"/>
      </w:pPr>
      <w:r>
        <w:rPr>
          <w:b/>
        </w:rPr>
        <w:t>Ubicación:</w:t>
      </w:r>
      <w:r>
        <w:t xml:space="preserve"> PDF 19 / impr. 8; PDF 27 / impr. 16; PDF 42 / impr. 31.</w:t>
      </w:r>
    </w:p>
    <w:p>
      <w:pPr>
        <w:pStyle w:val="ListBullet"/>
      </w:pPr>
      <w:r>
        <w:rPr>
          <w:b/>
        </w:rPr>
        <w:t>Cita:</w:t>
      </w:r>
      <w:r>
        <w:t xml:space="preserve"> "a prevalence of 2.7% (2.5 age-standardized prevalence per 100,000)" (PDF 19); "An ATS workshop report(229) has recommended replacing race- and ethnicity-specific equations…" (PDF 27)</w:t>
      </w:r>
    </w:p>
    <w:p>
      <w:pPr>
        <w:pStyle w:val="ListBullet"/>
      </w:pPr>
      <w:r>
        <w:rPr>
          <w:b/>
        </w:rPr>
        <w:t>Problema:</w:t>
      </w:r>
    </w:p>
    <w:p>
      <w:pPr>
        <w:pStyle w:val="ListNumber"/>
        <w:numPr>
          <w:ilvl w:val="0"/>
          <w:numId w:val="49"/>
        </w:numPr>
      </w:pPr>
      <w:r>
        <w:t>Las unidades son incoherentes: 2,5 por 100.000 debería ser aproximadamente 2,5 %, o unos 2.500 por 100.000. Ese mismo párrafo menciona después prevalencias de más de 3.000 por 100.000.</w:t>
      </w:r>
    </w:p>
    <w:p>
      <w:pPr>
        <w:pStyle w:val="ListNumber"/>
        <w:numPr>
          <w:ilvl w:val="0"/>
          <w:numId w:val="49"/>
        </w:numPr>
      </w:pPr>
      <w:r>
        <w:t>La ref. 229 (Bhakta NR et al., 2023) es una declaración oficial de la ATS ("Official ATS Statement"), no un "workshop report". En PDF 42 se usa como prueba del aval "ATS and ERS", aunque la ref. 229 es solo de la ATS. El aval de la ERS a GLI-Global existe, pero requiere su propia fuente.</w:t>
      </w:r>
    </w:p>
    <w:p>
      <w:pPr>
        <w:pStyle w:val="ListBullet"/>
      </w:pPr>
      <w:r>
        <w:rPr>
          <w:b/>
        </w:rPr>
        <w:t>Evidencia/justificación:</w:t>
      </w:r>
      <w:r>
        <w:t xml:space="preserve"> Revisión de la fuente GBD 2021 (ref. 70) y del título de la ref. 229.</w:t>
      </w:r>
    </w:p>
    <w:p>
      <w:pPr>
        <w:pStyle w:val="ListBullet"/>
      </w:pPr>
      <w:r>
        <w:rPr>
          <w:b/>
        </w:rPr>
        <w:t>Recomendación:</w:t>
      </w:r>
      <w:r>
        <w:t xml:space="preserve"> Corregir las unidades. Denominar la ref. 229 como "Official ATS Statement" y añadir la fuente del aval de la ERS.</w:t>
      </w:r>
    </w:p>
    <w:p>
      <w:pPr>
        <w:pStyle w:val="ListBullet"/>
      </w:pPr>
      <w:r>
        <w:rPr>
          <w:b/>
        </w:rPr>
        <w:t>Confianza:</w:t>
      </w:r>
      <w:r>
        <w:t xml:space="preserve"> 4/5</w:t>
      </w:r>
    </w:p>
    <w:p>
      <w:pPr>
        <w:pStyle w:val="Heading4"/>
      </w:pPr>
      <w:r>
        <w:t>EXA-25 · Erratas y terminología</w:t>
      </w:r>
    </w:p>
    <w:p>
      <w:r>
        <w:rPr>
          <w:i/>
        </w:rPr>
        <w:t xml:space="preserve">Severidad final: </w:t>
      </w:r>
      <w:r>
        <w:rPr>
          <w:i/>
          <w:color w:val="A6A6A6"/>
        </w:rPr>
        <w:t>⚪</w:t>
      </w:r>
      <w:r>
        <w:rPr>
          <w:i/>
        </w:rPr>
        <w:t xml:space="preserve"> BAJA · Tema T29: Edición, erratas y estructura</w:t>
      </w:r>
    </w:p>
    <w:p>
      <w:pPr>
        <w:pStyle w:val="ListBullet"/>
      </w:pPr>
      <w:r>
        <w:rPr>
          <w:b/>
        </w:rPr>
        <w:t>Tipo:</w:t>
      </w:r>
      <w:r>
        <w:t xml:space="preserve"> Editorial</w:t>
      </w:r>
    </w:p>
    <w:p>
      <w:pPr>
        <w:pStyle w:val="ListBullet"/>
      </w:pPr>
      <w:r>
        <w:rPr>
          <w:b/>
        </w:rPr>
        <w:t>Severidad:</w:t>
      </w:r>
      <w:r>
        <w:t xml:space="preserve"> BAJA</w:t>
      </w:r>
    </w:p>
    <w:p>
      <w:pPr>
        <w:pStyle w:val="ListBullet"/>
      </w:pPr>
      <w:r>
        <w:rPr>
          <w:b/>
        </w:rPr>
        <w:t>Ubicación:</w:t>
      </w:r>
      <w:r>
        <w:t xml:space="preserve"> PDF 117 (Fig. 4.7), PDF 115-117 y PDF 103/111.</w:t>
      </w:r>
    </w:p>
    <w:p>
      <w:pPr>
        <w:pStyle w:val="ListBullet"/>
      </w:pPr>
      <w:r>
        <w:rPr>
          <w:b/>
        </w:rPr>
        <w:t>Cita:</w:t>
      </w:r>
      <w:r>
        <w:t xml:space="preserve"> "Contraintidaction for NIV"; "cardon dioxide"; "Have these at least two of these symptoms".</w:t>
      </w:r>
    </w:p>
    <w:p>
      <w:pPr>
        <w:pStyle w:val="ListBullet"/>
      </w:pPr>
      <w:r>
        <w:rPr>
          <w:b/>
        </w:rPr>
        <w:t>Problema:</w:t>
      </w:r>
    </w:p>
    <w:p>
      <w:pPr>
        <w:pStyle w:val="ListBullet2"/>
      </w:pPr>
      <w:r>
        <w:t>Erratas en una figura y en el texto.</w:t>
      </w:r>
    </w:p>
    <w:p>
      <w:pPr>
        <w:pStyle w:val="ListBullet2"/>
      </w:pPr>
      <w:r>
        <w:t>Recuperación "up to 4-6 weeks" en los puntos clave frente a "At 8 weeks up to 20% of patients will not have recovered" (PDF 111, ref. 979).</w:t>
      </w:r>
    </w:p>
    <w:p>
      <w:pPr>
        <w:pStyle w:val="ListBullet2"/>
      </w:pPr>
      <w:r>
        <w:t>Uso sistemático de "SaO2" para la saturación medida por pulsioximetría (SpO2), lo que confunde con la saturación arterial por gasometría.</w:t>
      </w:r>
    </w:p>
    <w:p>
      <w:pPr>
        <w:pStyle w:val="ListBullet"/>
      </w:pPr>
      <w:r>
        <w:rPr>
          <w:b/>
        </w:rPr>
        <w:t>Evidencia/justificación:</w:t>
      </w:r>
      <w:r>
        <w:t xml:space="preserve"> Lectura directa.</w:t>
      </w:r>
    </w:p>
    <w:p>
      <w:pPr>
        <w:pStyle w:val="ListBullet"/>
      </w:pPr>
      <w:r>
        <w:rPr>
          <w:b/>
        </w:rPr>
        <w:t>Recomendación:</w:t>
      </w:r>
    </w:p>
    <w:p>
      <w:pPr>
        <w:pStyle w:val="ListBullet2"/>
      </w:pPr>
      <w:r>
        <w:t>Corregir las erratas.</w:t>
      </w:r>
    </w:p>
    <w:p>
      <w:pPr>
        <w:pStyle w:val="ListBullet2"/>
      </w:pPr>
      <w:r>
        <w:t>Armonizar la duración de la recuperación ("hasta 8 semanas o más en ~20 %").</w:t>
      </w:r>
    </w:p>
    <w:p>
      <w:pPr>
        <w:pStyle w:val="ListBullet2"/>
      </w:pPr>
      <w:r>
        <w:t>Usar SpO2 cuando se refiera a la pulsioximetría.</w:t>
      </w:r>
    </w:p>
    <w:p>
      <w:pPr>
        <w:pStyle w:val="ListBullet"/>
      </w:pPr>
      <w:r>
        <w:rPr>
          <w:b/>
        </w:rPr>
        <w:t>Confianza:</w:t>
      </w:r>
      <w:r>
        <w:t xml:space="preserve"> 5/5</w:t>
      </w:r>
    </w:p>
    <w:p>
      <w:pPr>
        <w:pStyle w:val="Heading4"/>
      </w:pPr>
      <w:r>
        <w:t>FARM-24 · Erratas y referencias duplicadas en el ámbito</w:t>
      </w:r>
    </w:p>
    <w:p>
      <w:r>
        <w:rPr>
          <w:i/>
        </w:rPr>
        <w:t xml:space="preserve">Severidad final: </w:t>
      </w:r>
      <w:r>
        <w:rPr>
          <w:i/>
          <w:color w:val="A6A6A6"/>
        </w:rPr>
        <w:t>⚪</w:t>
      </w:r>
      <w:r>
        <w:rPr>
          <w:i/>
        </w:rPr>
        <w:t xml:space="preserve"> BAJA · Tema T29: Edición, erratas y estructura</w:t>
      </w:r>
    </w:p>
    <w:p>
      <w:pPr>
        <w:pStyle w:val="ListBullet"/>
      </w:pPr>
      <w:r>
        <w:rPr>
          <w:b/>
        </w:rPr>
        <w:t>Tipo:</w:t>
      </w:r>
      <w:r>
        <w:t xml:space="preserve"> Editorial</w:t>
      </w:r>
    </w:p>
    <w:p>
      <w:pPr>
        <w:pStyle w:val="ListBullet"/>
      </w:pPr>
      <w:r>
        <w:rPr>
          <w:b/>
        </w:rPr>
        <w:t>Severidad:</w:t>
      </w:r>
      <w:r>
        <w:t xml:space="preserve"> BAJA</w:t>
      </w:r>
    </w:p>
    <w:p>
      <w:pPr>
        <w:pStyle w:val="ListBullet"/>
      </w:pPr>
      <w:r>
        <w:rPr>
          <w:b/>
        </w:rPr>
        <w:t>Ubicación:</w:t>
      </w:r>
      <w:r>
        <w:t xml:space="preserve"> PDF 61 / impr. 50; PDF 70 / impr. 59; PDF 80 / impr. 69; PDF 82 / impr. 71</w:t>
      </w:r>
    </w:p>
    <w:p>
      <w:pPr>
        <w:pStyle w:val="ListBullet"/>
      </w:pPr>
      <w:r>
        <w:rPr>
          <w:b/>
        </w:rPr>
        <w:t>Cita:</w:t>
      </w:r>
    </w:p>
    <w:p>
      <w:pPr>
        <w:pStyle w:val="ListBullet2"/>
      </w:pPr>
      <w:r>
        <w:t>"diptheria" (PDF 61).</w:t>
      </w:r>
    </w:p>
    <w:p>
      <w:pPr>
        <w:pStyle w:val="ListBullet2"/>
      </w:pPr>
      <w:r>
        <w:t>"universally recommended for if" (PDF 70).</w:t>
      </w:r>
    </w:p>
    <w:p>
      <w:pPr>
        <w:pStyle w:val="ListBullet2"/>
      </w:pPr>
      <w:r>
        <w:t>"mainly due to cofounders such as cognitive impairment" (PDF 82).</w:t>
      </w:r>
    </w:p>
    <w:p>
      <w:pPr>
        <w:pStyle w:val="ListBullet2"/>
      </w:pPr>
      <w:r>
        <w:t>"(467,694)" (PDF 80).</w:t>
      </w:r>
    </w:p>
    <w:p>
      <w:pPr>
        <w:pStyle w:val="ListBullet"/>
      </w:pPr>
      <w:r>
        <w:rPr>
          <w:b/>
        </w:rPr>
        <w:t>Problema:</w:t>
      </w:r>
    </w:p>
    <w:p>
      <w:pPr>
        <w:pStyle w:val="ListBullet2"/>
      </w:pPr>
      <w:r>
        <w:t>"diptheria" debe ser "diphtheria".</w:t>
      </w:r>
    </w:p>
    <w:p>
      <w:pPr>
        <w:pStyle w:val="ListBullet2"/>
      </w:pPr>
      <w:r>
        <w:t>"for if" es una errata.</w:t>
      </w:r>
    </w:p>
    <w:p>
      <w:pPr>
        <w:pStyle w:val="ListBullet2"/>
      </w:pPr>
      <w:r>
        <w:t>"cofounders" debe ser "confounders".</w:t>
      </w:r>
    </w:p>
    <w:p>
      <w:pPr>
        <w:pStyle w:val="ListBullet2"/>
      </w:pPr>
      <w:r>
        <w:t>La ref 694 duplica la ref 492 (ETHOS, Rabe NEJM 2020;383:35-48).</w:t>
      </w:r>
    </w:p>
    <w:p>
      <w:pPr>
        <w:pStyle w:val="ListBullet"/>
      </w:pPr>
      <w:r>
        <w:rPr>
          <w:b/>
        </w:rPr>
        <w:t>Evidencia/justificación:</w:t>
      </w:r>
      <w:r>
        <w:t xml:space="preserve"> lista de referencias (entradas 492 y 694 idénticas).</w:t>
      </w:r>
    </w:p>
    <w:p>
      <w:pPr>
        <w:pStyle w:val="ListBullet"/>
      </w:pPr>
      <w:r>
        <w:rPr>
          <w:b/>
        </w:rPr>
        <w:t>Recomendación:</w:t>
      </w:r>
      <w:r>
        <w:t xml:space="preserve"> corregir las erratas y fusionar las referencias duplicadas.</w:t>
      </w:r>
    </w:p>
    <w:p>
      <w:pPr>
        <w:pStyle w:val="ListBullet"/>
      </w:pPr>
      <w:r>
        <w:rPr>
          <w:b/>
        </w:rPr>
        <w:t>Confianza:</w:t>
      </w:r>
      <w:r>
        <w:t xml:space="preserve"> 5/5</w:t>
      </w:r>
    </w:p>
    <w:p>
      <w:pPr>
        <w:pStyle w:val="Heading4"/>
      </w:pPr>
      <w:r>
        <w:t>IA-25 · Erratas y problemas editoriales</w:t>
      </w:r>
    </w:p>
    <w:p>
      <w:r>
        <w:rPr>
          <w:i/>
        </w:rPr>
        <w:t xml:space="preserve">Severidad final: </w:t>
      </w:r>
      <w:r>
        <w:rPr>
          <w:i/>
          <w:color w:val="A6A6A6"/>
        </w:rPr>
        <w:t>⚪</w:t>
      </w:r>
      <w:r>
        <w:rPr>
          <w:i/>
        </w:rPr>
        <w:t xml:space="preserve"> BAJA · Tema T29: Edición, erratas y estructura</w:t>
      </w:r>
    </w:p>
    <w:p>
      <w:pPr>
        <w:pStyle w:val="ListBullet"/>
      </w:pPr>
      <w:r>
        <w:rPr>
          <w:b/>
        </w:rPr>
        <w:t>Tipo:</w:t>
      </w:r>
      <w:r>
        <w:t xml:space="preserve"> Editorial</w:t>
      </w:r>
    </w:p>
    <w:p>
      <w:pPr>
        <w:pStyle w:val="ListBullet"/>
      </w:pPr>
      <w:r>
        <w:rPr>
          <w:b/>
        </w:rPr>
        <w:t>Severidad:</w:t>
      </w:r>
      <w:r>
        <w:t xml:space="preserve"> BAJA</w:t>
      </w:r>
    </w:p>
    <w:p>
      <w:pPr>
        <w:pStyle w:val="ListBullet"/>
      </w:pPr>
      <w:r>
        <w:rPr>
          <w:b/>
        </w:rPr>
        <w:t>Ubicación:</w:t>
      </w:r>
      <w:r>
        <w:t xml:space="preserve"> PDF 142 / impr. 131 (encabezado); PDF 145 / impr. 134; PDF 146 / impr. 135; Apéndices 1-2 (PDF 149-152)</w:t>
      </w:r>
    </w:p>
    <w:p>
      <w:pPr>
        <w:pStyle w:val="ListBullet"/>
      </w:pPr>
      <w:r>
        <w:rPr>
          <w:b/>
        </w:rPr>
        <w:t>Cita:</w:t>
      </w:r>
      <w:r>
        <w:t xml:space="preserve"> "ARTIFICAL INTELLIGENCE IN COPD"; "This is an herculean process"; "such as Merlin extends"</w:t>
      </w:r>
    </w:p>
    <w:p>
      <w:pPr>
        <w:pStyle w:val="ListBullet"/>
      </w:pPr>
      <w:r>
        <w:rPr>
          <w:b/>
        </w:rPr>
        <w:t>Problema:</w:t>
      </w:r>
    </w:p>
    <w:p>
      <w:pPr>
        <w:pStyle w:val="ListBullet2"/>
      </w:pPr>
      <w:r>
        <w:t>Errata en el encabezado: "ARTIFICAL" en lugar de "ARTIFICIAL".</w:t>
      </w:r>
    </w:p>
    <w:p>
      <w:pPr>
        <w:pStyle w:val="ListBullet2"/>
      </w:pPr>
      <w:r>
        <w:t>"An herculean" en lugar de "a Herculean".</w:t>
      </w:r>
    </w:p>
    <w:p>
      <w:pPr>
        <w:pStyle w:val="ListBullet2"/>
      </w:pPr>
      <w:r>
        <w:t>Concordancia: "such as Merlin extends".</w:t>
      </w:r>
    </w:p>
    <w:p>
      <w:pPr>
        <w:pStyle w:val="ListBullet2"/>
      </w:pPr>
      <w:r>
        <w:t>Las abreviaturas FOT, IOS y AOS no se definen en el texto ni en el Apéndice 1.</w:t>
      </w:r>
    </w:p>
    <w:p>
      <w:pPr>
        <w:pStyle w:val="ListBullet2"/>
      </w:pPr>
      <w:r>
        <w:t>La remisión al Apéndice 2 (PDF 146) promete información sobre cómo preparar la visita remota, pero esa información está en el propio Cap. 6 (PDF 147). El Apéndice 2 solo contiene la lista de verificación.</w:t>
      </w:r>
    </w:p>
    <w:p>
      <w:pPr>
        <w:pStyle w:val="ListBullet2"/>
      </w:pPr>
      <w:r>
        <w:t>La lista de verificación del Apéndice 2 conserva ítems de la época COVID ("AIRBORNE VIRUS") sin actualizar.</w:t>
      </w:r>
    </w:p>
    <w:p>
      <w:pPr>
        <w:pStyle w:val="ListBullet"/>
      </w:pPr>
      <w:r>
        <w:rPr>
          <w:b/>
        </w:rPr>
        <w:t>Evidencia/justificación:</w:t>
      </w:r>
      <w:r>
        <w:t xml:space="preserve"> Lectura directa.</w:t>
      </w:r>
    </w:p>
    <w:p>
      <w:pPr>
        <w:pStyle w:val="ListBullet"/>
      </w:pPr>
      <w:r>
        <w:rPr>
          <w:b/>
        </w:rPr>
        <w:t>Recomendación:</w:t>
      </w:r>
      <w:r>
        <w:t xml:space="preserve"> Corregir las erratas, definir las abreviaturas, ajustar la remisión y actualizar la lista de verificación.</w:t>
      </w:r>
    </w:p>
    <w:p>
      <w:pPr>
        <w:pStyle w:val="ListBullet"/>
      </w:pPr>
      <w:r>
        <w:rPr>
          <w:b/>
        </w:rPr>
        <w:t>Confianza:</w:t>
      </w:r>
      <w:r>
        <w:t xml:space="preserve"> 5/5</w:t>
      </w:r>
    </w:p>
    <w:p>
      <w:pPr>
        <w:pStyle w:val="Heading4"/>
      </w:pPr>
      <w:r>
        <w:t>INT-24 · Erratas y problemas editoriales en el ámbito revisado</w:t>
      </w:r>
    </w:p>
    <w:p>
      <w:r>
        <w:rPr>
          <w:i/>
        </w:rPr>
        <w:t xml:space="preserve">Severidad final: </w:t>
      </w:r>
      <w:r>
        <w:rPr>
          <w:i/>
          <w:color w:val="A6A6A6"/>
        </w:rPr>
        <w:t>⚪</w:t>
      </w:r>
      <w:r>
        <w:rPr>
          <w:i/>
        </w:rPr>
        <w:t xml:space="preserve"> BAJA · Tema T29: Edición, erratas y estructura</w:t>
      </w:r>
    </w:p>
    <w:p>
      <w:pPr>
        <w:pStyle w:val="ListBullet"/>
      </w:pPr>
      <w:r>
        <w:rPr>
          <w:b/>
        </w:rPr>
        <w:t>Tipo:</w:t>
      </w:r>
      <w:r>
        <w:t xml:space="preserve"> Editorial</w:t>
      </w:r>
    </w:p>
    <w:p>
      <w:pPr>
        <w:pStyle w:val="ListBullet"/>
      </w:pPr>
      <w:r>
        <w:rPr>
          <w:b/>
        </w:rPr>
        <w:t>Severidad:</w:t>
      </w:r>
      <w:r>
        <w:t xml:space="preserve"> BAJA</w:t>
      </w:r>
    </w:p>
    <w:p>
      <w:pPr>
        <w:pStyle w:val="ListBullet"/>
      </w:pPr>
      <w:r>
        <w:rPr>
          <w:b/>
        </w:rPr>
        <w:t>Ubicación:</w:t>
      </w:r>
      <w:r>
        <w:t xml:space="preserve"> PDF 90, 91, 96, 97, 98, 100, 101 / impr. 79, 80, 85, 86, 87, 89, 90</w:t>
      </w:r>
    </w:p>
    <w:p>
      <w:pPr>
        <w:pStyle w:val="ListBullet"/>
      </w:pPr>
      <w:r>
        <w:rPr>
          <w:b/>
        </w:rPr>
        <w:t>Cita:</w:t>
      </w:r>
      <w:r>
        <w:t xml:space="preserve"> "exacerbations, , and those with lower FEV1"</w:t>
      </w:r>
    </w:p>
    <w:p>
      <w:pPr>
        <w:pStyle w:val="ListBullet"/>
      </w:pPr>
      <w:r>
        <w:rPr>
          <w:b/>
        </w:rPr>
        <w:t>Problema:</w:t>
      </w:r>
    </w:p>
    <w:p>
      <w:pPr>
        <w:pStyle w:val="ListBullet2"/>
      </w:pPr>
      <w:r>
        <w:rPr>
          <w:b/>
        </w:rPr>
        <w:t>PDF 90:</w:t>
      </w:r>
      <w:r>
        <w:t xml:space="preserve"> doble coma, que sugiere texto eliminado.</w:t>
      </w:r>
    </w:p>
    <w:p>
      <w:pPr>
        <w:pStyle w:val="ListBullet2"/>
      </w:pPr>
      <w:r>
        <w:rPr>
          <w:b/>
        </w:rPr>
        <w:t>Fig. 3.19, PDF 91:</w:t>
      </w:r>
      <w:r>
        <w:t xml:space="preserve"> «Kohlein» en lugar de Köhnlein. La HR del tabaquismo está orientada al revés que el resto de filas (control frente a intervención, 1,18).</w:t>
      </w:r>
    </w:p>
    <w:p>
      <w:pPr>
        <w:pStyle w:val="ListBullet2"/>
      </w:pPr>
      <w:r>
        <w:rPr>
          <w:b/>
        </w:rPr>
        <w:t>Fig. 3.21, PDF 96:</w:t>
      </w:r>
      <w:r>
        <w:t xml:space="preserve"> «Tracheobronchomalcia».</w:t>
      </w:r>
    </w:p>
    <w:p>
      <w:pPr>
        <w:pStyle w:val="ListBullet2"/>
      </w:pPr>
      <w:r>
        <w:rPr>
          <w:b/>
        </w:rPr>
        <w:t>Fig. 3.22, PDF 97:</w:t>
      </w:r>
      <w:r>
        <w:t xml:space="preserve"> «upper-lobe and low…», falta «emphysema».</w:t>
      </w:r>
    </w:p>
    <w:p>
      <w:pPr>
        <w:pStyle w:val="ListBullet2"/>
      </w:pPr>
      <w:r>
        <w:rPr>
          <w:b/>
        </w:rPr>
        <w:t>PDF 98:</w:t>
      </w:r>
      <w:r>
        <w:t xml:space="preserve"> el recuadro titulado «Lung volume reduction surgery» incluye también bullectomía y trasplante.</w:t>
      </w:r>
    </w:p>
    <w:p>
      <w:pPr>
        <w:pStyle w:val="ListBullet2"/>
      </w:pPr>
      <w:r>
        <w:rPr>
          <w:b/>
        </w:rPr>
        <w:t>PDF 100:</w:t>
      </w:r>
      <w:r>
        <w:t xml:space="preserve"> «medial therapy».</w:t>
      </w:r>
    </w:p>
    <w:p>
      <w:pPr>
        <w:pStyle w:val="ListBullet2"/>
      </w:pPr>
      <w:r>
        <w:rPr>
          <w:b/>
        </w:rPr>
        <w:t>PDF 101:</w:t>
      </w:r>
      <w:r>
        <w:t xml:space="preserve"> «Commons symptoms».</w:t>
      </w:r>
    </w:p>
    <w:p>
      <w:pPr>
        <w:pStyle w:val="ListBullet"/>
      </w:pPr>
      <w:r>
        <w:rPr>
          <w:b/>
        </w:rPr>
        <w:t>Evidencia/justificación:</w:t>
      </w:r>
      <w:r>
        <w:t xml:space="preserve"> Lectura directa del texto y de las PNG.</w:t>
      </w:r>
    </w:p>
    <w:p>
      <w:pPr>
        <w:pStyle w:val="ListBullet"/>
      </w:pPr>
      <w:r>
        <w:rPr>
          <w:b/>
        </w:rPr>
        <w:t>Recomendación:</w:t>
      </w:r>
      <w:r>
        <w:t xml:space="preserve"> Corrección editorial. Retitular el recuadro de la PDF 98 como «Interventional and surgical therapy – key points» e invertir la HR del tabaquismo (intervención frente a control ≈ 0,85) para que sea coherente con el resto de la tabla.</w:t>
      </w:r>
    </w:p>
    <w:p>
      <w:pPr>
        <w:pStyle w:val="ListBullet"/>
      </w:pPr>
      <w:r>
        <w:rPr>
          <w:b/>
        </w:rPr>
        <w:t>Confianza:</w:t>
      </w:r>
      <w:r>
        <w:t xml:space="preserve"> 5/5</w:t>
      </w:r>
    </w:p>
    <w:p>
      <w:pPr>
        <w:pStyle w:val="Heading4"/>
      </w:pPr>
      <w:r>
        <w:t>REH-24 · Erratas y duplicaciones en el ámbito revisado</w:t>
      </w:r>
    </w:p>
    <w:p>
      <w:r>
        <w:rPr>
          <w:i/>
        </w:rPr>
        <w:t xml:space="preserve">Severidad final: </w:t>
      </w:r>
      <w:r>
        <w:rPr>
          <w:i/>
          <w:color w:val="A6A6A6"/>
        </w:rPr>
        <w:t>⚪</w:t>
      </w:r>
      <w:r>
        <w:rPr>
          <w:i/>
        </w:rPr>
        <w:t xml:space="preserve"> BAJA · Tema T29: Edición, erratas y estructura</w:t>
      </w:r>
    </w:p>
    <w:p>
      <w:pPr>
        <w:pStyle w:val="ListBullet"/>
      </w:pPr>
      <w:r>
        <w:rPr>
          <w:b/>
        </w:rPr>
        <w:t>Tipo:</w:t>
      </w:r>
      <w:r>
        <w:t xml:space="preserve"> Editorial</w:t>
      </w:r>
    </w:p>
    <w:p>
      <w:pPr>
        <w:pStyle w:val="ListBullet"/>
      </w:pPr>
      <w:r>
        <w:rPr>
          <w:b/>
        </w:rPr>
        <w:t>Severidad:</w:t>
      </w:r>
      <w:r>
        <w:t xml:space="preserve"> BAJA</w:t>
      </w:r>
    </w:p>
    <w:p>
      <w:pPr>
        <w:pStyle w:val="ListBullet"/>
      </w:pPr>
      <w:r>
        <w:rPr>
          <w:b/>
        </w:rPr>
        <w:t>Ubicación:</w:t>
      </w:r>
      <w:r>
        <w:t xml:space="preserve"> PDF 86, 89, 90, 91, 117, 169, 171 y 174.</w:t>
      </w:r>
    </w:p>
    <w:p>
      <w:pPr>
        <w:pStyle w:val="ListBullet"/>
      </w:pPr>
      <w:r>
        <w:rPr>
          <w:b/>
        </w:rPr>
        <w:t>Cita:</w:t>
      </w:r>
      <w:r>
        <w:t xml:space="preserve"> «complimented» (PDF 86, por «complemented»); «exacerbations, , and» (PDF 90); «self-management invention group» (PDF 169, por «intervention»); «this not consistently translate» (PDF 171); «ventilator inefficiency» (PDF 174, por «ventilatory»); «cardon dioxide» (PDF 117); párrafo de CPAP duplicado (PDF 89); «Kohlein» (Figura 3.19, PDF 91).</w:t>
      </w:r>
    </w:p>
    <w:p>
      <w:pPr>
        <w:pStyle w:val="ListBullet"/>
      </w:pPr>
      <w:r>
        <w:rPr>
          <w:b/>
        </w:rPr>
        <w:t>Problema:</w:t>
      </w:r>
      <w:r>
        <w:t xml:space="preserve"> Errores de edición que restan credibilidad. El de «invention» cambia el sentido de la frase.</w:t>
      </w:r>
    </w:p>
    <w:p>
      <w:pPr>
        <w:pStyle w:val="ListBullet"/>
      </w:pPr>
      <w:r>
        <w:rPr>
          <w:b/>
        </w:rPr>
        <w:t>Evidencia/justificación:</w:t>
      </w:r>
      <w:r>
        <w:t xml:space="preserve"> Lectura directa del texto.</w:t>
      </w:r>
    </w:p>
    <w:p>
      <w:pPr>
        <w:pStyle w:val="ListBullet"/>
      </w:pPr>
      <w:r>
        <w:rPr>
          <w:b/>
        </w:rPr>
        <w:t>Recomendación:</w:t>
      </w:r>
      <w:r>
        <w:t xml:space="preserve"> Corrección editorial en la próxima versión.</w:t>
      </w:r>
    </w:p>
    <w:p>
      <w:pPr>
        <w:pStyle w:val="ListBullet"/>
      </w:pPr>
      <w:r>
        <w:rPr>
          <w:b/>
        </w:rPr>
        <w:t>Confianza:</w:t>
      </w:r>
      <w:r>
        <w:t xml:space="preserve"> 5/5</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 w:numId="26">
    <w:abstractNumId w:val="7"/>
    <w:lvlOverride w:ilvl="0">
      <w:startOverride w:val="1"/>
    </w:lvlOverride>
  </w:num>
  <w:num w:numId="27">
    <w:abstractNumId w:val="7"/>
    <w:lvlOverride w:ilvl="0">
      <w:startOverride w:val="1"/>
    </w:lvlOverride>
  </w:num>
  <w:num w:numId="28">
    <w:abstractNumId w:val="7"/>
    <w:lvlOverride w:ilvl="0">
      <w:startOverride w:val="1"/>
    </w:lvlOverride>
  </w:num>
  <w:num w:numId="29">
    <w:abstractNumId w:val="7"/>
    <w:lvlOverride w:ilvl="0">
      <w:startOverride w:val="1"/>
    </w:lvlOverride>
  </w:num>
  <w:num w:numId="30">
    <w:abstractNumId w:val="7"/>
    <w:lvlOverride w:ilvl="0">
      <w:startOverride w:val="1"/>
    </w:lvlOverride>
  </w:num>
  <w:num w:numId="31">
    <w:abstractNumId w:val="7"/>
    <w:lvlOverride w:ilvl="0">
      <w:startOverride w:val="1"/>
    </w:lvlOverride>
  </w:num>
  <w:num w:numId="32">
    <w:abstractNumId w:val="7"/>
    <w:lvlOverride w:ilvl="0">
      <w:startOverride w:val="1"/>
    </w:lvlOverride>
  </w:num>
  <w:num w:numId="33">
    <w:abstractNumId w:val="7"/>
    <w:lvlOverride w:ilvl="0">
      <w:startOverride w:val="1"/>
    </w:lvlOverride>
  </w:num>
  <w:num w:numId="34">
    <w:abstractNumId w:val="7"/>
    <w:lvlOverride w:ilvl="0">
      <w:startOverride w:val="1"/>
    </w:lvlOverride>
  </w:num>
  <w:num w:numId="35">
    <w:abstractNumId w:val="7"/>
    <w:lvlOverride w:ilvl="0">
      <w:startOverride w:val="1"/>
    </w:lvlOverride>
  </w:num>
  <w:num w:numId="36">
    <w:abstractNumId w:val="7"/>
    <w:lvlOverride w:ilvl="0">
      <w:startOverride w:val="1"/>
    </w:lvlOverride>
  </w:num>
  <w:num w:numId="37">
    <w:abstractNumId w:val="7"/>
    <w:lvlOverride w:ilvl="0">
      <w:startOverride w:val="1"/>
    </w:lvlOverride>
  </w:num>
  <w:num w:numId="38">
    <w:abstractNumId w:val="7"/>
    <w:lvlOverride w:ilvl="0">
      <w:startOverride w:val="1"/>
    </w:lvlOverride>
  </w:num>
  <w:num w:numId="39">
    <w:abstractNumId w:val="7"/>
    <w:lvlOverride w:ilvl="0">
      <w:startOverride w:val="1"/>
    </w:lvlOverride>
  </w:num>
  <w:num w:numId="40">
    <w:abstractNumId w:val="7"/>
    <w:lvlOverride w:ilvl="0">
      <w:startOverride w:val="1"/>
    </w:lvlOverride>
  </w:num>
  <w:num w:numId="41">
    <w:abstractNumId w:val="7"/>
    <w:lvlOverride w:ilvl="0">
      <w:startOverride w:val="1"/>
    </w:lvlOverride>
  </w:num>
  <w:num w:numId="42">
    <w:abstractNumId w:val="7"/>
    <w:lvlOverride w:ilvl="0">
      <w:startOverride w:val="1"/>
    </w:lvlOverride>
  </w:num>
  <w:num w:numId="43">
    <w:abstractNumId w:val="7"/>
    <w:lvlOverride w:ilvl="0">
      <w:startOverride w:val="1"/>
    </w:lvlOverride>
  </w:num>
  <w:num w:numId="44">
    <w:abstractNumId w:val="7"/>
    <w:lvlOverride w:ilvl="0">
      <w:startOverride w:val="1"/>
    </w:lvlOverride>
  </w:num>
  <w:num w:numId="45">
    <w:abstractNumId w:val="7"/>
    <w:lvlOverride w:ilvl="0">
      <w:startOverride w:val="1"/>
    </w:lvlOverride>
  </w:num>
  <w:num w:numId="46">
    <w:abstractNumId w:val="7"/>
    <w:lvlOverride w:ilvl="0">
      <w:startOverride w:val="1"/>
    </w:lvlOverride>
  </w:num>
  <w:num w:numId="47">
    <w:abstractNumId w:val="7"/>
    <w:lvlOverride w:ilvl="0">
      <w:startOverride w:val="1"/>
    </w:lvlOverride>
  </w:num>
  <w:num w:numId="48">
    <w:abstractNumId w:val="7"/>
    <w:lvlOverride w:ilvl="0">
      <w:startOverride w:val="1"/>
    </w:lvlOverride>
  </w:num>
  <w:num w:numId="49">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