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crítica multidisciplinar del informe GOLD 2026 — Anexo B</w:t>
      </w:r>
    </w:p>
    <w:p>
      <w:pPr>
        <w:pStyle w:val="Heading2"/>
      </w:pPr>
      <w:r>
        <w:t>Anexo B. Fichas detalladas de los hallazgos, de mayor a menor gravedad</w:t>
      </w:r>
    </w:p>
    <w:p>
      <w:r>
        <w:t>Texto de cada ficha tal como la redactó el agente especialista. Las fichas se agrupan por severidad final (críticos → altos → medios → bajos) y, dentro de cada nivel, por tema. Cuando la verificación independiente corrigió o matizó un hallazgo, la nota aparece al principio de la ficha.</w:t>
      </w:r>
    </w:p>
    <w:p>
      <w:pPr>
        <w:pStyle w:val="Heading3"/>
      </w:pPr>
      <w:r>
        <w:rPr>
          <w:color w:val="C00000"/>
        </w:rPr>
        <w:t>🔴</w:t>
      </w:r>
      <w:r>
        <w:t xml:space="preserve"> Hallazgos críticos (2)</w:t>
      </w:r>
    </w:p>
    <w:p>
      <w:pPr>
        <w:pStyle w:val="Heading4"/>
      </w:pPr>
      <w:r>
        <w:t>EXA-01 · Ausencia de objetivo de saturación (88-92 %) y de pautas de oxigenoterapia controlada</w:t>
      </w:r>
    </w:p>
    <w:p>
      <w:r>
        <w:rPr>
          <w:i/>
        </w:rPr>
        <w:t xml:space="preserve">Severidad final: </w:t>
      </w:r>
      <w:r>
        <w:rPr>
          <w:i/>
          <w:color w:val="C00000"/>
        </w:rPr>
        <w:t>🔴</w:t>
      </w:r>
      <w:r>
        <w:rPr>
          <w:i/>
        </w:rPr>
        <w:t xml:space="preserve"> CRÍTICA · Tema T01: Oxigenoterapia en la exacerbación y umbrales de SpO2</w:t>
      </w:r>
    </w:p>
    <w:p>
      <w:pPr>
        <w:pStyle w:val="IntenseQuote"/>
      </w:pPr>
      <w:r>
        <w:rPr>
          <w:b/>
        </w:rPr>
        <w:t>Verificación independiente (CONFIRMADO):</w:t>
      </w:r>
      <w:r>
        <w:t xml:space="preserve"> Verificado por el coordinador: no hay ninguna mención a «88-92 %» ni a un objetivo de SpO2 en el cap. 4 (búsqueda en el texto completo), y la Fig 4.5 (imagen, PDF 113) no contiene ninguna línea de O2 controlado.</w:t>
      </w:r>
    </w:p>
    <w:p>
      <w:pPr>
        <w:pStyle w:val="ListBullet"/>
      </w:pPr>
      <w:r>
        <w:rPr>
          <w:b/>
        </w:rPr>
        <w:t>Tipo:</w:t>
      </w:r>
      <w:r>
        <w:t xml:space="preserve"> Omisión</w:t>
      </w:r>
    </w:p>
    <w:p>
      <w:pPr>
        <w:pStyle w:val="ListBullet"/>
      </w:pPr>
      <w:r>
        <w:rPr>
          <w:b/>
        </w:rPr>
        <w:t>Severidad:</w:t>
      </w:r>
      <w:r>
        <w:t xml:space="preserve"> CRÍTICA</w:t>
      </w:r>
    </w:p>
    <w:p>
      <w:pPr>
        <w:pStyle w:val="ListBullet"/>
      </w:pPr>
      <w:r>
        <w:rPr>
          <w:b/>
        </w:rPr>
        <w:t>Ubicación:</w:t>
      </w:r>
    </w:p>
    <w:p>
      <w:pPr>
        <w:pStyle w:val="ListBullet2"/>
      </w:pPr>
      <w:r>
        <w:t>PDF 112 / impr. 101 — "Hospitalization", texto.</w:t>
      </w:r>
    </w:p>
    <w:p>
      <w:pPr>
        <w:pStyle w:val="ListBullet2"/>
      </w:pPr>
      <w:r>
        <w:t>PDF 113 / impr. 102 — Fig. 4.5.</w:t>
      </w:r>
    </w:p>
    <w:p>
      <w:pPr>
        <w:pStyle w:val="ListBullet2"/>
      </w:pPr>
      <w:r>
        <w:t>PDF 116-117 / impr. 105-106 — epígrafe "Oxygen therapy".</w:t>
      </w:r>
    </w:p>
    <w:p>
      <w:pPr>
        <w:pStyle w:val="ListBullet"/>
      </w:pPr>
      <w:r>
        <w:rPr>
          <w:b/>
        </w:rPr>
        <w:t>Cita:</w:t>
      </w:r>
      <w:r>
        <w:t xml:space="preserve"> "if hypoxemic they should be started on controlled oxygen therapy" (PDF 112). En la Fig. 4.5, la única línea sobre oxígeno es: "Consider high flow oxygen (HFNT) or noninvasive ventilation (NIV)".</w:t>
      </w:r>
    </w:p>
    <w:p>
      <w:pPr>
        <w:pStyle w:val="ListBullet"/>
      </w:pPr>
      <w:r>
        <w:rPr>
          <w:b/>
        </w:rPr>
        <w:t>Problema:</w:t>
      </w:r>
    </w:p>
    <w:p>
      <w:pPr>
        <w:pStyle w:val="ListBullet2"/>
      </w:pPr>
      <w:r>
        <w:t>En todo el documento no figura ningún objetivo de SpO2/SaO2 (88-92 %) para la exacerbación, ni el dispositivo de titulación (Venturi o cánulas a bajo flujo), ni la gasometría de control a los 30-60 min tras iniciar el O2.</w:t>
      </w:r>
    </w:p>
    <w:p>
      <w:pPr>
        <w:pStyle w:val="ListBullet2"/>
      </w:pPr>
      <w:r>
        <w:t>El epígrafe "Oxygen therapy" se dedica íntegramente a la HFNT. La Fig. 4.5 ("Management of Severe but not Life-threatening Exacerbations") no tiene ninguna línea de oxigenoterapia convencional.</w:t>
      </w:r>
    </w:p>
    <w:p>
      <w:pPr>
        <w:pStyle w:val="ListBullet2"/>
      </w:pPr>
      <w:r>
        <w:t>Un clínico de urgencias o de ambulancia que use esta guía no tiene ninguna salvaguarda frente a la hiperoxia.</w:t>
      </w:r>
    </w:p>
    <w:p>
      <w:pPr>
        <w:pStyle w:val="ListBullet"/>
      </w:pPr>
      <w:r>
        <w:rPr>
          <w:b/>
        </w:rPr>
        <w:t>Evidencia/justificación:</w:t>
      </w:r>
    </w:p>
    <w:p>
      <w:pPr>
        <w:pStyle w:val="ListBullet2"/>
      </w:pPr>
      <w:r>
        <w:t>En el ensayo aleatorizado prehospitalario de Austin et al. (BMJ 2010;341:c5462, doi:10.1136/bmj.c5462), la oxigenoterapia titulada a 88-92 % frente a O2 a alto flujo redujo la mortalidad (RR 0,42; RR 0,22 en EPOC confirmada).</w:t>
      </w:r>
    </w:p>
    <w:p>
      <w:pPr>
        <w:pStyle w:val="ListBullet2"/>
      </w:pPr>
      <w:r>
        <w:t>Recomiendan ese objetivo, entre otras:</w:t>
      </w:r>
    </w:p>
    <w:p>
      <w:pPr>
        <w:pStyle w:val="ListBullet2"/>
      </w:pPr>
      <w:r>
        <w:t>BTS 2017 (O'Driscoll, Thorax 2017;72 Suppl 1:ii1-90).</w:t>
      </w:r>
    </w:p>
    <w:p>
      <w:pPr>
        <w:pStyle w:val="ListBullet2"/>
      </w:pPr>
      <w:r>
        <w:t>TSANZ 2015 (Beasley, Respirology 2015;20:1182-91).</w:t>
      </w:r>
    </w:p>
    <w:p>
      <w:pPr>
        <w:pStyle w:val="ListBullet2"/>
      </w:pPr>
      <w:r>
        <w:t>BTS/ICS 2016 sobre insuficiencia respiratoria hipercápnica (Davidson, Thorax 2016;71 Suppl 2:ii1-35).</w:t>
      </w:r>
    </w:p>
    <w:p>
      <w:pPr>
        <w:pStyle w:val="ListBullet2"/>
      </w:pPr>
      <w:r>
        <w:t>Ediciones previas de GOLD incluían "target saturation of 88-92 %" (recuerdo de ediciones anteriores; no verificado en este documento).</w:t>
      </w:r>
    </w:p>
    <w:p>
      <w:pPr>
        <w:pStyle w:val="ListBullet"/>
      </w:pPr>
      <w:r>
        <w:rPr>
          <w:b/>
        </w:rPr>
        <w:t>Recomendación:</w:t>
      </w:r>
    </w:p>
    <w:p>
      <w:pPr>
        <w:pStyle w:val="ListBullet2"/>
      </w:pPr>
      <w:r>
        <w:t>Añadir al texto (PDF 112 y 116) y a las Fig. 4.5 y 4.6 una línea explícita: "Oxígeno controlado titulado a SpO2 88-92 % (Venturi 24-28 % o cánulas nasales 1-2 L/min); gasometría arterial o venosa a los 30-60 min; evitar la hiperoxia, también en el traslado".</w:t>
      </w:r>
    </w:p>
    <w:p>
      <w:pPr>
        <w:pStyle w:val="ListBullet2"/>
      </w:pPr>
      <w:r>
        <w:t>Asignarle nivel de evidencia (B según el ensayo de Austin).</w:t>
      </w:r>
    </w:p>
    <w:p>
      <w:pPr>
        <w:pStyle w:val="ListBullet"/>
      </w:pPr>
      <w:r>
        <w:rPr>
          <w:b/>
        </w:rPr>
        <w:t>Confianza:</w:t>
      </w:r>
      <w:r>
        <w:t xml:space="preserve"> 5/5</w:t>
      </w:r>
    </w:p>
    <w:p>
      <w:pPr>
        <w:pStyle w:val="Heading4"/>
      </w:pPr>
      <w:r>
        <w:t>MUL-02 · FA: afirmar que «no hay contraindicación» para ningún antiarrítmico ni betabloqueante es peligroso</w:t>
      </w:r>
    </w:p>
    <w:p>
      <w:r>
        <w:rPr>
          <w:i/>
        </w:rPr>
        <w:t xml:space="preserve">Severidad final: </w:t>
      </w:r>
      <w:r>
        <w:rPr>
          <w:i/>
          <w:color w:val="C00000"/>
        </w:rPr>
        <w:t>🔴</w:t>
      </w:r>
      <w:r>
        <w:rPr>
          <w:i/>
        </w:rPr>
        <w:t xml:space="preserve"> CRÍTICA · Tema T04: Fibrilación auricular y fármacos antiarrítmicos</w:t>
      </w:r>
    </w:p>
    <w:p>
      <w:pPr>
        <w:pStyle w:val="IntenseQuote"/>
      </w:pPr>
      <w:r>
        <w:rPr>
          <w:b/>
        </w:rPr>
        <w:t>Verificación independiente (CONFIRMADO):</w:t>
      </w:r>
      <w:r>
        <w:t xml:space="preserve"> Sustituir la frase por: "Preferir β1-selectivos (bisoprolol, metoprolol, nebivolol) o diltiazem/verapamilo si FEVI &gt;40 %. Evitar betabloqueantes no selectivos y sotalol si hay broncoespasmo. Propafenona contraindicada en EPOC grave/broncoespasmo. Adenosina contraindicada en enfermedad broncoespástica. Vigilar la toxicidad pulmonar de la amiodarona." Citar la ESC 2024 y la §10.12 de ACC/AHA 2023. | Decisión del coordinador: se mantiene CRÍTICA (el verificador propuso ALTA pero considera CRÍTICA «defendible» en urgencias): la afirmación puede inducir el uso de adenosina, sotalol, propafenona o betabloqueantes no selectivos en broncoespasmo, contraindicados en ficha técnica.</w:t>
      </w:r>
    </w:p>
    <w:p>
      <w:pPr>
        <w:pStyle w:val="ListBullet"/>
      </w:pPr>
      <w:r>
        <w:rPr>
          <w:b/>
        </w:rPr>
        <w:t>Tipo:</w:t>
      </w:r>
      <w:r>
        <w:t xml:space="preserve"> Error factual</w:t>
      </w:r>
    </w:p>
    <w:p>
      <w:pPr>
        <w:pStyle w:val="ListBullet"/>
      </w:pPr>
      <w:r>
        <w:rPr>
          <w:b/>
        </w:rPr>
        <w:t>Severidad:</w:t>
      </w:r>
      <w:r>
        <w:t xml:space="preserve"> CRÍTICA</w:t>
      </w:r>
    </w:p>
    <w:p>
      <w:pPr>
        <w:pStyle w:val="ListBullet"/>
      </w:pPr>
      <w:r>
        <w:rPr>
          <w:b/>
        </w:rPr>
        <w:t>Ubicación:</w:t>
      </w:r>
      <w:r>
        <w:t xml:space="preserve"> PDF 128 / impr. 117 — Cardiovascular, Arrhythmias</w:t>
      </w:r>
    </w:p>
    <w:p>
      <w:pPr>
        <w:pStyle w:val="ListBullet"/>
      </w:pPr>
      <w:r>
        <w:rPr>
          <w:b/>
        </w:rPr>
        <w:t>Cita:</w:t>
      </w:r>
      <w:r>
        <w:t xml:space="preserve"> "There is no contraindication to any specific rate or rhythm control medication or strategy in patients with COPD, including beta-blockers."</w:t>
      </w:r>
    </w:p>
    <w:p>
      <w:pPr>
        <w:pStyle w:val="ListBullet"/>
      </w:pPr>
      <w:r>
        <w:rPr>
          <w:b/>
        </w:rPr>
        <w:t>Problema:</w:t>
      </w:r>
      <w:r>
        <w:t xml:space="preserve"> La afirmación es categórica e incorrecta. Puede llevar a usar betabloqueantes no selectivos (propranolol, sotalol), propafenona o adenosina en pacientes con broncoespasmo. Tampoco advierte de la toxicidad pulmonar de la amiodarona, que es relevante en un pulmón con reserva reducida. Además, se presenta la anticoagulación como «cornerstone» universal, sin estratificar el riesgo.</w:t>
      </w:r>
    </w:p>
    <w:p>
      <w:pPr>
        <w:pStyle w:val="ListBullet"/>
      </w:pPr>
      <w:r>
        <w:rPr>
          <w:b/>
        </w:rPr>
        <w:t>Evidencia/justificación:</w:t>
      </w:r>
    </w:p>
    <w:p>
      <w:pPr>
        <w:pStyle w:val="ListBullet2"/>
      </w:pPr>
      <w:r>
        <w:t>La guía ESC 2020 de FA (Hindricks G, Eur Heart J 2021;42:373) aconseja en la EPOC betabloqueantes β1-selectivos (o antagonistas del calcio no dihidropiridínicos) y evitar los betabloqueantes no selectivos, el sotalol, la propafenona y la adenosina si hay broncoespasmo significativo.</w:t>
      </w:r>
    </w:p>
    <w:p>
      <w:pPr>
        <w:pStyle w:val="ListBullet2"/>
      </w:pPr>
      <w:r>
        <w:t>La ESC 2024 de FA (Van Gelder IC, Eur Heart J 2024;45:3314; doi:10.1093/eurheartj/ehae176), que no se cita, introduce el enfoque AF-CARE y la escala CHA₂DS₂-VA: la anticoagulación se decide según el riesgo tromboembólico, no en todos los pacientes.</w:t>
      </w:r>
    </w:p>
    <w:p>
      <w:pPr>
        <w:pStyle w:val="ListBullet2"/>
      </w:pPr>
      <w:r>
        <w:t>El Apéndice 3 (PDF 164 / impr. 153) solo respalda los β1-selectivos (metoprolol y bisoprolol).</w:t>
      </w:r>
    </w:p>
    <w:p>
      <w:pPr>
        <w:pStyle w:val="ListBullet2"/>
      </w:pPr>
      <w:r>
        <w:t>El texto solo cita la guía ACC/AHA/ACCP/HRS 2023 (ref. 1171).</w:t>
      </w:r>
    </w:p>
    <w:p>
      <w:pPr>
        <w:pStyle w:val="ListBullet"/>
      </w:pPr>
      <w:r>
        <w:rPr>
          <w:b/>
        </w:rPr>
        <w:t>Recomendación:</w:t>
      </w:r>
    </w:p>
    <w:p>
      <w:pPr>
        <w:pStyle w:val="ListBullet2"/>
      </w:pPr>
      <w:r>
        <w:t>Reescribir así: «Preferir betabloqueantes β1-selectivos (bisoprolol, metoprolol, nebivolol) o antagonistas del calcio no dihidropiridínicos para el control de frecuencia. Evitar betabloqueantes no selectivos, sotalol, propafenona y adenosina si hay broncoespasmo. Vigilar la toxicidad pulmonar de la amiodarona. Indicar anticoagulación según CHA₂DS₂-VA (ESC 2024) o CHA₂DS₂-VASc (ACC/AHA 2023)».</w:t>
      </w:r>
    </w:p>
    <w:p>
      <w:pPr>
        <w:pStyle w:val="ListBullet2"/>
      </w:pPr>
      <w:r>
        <w:t>Añadir «palpitaciones» como indicación de Holter.</w:t>
      </w:r>
    </w:p>
    <w:p>
      <w:pPr>
        <w:pStyle w:val="ListBullet"/>
      </w:pPr>
      <w:r>
        <w:rPr>
          <w:b/>
        </w:rPr>
        <w:t>Confianza:</w:t>
      </w:r>
      <w:r>
        <w:t xml:space="preserve"> 4/5</w:t>
      </w:r>
    </w:p>
    <w:p>
      <w:pPr>
        <w:pStyle w:val="Heading3"/>
      </w:pPr>
      <w:r>
        <w:rPr>
          <w:color w:val="ED7D31"/>
        </w:rPr>
        <w:t>🟠</w:t>
      </w:r>
      <w:r>
        <w:t xml:space="preserve"> Hallazgos de severidad alta (78)</w:t>
      </w:r>
    </w:p>
    <w:p>
      <w:pPr>
        <w:pStyle w:val="Heading4"/>
      </w:pPr>
      <w:r>
        <w:t>COH-06 · Desaparece el objetivo de SpO2 88-92 % en la exacerbación y los umbrales de saturación están dispersos</w:t>
      </w:r>
    </w:p>
    <w:p>
      <w:r>
        <w:rPr>
          <w:i/>
        </w:rPr>
        <w:t xml:space="preserve">Severidad final: </w:t>
      </w:r>
      <w:r>
        <w:rPr>
          <w:i/>
          <w:color w:val="ED7D31"/>
        </w:rPr>
        <w:t>🟠</w:t>
      </w:r>
      <w:r>
        <w:rPr>
          <w:i/>
        </w:rPr>
        <w:t xml:space="preserve"> ALTA · Tema T01: Oxigenoterapia en la exacerbación y umbrales de SpO2</w:t>
      </w:r>
    </w:p>
    <w:p>
      <w:pPr>
        <w:pStyle w:val="IntenseQuote"/>
      </w:pPr>
      <w:r>
        <w:rPr>
          <w:b/>
        </w:rPr>
        <w:t>Verificación independiente (CONFIRMADO):</w:t>
      </w:r>
      <w:r>
        <w:t xml:space="preserve"> Verificado por el coordinador (véase EXA-01).</w:t>
      </w:r>
    </w:p>
    <w:p>
      <w:pPr>
        <w:pStyle w:val="ListBullet"/>
      </w:pPr>
      <w:r>
        <w:rPr>
          <w:b/>
        </w:rPr>
        <w:t>Tipo:</w:t>
      </w:r>
      <w:r>
        <w:t xml:space="preserve"> Omisión / incoherencia de parámetros</w:t>
      </w:r>
    </w:p>
    <w:p>
      <w:pPr>
        <w:pStyle w:val="ListBullet"/>
      </w:pPr>
      <w:r>
        <w:rPr>
          <w:b/>
        </w:rPr>
        <w:t>Severidad:</w:t>
      </w:r>
      <w:r>
        <w:t xml:space="preserve"> ALTA</w:t>
      </w:r>
    </w:p>
    <w:p>
      <w:pPr>
        <w:pStyle w:val="ListBullet"/>
      </w:pPr>
      <w:r>
        <w:rPr>
          <w:b/>
        </w:rPr>
        <w:t>Ubicación:</w:t>
      </w:r>
      <w:r>
        <w:t xml:space="preserve"> PDF 112 / impr. 101; PDF 116 / impr. 105; PDF 56 / impr. 45; Fig 3.18 (PDF 89 / impr. 78); PDF 94 / impr. 83; Fig 4.2 (PDF 107)</w:t>
      </w:r>
    </w:p>
    <w:p>
      <w:pPr>
        <w:pStyle w:val="ListBullet"/>
      </w:pPr>
      <w:r>
        <w:rPr>
          <w:b/>
        </w:rPr>
        <w:t>Cita:</w:t>
      </w:r>
      <w:r>
        <w:t xml:space="preserve"> "if hypoxemic they should be started on controlled oxygen therapy and undergo assessment to determine whether the exacerbation is life-threatening" (PDF 112).</w:t>
      </w:r>
    </w:p>
    <w:p>
      <w:pPr>
        <w:pStyle w:val="ListBullet"/>
      </w:pPr>
      <w:r>
        <w:rPr>
          <w:b/>
        </w:rPr>
        <w:t>Problema:</w:t>
      </w:r>
    </w:p>
    <w:p>
      <w:pPr>
        <w:pStyle w:val="ListBullet2"/>
      </w:pPr>
      <w:r>
        <w:t>Ninguna búsqueda de "88-92", "target saturation" o "titrated" en el texto devuelve un objetivo de oxigenación en la exacerbación, y las Fig 4.5-4.6 tampoco lo incluyen.</w:t>
      </w:r>
    </w:p>
    <w:p>
      <w:pPr>
        <w:pStyle w:val="ListBullet2"/>
      </w:pPr>
      <w:r>
        <w:t>Mientras tanto, el documento usa seis umbrales distintos:</w:t>
      </w:r>
    </w:p>
    <w:p>
      <w:pPr>
        <w:pStyle w:val="ListBullet2"/>
      </w:pPr>
      <w:r>
        <w:t>≤92 % para indicar gasometría (PDF 56);</w:t>
      </w:r>
    </w:p>
    <w:p>
      <w:pPr>
        <w:pStyle w:val="ListBullet2"/>
      </w:pPr>
      <w:r>
        <w:t>&lt;92 % en Roma;</w:t>
      </w:r>
    </w:p>
    <w:p>
      <w:pPr>
        <w:pStyle w:val="ListBullet2"/>
      </w:pPr>
      <w:r>
        <w:t>≥90 % como objetivo de titulación en la LTOT (Fig 3.18);</w:t>
      </w:r>
    </w:p>
    <w:p>
      <w:pPr>
        <w:pStyle w:val="ListBullet2"/>
      </w:pPr>
      <w:r>
        <w:t>≤88 % en el texto de la LTOT (PDF 87);</w:t>
      </w:r>
    </w:p>
    <w:p>
      <w:pPr>
        <w:pStyle w:val="ListBullet2"/>
      </w:pPr>
      <w:r>
        <w:t>&lt;88 % en la Fig 3.18;</w:t>
      </w:r>
    </w:p>
    <w:p>
      <w:pPr>
        <w:pStyle w:val="ListBullet2"/>
      </w:pPr>
      <w:r>
        <w:t>&gt;92 % como "no hipoxémico" (PDF 94).</w:t>
      </w:r>
    </w:p>
    <w:p>
      <w:pPr>
        <w:pStyle w:val="ListBullet2"/>
      </w:pPr>
      <w:r>
        <w:t>Sin un objetivo explícito existe riesgo de hiperoxia con hipercapnia.</w:t>
      </w:r>
    </w:p>
    <w:p>
      <w:pPr>
        <w:pStyle w:val="ListBullet"/>
      </w:pPr>
      <w:r>
        <w:rPr>
          <w:b/>
        </w:rPr>
        <w:t>Evidencia/justificación:</w:t>
      </w:r>
      <w:r>
        <w:t xml:space="preserve"> el objetivo de 88-92 % figura en NICE QS10 y BTS y en ediciones previas de GOLD (verificado por web).</w:t>
      </w:r>
    </w:p>
    <w:p>
      <w:pPr>
        <w:pStyle w:val="ListBullet"/>
      </w:pPr>
      <w:r>
        <w:rPr>
          <w:b/>
        </w:rPr>
        <w:t>Recomendación:</w:t>
      </w:r>
    </w:p>
    <w:p>
      <w:pPr>
        <w:pStyle w:val="ListBullet2"/>
      </w:pPr>
      <w:r>
        <w:t>Reintroducir "oxígeno controlado con objetivo de SpO2 88-92 % y gasometría a los 30-60 min" en el texto y en la Fig 4.5/4.6.</w:t>
      </w:r>
    </w:p>
    <w:p>
      <w:pPr>
        <w:pStyle w:val="ListBullet2"/>
      </w:pPr>
      <w:r>
        <w:t>Armonizar los umbrales de saturación.</w:t>
      </w:r>
    </w:p>
    <w:p>
      <w:pPr>
        <w:pStyle w:val="ListBullet"/>
      </w:pPr>
      <w:r>
        <w:rPr>
          <w:b/>
        </w:rPr>
        <w:t>Confianza:</w:t>
      </w:r>
      <w:r>
        <w:t xml:space="preserve"> 4 (alguna figura rasterizada no revisada podría contener el objetivo)</w:t>
      </w:r>
    </w:p>
    <w:p>
      <w:pPr>
        <w:pStyle w:val="Heading4"/>
      </w:pPr>
      <w:r>
        <w:t>EQ-13 · Se reconoce que la pulsioximetría es menos precisa en pieles oscuras, pero los umbrales de SpO2 no lo tienen en cuenta</w:t>
      </w:r>
    </w:p>
    <w:p>
      <w:r>
        <w:rPr>
          <w:i/>
        </w:rPr>
        <w:t xml:space="preserve">Severidad final: </w:t>
      </w:r>
      <w:r>
        <w:rPr>
          <w:i/>
          <w:color w:val="ED7D31"/>
        </w:rPr>
        <w:t>🟠</w:t>
      </w:r>
      <w:r>
        <w:rPr>
          <w:i/>
        </w:rPr>
        <w:t xml:space="preserve"> ALTA · Tema T01: Oxigenoterapia en la exacerbación y umbrales de SpO2</w:t>
      </w:r>
    </w:p>
    <w:p>
      <w:pPr>
        <w:pStyle w:val="ListBullet"/>
      </w:pPr>
      <w:r>
        <w:rPr>
          <w:b/>
        </w:rPr>
        <w:t>Tipo:</w:t>
      </w:r>
      <w:r>
        <w:t xml:space="preserve"> Incongruencia interna / Sesgo-Equidad</w:t>
      </w:r>
    </w:p>
    <w:p>
      <w:pPr>
        <w:pStyle w:val="ListBullet"/>
      </w:pPr>
      <w:r>
        <w:rPr>
          <w:b/>
        </w:rPr>
        <w:t>Severidad:</w:t>
      </w:r>
      <w:r>
        <w:t xml:space="preserve"> ALTA</w:t>
      </w:r>
    </w:p>
    <w:p>
      <w:pPr>
        <w:pStyle w:val="ListBullet"/>
      </w:pPr>
      <w:r>
        <w:rPr>
          <w:b/>
        </w:rPr>
        <w:t>Ubicación:</w:t>
      </w:r>
    </w:p>
    <w:p>
      <w:pPr>
        <w:pStyle w:val="ListBullet2"/>
      </w:pPr>
      <w:r>
        <w:t>PDF 110 / impr. 99 (reconocimiento del sesgo).</w:t>
      </w:r>
    </w:p>
    <w:p>
      <w:pPr>
        <w:pStyle w:val="ListBullet2"/>
      </w:pPr>
      <w:r>
        <w:t>PDF 105 / impr. 94: clasificación de la exacerbación, "Resting SaO2 ≥ 92%" / "&lt; 92%".</w:t>
      </w:r>
    </w:p>
    <w:p>
      <w:pPr>
        <w:pStyle w:val="ListBullet2"/>
      </w:pPr>
      <w:r>
        <w:t>PDF 56 / impr. 45: gasometría si la SpO2 es ≤ 92 %.</w:t>
      </w:r>
    </w:p>
    <w:p>
      <w:pPr>
        <w:pStyle w:val="ListBullet2"/>
      </w:pPr>
      <w:r>
        <w:t>PDF 87 / impr. 76: oxigenoterapia crónica domiciliaria (OCD) con "SaO2 at or below 88%".</w:t>
      </w:r>
    </w:p>
    <w:p>
      <w:pPr>
        <w:pStyle w:val="ListBullet"/>
      </w:pPr>
      <w:r>
        <w:rPr>
          <w:b/>
        </w:rPr>
        <w:t>Cita:</w:t>
      </w:r>
      <w:r>
        <w:t xml:space="preserve"> "oxygen saturation… has been shown to be less accurate in individuals with darker skin tone.(958)" (PDF 110)</w:t>
      </w:r>
    </w:p>
    <w:p>
      <w:pPr>
        <w:pStyle w:val="ListBullet"/>
      </w:pPr>
      <w:r>
        <w:rPr>
          <w:b/>
        </w:rPr>
        <w:t>Problema:</w:t>
      </w:r>
      <w:r>
        <w:t xml:space="preserve"> El sesgo se reconoce en una sola frase aislada, pero no se traslada a los umbrales de pulsioximetría que deciden:</w:t>
      </w:r>
    </w:p>
    <w:p>
      <w:pPr>
        <w:pStyle w:val="ListBullet2"/>
      </w:pPr>
      <w:r>
        <w:t>la gasometría;</w:t>
      </w:r>
    </w:p>
    <w:p>
      <w:pPr>
        <w:pStyle w:val="ListBullet2"/>
      </w:pPr>
      <w:r>
        <w:t>la gravedad de la exacerbación, que determina el ingreso;</w:t>
      </w:r>
    </w:p>
    <w:p>
      <w:pPr>
        <w:pStyle w:val="ListBullet2"/>
      </w:pPr>
      <w:r>
        <w:t>la indicación de OCD;</w:t>
      </w:r>
    </w:p>
    <w:p>
      <w:pPr>
        <w:pStyle w:val="ListBullet2"/>
      </w:pPr>
      <w:r>
        <w:t>los objetivos de oxigenación.</w:t>
      </w:r>
    </w:p>
    <w:p>
      <w:r>
        <w:t>El pulsioxímetro tiende a sobrestimar la saturación en personas con piel oscura, de modo que la hipoxemia oculta puede dejar sin gasometría, sin ingreso o sin OCD a quien lo necesita. Además, el documento escribe "SaO2" (saturación arterial) donde se refiere a la SpO2 medida por pulsioximetría.</w:t>
      </w:r>
    </w:p>
    <w:p>
      <w:pPr>
        <w:pStyle w:val="ListBullet"/>
      </w:pPr>
      <w:r>
        <w:rPr>
          <w:b/>
        </w:rPr>
        <w:t>Evidencia/justificación:</w:t>
      </w:r>
    </w:p>
    <w:p>
      <w:pPr>
        <w:pStyle w:val="ListBullet2"/>
      </w:pPr>
      <w:r>
        <w:t>Sjoding MW et al., N Engl J Med 2020;383:2477-8, PMID 33326721: hipoxemia oculta (SaO2 &lt; 88 % con SpO2 del 92-96 %) con una frecuencia unas 3 veces mayor en pacientes negros.</w:t>
      </w:r>
    </w:p>
    <w:p>
      <w:pPr>
        <w:pStyle w:val="ListBullet2"/>
      </w:pPr>
      <w:r>
        <w:t>Hallazgos similares en BMJ 2022;378:e069775 (VA) y en otras cohortes.</w:t>
      </w:r>
    </w:p>
    <w:p>
      <w:pPr>
        <w:pStyle w:val="ListBullet2"/>
      </w:pPr>
      <w:r>
        <w:t>La FDA publicó en 2025 un borrador de guía para mejorar la validación de los pulsioxímetros según la pigmentación cutánea.</w:t>
      </w:r>
    </w:p>
    <w:p>
      <w:pPr>
        <w:pStyle w:val="ListBullet"/>
      </w:pPr>
      <w:r>
        <w:rPr>
          <w:b/>
        </w:rPr>
        <w:t>Recomendación:</w:t>
      </w:r>
    </w:p>
    <w:p>
      <w:pPr>
        <w:pStyle w:val="ListBullet2"/>
      </w:pPr>
      <w:r>
        <w:t>Añadir junto a cada umbral de SpO2 una nota: en personas con piel oscura o con pulsioxímetros no validados, usar un umbral más alto para pedir gasometría o confirmar con gasometría antes de descartar hipoxemia o una indicación de OCD.</w:t>
      </w:r>
    </w:p>
    <w:p>
      <w:pPr>
        <w:pStyle w:val="ListBullet2"/>
      </w:pPr>
      <w:r>
        <w:t>Recomendar el uso de dispositivos validados en distintos tonos de piel.</w:t>
      </w:r>
    </w:p>
    <w:p>
      <w:pPr>
        <w:pStyle w:val="ListBullet2"/>
      </w:pPr>
      <w:r>
        <w:t>Corregir "SaO2" por "SpO2" donde corresponda.</w:t>
      </w:r>
    </w:p>
    <w:p>
      <w:pPr>
        <w:pStyle w:val="ListBullet"/>
      </w:pPr>
      <w:r>
        <w:rPr>
          <w:b/>
        </w:rPr>
        <w:t>Confianza:</w:t>
      </w:r>
      <w:r>
        <w:t xml:space="preserve"> 4/5</w:t>
      </w:r>
    </w:p>
    <w:p>
      <w:pPr>
        <w:pStyle w:val="Heading4"/>
      </w:pPr>
      <w:r>
        <w:t>COH-01 · La Fig. 4.2 altera los criterios gasométricos de la propuesta de Roma y deja huecos de clasificación</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Ninguna sustantiva. Conviene precisar dos consecuencias. (1) La hipoxemia aislada ≤ 60 pasa de moderada (Roma) a grave (GOLD). (2) Una PaO2 de 61-69 mmHg queda sin clasificar.</w:t>
      </w:r>
    </w:p>
    <w:p>
      <w:pPr>
        <w:pStyle w:val="ListBullet"/>
      </w:pPr>
      <w:r>
        <w:rPr>
          <w:b/>
        </w:rPr>
        <w:t>Tipo:</w:t>
      </w:r>
      <w:r>
        <w:t xml:space="preserve"> Incoherencia clínica / fidelidad a la fuente</w:t>
      </w:r>
    </w:p>
    <w:p>
      <w:pPr>
        <w:pStyle w:val="ListBullet"/>
      </w:pPr>
      <w:r>
        <w:rPr>
          <w:b/>
        </w:rPr>
        <w:t>Severidad:</w:t>
      </w:r>
      <w:r>
        <w:t xml:space="preserve"> ALTA</w:t>
      </w:r>
    </w:p>
    <w:p>
      <w:pPr>
        <w:pStyle w:val="ListBullet"/>
      </w:pPr>
      <w:r>
        <w:rPr>
          <w:b/>
        </w:rPr>
        <w:t>Ubicación:</w:t>
      </w:r>
      <w:r>
        <w:t xml:space="preserve"> texto en PDF 105 / impr. 94; Fig 4.2 en PDF 107 / impr. 96</w:t>
      </w:r>
    </w:p>
    <w:p>
      <w:pPr>
        <w:pStyle w:val="ListBullet"/>
      </w:pPr>
      <w:r>
        <w:rPr>
          <w:b/>
        </w:rPr>
        <w:t>Cita:</w:t>
      </w:r>
    </w:p>
    <w:p>
      <w:pPr>
        <w:pStyle w:val="ListBullet2"/>
      </w:pPr>
      <w:r>
        <w:t>Moderada: "*If obtained, ABG may show hypoxemia (PaO2 70-80 mmHg)".</w:t>
      </w:r>
    </w:p>
    <w:p>
      <w:pPr>
        <w:pStyle w:val="ListBullet2"/>
      </w:pPr>
      <w:r>
        <w:t>Grave: "If obtained, ABG may show hypoxemia (PaO2 ≤ 60 mmHg) and/or hypercapnia and acidosis (PaCO2 &gt; 45 mmHg and pH &lt; 7.35)".</w:t>
      </w:r>
    </w:p>
    <w:p>
      <w:pPr>
        <w:pStyle w:val="ListBullet"/>
      </w:pPr>
      <w:r>
        <w:rPr>
          <w:b/>
        </w:rPr>
        <w:t>Problema:</w:t>
      </w:r>
    </w:p>
    <w:p>
      <w:pPr>
        <w:pStyle w:val="ListBullet2"/>
      </w:pPr>
      <w:r>
        <w:t xml:space="preserve">La figura declara "Adapted from Rome Proposal", pero en Roma la exacerbación </w:t>
      </w:r>
      <w:r>
        <w:rPr>
          <w:b/>
        </w:rPr>
        <w:t>moderada</w:t>
      </w:r>
      <w:r>
        <w:t xml:space="preserve"> es PaO2 ≤60 y/o PaCO2 &gt;45 </w:t>
      </w:r>
      <w:r>
        <w:rPr>
          <w:b/>
        </w:rPr>
        <w:t>sin acidosis</w:t>
      </w:r>
      <w:r>
        <w:t xml:space="preserve">, y la </w:t>
      </w:r>
      <w:r>
        <w:rPr>
          <w:b/>
        </w:rPr>
        <w:t>grave</w:t>
      </w:r>
      <w:r>
        <w:t xml:space="preserve"> es hipercapnia nueva o que empeora </w:t>
      </w:r>
      <w:r>
        <w:rPr>
          <w:b/>
        </w:rPr>
        <w:t>con acidosis</w:t>
      </w:r>
      <w:r>
        <w:t>.</w:t>
      </w:r>
    </w:p>
    <w:p>
      <w:pPr>
        <w:pStyle w:val="ListBullet2"/>
      </w:pPr>
      <w:r>
        <w:t>GOLD traslada la hipoxemia ≤60 a "grave" y, con el "and/or", basta la hipoxemia sin acidosis para clasificarla así.</w:t>
      </w:r>
    </w:p>
    <w:p>
      <w:pPr>
        <w:pStyle w:val="ListBullet2"/>
      </w:pPr>
      <w:r>
        <w:t>A la moderada le asigna PaO2 70-80 mmHg, que equivale a SaO2 ≈94-96 %. Esto contradice su propio criterio moderado ("SaO2 &lt; 92%") y encaja en el leve ("≥ 92%").</w:t>
      </w:r>
    </w:p>
    <w:p>
      <w:pPr>
        <w:pStyle w:val="ListBullet2"/>
      </w:pPr>
      <w:r>
        <w:t>Una PaO2 de 61-69 mmHg queda sin categoría.</w:t>
      </w:r>
    </w:p>
    <w:p>
      <w:pPr>
        <w:pStyle w:val="ListBullet"/>
      </w:pPr>
      <w:r>
        <w:rPr>
          <w:b/>
        </w:rPr>
        <w:t>Evidencia/justificación:</w:t>
      </w:r>
      <w:r>
        <w:t xml:space="preserve"> Celli BR et al., </w:t>
      </w:r>
      <w:r>
        <w:rPr>
          <w:i/>
        </w:rPr>
        <w:t>Am J Respir Crit Care Med</w:t>
      </w:r>
      <w:r>
        <w:t xml:space="preserve"> 2021;204:1251-58 (verificado por web); curva de disociación de la oxihemoglobina.</w:t>
      </w:r>
    </w:p>
    <w:p>
      <w:pPr>
        <w:pStyle w:val="ListBullet"/>
      </w:pPr>
      <w:r>
        <w:rPr>
          <w:b/>
        </w:rPr>
        <w:t>Recomendación:</w:t>
      </w:r>
    </w:p>
    <w:p>
      <w:pPr>
        <w:pStyle w:val="ListBullet2"/>
      </w:pPr>
      <w:r>
        <w:t>Reproducir literalmente los umbrales de Roma en el texto y en la Fig 4.2 (moderada: PaO2 ≤60 y/o PaCO2 &gt;45 sin acidosis; grave: PaCO2 &gt;45 y pH &lt;7,35).</w:t>
      </w:r>
    </w:p>
    <w:p>
      <w:pPr>
        <w:pStyle w:val="ListBullet2"/>
      </w:pPr>
      <w:r>
        <w:t>Eliminar "70-80 mmHg".</w:t>
      </w:r>
    </w:p>
    <w:p>
      <w:pPr>
        <w:pStyle w:val="ListBullet"/>
      </w:pPr>
      <w:r>
        <w:rPr>
          <w:b/>
        </w:rPr>
        <w:t>Confianza:</w:t>
      </w:r>
      <w:r>
        <w:t xml:space="preserve"> 5</w:t>
      </w:r>
    </w:p>
    <w:p>
      <w:pPr>
        <w:pStyle w:val="Heading4"/>
      </w:pPr>
      <w:r>
        <w:t>COH-05 · Dos sistemas incompatibles de gravedad de la exacerbación, sin regla de transición</w:t>
      </w:r>
    </w:p>
    <w:p>
      <w:r>
        <w:rPr>
          <w:i/>
        </w:rPr>
        <w:t xml:space="preserve">Severidad final: </w:t>
      </w:r>
      <w:r>
        <w:rPr>
          <w:i/>
          <w:color w:val="ED7D31"/>
        </w:rPr>
        <w:t>🟠</w:t>
      </w:r>
      <w:r>
        <w:rPr>
          <w:i/>
        </w:rPr>
        <w:t xml:space="preserve"> ALTA · Tema T02: Clasificación de gravedad de la exacerbación (Roma) y sistemas incompatibles</w:t>
      </w:r>
    </w:p>
    <w:p>
      <w:pPr>
        <w:pStyle w:val="ListBullet"/>
      </w:pPr>
      <w:r>
        <w:rPr>
          <w:b/>
        </w:rPr>
        <w:t>Tipo:</w:t>
      </w:r>
      <w:r>
        <w:t xml:space="preserve"> Incoherencia conceptual entre capítulos</w:t>
      </w:r>
    </w:p>
    <w:p>
      <w:pPr>
        <w:pStyle w:val="ListBullet"/>
      </w:pPr>
      <w:r>
        <w:rPr>
          <w:b/>
        </w:rPr>
        <w:t>Severidad:</w:t>
      </w:r>
      <w:r>
        <w:t xml:space="preserve"> ALTA</w:t>
      </w:r>
    </w:p>
    <w:p>
      <w:pPr>
        <w:pStyle w:val="ListBullet"/>
      </w:pPr>
      <w:r>
        <w:rPr>
          <w:b/>
        </w:rPr>
        <w:t>Ubicación:</w:t>
      </w:r>
      <w:r>
        <w:t xml:space="preserve"> PDF 51 / impr. 40 (gravedad por uso de recursos); Fig 2.13 (PDF 54 / impr. 43); Fig 3.9 (PDF 74 / impr. 63); PDF 104-105 / impr. 93-94 (Roma)</w:t>
      </w:r>
    </w:p>
    <w:p>
      <w:pPr>
        <w:pStyle w:val="ListBullet"/>
      </w:pPr>
      <w:r>
        <w:rPr>
          <w:b/>
        </w:rPr>
        <w:t>Cita:</w:t>
      </w:r>
      <w:r>
        <w:t xml:space="preserve"> "This is probably adequate in clinical trials but useless at the point of care. We are NOW proposing that the severity of an exacerbation…" (PDF 104).</w:t>
      </w:r>
    </w:p>
    <w:p>
      <w:pPr>
        <w:pStyle w:val="ListBullet"/>
      </w:pPr>
      <w:r>
        <w:rPr>
          <w:b/>
        </w:rPr>
        <w:t>Problema:</w:t>
      </w:r>
    </w:p>
    <w:p>
      <w:pPr>
        <w:pStyle w:val="ListBullet2"/>
      </w:pPr>
      <w:r>
        <w:t>El grupo E y todos los umbrales de escalada (1 moderada; 2 moderadas o 1 grave; "hospitalization") se basan en la gravedad por recursos: moderada = esteroides y/o antibióticos; grave = ingreso.</w:t>
      </w:r>
    </w:p>
    <w:p>
      <w:pPr>
        <w:pStyle w:val="ListBullet2"/>
      </w:pPr>
      <w:r>
        <w:t>El cap. 4 declara esa clasificación "useless" y adopta Roma, según la cual parte de los ingresados son "leves".</w:t>
      </w:r>
    </w:p>
    <w:p>
      <w:pPr>
        <w:pStyle w:val="ListBullet2"/>
      </w:pPr>
      <w:r>
        <w:t>Queda sin respuesta si un ingreso "leve" según Roma cuenta como exacerbación grave para el grupo E, el roflumilast o los biológicos.</w:t>
      </w:r>
    </w:p>
    <w:p>
      <w:pPr>
        <w:pStyle w:val="ListBullet"/>
      </w:pPr>
      <w:r>
        <w:rPr>
          <w:b/>
        </w:rPr>
        <w:t>Evidencia/justificación:</w:t>
      </w:r>
      <w:r>
        <w:t xml:space="preserve"> contraste directo entre PDF 51, 54 y 74 y PDF 104-105.</w:t>
      </w:r>
    </w:p>
    <w:p>
      <w:pPr>
        <w:pStyle w:val="ListBullet"/>
      </w:pPr>
      <w:r>
        <w:rPr>
          <w:b/>
        </w:rPr>
        <w:t>Recomendación:</w:t>
      </w:r>
    </w:p>
    <w:p>
      <w:pPr>
        <w:pStyle w:val="ListBullet2"/>
      </w:pPr>
      <w:r>
        <w:t>Declarar explícitamente que, para estratificar el riesgo y escalar el tratamiento, "moderada/grave" se define por uso de recursos, y que Roma se reserva para el manejo agudo.</w:t>
      </w:r>
    </w:p>
    <w:p>
      <w:pPr>
        <w:pStyle w:val="ListBullet2"/>
      </w:pPr>
      <w:r>
        <w:t>Añadir una nota en Fig 2.13, 3.9 y el cap. 4.</w:t>
      </w:r>
    </w:p>
    <w:p>
      <w:pPr>
        <w:pStyle w:val="ListBullet"/>
      </w:pPr>
      <w:r>
        <w:rPr>
          <w:b/>
        </w:rPr>
        <w:t>Confianza:</w:t>
      </w:r>
      <w:r>
        <w:t xml:space="preserve"> 4</w:t>
      </w:r>
    </w:p>
    <w:p>
      <w:pPr>
        <w:pStyle w:val="Heading4"/>
      </w:pPr>
      <w:r>
        <w:t>EXA-03 · Los umbrales gasométricos de la Fig. 4.2 y del texto no corresponden a la propuesta de Roma y son internamente incoherentes</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Ninguna sustantiva. Conviene precisar dos consecuencias. (1) La hipoxemia aislada ≤ 60 pasa de moderada (Roma) a grave (GOLD). (2) Una PaO2 de 61-69 mmHg queda sin clasificar.</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r>
        <w:t xml:space="preserve"> PDF 105 / impr. 94 (texto) y PDF 107 / impr. 96 (Fig. 4.2).</w:t>
      </w:r>
    </w:p>
    <w:p>
      <w:pPr>
        <w:pStyle w:val="ListBullet"/>
      </w:pPr>
      <w:r>
        <w:rPr>
          <w:b/>
        </w:rPr>
        <w:t>Cita:</w:t>
      </w:r>
      <w:r>
        <w:t xml:space="preserve"> En "moderada": "*If obtained, ABG may show hypoxemia (PaO2 70-80 mmHg)". En "grave": "hypoxemia (PaO2 ≤ 60 mmHg) and/or hypercapnia and acidosis (PaCO2 &gt; 45 mmHg and pH &lt; 7.35)".</w:t>
      </w:r>
    </w:p>
    <w:p>
      <w:pPr>
        <w:pStyle w:val="ListBullet"/>
      </w:pPr>
      <w:r>
        <w:rPr>
          <w:b/>
        </w:rPr>
        <w:t>Problema:</w:t>
      </w:r>
    </w:p>
    <w:p>
      <w:pPr>
        <w:pStyle w:val="ListBullet2"/>
      </w:pPr>
      <w:r>
        <w:rPr>
          <w:b/>
        </w:rPr>
        <w:t>Discrepancia con el original.</w:t>
      </w:r>
      <w:r>
        <w:t xml:space="preserve"> En la propuesta de Roma (Celli et al., AJRCCM 2021;204:1251-58, ref. 291) la categoría moderada incluye "hipoxemia (PaO2 ≤60 mmHg) y/o hipercapnia (PaCO2 &gt;45 mmHg) sin acidosis". La grave se define por hipercapnia con acidosis (PaCO2 &gt;45 y pH &lt;7,35). Las cohortes de validación aplican esta definición (p. ej., Zeng 2024, métodos). GOLD:</w:t>
      </w:r>
    </w:p>
    <w:p>
      <w:pPr>
        <w:pStyle w:val="ListBullet2"/>
      </w:pPr>
      <w:r>
        <w:t>traslada la PaO2 ≤60 a la categoría grave ("and/or"), con lo que una hipoxemia sin acidosis basta para ser "grave";</w:t>
      </w:r>
    </w:p>
    <w:p>
      <w:pPr>
        <w:pStyle w:val="ListBullet2"/>
      </w:pPr>
      <w:r>
        <w:t>inventa un rango "70-80 mmHg" que fisiológicamente corresponde a SaO2 ≈93-96 %, incompatible con el criterio de SaO2 &lt;92 % de esa misma fila;</w:t>
      </w:r>
    </w:p>
    <w:p>
      <w:pPr>
        <w:pStyle w:val="ListBullet2"/>
      </w:pPr>
      <w:r>
        <w:t>deja sin clasificar el tramo de PaO2 60-70 mmHg.</w:t>
      </w:r>
    </w:p>
    <w:p>
      <w:pPr>
        <w:pStyle w:val="ListBullet2"/>
      </w:pPr>
      <w:r>
        <w:rPr>
          <w:b/>
        </w:rPr>
        <w:t>Umbral de pH.</w:t>
      </w:r>
      <w:r>
        <w:t xml:space="preserve"> Hay tres umbrales distintos en el mismo capítulo: "&lt;7.35" (Fig. 4.2), "≤ 7.35" (Fig. 4.8) y "≤ 7.25" (clasificación hospitalaria, PDF 105).</w:t>
      </w:r>
    </w:p>
    <w:p>
      <w:pPr>
        <w:pStyle w:val="ListBullet2"/>
      </w:pPr>
      <w:r>
        <w:rPr>
          <w:b/>
        </w:rPr>
        <w:t>Recuento de criterios.</w:t>
      </w:r>
      <w:r>
        <w:t xml:space="preserve"> "Moderada" exige 3 de 5 criterios, pero en atención primaria se indica clasificar sin PCR (PDF 106) y no se dice si entonces son 3 de 4. La fila "grave" no dice cuántos criterios clínicos se requieren.</w:t>
      </w:r>
    </w:p>
    <w:p>
      <w:pPr>
        <w:pStyle w:val="ListBullet2"/>
      </w:pPr>
      <w:r>
        <w:rPr>
          <w:b/>
        </w:rPr>
        <w:t>Etiqueta de la PCR.</w:t>
      </w:r>
      <w:r>
        <w:t xml:space="preserve"> La PCR aparece como "(if obtained)" en la fila leve de la figura pero no en la moderada; el texto dice "(if available)" en ambas.</w:t>
      </w:r>
    </w:p>
    <w:p>
      <w:pPr>
        <w:pStyle w:val="ListBullet"/>
      </w:pPr>
      <w:r>
        <w:rPr>
          <w:b/>
        </w:rPr>
        <w:t>Evidencia/justificación:</w:t>
      </w:r>
    </w:p>
    <w:p>
      <w:pPr>
        <w:pStyle w:val="ListBullet2"/>
      </w:pPr>
      <w:r>
        <w:t>Celli BR et al., AJRCCM 2021;204:1251-8 (doi:10.1164/rccm.202108-1819PP), tabla de clasificación.</w:t>
      </w:r>
    </w:p>
    <w:p>
      <w:pPr>
        <w:pStyle w:val="ListBullet2"/>
      </w:pPr>
      <w:r>
        <w:t>Curva de disociación de la Hb: PaO2 60 mmHg ≈ SaO2 90 %; PaO2 70-80 ≈ 93-96 %.</w:t>
      </w:r>
    </w:p>
    <w:p>
      <w:pPr>
        <w:pStyle w:val="ListBullet"/>
      </w:pPr>
      <w:r>
        <w:rPr>
          <w:b/>
        </w:rPr>
        <w:t>Recomendación:</w:t>
      </w:r>
    </w:p>
    <w:p>
      <w:pPr>
        <w:pStyle w:val="ListBullet2"/>
      </w:pPr>
      <w:r>
        <w:t>Reproducir fielmente los umbrales de Roma:</w:t>
      </w:r>
    </w:p>
    <w:p>
      <w:pPr>
        <w:pStyle w:val="ListBullet2"/>
      </w:pPr>
      <w:r>
        <w:t>Moderada: PaO2 ≤60 y/o PaCO2 &gt;45 sin acidosis.</w:t>
      </w:r>
    </w:p>
    <w:p>
      <w:pPr>
        <w:pStyle w:val="ListBullet2"/>
      </w:pPr>
      <w:r>
        <w:t>Grave: PaCO2 &gt;45 con pH &lt;7,35.</w:t>
      </w:r>
    </w:p>
    <w:p>
      <w:pPr>
        <w:pStyle w:val="ListBullet2"/>
      </w:pPr>
      <w:r>
        <w:t>Eliminar "70-80 mmHg".</w:t>
      </w:r>
    </w:p>
    <w:p>
      <w:pPr>
        <w:pStyle w:val="ListBullet2"/>
      </w:pPr>
      <w:r>
        <w:t>Unificar el umbral de pH en todo el capítulo.</w:t>
      </w:r>
    </w:p>
    <w:p>
      <w:pPr>
        <w:pStyle w:val="ListBullet2"/>
      </w:pPr>
      <w:r>
        <w:t>Indicar cómo puntuar cuando falta la PCR.</w:t>
      </w:r>
    </w:p>
    <w:p>
      <w:pPr>
        <w:pStyle w:val="ListBullet"/>
      </w:pPr>
      <w:r>
        <w:rPr>
          <w:b/>
        </w:rPr>
        <w:t>Confianza:</w:t>
      </w:r>
      <w:r>
        <w:t xml:space="preserve"> 5/5</w:t>
      </w:r>
    </w:p>
    <w:p>
      <w:pPr>
        <w:pStyle w:val="Heading4"/>
      </w:pPr>
      <w:r>
        <w:t>EXA-04 · Clasificación "para pacientes hospitalizados" atribuida a la ref. 932 que no coincide con la fuente, tiene huecos y se solapa con Roma</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La discrepancia con la ref. 932 (Celli-Barnes 2007) y el «or» de ediciones previas son [externo, no verificable con figuras]. Los huecos y solapes internos quedan confirmados.</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105 / impr. 94 — "In hospitalized patients… we recommend the following classification:(932)".</w:t>
      </w:r>
    </w:p>
    <w:p>
      <w:pPr>
        <w:pStyle w:val="ListBullet"/>
      </w:pPr>
      <w:r>
        <w:rPr>
          <w:b/>
        </w:rPr>
        <w:t>Cita:</w:t>
      </w:r>
      <w:r>
        <w:t xml:space="preserve"> "Ventilatory Failure: Respiratory rate: &gt; 24 breaths per minute; heart rate &gt; 95 bpm… elevated &gt; 60 mmHg and the presence of acidosis (pH ≤ 7.25)".</w:t>
      </w:r>
    </w:p>
    <w:p>
      <w:pPr>
        <w:pStyle w:val="ListBullet"/>
      </w:pPr>
      <w:r>
        <w:rPr>
          <w:b/>
        </w:rPr>
        <w:t>Problema:</w:t>
      </w:r>
    </w:p>
    <w:p>
      <w:pPr>
        <w:pStyle w:val="ListBullet2"/>
      </w:pPr>
      <w:r>
        <w:rPr>
          <w:b/>
        </w:rPr>
        <w:t>Discrepancia con la fuente.</w:t>
      </w:r>
      <w:r>
        <w:t xml:space="preserve"> La ref. 932 (Celli y Barnes, Eur Respir J 2007;29:1224-38) clasifica con FR 20-30 / &gt;30 rpm y sin frecuencia cardiaca. GOLD usa "&gt;24" y "&gt;95 lpm", umbrales de Roma que en Roma son "≥24" y "≥95": un paciente con FR exactamente 24 es "moderado" en Roma y "sin insuficiencia respiratoria" aquí.</w:t>
      </w:r>
    </w:p>
    <w:p>
      <w:pPr>
        <w:pStyle w:val="ListBullet2"/>
      </w:pPr>
      <w:r>
        <w:rPr>
          <w:b/>
        </w:rPr>
        <w:t>"And" en lugar de "or".</w:t>
      </w:r>
      <w:r>
        <w:t xml:space="preserve"> El fallo ventilatorio exige ahora hipercapnia &gt;60 "and" acidosis con pH ≤7,25; versiones previas de GOLD decían "or" (recuerdo, confianza 4). Un paciente con pH 7,30 y PaCO2 65 queda sin categoría, aunque es candidato claro a VNI.</w:t>
      </w:r>
    </w:p>
    <w:p>
      <w:pPr>
        <w:pStyle w:val="ListBullet2"/>
      </w:pPr>
      <w:r>
        <w:rPr>
          <w:b/>
        </w:rPr>
        <w:t>Otros huecos y solapes:</w:t>
      </w:r>
    </w:p>
    <w:p>
      <w:pPr>
        <w:pStyle w:val="ListBullet2"/>
      </w:pPr>
      <w:r>
        <w:t>El tramo de pH 7,26-7,35 no aparece en ninguna categoría.</w:t>
      </w:r>
    </w:p>
    <w:p>
      <w:pPr>
        <w:pStyle w:val="ListBullet2"/>
      </w:pPr>
      <w:r>
        <w:t>"No respiratory failure" incluye pacientes con hipoxemia corregida con FiO2 del 24-35 %, es decir, con insuficiencia respiratoria hipoxémica.</w:t>
      </w:r>
    </w:p>
    <w:p>
      <w:pPr>
        <w:pStyle w:val="ListBullet2"/>
      </w:pPr>
      <w:r>
        <w:t>Las FiO2 "&gt;35 %" (insuficiencia respiratoria) y "&gt;40 %" (fallo ventilatorio) se solapan.</w:t>
      </w:r>
    </w:p>
    <w:p>
      <w:pPr>
        <w:pStyle w:val="ListBullet2"/>
      </w:pPr>
      <w:r>
        <w:rPr>
          <w:b/>
        </w:rPr>
        <w:t>Dos sistemas sin correspondencia.</w:t>
      </w:r>
      <w:r>
        <w:t xml:space="preserve"> Coexisten dos clasificaciones de gravedad (Roma y esta) sin ninguna equivalencia ni indicación de cuándo usar cada una.</w:t>
      </w:r>
    </w:p>
    <w:p>
      <w:pPr>
        <w:pStyle w:val="ListBullet"/>
      </w:pPr>
      <w:r>
        <w:rPr>
          <w:b/>
        </w:rPr>
        <w:t>Evidencia/justificación:</w:t>
      </w:r>
      <w:r>
        <w:t xml:space="preserve"> Comparación directa con la ref. 932 y con la Fig. 4.2. Los criterios de VNI (pH ≤7,35) y de VMI de la propia guía no encajan con estas categorías.</w:t>
      </w:r>
    </w:p>
    <w:p>
      <w:pPr>
        <w:pStyle w:val="ListBullet"/>
      </w:pPr>
      <w:r>
        <w:rPr>
          <w:b/>
        </w:rPr>
        <w:t>Recomendación:</w:t>
      </w:r>
    </w:p>
    <w:p>
      <w:pPr>
        <w:pStyle w:val="ListBullet2"/>
      </w:pPr>
      <w:r>
        <w:t>Suprimir esta segunda clasificación, o reformularla como "fenotipos de insuficiencia respiratoria" (hipoxémica, hipercápnica compensada, hipercápnica acidótica) con umbrales continuos, sin huecos, alineados con las Fig. 4.2 y 4.8.</w:t>
      </w:r>
    </w:p>
    <w:p>
      <w:pPr>
        <w:pStyle w:val="ListBullet2"/>
      </w:pPr>
      <w:r>
        <w:t>Citar la fuente correcta o declarar que es una modificación por consenso.</w:t>
      </w:r>
    </w:p>
    <w:p>
      <w:pPr>
        <w:pStyle w:val="ListBullet"/>
      </w:pPr>
      <w:r>
        <w:rPr>
          <w:b/>
        </w:rPr>
        <w:t>Confianza:</w:t>
      </w:r>
      <w:r>
        <w:t xml:space="preserve"> 4/5</w:t>
      </w:r>
    </w:p>
    <w:p>
      <w:pPr>
        <w:pStyle w:val="Heading4"/>
      </w:pPr>
      <w:r>
        <w:t>EXA-05 · La gravedad por Roma no se traduce a la definición "moderada/grave" por recursos de los caps. 2 y 3 ni al algoritmo ABE</w:t>
      </w:r>
    </w:p>
    <w:p>
      <w:r>
        <w:rPr>
          <w:i/>
        </w:rPr>
        <w:t xml:space="preserve">Severidad final: </w:t>
      </w:r>
      <w:r>
        <w:rPr>
          <w:i/>
          <w:color w:val="ED7D31"/>
        </w:rPr>
        <w:t>🟠</w:t>
      </w:r>
      <w:r>
        <w:rPr>
          <w:i/>
        </w:rPr>
        <w:t xml:space="preserve"> ALTA · Tema T02: Clasificación de gravedad de la exacerbación (Roma) y sistemas incompatibles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PDF 103-104 / impr. 92-93 (puntos clave y texto).</w:t>
      </w:r>
    </w:p>
    <w:p>
      <w:pPr>
        <w:pStyle w:val="ListBullet2"/>
      </w:pPr>
      <w:r>
        <w:t>PDF 109 / impr. 98 (Fig. 4.4).</w:t>
      </w:r>
    </w:p>
    <w:p>
      <w:pPr>
        <w:pStyle w:val="ListBullet2"/>
      </w:pPr>
      <w:r>
        <w:t>PDF 51 / impr. 40 (cap. 2).</w:t>
      </w:r>
    </w:p>
    <w:p>
      <w:pPr>
        <w:pStyle w:val="ListBullet2"/>
      </w:pPr>
      <w:r>
        <w:t>PDF 73-74 / impr. 62-63 (Fig. 3.8 y 3.9).</w:t>
      </w:r>
    </w:p>
    <w:p>
      <w:pPr>
        <w:pStyle w:val="ListBullet2"/>
      </w:pPr>
      <w:r>
        <w:t>PDF 92 / impr. 81 (cap. 3).</w:t>
      </w:r>
    </w:p>
    <w:p>
      <w:pPr>
        <w:pStyle w:val="ListBullet"/>
      </w:pPr>
      <w:r>
        <w:rPr>
          <w:b/>
        </w:rPr>
        <w:t>Cita:</w:t>
      </w:r>
      <w:r>
        <w:t xml:space="preserve"> "This is probably adequate in clinical trials but useless at the point of care" (PDF 104). En el cap. 2: "Even one moderate or severe exacerbation treated with steroids and/or antibiotics" (PDF 51).</w:t>
      </w:r>
    </w:p>
    <w:p>
      <w:pPr>
        <w:pStyle w:val="ListBullet"/>
      </w:pPr>
      <w:r>
        <w:rPr>
          <w:b/>
        </w:rPr>
        <w:t>Problema:</w:t>
      </w:r>
    </w:p>
    <w:p>
      <w:pPr>
        <w:pStyle w:val="ListBullet2"/>
      </w:pPr>
      <w:r>
        <w:rPr>
          <w:b/>
        </w:rPr>
        <w:t>Dos definiciones de gravedad en la misma guía.</w:t>
      </w:r>
      <w:r>
        <w:t xml:space="preserve"> El cap. 4 declara "inútil" la gravedad por uso de recursos, pero:</w:t>
      </w:r>
    </w:p>
    <w:p>
      <w:pPr>
        <w:pStyle w:val="ListBullet2"/>
      </w:pPr>
      <w:r>
        <w:t>la asignación al grupo E (Fig. 3.8: "≥1 moderate or severe"), la escalada en el seguimiento (Fig. 3.9: "two moderate or one severe") y las indicaciones del cap. 3 ("≥ 1 exacerbation requiring a hospital admission") se basan en esa definición;</w:t>
      </w:r>
    </w:p>
    <w:p>
      <w:pPr>
        <w:pStyle w:val="ListBullet2"/>
      </w:pPr>
      <w:r>
        <w:t>los propios puntos clave del cap. 4 la usan ("moderate/severe exacerbations" para corticoides y SABA, PDF 103).</w:t>
      </w:r>
    </w:p>
    <w:p>
      <w:pPr>
        <w:pStyle w:val="ListBullet2"/>
      </w:pPr>
      <w:r>
        <w:rPr>
          <w:b/>
        </w:rPr>
        <w:t>Ingresos "leves".</w:t>
      </w:r>
      <w:r>
        <w:t xml:space="preserve"> La Fig. 4.4 solo deriva a manejo ambulatorio un "Mild exacerbation event". Sin embargo, el propio texto reconoce que el 15-30 % de los ingresados son leves por Roma (en las cohortes, 14-42 %; véase EXA-16). Esos ingresos, ¿cuentan como "graves" para el ABE?</w:t>
      </w:r>
    </w:p>
    <w:p>
      <w:pPr>
        <w:pStyle w:val="ListBullet2"/>
      </w:pPr>
      <w:r>
        <w:rPr>
          <w:b/>
        </w:rPr>
        <w:t>Fig. 4.6 sin estratificar.</w:t>
      </w:r>
      <w:r>
        <w:t xml:space="preserve"> La Fig. 4.6 se presenta como válida "for all exacerbations" sin estratificar por gravedad de Roma.</w:t>
      </w:r>
    </w:p>
    <w:p>
      <w:pPr>
        <w:pStyle w:val="ListBullet"/>
      </w:pPr>
      <w:r>
        <w:rPr>
          <w:b/>
        </w:rPr>
        <w:t>Evidencia/justificación:</w:t>
      </w:r>
      <w:r>
        <w:t xml:space="preserve"> Lectura cruzada de las páginas citadas. No existe ninguna tabla de equivalencias.</w:t>
      </w:r>
    </w:p>
    <w:p>
      <w:pPr>
        <w:pStyle w:val="ListBullet"/>
      </w:pPr>
      <w:r>
        <w:rPr>
          <w:b/>
        </w:rPr>
        <w:t>Recomendación:</w:t>
      </w:r>
    </w:p>
    <w:p>
      <w:pPr>
        <w:pStyle w:val="ListBullet2"/>
      </w:pPr>
      <w:r>
        <w:t>Incluir una tabla puente: gravedad de Roma (para el tratamiento agudo y el lugar de atención) frente a la categoría por recursos (para el historial de riesgo y el ABE).</w:t>
      </w:r>
    </w:p>
    <w:p>
      <w:pPr>
        <w:pStyle w:val="ListBullet2"/>
      </w:pPr>
      <w:r>
        <w:t>Indicar explícitamente que, para las Fig. 3.8 y 3.9, se sigue contando "hospitalización = grave" con independencia de la gravedad de Roma, o justificar el cambio.</w:t>
      </w:r>
    </w:p>
    <w:p>
      <w:pPr>
        <w:pStyle w:val="ListBullet2"/>
      </w:pPr>
      <w:r>
        <w:t>Sustituir "moderate/severe" en los puntos clave por los criterios clínicos correspondientes.</w:t>
      </w:r>
    </w:p>
    <w:p>
      <w:pPr>
        <w:pStyle w:val="ListBullet"/>
      </w:pPr>
      <w:r>
        <w:rPr>
          <w:b/>
        </w:rPr>
        <w:t>Confianza:</w:t>
      </w:r>
      <w:r>
        <w:t xml:space="preserve"> 5/5</w:t>
      </w:r>
    </w:p>
    <w:p>
      <w:pPr>
        <w:pStyle w:val="Heading4"/>
      </w:pPr>
      <w:r>
        <w:t>COH-04 · La Fig. 5.6 propone una TC "HRCT" anual de cribado oncológico para todos los pacientes con EPOC</w:t>
      </w:r>
    </w:p>
    <w:p>
      <w:r>
        <w:rPr>
          <w:i/>
        </w:rPr>
        <w:t xml:space="preserve">Severidad final: </w:t>
      </w:r>
      <w:r>
        <w:rPr>
          <w:i/>
          <w:color w:val="ED7D31"/>
        </w:rPr>
        <w:t>🟠</w:t>
      </w:r>
      <w:r>
        <w:rPr>
          <w:i/>
        </w:rPr>
        <w:t xml:space="preserve"> ALTA · Tema T03: Cribado de cáncer de pulmón</w:t>
      </w:r>
    </w:p>
    <w:p>
      <w:pPr>
        <w:pStyle w:val="IntenseQuote"/>
      </w:pPr>
      <w:r>
        <w:rPr>
          <w:b/>
        </w:rPr>
        <w:t>Verificación independiente (CONFIRMADO):</w:t>
      </w:r>
      <w:r>
        <w:t xml:space="preserve"> Matizar que las figuras se presentan como «enfoque complementario potencial», no como recomendación formal. Rebajar MUL-01 de CRÍTICA a ALTA.</w:t>
      </w:r>
    </w:p>
    <w:p>
      <w:pPr>
        <w:pStyle w:val="ListBullet"/>
      </w:pPr>
      <w:r>
        <w:rPr>
          <w:b/>
        </w:rPr>
        <w:t>Tipo:</w:t>
      </w:r>
      <w:r>
        <w:t xml:space="preserve"> Incoherencia figura-texto con riesgo clínico (sobrecribado e irradiación)</w:t>
      </w:r>
    </w:p>
    <w:p>
      <w:pPr>
        <w:pStyle w:val="ListBullet"/>
      </w:pPr>
      <w:r>
        <w:rPr>
          <w:b/>
        </w:rPr>
        <w:t>Severidad:</w:t>
      </w:r>
      <w:r>
        <w:t xml:space="preserve"> ALTA</w:t>
      </w:r>
    </w:p>
    <w:p>
      <w:pPr>
        <w:pStyle w:val="ListBullet"/>
      </w:pPr>
      <w:r>
        <w:rPr>
          <w:b/>
        </w:rPr>
        <w:t>Ubicación:</w:t>
      </w:r>
      <w:r>
        <w:t xml:space="preserve"> Fig 5.6 en PDF 141 / impr. 130; texto en PDF 47 / impr. 36, PDF 130-131 / impr. 119-120; key point en PDF 123 / impr. 112</w:t>
      </w:r>
    </w:p>
    <w:p>
      <w:pPr>
        <w:pStyle w:val="ListBullet"/>
      </w:pPr>
      <w:r>
        <w:rPr>
          <w:b/>
        </w:rPr>
        <w:t>Cita:</w:t>
      </w:r>
    </w:p>
    <w:p>
      <w:pPr>
        <w:pStyle w:val="ListBullet2"/>
      </w:pPr>
      <w:r>
        <w:t>Título de la figura: "…Frequent Morbidities in all Patients with COPD – Regular Follow-up".</w:t>
      </w:r>
    </w:p>
    <w:p>
      <w:pPr>
        <w:pStyle w:val="ListBullet2"/>
      </w:pPr>
      <w:r>
        <w:t>Recuadro: "Yearly … chest HRCT (cancer screening)".</w:t>
      </w:r>
    </w:p>
    <w:p>
      <w:pPr>
        <w:pStyle w:val="ListBullet"/>
      </w:pPr>
      <w:r>
        <w:rPr>
          <w:b/>
        </w:rPr>
        <w:t>Problema:</w:t>
      </w:r>
    </w:p>
    <w:p>
      <w:pPr>
        <w:pStyle w:val="ListBullet2"/>
      </w:pPr>
      <w:r>
        <w:t>El texto limita el cribado a los criterios USPSTF (50-80 años, ≥20 paquetes-año).</w:t>
      </w:r>
    </w:p>
    <w:p>
      <w:pPr>
        <w:pStyle w:val="ListBullet2"/>
      </w:pPr>
      <w:r>
        <w:t>En nunca fumadores dice que "annual LDCT screening is not currently recommended" (PDF 131).</w:t>
      </w:r>
    </w:p>
    <w:p>
      <w:pPr>
        <w:pStyle w:val="ListBullet2"/>
      </w:pPr>
      <w:r>
        <w:t>La figura lo extiende a "all patients" y usa HRCT, que tiene mayor dosis y otra finalidad, en lugar de LDCT.</w:t>
      </w:r>
    </w:p>
    <w:p>
      <w:pPr>
        <w:pStyle w:val="ListBullet2"/>
      </w:pPr>
      <w:r>
        <w:t>El key point de PDF 123 ("in patients with a smoking history") también es más laxo que USPSTF: omite los paquetes-año y los años desde el abandono.</w:t>
      </w:r>
    </w:p>
    <w:p>
      <w:pPr>
        <w:pStyle w:val="ListBullet"/>
      </w:pPr>
      <w:r>
        <w:rPr>
          <w:b/>
        </w:rPr>
        <w:t>Evidencia/justificación:</w:t>
      </w:r>
      <w:r>
        <w:t xml:space="preserve"> USPSTF 2021 (criterios citados por la propia guía en PDF 47 y 130).</w:t>
      </w:r>
    </w:p>
    <w:p>
      <w:pPr>
        <w:pStyle w:val="ListBullet"/>
      </w:pPr>
      <w:r>
        <w:rPr>
          <w:b/>
        </w:rPr>
        <w:t>Recomendación:</w:t>
      </w:r>
      <w:r>
        <w:t xml:space="preserve"> sustituir por "LDCT anual si se cumplen los criterios de cribado (USPSTF o locales)" en la Fig 5.6 y en el key point de PDF 123.</w:t>
      </w:r>
    </w:p>
    <w:p>
      <w:pPr>
        <w:pStyle w:val="ListBullet"/>
      </w:pPr>
      <w:r>
        <w:rPr>
          <w:b/>
        </w:rPr>
        <w:t>Confianza:</w:t>
      </w:r>
      <w:r>
        <w:t xml:space="preserve"> 5</w:t>
      </w:r>
    </w:p>
    <w:p>
      <w:pPr>
        <w:pStyle w:val="Heading4"/>
      </w:pPr>
      <w:r>
        <w:t>MUL-01 · Figuras 5.5 y 5.6: HRCT anual para «cribado de cáncer» en todos los pacientes con EPOC</w:t>
      </w:r>
    </w:p>
    <w:p>
      <w:r>
        <w:rPr>
          <w:i/>
        </w:rPr>
        <w:t xml:space="preserve">Severidad final: </w:t>
      </w:r>
      <w:r>
        <w:rPr>
          <w:i/>
          <w:color w:val="ED7D31"/>
        </w:rPr>
        <w:t>🟠</w:t>
      </w:r>
      <w:r>
        <w:rPr>
          <w:i/>
        </w:rPr>
        <w:t xml:space="preserve"> ALTA · Tema T03: Cribado de cáncer de pulmón</w:t>
      </w:r>
    </w:p>
    <w:p>
      <w:pPr>
        <w:pStyle w:val="IntenseQuote"/>
      </w:pPr>
      <w:r>
        <w:rPr>
          <w:b/>
        </w:rPr>
        <w:t>Verificación independiente (CONFIRMADO):</w:t>
      </w:r>
      <w:r>
        <w:t xml:space="preserve"> Matizar que las figuras se presentan como «enfoque complementario potencial», no como recomendación formal. Rebajar MUL-01 de CRÍTICA a ALTA. | La figura propone una TC de alta resolución anual «de cribado» para todos los pacientes. Eso contradice el texto de la propia guía (PDF 123 y 130-131, que excluye a los no fumadores) y los criterios de la USPSTF. Corrección: «LDCT anual solo si se cumplen los criterios de cribado y el paciente es candidato a tratamiento curativo, tras decisión compartida». En la Fig 5.5: «TC según las indicaciones del cap. 2 (Fig 2.1…</w:t>
      </w:r>
    </w:p>
    <w:p>
      <w:pPr>
        <w:pStyle w:val="IntenseQuote"/>
      </w:pPr>
      <w:r>
        <w:rPr>
          <w:b/>
        </w:rPr>
        <w:t>Severidad ajustada en la consolidación:</w:t>
      </w:r>
      <w:r>
        <w:t xml:space="preserve"> CRÍTICA → ALTA</w:t>
      </w:r>
    </w:p>
    <w:p>
      <w:pPr>
        <w:pStyle w:val="ListBullet"/>
      </w:pPr>
      <w:r>
        <w:rPr>
          <w:b/>
        </w:rPr>
        <w:t>Tipo:</w:t>
      </w:r>
      <w:r>
        <w:t xml:space="preserve"> Incongruencia interna</w:t>
      </w:r>
    </w:p>
    <w:p>
      <w:pPr>
        <w:pStyle w:val="ListBullet"/>
      </w:pPr>
      <w:r>
        <w:rPr>
          <w:b/>
        </w:rPr>
        <w:t>Severidad:</w:t>
      </w:r>
      <w:r>
        <w:t xml:space="preserve"> CRÍTICA</w:t>
      </w:r>
    </w:p>
    <w:p>
      <w:pPr>
        <w:pStyle w:val="ListBullet"/>
      </w:pPr>
      <w:r>
        <w:rPr>
          <w:b/>
        </w:rPr>
        <w:t>Ubicación:</w:t>
      </w:r>
      <w:r>
        <w:t xml:space="preserve"> PDF 141 / impr. 130 — Fig. 5.6 (seguimiento); PDF 140 / impr. 129 — Fig. 5.5 (evaluación inicial)</w:t>
      </w:r>
    </w:p>
    <w:p>
      <w:pPr>
        <w:pStyle w:val="ListBullet"/>
      </w:pPr>
      <w:r>
        <w:rPr>
          <w:b/>
        </w:rPr>
        <w:t>Cita:</w:t>
      </w:r>
      <w:r>
        <w:t xml:space="preserve"> Fig. 5.6, título: "…Morbidities in all Patients with COPD – Regular Follow-up"; recuadro: "Yearly … chest HRCT (cancer screening)". Fig. 5.5: "Spirometry, chest X-ray, chest HRCT, lung volumes, DLco, SpO2".</w:t>
      </w:r>
    </w:p>
    <w:p>
      <w:pPr>
        <w:pStyle w:val="ListBullet"/>
      </w:pPr>
      <w:r>
        <w:rPr>
          <w:b/>
        </w:rPr>
        <w:t>Problema:</w:t>
      </w:r>
      <w:r>
        <w:t xml:space="preserve"> La figura propone una HRCT anual como cribado de cáncer para </w:t>
      </w:r>
      <w:r>
        <w:rPr>
          <w:i/>
        </w:rPr>
        <w:t>todos</w:t>
      </w:r>
      <w:r>
        <w:t xml:space="preserve"> los pacientes con EPOC: también para los nunca fumadores, para los mayores de 80 años, para quienes dejaron de fumar hace más de 15 años y para quienes tienen una esperanza de vida limitada. Además, el cribado oncológico se hace con LDCT, no con HRCT. Esto choca con:</w:t>
      </w:r>
    </w:p>
    <w:p>
      <w:pPr>
        <w:pStyle w:val="ListBullet2"/>
      </w:pPr>
      <w:r>
        <w:t>el punto clave de PDF 123 (cribado anual con LDCT solo con antecedente tabáquico y no en la EPOC no tabáquica);</w:t>
      </w:r>
    </w:p>
    <w:p>
      <w:pPr>
        <w:pStyle w:val="ListBullet2"/>
      </w:pPr>
      <w:r>
        <w:t>el texto de PDF 130-131 (criterios USPSTF; «annual LDCT screening is not currently recommended for these individuals»);</w:t>
      </w:r>
    </w:p>
    <w:p>
      <w:pPr>
        <w:pStyle w:val="ListBullet2"/>
      </w:pPr>
      <w:r>
        <w:t>el cap. 2 (PDF 57 / impr. 46: «chest CT is not required for COPD diagnosis»; PDF 58 / impr. 47: la TC «should be considered» en indicaciones concretas, entre ellas «meet criteria for lung cancer screening»).</w:t>
      </w:r>
    </w:p>
    <w:p>
      <w:pPr>
        <w:pStyle w:val="ListBullet"/>
      </w:pPr>
      <w:r>
        <w:rPr>
          <w:b/>
        </w:rPr>
        <w:t>Evidencia/justificación:</w:t>
      </w:r>
    </w:p>
    <w:p>
      <w:pPr>
        <w:pStyle w:val="ListBullet2"/>
      </w:pPr>
      <w:r>
        <w:t>La USPSTF 2021 (Krist AH, JAMA 2021;325:962) recomienda LDCT anual solo entre los 50 y los 80 años, con ≥20 paquetes-año y habiendo dejado de fumar hace ≤15 años. El NLST (NEJM 2011;365:395) y el NELSON (de Koning, NEJM 2020;382:503) usaron protocolos de baja dosis.</w:t>
      </w:r>
    </w:p>
    <w:p>
      <w:pPr>
        <w:pStyle w:val="ListBullet2"/>
      </w:pPr>
      <w:r>
        <w:t>La HRCT en volumen completo suele implicar más radiación. Aplicarla de forma universal y anual multiplica los falsos positivos, el sobrediagnóstico y los procedimientos invasivos, que el propio texto de PDF 131 advierte que deben evitarse.</w:t>
      </w:r>
    </w:p>
    <w:p>
      <w:pPr>
        <w:pStyle w:val="ListBullet2"/>
      </w:pPr>
      <w:r>
        <w:t>La Fig. 5.5 coloca la HRCT en la evaluación inicial de todos los pacientes, en contra de lo que dice el cap. 2.</w:t>
      </w:r>
    </w:p>
    <w:p>
      <w:pPr>
        <w:pStyle w:val="ListBullet"/>
      </w:pPr>
      <w:r>
        <w:rPr>
          <w:b/>
        </w:rPr>
        <w:t>Recomendación:</w:t>
      </w:r>
    </w:p>
    <w:p>
      <w:pPr>
        <w:pStyle w:val="ListBullet2"/>
      </w:pPr>
      <w:r>
        <w:t xml:space="preserve">En la Fig. 5.6, sustituir por: «LDCT anual </w:t>
      </w:r>
      <w:r>
        <w:rPr>
          <w:i/>
        </w:rPr>
        <w:t>solo</w:t>
      </w:r>
      <w:r>
        <w:t xml:space="preserve"> si se cumplen los criterios de cribado (p. ej., USPSTF 2021 o ACS 2023) y el paciente es candidato a tratamiento curativo».</w:t>
      </w:r>
    </w:p>
    <w:p>
      <w:pPr>
        <w:pStyle w:val="ListBullet2"/>
      </w:pPr>
      <w:r>
        <w:t>En la Fig. 5.5, indicar: «TC de tórax según las indicaciones del cap. 2 (Fig. 2.14)».</w:t>
      </w:r>
    </w:p>
    <w:p>
      <w:pPr>
        <w:pStyle w:val="ListBullet2"/>
      </w:pPr>
      <w:r>
        <w:t>Añadir una nota de toma de decisiones compartida y de cese del cribado.</w:t>
      </w:r>
    </w:p>
    <w:p>
      <w:pPr>
        <w:pStyle w:val="ListBullet"/>
      </w:pPr>
      <w:r>
        <w:rPr>
          <w:b/>
        </w:rPr>
        <w:t>Confianza:</w:t>
      </w:r>
      <w:r>
        <w:t xml:space="preserve"> 5/5</w:t>
      </w:r>
    </w:p>
    <w:p>
      <w:pPr>
        <w:pStyle w:val="Heading4"/>
      </w:pPr>
      <w:r>
        <w:t>INT-04 · Rehabilitación iniciada «durante la hospitalización» presentada como intervención que reduce la mortalidad, en contradicción con el Apéndice 4 y con la propia Fig. 3.19</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Igual precisión de ubicación: Apéndice (texto), no Fig A4.1. | 1. Separar la movilización intrahospitalaria de la rehabilitación estructurada tras el alta. 2. Eliminar "during hospitalization" de la afirmación de mortalidad. 3. Indicar que los metaanálisis más recientes (Lu 2023, Cochrane 2016) no muestran una reducción significativa de la mortalidad. 4. Citar Greening 2014 en el cuerpo principal. 5. Recomendar iniciar la rehabilitación en las 3-4 semanas tras el alta.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91 / impr. 80 — Fig. 3.19 (fila «Pulmonary rehabilitation») y texto; PDF 172 / impr. 161 — Apéndice 4; PDF 120 / impr. 109 — cap. 4</w:t>
      </w:r>
    </w:p>
    <w:p>
      <w:pPr>
        <w:pStyle w:val="ListBullet"/>
      </w:pPr>
      <w:r>
        <w:rPr>
          <w:b/>
        </w:rPr>
        <w:t>Cita:</w:t>
      </w:r>
      <w:r>
        <w:t xml:space="preserve"> PDF 91: "reduction in mortality for patients who had pulmonary rehabilitation initiated during hospitalization or 4 weeks after discharge". PDF 172: "initiating pulmonary rehabilitation before the patient's discharge may compromise survival through unknown mechanisms.(1726)"</w:t>
      </w:r>
    </w:p>
    <w:p>
      <w:pPr>
        <w:pStyle w:val="ListBullet"/>
      </w:pPr>
      <w:r>
        <w:rPr>
          <w:b/>
        </w:rPr>
        <w:t>Problema:</w:t>
      </w:r>
    </w:p>
    <w:p>
      <w:pPr>
        <w:pStyle w:val="ListBullet2"/>
      </w:pPr>
      <w:r>
        <w:rPr>
          <w:b/>
        </w:rPr>
        <w:t>La propia Fig. 3.19 no sostiene el efecto.</w:t>
      </w:r>
      <w:r>
        <w:t xml:space="preserve"> Pone «Yes» en «RCT» y describe a la población como «during or ≤ 4 weeks after discharge». Pero su dato más reciente es no significativo (RR 0,68; IC 0,28-1,67) y su nota al pie dice «#Inconclusive». En Cochrane las medidas son OR, no RR.</w:t>
      </w:r>
    </w:p>
    <w:p>
      <w:pPr>
        <w:pStyle w:val="ListBullet2"/>
      </w:pPr>
      <w:r>
        <w:rPr>
          <w:b/>
        </w:rPr>
        <w:t>El Apéndice 4 dice lo contrario.</w:t>
      </w:r>
      <w:r>
        <w:t xml:space="preserve"> Afirma que los efectos a largo plazo sobre la mortalidad «were not statistically significant» y que iniciar la rehabilitación antes del alta puede comprometer la supervivencia (Greening 2014).</w:t>
      </w:r>
    </w:p>
    <w:p>
      <w:pPr>
        <w:pStyle w:val="ListBullet2"/>
      </w:pPr>
      <w:r>
        <w:rPr>
          <w:b/>
        </w:rPr>
        <w:t>El cap. 4 matiza que la evidencia es heterogénea.</w:t>
      </w:r>
    </w:p>
    <w:p>
      <w:pPr>
        <w:pStyle w:val="ListBullet2"/>
      </w:pPr>
      <w:r>
        <w:t>Recomendar rehabilitación intrahospitalaria para reducir la mortalidad no está justificado y puede llevar a una implementación inapropiada.</w:t>
      </w:r>
    </w:p>
    <w:p>
      <w:pPr>
        <w:pStyle w:val="ListBullet"/>
      </w:pPr>
      <w:r>
        <w:rPr>
          <w:b/>
        </w:rPr>
        <w:t>Evidencia/justificación:</w:t>
      </w:r>
    </w:p>
    <w:p>
      <w:pPr>
        <w:pStyle w:val="ListBullet2"/>
      </w:pPr>
      <w:r>
        <w:t>Puhan MA et al., Cochrane 2016;CD005305 (ref. 781): mortalidad OR 0,68 (0,28-1,67), «inconclusive». La OR 0,28 procede de la versión de 2011, con pocos ensayos.</w:t>
      </w:r>
    </w:p>
    <w:p>
      <w:pPr>
        <w:pStyle w:val="ListBullet2"/>
      </w:pPr>
      <w:r>
        <w:t xml:space="preserve">Greening NJ et al., </w:t>
      </w:r>
      <w:r>
        <w:rPr>
          <w:i/>
        </w:rPr>
        <w:t>BMJ</w:t>
      </w:r>
      <w:r>
        <w:t xml:space="preserve"> 2014;349:g4315: rehabilitación precoz iniciada en el hospital sin beneficio en reingresos y con mayor mortalidad a 12 meses.</w:t>
      </w:r>
    </w:p>
    <w:p>
      <w:pPr>
        <w:pStyle w:val="ListBullet2"/>
      </w:pPr>
      <w:r>
        <w:t xml:space="preserve">Lindenauer PK et al., </w:t>
      </w:r>
      <w:r>
        <w:rPr>
          <w:i/>
        </w:rPr>
        <w:t>JAMA</w:t>
      </w:r>
      <w:r>
        <w:t xml:space="preserve"> 2020 (ref. 782): estudio observacional, inicio ≤ 90 días </w:t>
      </w:r>
      <w:r>
        <w:rPr>
          <w:b/>
        </w:rPr>
        <w:t>tras el alta</w:t>
      </w:r>
      <w:r>
        <w:t>.</w:t>
      </w:r>
    </w:p>
    <w:p>
      <w:pPr>
        <w:pStyle w:val="ListBullet"/>
      </w:pPr>
      <w:r>
        <w:rPr>
          <w:b/>
        </w:rPr>
        <w:t>Recomendación:</w:t>
      </w:r>
    </w:p>
    <w:p>
      <w:pPr>
        <w:pStyle w:val="ListBullet2"/>
      </w:pPr>
      <w:r>
        <w:t>Mover la rehabilitación de la Fig. 3.19 a una categoría de «posible beneficio; evidencia inconsistente», o eliminarla de la tabla de intervenciones que reducen la mortalidad.</w:t>
      </w:r>
    </w:p>
    <w:p>
      <w:pPr>
        <w:pStyle w:val="ListBullet2"/>
      </w:pPr>
      <w:r>
        <w:t>En el texto, especificar «iniciada tras el alta (≤ 4 semanas)» y advertir que iniciarla durante el ingreso no ha demostrado reducir la mortalidad (Greening 2014).</w:t>
      </w:r>
    </w:p>
    <w:p>
      <w:pPr>
        <w:pStyle w:val="ListBullet2"/>
      </w:pPr>
      <w:r>
        <w:t>Armonizar la redacción del cap. 3, el cap. 4 y el Apéndice 4.</w:t>
      </w:r>
    </w:p>
    <w:p>
      <w:pPr>
        <w:pStyle w:val="ListBullet"/>
      </w:pPr>
      <w:r>
        <w:rPr>
          <w:b/>
        </w:rPr>
        <w:t>Confianza:</w:t>
      </w:r>
      <w:r>
        <w:t xml:space="preserve"> 5/5</w:t>
      </w:r>
    </w:p>
    <w:p>
      <w:pPr>
        <w:pStyle w:val="Heading4"/>
      </w:pPr>
      <w:r>
        <w:t>REH-01 · Inicio de la RR «durante la hospitalización» presentado como reductor de mortalidad pese a la señal de daño</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La señal de daño está en el texto del Apéndice 4, no en la Fig A4.1. Esa figura solo afirma reducción de hospitalización (≤ 4 semanas, Evidence B) y no menciona la mortalidad. El Apéndice también cita la ref. 1725 (Chen 2025), favorable al inicio precoz, y el hallazgo debería mencionarla. Rebajar de CRÍTICA a ALTA. | 1. Separar la movilización intrahospitalaria de la rehabilitación estructurada tras el alta. 2. Eliminar "during hospitalization" de la afirmación de mortalidad. 3. Indicar que los metaanálisis más recientes (Lu 2023, Cochrane 2016) no muestran una reducción significativa de la mortalidad. 4. Citar Greening 2014 en el cuerpo principal. 5. Recomendar iniciar la rehabilitación en las 3-4 semanas tras el alta.</w:t>
      </w:r>
    </w:p>
    <w:p>
      <w:pPr>
        <w:pStyle w:val="IntenseQuote"/>
      </w:pPr>
      <w:r>
        <w:rPr>
          <w:b/>
        </w:rPr>
        <w:t>Severidad ajustada en la consolidación:</w:t>
      </w:r>
      <w:r>
        <w:t xml:space="preserve"> CRÍTICA → ALTA</w:t>
      </w:r>
    </w:p>
    <w:p>
      <w:pPr>
        <w:pStyle w:val="ListBullet"/>
      </w:pPr>
      <w:r>
        <w:rPr>
          <w:b/>
        </w:rPr>
        <w:t>Tipo:</w:t>
      </w:r>
      <w:r>
        <w:t xml:space="preserve"> Evidencia mal representada / Incongruencia interna</w:t>
      </w:r>
    </w:p>
    <w:p>
      <w:pPr>
        <w:pStyle w:val="ListBullet"/>
      </w:pPr>
      <w:r>
        <w:rPr>
          <w:b/>
        </w:rPr>
        <w:t>Severidad:</w:t>
      </w:r>
      <w:r>
        <w:t xml:space="preserve"> CRÍTICA</w:t>
      </w:r>
    </w:p>
    <w:p>
      <w:pPr>
        <w:pStyle w:val="ListBullet"/>
      </w:pPr>
      <w:r>
        <w:rPr>
          <w:b/>
        </w:rPr>
        <w:t>Ubicación:</w:t>
      </w:r>
      <w:r>
        <w:t xml:space="preserve"> PDF 91 / impr. 80 — cap. 3, «Therapeutic interventions that reduce COPD mortality» y Figura 3.19 (fila «Pulmonary rehabilitation»); PDF 172 / impr. 161 — Apéndice 4 y Figura A4.1; PDF 120 / impr. 109 — cap. 4.</w:t>
      </w:r>
    </w:p>
    <w:p>
      <w:pPr>
        <w:pStyle w:val="ListBullet"/>
      </w:pPr>
      <w:r>
        <w:rPr>
          <w:b/>
        </w:rPr>
        <w:t>Cita:</w:t>
      </w:r>
      <w:r>
        <w:t xml:space="preserve"> Cap. 3: «reported a reduction in mortality for patients who had pulmonary rehabilitation initiated during hospitalization or 4 weeks after discharge». Figura 3.19: «Hospitalized for exacerbations of COPD (during or ≤ 4 weeks after discharge)». Apéndice: «initiating pulmonary rehabilitation before the patient's discharge may compromise survival through unknown mechanisms.(1726)»</w:t>
      </w:r>
    </w:p>
    <w:p>
      <w:pPr>
        <w:pStyle w:val="ListBullet"/>
      </w:pPr>
      <w:r>
        <w:rPr>
          <w:b/>
        </w:rPr>
        <w:t>Problema:</w:t>
      </w:r>
      <w:r>
        <w:t xml:space="preserve"> El capítulo principal y la figura de intervenciones que reducen la mortalidad equiparan el inicio intrahospitalario con el inicio precoz tras el alta, y les atribuyen beneficio de supervivencia. La única señal de daño (ensayo aleatorizado de Greening) solo aparece en el Apéndice, en una frase aislada y sin traducirse en recomendación. Ningún capítulo formula una recomendación explícita sobre cuándo iniciar la RR (no antes del alta; en las 3 semanas posteriores). El Apéndice también cita un metaanálisis de RR intrahospitalaria (ref. 1715, Moecke 2023) para una afirmación distinta («chronic hypercapnic failure show benefit», PDF 171), sin conciliarlo con Greening. Un clínico podría iniciar entrenamiento progresivo en las primeras 48 h del ingreso creyendo que reduce la mortalidad.</w:t>
      </w:r>
    </w:p>
    <w:p>
      <w:pPr>
        <w:pStyle w:val="ListBullet"/>
      </w:pPr>
      <w:r>
        <w:rPr>
          <w:b/>
        </w:rPr>
        <w:t>Evidencia/justificación:</w:t>
      </w:r>
    </w:p>
    <w:p>
      <w:pPr>
        <w:pStyle w:val="ListBullet2"/>
      </w:pPr>
      <w:r>
        <w:t>Greening NJ et al., BMJ 2014;349:g4315 (doi:10.1136/bmj.g4315): RR precoz iniciada en las primeras 48 h del ingreso. Sin reducción de reingresos y con mayor mortalidad a 12 meses (OR ≈ 1,74; IC 95 % 1,05-2,88).</w:t>
      </w:r>
    </w:p>
    <w:p>
      <w:pPr>
        <w:pStyle w:val="ListBullet2"/>
      </w:pPr>
      <w:r>
        <w:t xml:space="preserve">Wedzicha JA et al., guía ERS/ATS 2017 (Eur Respir J 2017;49:1600791): sugiere </w:t>
      </w:r>
      <w:r>
        <w:rPr>
          <w:b/>
        </w:rPr>
        <w:t>no</w:t>
      </w:r>
      <w:r>
        <w:t xml:space="preserve"> iniciar RR durante la hospitalización e iniciarla en las 3 semanas posteriores al alta.</w:t>
      </w:r>
    </w:p>
    <w:p>
      <w:pPr>
        <w:pStyle w:val="ListBullet2"/>
      </w:pPr>
      <w:r>
        <w:t>Rochester CL et al., guía ATS 2023 (Am J Respir Crit Care Med 2023;208:e7-e26; PMID 37581410; ref. 736 del propio GOLD): recomendación fuerte de RR tras hospitalización, iniciada en las 3 semanas posteriores al alta.</w:t>
      </w:r>
    </w:p>
    <w:p>
      <w:pPr>
        <w:pStyle w:val="ListBullet2"/>
      </w:pPr>
      <w:r>
        <w:t>Moecke 2023 (Ann Am Thorac Soc) concluye que la RR intrahospitalaria es segura y mejora la capacidad funcional (certeza baja, alto riesgo de sesgo). Hay, por tanto, evidencia discordante que debe explicarse y no mezclarse con la evidencia posterior al alta.</w:t>
      </w:r>
    </w:p>
    <w:p>
      <w:pPr>
        <w:pStyle w:val="ListBullet"/>
      </w:pPr>
      <w:r>
        <w:rPr>
          <w:b/>
        </w:rPr>
        <w:t>Recomendación:</w:t>
      </w:r>
    </w:p>
    <w:p>
      <w:pPr>
        <w:pStyle w:val="ListBullet2"/>
      </w:pPr>
      <w:r>
        <w:t>Separar en texto y figura «movilización/fisioterapia intrahospitalaria» y «RR estructurada tras el alta».</w:t>
      </w:r>
    </w:p>
    <w:p>
      <w:pPr>
        <w:pStyle w:val="ListBullet2"/>
      </w:pPr>
      <w:r>
        <w:t>Retirar «during» de la Figura 3.19 y del texto de PDF 91.</w:t>
      </w:r>
    </w:p>
    <w:p>
      <w:pPr>
        <w:pStyle w:val="ListBullet2"/>
      </w:pPr>
      <w:r>
        <w:t>Añadir una recomendación explícita en cap. 3 y cap. 4: iniciar la RR estructurada en las 3-4 semanas posteriores al alta y no iniciar entrenamiento progresivo antes del alta, salvo protocolos supervisados de movilización. Citar Greening 2014 y ERS/ATS 2017 en el cuerpo principal.</w:t>
      </w:r>
    </w:p>
    <w:p>
      <w:pPr>
        <w:pStyle w:val="ListBullet"/>
      </w:pPr>
      <w:r>
        <w:rPr>
          <w:b/>
        </w:rPr>
        <w:t>Confianza:</w:t>
      </w:r>
      <w:r>
        <w:t xml:space="preserve"> 4/5</w:t>
      </w:r>
    </w:p>
    <w:p>
      <w:pPr>
        <w:pStyle w:val="Heading4"/>
      </w:pPr>
      <w:r>
        <w:t>REH-02 · La evidencia de mortalidad de la RR tras exacerbación se sobrestima (texto frente a datos de la propia Figura 3.19)</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Que Puhan 2011/2016 expresen el efecto como OR y no como RR es [externo, no verificable con figuras].</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r>
        <w:t xml:space="preserve"> PDF 91 / impr. 80 — texto y Figura 3.19; PDF 172 / impr. 161 — Apéndice 4.</w:t>
      </w:r>
    </w:p>
    <w:p>
      <w:pPr>
        <w:pStyle w:val="ListBullet"/>
      </w:pPr>
      <w:r>
        <w:rPr>
          <w:b/>
        </w:rPr>
        <w:t>Cita:</w:t>
      </w:r>
      <w:r>
        <w:t xml:space="preserve"> Figura 3.19, fila de RR: «New trials: RR 0.68 (95% CI 0.28, 1.67)»; nota al pie: «#Inconclusive results likely due to differences in pulmonary rehabilitation…». Apéndice: «Long-term effects on mortality were not statistically significant».</w:t>
      </w:r>
    </w:p>
    <w:p>
      <w:pPr>
        <w:pStyle w:val="ListBullet"/>
      </w:pPr>
      <w:r>
        <w:rPr>
          <w:b/>
        </w:rPr>
        <w:t>Problema:</w:t>
      </w:r>
      <w:r>
        <w:t xml:space="preserve"> La figura se titula «Evidence Supporting a Reduction in Mortality», pero el dato más reciente que muestra para la RR no es significativo y se califica de «inconcluso». El texto de PDF 91 afirma sin matices una «reducción de mortalidad» (refs. 778-781), aunque la ref. 781 (Cochrane 2016) no la demuestra. Además, Puhan 2011 y Puhan 2016 expresan el efecto como odds ratio, no como RR.</w:t>
      </w:r>
    </w:p>
    <w:p>
      <w:pPr>
        <w:pStyle w:val="ListBullet"/>
      </w:pPr>
      <w:r>
        <w:rPr>
          <w:b/>
        </w:rPr>
        <w:t>Evidencia/justificación:</w:t>
      </w:r>
    </w:p>
    <w:p>
      <w:pPr>
        <w:pStyle w:val="ListBullet2"/>
      </w:pPr>
      <w:r>
        <w:t>Puhan MA et al., Cochrane 2016;CD005305 (ref. 781): mortalidad OR 0,68 (0,28-1,67), no significativa.</w:t>
      </w:r>
    </w:p>
    <w:p>
      <w:pPr>
        <w:pStyle w:val="ListBullet2"/>
      </w:pPr>
      <w:r>
        <w:t xml:space="preserve">Ryrsø CK et al., BMC Pulm Med 2018;18:154 (ref. 779): reducción de la mortalidad a corto plazo (RR 0,58; 0,35-0,98), pero </w:t>
      </w:r>
      <w:r>
        <w:rPr>
          <w:b/>
        </w:rPr>
        <w:t>no</w:t>
      </w:r>
      <w:r>
        <w:t xml:space="preserve"> a largo plazo (RR 0,55; 0,12-2,57).</w:t>
      </w:r>
    </w:p>
    <w:p>
      <w:pPr>
        <w:pStyle w:val="ListBullet2"/>
      </w:pPr>
      <w:r>
        <w:t>Jenkins AR et al., Thorax 2024 (ref. 1723; PMID 38350731), con RR iniciada ≤ 3 semanas tras el alta: menos reingresos (OR ≈ 0,48), sin efecto concluyente sobre la mortalidad.</w:t>
      </w:r>
    </w:p>
    <w:p>
      <w:pPr>
        <w:pStyle w:val="ListBullet2"/>
      </w:pPr>
      <w:r>
        <w:t>El apoyo observacional (Lindenauer, JAMA 2020; ref. 782) es nivel C según la Tabla A (PDF 14).</w:t>
      </w:r>
    </w:p>
    <w:p>
      <w:pPr>
        <w:pStyle w:val="ListBullet"/>
      </w:pPr>
      <w:r>
        <w:rPr>
          <w:b/>
        </w:rPr>
        <w:t>Recomendación:</w:t>
      </w:r>
      <w:r>
        <w:t xml:space="preserve"> Reformular así: «la RR iniciada tras el alta reduce reingresos y mejora la calidad de vida y la capacidad de ejercicio; la reducción de mortalidad se limita al corto plazo en metaanálisis pequeños y a datos observacionales». Corregir RR→OR en la figura. Valorar trasladar la RR a una categoría de «evidencia sugestiva/inconclusa» dentro de la Figura 3.19.</w:t>
      </w:r>
    </w:p>
    <w:p>
      <w:pPr>
        <w:pStyle w:val="ListBullet"/>
      </w:pPr>
      <w:r>
        <w:rPr>
          <w:b/>
        </w:rPr>
        <w:t>Confianza:</w:t>
      </w:r>
      <w:r>
        <w:t xml:space="preserve"> 5/5</w:t>
      </w:r>
    </w:p>
    <w:p>
      <w:pPr>
        <w:pStyle w:val="Heading4"/>
      </w:pPr>
      <w:r>
        <w:t>INT-01 · Criterios de derivación y listado para trasplante: la Fig. 3.22 contradice el texto y ambos están desactualizados</w:t>
      </w:r>
    </w:p>
    <w:p>
      <w:r>
        <w:rPr>
          <w:i/>
        </w:rPr>
        <w:t xml:space="preserve">Severidad final: </w:t>
      </w:r>
      <w:r>
        <w:rPr>
          <w:i/>
          <w:color w:val="ED7D31"/>
        </w:rPr>
        <w:t>🟠</w:t>
      </w:r>
      <w:r>
        <w:rPr>
          <w:i/>
        </w:rPr>
        <w:t xml:space="preserve"> ALTA · Tema T06: Trasplante pulmonar</w:t>
      </w:r>
    </w:p>
    <w:p>
      <w:pPr>
        <w:pStyle w:val="IntenseQuote"/>
      </w:pPr>
      <w:r>
        <w:rPr>
          <w:b/>
        </w:rPr>
        <w:t>Verificación independiente (CONFIRMADO PARCIAL):</w:t>
      </w:r>
      <w:r>
        <w:t xml:space="preserve"> La contradicción entre figura y texto se confirma. «Ambos desactualizados» es exagerado: según el propio hallazgo, los criterios de derivación del texto coinciden en contenido con ISHLT 2021. Solo faltan la cita de 2021 y la derivación concurrente. Lo desactualizado es la figura (ISHLT 2006). Rebajar de CRÍTICA a ALTA. | 1. Retitular la Fig. 3.22 como criterios de inclusión en lista, o sustituirla por los criterios de derivación de ISHLT 2021. 2. Actualizar el texto a Leard 2021, que debe citarse. 3. Eliminar "no candidato a LVRS" como requisito previo y recoger la derivación simultánea.</w:t>
      </w:r>
    </w:p>
    <w:p>
      <w:pPr>
        <w:pStyle w:val="IntenseQuote"/>
      </w:pPr>
      <w:r>
        <w:rPr>
          <w:b/>
        </w:rPr>
        <w:t>Severidad ajustada en la consolidación:</w:t>
      </w:r>
      <w:r>
        <w:t xml:space="preserve"> CRÍTICA → ALTA</w:t>
      </w:r>
    </w:p>
    <w:p>
      <w:pPr>
        <w:pStyle w:val="ListBullet"/>
      </w:pPr>
      <w:r>
        <w:rPr>
          <w:b/>
        </w:rPr>
        <w:t>Tipo:</w:t>
      </w:r>
      <w:r>
        <w:t xml:space="preserve"> Incongruencia interna / Desactualización</w:t>
      </w:r>
    </w:p>
    <w:p>
      <w:pPr>
        <w:pStyle w:val="ListBullet"/>
      </w:pPr>
      <w:r>
        <w:rPr>
          <w:b/>
        </w:rPr>
        <w:t>Severidad:</w:t>
      </w:r>
      <w:r>
        <w:t xml:space="preserve"> CRÍTICA</w:t>
      </w:r>
    </w:p>
    <w:p>
      <w:pPr>
        <w:pStyle w:val="ListBullet"/>
      </w:pPr>
      <w:r>
        <w:rPr>
          <w:b/>
        </w:rPr>
        <w:t>Ubicación:</w:t>
      </w:r>
      <w:r>
        <w:t xml:space="preserve"> PDF 97 / impr. 86 — Fig. 3.22, fila «Transplantation»; PDF 102 / impr. 91 — «Lung transplantation»</w:t>
      </w:r>
    </w:p>
    <w:p>
      <w:pPr>
        <w:pStyle w:val="ListBullet"/>
      </w:pPr>
      <w:r>
        <w:rPr>
          <w:b/>
        </w:rPr>
        <w:t>Cita:</w:t>
      </w:r>
      <w:r>
        <w:t xml:space="preserve"> Fig. 3.22: "BODE score of 7 to 10, and not candidates for lung volume reduction) lung transplantation may be considered for referral". Texto: "have a BODE index of 5 to 6, a PaCO2 &gt; 50 mmHg (6.6 kPa) and/or PaO2 &lt; 60 mmHg (8 kPa) and FEV1 &lt; 25%.(908)"</w:t>
      </w:r>
    </w:p>
    <w:p>
      <w:pPr>
        <w:pStyle w:val="ListBullet"/>
      </w:pPr>
      <w:r>
        <w:rPr>
          <w:b/>
        </w:rPr>
        <w:t>Problema:</w:t>
      </w:r>
    </w:p>
    <w:p>
      <w:pPr>
        <w:pStyle w:val="ListNumber"/>
        <w:numPr>
          <w:ilvl w:val="0"/>
          <w:numId w:val="10"/>
        </w:numPr>
      </w:pPr>
      <w:r>
        <w:t xml:space="preserve">La figura llama «criterios de derivación» a los criterios ISHLT 2006 </w:t>
      </w:r>
      <w:r>
        <w:rPr>
          <w:b/>
        </w:rPr>
        <w:t>de trasplante/listado</w:t>
      </w:r>
      <w:r>
        <w:t>: BODE 7-10 más al menos uno de estos tres: hospitalización con PaCO2 &gt; 50 mmHg; hipertensión pulmonar o cor pulmonale pese a O2; FEV1 &lt; 20 % con DLCO &lt; 20 % o enfisema homogéneo. El texto de la PDF 102, en cambio, usa los criterios ISHLT 2014: derivación con BODE 5-6 y listado con BODE ≥ 7. Hay, por tanto, dos umbrales de derivación incompatibles en dos páginas del mismo capítulo.</w:t>
      </w:r>
    </w:p>
    <w:p>
      <w:pPr>
        <w:pStyle w:val="ListNumber"/>
        <w:numPr>
          <w:ilvl w:val="0"/>
          <w:numId w:val="10"/>
        </w:numPr>
      </w:pPr>
      <w:r>
        <w:t>Ambos exigen ser «no candidato» a reducción de volumen. Eso contradice la propia sección sobre la secuencia LVRS/ELVR → trasplante (PDF 100-101).</w:t>
      </w:r>
    </w:p>
    <w:p>
      <w:pPr>
        <w:pStyle w:val="ListNumber"/>
        <w:numPr>
          <w:ilvl w:val="0"/>
          <w:numId w:val="10"/>
        </w:numPr>
      </w:pPr>
      <w:r>
        <w:t xml:space="preserve">No se cita el consenso vigente </w:t>
      </w:r>
      <w:r>
        <w:rPr>
          <w:b/>
        </w:rPr>
        <w:t>ISHLT 2021</w:t>
      </w:r>
      <w:r>
        <w:t>.</w:t>
      </w:r>
    </w:p>
    <w:p>
      <w:pPr>
        <w:pStyle w:val="ListNumber"/>
        <w:numPr>
          <w:ilvl w:val="0"/>
          <w:numId w:val="10"/>
        </w:numPr>
      </w:pPr>
      <w:r>
        <w:t>El uso de «and» entre PaCO2/PaO2 y FEV1 sugiere que hacen falta todos los criterios a la vez. En el documento ISHLT, la lista se entiende como criterios alternativos.</w:t>
      </w:r>
    </w:p>
    <w:p>
      <w:pPr>
        <w:pStyle w:val="ListBullet"/>
      </w:pPr>
      <w:r>
        <w:rPr>
          <w:b/>
        </w:rPr>
        <w:t>Evidencia/justificación:</w:t>
      </w:r>
    </w:p>
    <w:p>
      <w:pPr>
        <w:pStyle w:val="ListBullet2"/>
      </w:pPr>
      <w:r>
        <w:t xml:space="preserve">Orens JB et al., </w:t>
      </w:r>
      <w:r>
        <w:rPr>
          <w:i/>
        </w:rPr>
        <w:t>J Heart Lung Transplant</w:t>
      </w:r>
      <w:r>
        <w:t xml:space="preserve"> 2006;25:745-55 (criterios de trasplante BODE 7-10 + 1 de 3 = los de la figura).</w:t>
      </w:r>
    </w:p>
    <w:p>
      <w:pPr>
        <w:pStyle w:val="ListBullet2"/>
      </w:pPr>
      <w:r>
        <w:t xml:space="preserve">Weill D et al., </w:t>
      </w:r>
      <w:r>
        <w:rPr>
          <w:i/>
        </w:rPr>
        <w:t>JHLT</w:t>
      </w:r>
      <w:r>
        <w:t xml:space="preserve"> 2014;34:1-15 (ref. 908).</w:t>
      </w:r>
    </w:p>
    <w:p>
      <w:pPr>
        <w:pStyle w:val="ListBullet2"/>
      </w:pPr>
      <w:r>
        <w:t xml:space="preserve">Leard LE et al., </w:t>
      </w:r>
      <w:r>
        <w:rPr>
          <w:i/>
        </w:rPr>
        <w:t>JHLT</w:t>
      </w:r>
      <w:r>
        <w:t xml:space="preserve"> 2021;40:1349-79 (ISHLT 2021). Para la EPOC mantiene derivación con BODE 5-6, PaCO2 &gt; 50 y/o PaO2 &lt; 60 mmHg, FEV1 &lt; 25 % y progresión pese a tratamiento máximo. Recomienda </w:t>
      </w:r>
      <w:r>
        <w:rPr>
          <w:b/>
        </w:rPr>
        <w:t>derivación concurrente</w:t>
      </w:r>
      <w:r>
        <w:t xml:space="preserve"> a valoración de reducción de volumen (endoscópica o quirúrgica) y trasplante. Para el listado mantiene BODE ≥ 7, FEV1 &lt; 15-20 %, ≥ 3 exacerbaciones graves en el último año, 1 exacerbación con insuficiencia respiratoria hipercápnica e hipertensión pulmonar moderada-grave.</w:t>
      </w:r>
    </w:p>
    <w:p>
      <w:pPr>
        <w:pStyle w:val="ListBullet2"/>
      </w:pPr>
      <w:r>
        <w:t>Un clínico que use la figura (más visible que el texto) derivará cuando el paciente ya cumple criterios de listado. Eso aumenta el riesgo de muerte en lista o de perder la ventana de candidatura.</w:t>
      </w:r>
    </w:p>
    <w:p>
      <w:pPr>
        <w:pStyle w:val="ListBullet"/>
      </w:pPr>
      <w:r>
        <w:rPr>
          <w:b/>
        </w:rPr>
        <w:t>Recomendación:</w:t>
      </w:r>
    </w:p>
    <w:p>
      <w:pPr>
        <w:pStyle w:val="ListBullet2"/>
      </w:pPr>
      <w:r>
        <w:t>Sustituir la fila de la Fig. 3.22 por dos bloques diferenciados, «Derivar» y «Listar», con los criterios ISHLT 2021 explícitamente alternativos («cualquiera de»).</w:t>
      </w:r>
    </w:p>
    <w:p>
      <w:pPr>
        <w:pStyle w:val="ListBullet2"/>
      </w:pPr>
      <w:r>
        <w:t>Añadir: «considerar derivación simultánea a programa de reducción de volumen y a centro de trasplante».</w:t>
      </w:r>
    </w:p>
    <w:p>
      <w:pPr>
        <w:pStyle w:val="ListBullet2"/>
      </w:pPr>
      <w:r>
        <w:t>Citar Leard 2021 en lugar de (o además de) Weill 2014.</w:t>
      </w:r>
    </w:p>
    <w:p>
      <w:pPr>
        <w:pStyle w:val="ListBullet2"/>
      </w:pPr>
      <w:r>
        <w:t>Cambiar «are not candidates for lung volume reduction surgery» por «no candidatos o con respuesta insuficiente/agotada a LVR endoscópica o quirúrgica».</w:t>
      </w:r>
    </w:p>
    <w:p>
      <w:pPr>
        <w:pStyle w:val="ListBullet"/>
      </w:pPr>
      <w:r>
        <w:rPr>
          <w:b/>
        </w:rPr>
        <w:t>Confianza:</w:t>
      </w:r>
      <w:r>
        <w:t xml:space="preserve"> 5/5 en la incongruencia y la procedencia de los criterios; 4/5 en el detalle literal de ISHLT 2021.</w:t>
      </w:r>
    </w:p>
    <w:p>
      <w:pPr>
        <w:pStyle w:val="Heading4"/>
      </w:pPr>
      <w:r>
        <w:t>COH-02 · La Fig. 3.9 y el texto (impr. 66) dan algoritmos distintos de seguimiento por exacerbaciones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Incoherencia figura-texto</w:t>
      </w:r>
    </w:p>
    <w:p>
      <w:pPr>
        <w:pStyle w:val="ListBullet"/>
      </w:pPr>
      <w:r>
        <w:rPr>
          <w:b/>
        </w:rPr>
        <w:t>Severidad:</w:t>
      </w:r>
      <w:r>
        <w:t xml:space="preserve"> ALTA</w:t>
      </w:r>
    </w:p>
    <w:p>
      <w:pPr>
        <w:pStyle w:val="ListBullet"/>
      </w:pPr>
      <w:r>
        <w:rPr>
          <w:b/>
        </w:rPr>
        <w:t>Ubicación:</w:t>
      </w:r>
      <w:r>
        <w:t xml:space="preserve"> Fig 3.9 en PDF 74 / impr. 63; texto en PDF 77 / impr. 66; Highlights iv en PDF 5</w:t>
      </w:r>
    </w:p>
    <w:p>
      <w:pPr>
        <w:pStyle w:val="ListBullet"/>
      </w:pPr>
      <w:r>
        <w:rPr>
          <w:b/>
        </w:rPr>
        <w:t>Cita:</w:t>
      </w:r>
    </w:p>
    <w:p>
      <w:pPr>
        <w:pStyle w:val="ListBullet2"/>
      </w:pPr>
      <w:r>
        <w:t>Texto: "For patients who have an exacerbation on bronchodilator monotherapy, escalation to LABA+LAMA is recommended."</w:t>
      </w:r>
    </w:p>
    <w:p>
      <w:pPr>
        <w:pStyle w:val="ListBullet2"/>
      </w:pPr>
      <w:r>
        <w:t>Texto: "If patients treated with LABA+LAMA+ICS (or those with eosinophil counts &lt; 100 cells/µL) still have exacerbations".</w:t>
      </w:r>
    </w:p>
    <w:p>
      <w:pPr>
        <w:pStyle w:val="ListBullet"/>
      </w:pPr>
      <w:r>
        <w:rPr>
          <w:b/>
        </w:rPr>
        <w:t>Problema:</w:t>
      </w:r>
    </w:p>
    <w:p>
      <w:pPr>
        <w:pStyle w:val="ListNumber"/>
        <w:numPr>
          <w:ilvl w:val="0"/>
          <w:numId w:val="11"/>
        </w:numPr>
      </w:pPr>
      <w:r>
        <w:t>Desde la monoterapia, la figura permite escalar directamente a LABA+LAMA+ICS si eos ≥300; el texto solo contempla LABA+LAMA.</w:t>
      </w:r>
    </w:p>
    <w:p>
      <w:pPr>
        <w:pStyle w:val="ListNumber"/>
        <w:numPr>
          <w:ilvl w:val="0"/>
          <w:numId w:val="11"/>
        </w:numPr>
      </w:pPr>
      <w:r>
        <w:t>Para los biológicos, la figura exige "two moderate or one severe exacerbation AND if blood eos ≥ 300". El texto no fija un número de exacerbaciones, y Highlights iv afirma que "the threshold of one moderate exacerbation" debe usarse para escalar.</w:t>
      </w:r>
    </w:p>
    <w:p>
      <w:pPr>
        <w:pStyle w:val="ListNumber"/>
        <w:numPr>
          <w:ilvl w:val="0"/>
          <w:numId w:val="11"/>
        </w:numPr>
      </w:pPr>
      <w:r>
        <w:t>El paréntesis "(or those with eosinophil counts &lt; 100)" mete en la rama de biológicos a pacientes a los que luego se exige eos ≥300. Es una contradicción interna, y además la figura envía a los pacientes con eos &lt;100 hacia roflumilast o azitromicina, no hacia biológicos.</w:t>
      </w:r>
    </w:p>
    <w:p>
      <w:pPr>
        <w:pStyle w:val="ListBullet"/>
      </w:pPr>
      <w:r>
        <w:rPr>
          <w:b/>
        </w:rPr>
        <w:t>Evidencia/justificación:</w:t>
      </w:r>
      <w:r>
        <w:t xml:space="preserve"> lectura directa de la figura (PNG de PDF 74) frente al texto de PDF 77.</w:t>
      </w:r>
    </w:p>
    <w:p>
      <w:pPr>
        <w:pStyle w:val="ListBullet"/>
      </w:pPr>
      <w:r>
        <w:rPr>
          <w:b/>
        </w:rPr>
        <w:t>Recomendación:</w:t>
      </w:r>
    </w:p>
    <w:p>
      <w:pPr>
        <w:pStyle w:val="ListBullet2"/>
      </w:pPr>
      <w:r>
        <w:t>Decidir si la escalada a triple terapia desde la monoterapia es una opción y reflejarlo en el texto.</w:t>
      </w:r>
    </w:p>
    <w:p>
      <w:pPr>
        <w:pStyle w:val="ListBullet2"/>
      </w:pPr>
      <w:r>
        <w:t>Explicitar el umbral de exacerbaciones para los biológicos y conciliarlo con Highlights iv.</w:t>
      </w:r>
    </w:p>
    <w:p>
      <w:pPr>
        <w:pStyle w:val="ListBullet2"/>
      </w:pPr>
      <w:r>
        <w:t>Suprimir o reubicar el paréntesis de eos &lt;100.</w:t>
      </w:r>
    </w:p>
    <w:p>
      <w:pPr>
        <w:pStyle w:val="ListBullet"/>
      </w:pPr>
      <w:r>
        <w:rPr>
          <w:b/>
        </w:rPr>
        <w:t>Confianza:</w:t>
      </w:r>
      <w:r>
        <w:t xml:space="preserve"> 5</w:t>
      </w:r>
    </w:p>
    <w:p>
      <w:pPr>
        <w:pStyle w:val="Heading4"/>
      </w:pPr>
      <w:r>
        <w:t>COH-03 · Cuatro definiciones distintas del candidato a roflumilast</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Incoherencia de recomendación</w:t>
      </w:r>
    </w:p>
    <w:p>
      <w:pPr>
        <w:pStyle w:val="ListBullet"/>
      </w:pPr>
      <w:r>
        <w:rPr>
          <w:b/>
        </w:rPr>
        <w:t>Severidad:</w:t>
      </w:r>
      <w:r>
        <w:t xml:space="preserve"> ALTA</w:t>
      </w:r>
    </w:p>
    <w:p>
      <w:pPr>
        <w:pStyle w:val="ListBullet"/>
      </w:pPr>
      <w:r>
        <w:rPr>
          <w:b/>
        </w:rPr>
        <w:t>Ubicación:</w:t>
      </w:r>
      <w:r>
        <w:t xml:space="preserve"> Fig 3.9 (PDF 74 / impr. 63); texto en PDF 77 / impr. 66 (dos ramas); Fig A3.3 (PDF 160 / impr. 149); texto en PDF 162 / impr. 151</w:t>
      </w:r>
    </w:p>
    <w:p>
      <w:pPr>
        <w:pStyle w:val="ListBullet"/>
      </w:pPr>
      <w:r>
        <w:rPr>
          <w:b/>
        </w:rPr>
        <w:t>Cita:</w:t>
      </w:r>
    </w:p>
    <w:p>
      <w:pPr>
        <w:pStyle w:val="ListBullet2"/>
      </w:pPr>
      <w:r>
        <w:t>"history of a prior exacerbation resulting in hospitalization, consider adding roflumilast"</w:t>
      </w:r>
    </w:p>
    <w:p>
      <w:pPr>
        <w:pStyle w:val="ListBullet2"/>
      </w:pPr>
      <w:r>
        <w:t>frente a, dos líneas después, "history of prior severe exacerbation, consider adding roflumilast" (PDF 77).</w:t>
      </w:r>
    </w:p>
    <w:p>
      <w:pPr>
        <w:pStyle w:val="ListBullet"/>
      </w:pPr>
      <w:r>
        <w:rPr>
          <w:b/>
        </w:rPr>
        <w:t>Problema:</w:t>
      </w:r>
      <w:r>
        <w:t xml:space="preserve"> cada sitio define una población distinta.</w:t>
      </w:r>
    </w:p>
    <w:p>
      <w:pPr>
        <w:pStyle w:val="ListBullet2"/>
      </w:pPr>
      <w:r>
        <w:t>Fig 3.9: solo "FEV1 &lt; 50% &amp; chronic bronchitis".</w:t>
      </w:r>
    </w:p>
    <w:p>
      <w:pPr>
        <w:pStyle w:val="ListBullet2"/>
      </w:pPr>
      <w:r>
        <w:t>Texto, rama LABA+LAMA: exige hospitalización.</w:t>
      </w:r>
    </w:p>
    <w:p>
      <w:pPr>
        <w:pStyle w:val="ListBullet2"/>
      </w:pPr>
      <w:r>
        <w:t>Texto, rama de triple terapia: exige "severe exacerbation", que en el marco de Roma ya no equivale a hospitalización (ver COH-05).</w:t>
      </w:r>
    </w:p>
    <w:p>
      <w:pPr>
        <w:pStyle w:val="ListBullet2"/>
      </w:pPr>
      <w:r>
        <w:t>Fig A3.3 y PDF 162: "severe to very severe COPD and a history of exacerbations", sin precisar la gravedad.</w:t>
      </w:r>
    </w:p>
    <w:p>
      <w:pPr>
        <w:pStyle w:val="ListBullet"/>
      </w:pPr>
      <w:r>
        <w:rPr>
          <w:b/>
        </w:rPr>
        <w:t>Evidencia/justificación:</w:t>
      </w:r>
      <w:r>
        <w:t xml:space="preserve"> la evidencia de los ensayos pivotales que cita GOLD (refs 687-689) se basa en pacientes con exacerbaciones previas, FEV1 &lt;50 % y bronquitis crónica; la figura y A3.3 son más laxas que esa evidencia.</w:t>
      </w:r>
    </w:p>
    <w:p>
      <w:pPr>
        <w:pStyle w:val="ListBullet"/>
      </w:pPr>
      <w:r>
        <w:rPr>
          <w:b/>
        </w:rPr>
        <w:t>Recomendación:</w:t>
      </w:r>
      <w:r>
        <w:t xml:space="preserve"> fijar un criterio único (p. ej., FEV1 &lt;50 %, bronquitis crónica y ≥1 exacerbación con hospitalización en el año previo) y repetirlo idéntico en Fig 3.9, el texto, A3.3 y el Apéndice 3.</w:t>
      </w:r>
    </w:p>
    <w:p>
      <w:pPr>
        <w:pStyle w:val="ListBullet"/>
      </w:pPr>
      <w:r>
        <w:rPr>
          <w:b/>
        </w:rPr>
        <w:t>Confianza:</w:t>
      </w:r>
      <w:r>
        <w:t xml:space="preserve"> 5</w:t>
      </w:r>
    </w:p>
    <w:p>
      <w:pPr>
        <w:pStyle w:val="Heading4"/>
      </w:pPr>
      <w:r>
        <w:t>DX-15 · Grupo E con ≥1 exacerbación moderada: cambio sin validar e incongruente con los umbrales de otras partes del informe</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Evidencia mal representada / Incongruencia entre capítulos</w:t>
      </w:r>
    </w:p>
    <w:p>
      <w:pPr>
        <w:pStyle w:val="ListBullet"/>
      </w:pPr>
      <w:r>
        <w:rPr>
          <w:b/>
        </w:rPr>
        <w:t>Severidad:</w:t>
      </w:r>
      <w:r>
        <w:t xml:space="preserve"> ALTA</w:t>
      </w:r>
    </w:p>
    <w:p>
      <w:pPr>
        <w:pStyle w:val="ListBullet"/>
      </w:pPr>
      <w:r>
        <w:rPr>
          <w:b/>
        </w:rPr>
        <w:t>Ubicación:</w:t>
      </w:r>
    </w:p>
    <w:p>
      <w:pPr>
        <w:pStyle w:val="ListBullet2"/>
      </w:pPr>
      <w:r>
        <w:t>PDF 54 / impr. 43 (texto y Fig. 2.13).</w:t>
      </w:r>
    </w:p>
    <w:p>
      <w:pPr>
        <w:pStyle w:val="ListBullet2"/>
      </w:pPr>
      <w:r>
        <w:t>Highlights (PDF 5).</w:t>
      </w:r>
    </w:p>
    <w:p>
      <w:pPr>
        <w:pStyle w:val="ListBullet2"/>
      </w:pPr>
      <w:r>
        <w:t>Fig. 3.8 (PDF 73 / impr. 62) y Fig. 3.9 (PDF 74 / impr. 63).</w:t>
      </w:r>
    </w:p>
    <w:p>
      <w:pPr>
        <w:pStyle w:val="ListBullet2"/>
      </w:pPr>
      <w:r>
        <w:t>Cap. 3: PDF 75 / impr. 64 (grupos B y E) y PDF 92 / impr. 81 (mortalidad).</w:t>
      </w:r>
    </w:p>
    <w:p>
      <w:pPr>
        <w:pStyle w:val="ListBullet2"/>
      </w:pPr>
      <w:r>
        <w:t>Apéndice 3: PDF 159 / impr. 148 y PDF 161 / impr. 150.</w:t>
      </w:r>
    </w:p>
    <w:p>
      <w:pPr>
        <w:pStyle w:val="ListBullet"/>
      </w:pPr>
      <w:r>
        <w:rPr>
          <w:b/>
        </w:rPr>
        <w:t>Cita:</w:t>
      </w:r>
      <w:r>
        <w:t xml:space="preserve"> «It was acknowledged that this proposal needs to be validated by appropriate clinical research. Observational studies(490,491)… Consequently, Group E has been modified to include individuals with one moderate exacerbation in the previous year.»</w:t>
      </w:r>
    </w:p>
    <w:p>
      <w:pPr>
        <w:pStyle w:val="ListBullet"/>
      </w:pPr>
      <w:r>
        <w:rPr>
          <w:b/>
        </w:rPr>
        <w:t>Problema:</w:t>
      </w:r>
    </w:p>
    <w:p>
      <w:pPr>
        <w:pStyle w:val="ListNumber"/>
        <w:numPr>
          <w:ilvl w:val="0"/>
          <w:numId w:val="12"/>
        </w:numPr>
      </w:pPr>
      <w:r>
        <w:rPr>
          <w:b/>
        </w:rPr>
        <w:t>Cambio sin validar.</w:t>
      </w:r>
      <w:r>
        <w:t xml:space="preserve"> Se amplía el grupo E (pacientes sin tratamiento previo) a partir de dos estudios observacionales de riesgo (Halpin 2024; Sadatsafavi 2021), sin evidencia de que tratar de otro modo a ese subgrupo mejore los resultados. El propio párrafo admite que el esquema está pendiente de validación.</w:t>
      </w:r>
    </w:p>
    <w:p>
      <w:pPr>
        <w:pStyle w:val="ListNumber"/>
        <w:numPr>
          <w:ilvl w:val="0"/>
          <w:numId w:val="12"/>
        </w:numPr>
      </w:pPr>
      <w:r>
        <w:rPr>
          <w:b/>
        </w:rPr>
        <w:t>Solapamiento con el grupo B.</w:t>
      </w:r>
      <w:r>
        <w:t xml:space="preserve"> La evidencia que justifica LABA+LAMA en el grupo B (ref. 677, EMAX) se obtuvo en pacientes con ≤1 exacerbación moderada (PDF 75). Esos pacientes caen ahora en el grupo E.</w:t>
      </w:r>
    </w:p>
    <w:p>
      <w:pPr>
        <w:pStyle w:val="ListNumber"/>
        <w:numPr>
          <w:ilvl w:val="0"/>
          <w:numId w:val="12"/>
        </w:numPr>
      </w:pPr>
      <w:r>
        <w:rPr>
          <w:b/>
        </w:rPr>
        <w:t>Triple terapia extrapolada.</w:t>
      </w:r>
      <w:r>
        <w:t xml:space="preserve"> Para el grupo E se propone considerar LABA+LAMA+ICS si los eosinófilos son ≥300. IMPACT y ETHOS solo admitían 1 exacerbación moderada si el FEV1 era &lt;50%, exigían ≥2 moderadas o ≥1 grave con FEV1 más alto y siempre en pacientes ya tratados. El cap. 3 reconoce que «There are no direct data… concerning initiation of triple therapy».</w:t>
      </w:r>
    </w:p>
    <w:p>
      <w:pPr>
        <w:pStyle w:val="ListNumber"/>
        <w:numPr>
          <w:ilvl w:val="0"/>
          <w:numId w:val="12"/>
        </w:numPr>
      </w:pPr>
      <w:r>
        <w:rPr>
          <w:b/>
        </w:rPr>
        <w:t>Umbrales incongruentes en el informe:</w:t>
      </w:r>
    </w:p>
    <w:p>
      <w:pPr>
        <w:pStyle w:val="ListBullet2"/>
      </w:pPr>
      <w:r>
        <w:t>el apéndice 3 (PDF 161) dice que el efecto de los ICS es mayor con «≥ 2 exacerbations and / or 1 hospitalization»;</w:t>
      </w:r>
    </w:p>
    <w:p>
      <w:pPr>
        <w:pStyle w:val="ListBullet2"/>
      </w:pPr>
      <w:r>
        <w:t>la Fig. 3.9 exige ≥2 moderadas o ≥1 grave para biológicos;</w:t>
      </w:r>
    </w:p>
    <w:p>
      <w:pPr>
        <w:pStyle w:val="ListBullet2"/>
      </w:pPr>
      <w:r>
        <w:t>el cap. 3 (PDF 92) describe con «≥ 2 moderate» la población con beneficio en mortalidad.</w:t>
      </w:r>
    </w:p>
    <w:p>
      <w:pPr>
        <w:pStyle w:val="ListBullet2"/>
      </w:pPr>
      <w:r>
        <w:rPr>
          <w:b/>
        </w:rPr>
        <w:t>Riesgo:</w:t>
      </w:r>
      <w:r>
        <w:t xml:space="preserve"> sobretratamiento con ICS (neumonía) en pacientes con un único episodio moderado, cuya definición (antibiótico y/o corticoide) es heterogénea.</w:t>
      </w:r>
    </w:p>
    <w:p>
      <w:pPr>
        <w:pStyle w:val="ListBullet"/>
      </w:pPr>
      <w:r>
        <w:rPr>
          <w:b/>
        </w:rPr>
        <w:t>Evidencia/justificación:</w:t>
      </w:r>
    </w:p>
    <w:p>
      <w:pPr>
        <w:pStyle w:val="ListBullet2"/>
      </w:pPr>
      <w:r>
        <w:t>Lipson DA et al. NEJM 2018;378:1671-80 (IMPACT).</w:t>
      </w:r>
    </w:p>
    <w:p>
      <w:pPr>
        <w:pStyle w:val="ListBullet2"/>
      </w:pPr>
      <w:r>
        <w:t>Rabe KF et al. NEJM 2020;383:35-48 (ETHOS).</w:t>
      </w:r>
    </w:p>
    <w:p>
      <w:pPr>
        <w:pStyle w:val="ListBullet2"/>
      </w:pPr>
      <w:r>
        <w:t>Maltais F et al. (EMAX, ref. 677).</w:t>
      </w:r>
    </w:p>
    <w:p>
      <w:pPr>
        <w:pStyle w:val="ListBullet2"/>
      </w:pPr>
      <w:r>
        <w:t>Refs. 490-491 (observacionales).</w:t>
      </w:r>
    </w:p>
    <w:p>
      <w:pPr>
        <w:pStyle w:val="ListBullet"/>
      </w:pPr>
      <w:r>
        <w:rPr>
          <w:b/>
        </w:rPr>
        <w:t>Recomendación:</w:t>
      </w:r>
    </w:p>
    <w:p>
      <w:pPr>
        <w:pStyle w:val="ListBullet2"/>
      </w:pPr>
      <w:r>
        <w:t>Graduar la recomendación: nivel de evidencia D / consenso.</w:t>
      </w:r>
    </w:p>
    <w:p>
      <w:pPr>
        <w:pStyle w:val="ListBullet2"/>
      </w:pPr>
      <w:r>
        <w:t xml:space="preserve">Para el grupo E con una sola exacerbación moderada, mantener LABA+LAMA y reservar los ICS para eosinófilos ≥300 </w:t>
      </w:r>
      <w:r>
        <w:rPr>
          <w:b/>
        </w:rPr>
        <w:t>y</w:t>
      </w:r>
      <w:r>
        <w:t xml:space="preserve"> ≥2 moderadas o ≥1 hospitalización, o bien al seguimiento.</w:t>
      </w:r>
    </w:p>
    <w:p>
      <w:pPr>
        <w:pStyle w:val="ListBullet2"/>
      </w:pPr>
      <w:r>
        <w:t>Armonizar los umbrales entre las Figs. 2.13, 3.8 y 3.9 y el apéndice 3.</w:t>
      </w:r>
    </w:p>
    <w:p>
      <w:pPr>
        <w:pStyle w:val="ListBullet2"/>
      </w:pPr>
      <w:r>
        <w:t>Exigir que la exacerbación esté documentada.</w:t>
      </w:r>
    </w:p>
    <w:p>
      <w:pPr>
        <w:pStyle w:val="ListBullet"/>
      </w:pPr>
      <w:r>
        <w:rPr>
          <w:b/>
        </w:rPr>
        <w:t>Confianza:</w:t>
      </w:r>
      <w:r>
        <w:t xml:space="preserve"> 4/5</w:t>
      </w:r>
    </w:p>
    <w:p>
      <w:pPr>
        <w:pStyle w:val="Heading4"/>
      </w:pPr>
      <w:r>
        <w:t>FARM-11 · Umbral de "1 exacerbación" para ICS: el cap. 3 lo atribuye a RCT, los Highlights y el cap. 2 a estudios observacionales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71 / impr. 60 vs PDF 5 (Highlights iv) y PDF 54 / impr. 43 (cap. 2); PDF 161 / impr. 150 (Apéndice 3); Fig 3.8 (PDF 73) y Fig 3.10 (PDF 78)</w:t>
      </w:r>
    </w:p>
    <w:p>
      <w:pPr>
        <w:pStyle w:val="ListBullet"/>
      </w:pPr>
      <w:r>
        <w:rPr>
          <w:b/>
        </w:rPr>
        <w:t>Cita:</w:t>
      </w:r>
    </w:p>
    <w:p>
      <w:pPr>
        <w:pStyle w:val="ListBullet2"/>
      </w:pPr>
      <w:r>
        <w:t>Cap. 3: "confirmed a significant decrease in exacerbation rate with the addition of an ICS in patients who experienced one moderate or severe exacerbation in the prior year. This recommendation is derived from evidence generated by RCTs."</w:t>
      </w:r>
    </w:p>
    <w:p>
      <w:pPr>
        <w:pStyle w:val="ListBullet2"/>
      </w:pPr>
      <w:r>
        <w:t>Highlights: "due to emerging evidence from observational studies".</w:t>
      </w:r>
    </w:p>
    <w:p>
      <w:pPr>
        <w:pStyle w:val="ListBullet"/>
      </w:pPr>
      <w:r>
        <w:rPr>
          <w:b/>
        </w:rPr>
        <w:t>Problema:</w:t>
      </w:r>
    </w:p>
    <w:p>
      <w:pPr>
        <w:pStyle w:val="ListBullet2"/>
      </w:pPr>
      <w:r>
        <w:t>Hay contradicción sobre el origen de la evidencia.</w:t>
      </w:r>
    </w:p>
    <w:p>
      <w:pPr>
        <w:pStyle w:val="ListBullet2"/>
      </w:pPr>
      <w:r>
        <w:t>El Apéndice 3 (PDF 161) dice que el efecto de los ICS "is higher in patients with high exacerbation risk (≥ 2 exacerbations and / or 1 hospitalization)".</w:t>
      </w:r>
    </w:p>
    <w:p>
      <w:pPr>
        <w:pStyle w:val="ListBullet2"/>
      </w:pPr>
      <w:r>
        <w:t>En IMPACT y ETHOS, los pacientes con 1 sola exacerbación moderada solo eran elegibles si tenían FEV1 &lt;50%, y el beneficio en ese subgrupo es menor, sobre todo con eosinófilos bajos.</w:t>
      </w:r>
    </w:p>
    <w:p>
      <w:pPr>
        <w:pStyle w:val="ListBullet2"/>
      </w:pPr>
      <w:r>
        <w:t>La Fig 3.8 permite iniciar la triple terapia en un paciente sin tratamiento previo del grupo E con eos ≥300 aunque haya tenido una única exacerbación moderada. No hay RCT en pacientes sin tratamiento previo, y la Fig 3.10 clasifica "1 moderate exacerbation" solo como "favors use".</w:t>
      </w:r>
    </w:p>
    <w:p>
      <w:pPr>
        <w:pStyle w:val="ListBullet2"/>
      </w:pPr>
      <w:r>
        <w:t>La redacción ampliará el uso de ICS, con riesgo de neumonía, sobre una base menos sólida de lo que se afirma.</w:t>
      </w:r>
    </w:p>
    <w:p>
      <w:pPr>
        <w:pStyle w:val="ListBullet"/>
      </w:pPr>
      <w:r>
        <w:rPr>
          <w:b/>
        </w:rPr>
        <w:t>Evidencia/justificación:</w:t>
      </w:r>
    </w:p>
    <w:p>
      <w:pPr>
        <w:pStyle w:val="ListBullet2"/>
      </w:pPr>
      <w:r>
        <w:t>IMPACT: Lipson DA et al., NEJM 2018;378:1671-80 (ref 467).</w:t>
      </w:r>
    </w:p>
    <w:p>
      <w:pPr>
        <w:pStyle w:val="ListBullet2"/>
      </w:pPr>
      <w:r>
        <w:t>ETHOS: Rabe KF et al., NEJM 2020;383:35-48 (refs 492/694).</w:t>
      </w:r>
    </w:p>
    <w:p>
      <w:pPr>
        <w:pStyle w:val="ListBullet2"/>
      </w:pPr>
      <w:r>
        <w:t>Criterios de inclusión: ≥2 moderadas o ≥1 grave, o 1 moderada si FEV1 &lt;50%.</w:t>
      </w:r>
    </w:p>
    <w:p>
      <w:pPr>
        <w:pStyle w:val="ListBullet"/>
      </w:pPr>
      <w:r>
        <w:rPr>
          <w:b/>
        </w:rPr>
        <w:t>Recomendación:</w:t>
      </w:r>
    </w:p>
    <w:p>
      <w:pPr>
        <w:pStyle w:val="ListBullet2"/>
      </w:pPr>
      <w:r>
        <w:t>Armonizar: "el riesgo tras 1 exacerbación procede de estudios observacionales; el beneficio de añadir ICS con 1 exacerbación moderada procede de subgrupos de RCT (con FEV1 &lt;50%) y es mayor con eos ≥300 y/o ≥2 exacerbaciones u hospitalización".</w:t>
      </w:r>
    </w:p>
    <w:p>
      <w:pPr>
        <w:pStyle w:val="ListBullet2"/>
      </w:pPr>
      <w:r>
        <w:t>Calificar el nivel de evidencia de la triple terapia inicial en el grupo E.</w:t>
      </w:r>
    </w:p>
    <w:p>
      <w:pPr>
        <w:pStyle w:val="ListBullet"/>
      </w:pPr>
      <w:r>
        <w:rPr>
          <w:b/>
        </w:rPr>
        <w:t>Confianza:</w:t>
      </w:r>
      <w:r>
        <w:t xml:space="preserve"> 4/5</w:t>
      </w:r>
    </w:p>
    <w:p>
      <w:pPr>
        <w:pStyle w:val="Heading4"/>
      </w:pPr>
      <w:r>
        <w:t>FARM-12 · Fig 3.9 frente al texto de seguimiento: pasos, umbrales y criterios distintos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74 / impr. 63 (Fig 3.9) vs PDF 77 / impr. 66 (texto); Fig A3.3 (PDF 160 / impr. 149); PDF 162 / impr. 151 (roflumilast)</w:t>
      </w:r>
    </w:p>
    <w:p>
      <w:pPr>
        <w:pStyle w:val="ListBullet"/>
      </w:pPr>
      <w:r>
        <w:rPr>
          <w:b/>
        </w:rPr>
        <w:t>Cita:</w:t>
      </w:r>
    </w:p>
    <w:p>
      <w:pPr>
        <w:pStyle w:val="ListBullet2"/>
      </w:pPr>
      <w:r>
        <w:t>Texto: "For patients who have an exacerbation on bronchodilator monotherapy, escalation to LABA+LAMA is recommended."</w:t>
      </w:r>
    </w:p>
    <w:p>
      <w:pPr>
        <w:pStyle w:val="ListBullet2"/>
      </w:pPr>
      <w:r>
        <w:t>Texto: "If patients treated with LABA+LAMA+ICS (or those with eosinophil counts &lt; 100 cells/µL) still have exacerbations… Among patients with blood eosinophils ≥ 300…"</w:t>
      </w:r>
    </w:p>
    <w:p>
      <w:pPr>
        <w:pStyle w:val="ListBullet"/>
      </w:pPr>
      <w:r>
        <w:rPr>
          <w:b/>
        </w:rPr>
        <w:t>Problema:</w:t>
      </w:r>
    </w:p>
    <w:p>
      <w:pPr>
        <w:pStyle w:val="ListNumber"/>
        <w:numPr>
          <w:ilvl w:val="0"/>
          <w:numId w:val="13"/>
        </w:numPr>
      </w:pPr>
      <w:r>
        <w:rPr>
          <w:b/>
        </w:rPr>
        <w:t>Monoterapia con eos ≥300:</w:t>
      </w:r>
      <w:r>
        <w:t xml:space="preserve"> en la figura se pasa directamente a LABA+LAMA+ICS ("if blood eos ≥ 300"); el texto solo contempla LABA+LAMA.</w:t>
      </w:r>
    </w:p>
    <w:p>
      <w:pPr>
        <w:pStyle w:val="ListNumber"/>
        <w:numPr>
          <w:ilvl w:val="0"/>
          <w:numId w:val="13"/>
        </w:numPr>
      </w:pPr>
      <w:r>
        <w:rPr>
          <w:b/>
        </w:rPr>
        <w:t>Biológicos:</w:t>
      </w:r>
      <w:r>
        <w:t xml:space="preserve"> la figura exige "two moderate or one severe exacerbation AND… eos ≥ 300"; el texto no da umbral de exacerbaciones. Además, la frase del texto mezcla a los pacientes con eos &lt;100 con la condición de eos ≥300, lo que es lógicamente imposible.</w:t>
      </w:r>
    </w:p>
    <w:p>
      <w:pPr>
        <w:pStyle w:val="ListNumber"/>
        <w:numPr>
          <w:ilvl w:val="0"/>
          <w:numId w:val="13"/>
        </w:numPr>
      </w:pPr>
      <w:r>
        <w:rPr>
          <w:b/>
        </w:rPr>
        <w:t>Roflumilast:</w:t>
      </w:r>
      <w:r>
        <w:t xml:space="preserve"> la figura dice "FEV1 &lt; 50% &amp; chronic bronchitis"; el texto exige además "a prior exacerbation resulting in hospitalization" en una rama y "prior severe exacerbation" en la otra. La ficha técnica (EMA/FDA) y la Fig A3.3 hablan de "history of (frequent) exacerbations", no de hospitalización.</w:t>
      </w:r>
    </w:p>
    <w:p>
      <w:pPr>
        <w:pStyle w:val="ListNumber"/>
        <w:numPr>
          <w:ilvl w:val="0"/>
          <w:numId w:val="13"/>
        </w:numPr>
      </w:pPr>
      <w:r>
        <w:rPr>
          <w:b/>
        </w:rPr>
        <w:t>Azitromicina:</w:t>
      </w:r>
      <w:r>
        <w:t xml:space="preserve"> "preferentially in former smokers" (figura) frente a "not currently smoking" (texto). Los no fumadores nunca quedan en zona gris.</w:t>
      </w:r>
    </w:p>
    <w:p>
      <w:pPr>
        <w:pStyle w:val="ListNumber"/>
        <w:numPr>
          <w:ilvl w:val="0"/>
          <w:numId w:val="13"/>
        </w:numPr>
      </w:pPr>
      <w:r>
        <w:rPr>
          <w:b/>
        </w:rPr>
        <w:t>Biológicos con ICS contraindicado:</w:t>
      </w:r>
      <w:r>
        <w:t xml:space="preserve"> BOREAS y NOTUS admitían LABA+LAMA si el ICS estaba contraindicado, pero el algoritmo solo ofrece biológicos desde la triple terapia.</w:t>
      </w:r>
    </w:p>
    <w:p>
      <w:pPr>
        <w:pStyle w:val="ListBullet"/>
      </w:pPr>
      <w:r>
        <w:rPr>
          <w:b/>
        </w:rPr>
        <w:t>Evidencia/justificación:</w:t>
      </w:r>
    </w:p>
    <w:p>
      <w:pPr>
        <w:pStyle w:val="ListBullet2"/>
      </w:pPr>
      <w:r>
        <w:t>Ficha técnica de Daxas (EMA): EPOC grave (FEV1 &lt;50%) con bronquitis crónica e historia de exacerbaciones frecuentes.</w:t>
      </w:r>
    </w:p>
    <w:p>
      <w:pPr>
        <w:pStyle w:val="ListBullet2"/>
      </w:pPr>
      <w:r>
        <w:t>REACT (Martinez FJ et al., Lancet 2015;385:857-66): mayor efecto si hubo hospitalización previa (subgrupo), no como criterio de indicación.</w:t>
      </w:r>
    </w:p>
    <w:p>
      <w:pPr>
        <w:pStyle w:val="ListBullet2"/>
      </w:pPr>
      <w:r>
        <w:t>Bhatt SP et al., NEJM 2023;389:205-214.</w:t>
      </w:r>
    </w:p>
    <w:p>
      <w:pPr>
        <w:pStyle w:val="ListBullet"/>
      </w:pPr>
      <w:r>
        <w:rPr>
          <w:b/>
        </w:rPr>
        <w:t>Recomendación:</w:t>
      </w:r>
    </w:p>
    <w:p>
      <w:pPr>
        <w:pStyle w:val="ListBullet2"/>
      </w:pPr>
      <w:r>
        <w:t>Hacer que texto y figura coincidan punto por punto: añadir al texto la rama "eos ≥300 → triple" y el umbral de exacerbaciones para biológicos, y corregir la frase de eos &lt;100/≥300.</w:t>
      </w:r>
    </w:p>
    <w:p>
      <w:pPr>
        <w:pStyle w:val="ListBullet2"/>
      </w:pPr>
      <w:r>
        <w:t>Unificar el criterio de roflumilast con la ficha técnica (hospitalización como factor de mayor beneficio, no como requisito).</w:t>
      </w:r>
    </w:p>
    <w:p>
      <w:pPr>
        <w:pStyle w:val="ListBullet2"/>
      </w:pPr>
      <w:r>
        <w:t>Unificar el de azitromicina como "no fumadores actuales".</w:t>
      </w:r>
    </w:p>
    <w:p>
      <w:pPr>
        <w:pStyle w:val="ListBullet"/>
      </w:pPr>
      <w:r>
        <w:rPr>
          <w:b/>
        </w:rPr>
        <w:t>Confianza:</w:t>
      </w:r>
      <w:r>
        <w:t xml:space="preserve"> 5/5</w:t>
      </w:r>
    </w:p>
    <w:p>
      <w:pPr>
        <w:pStyle w:val="Heading4"/>
      </w:pPr>
      <w:r>
        <w:t>NOV-06 · Criterios para iniciar un biológico: contradicción lógica en el texto y desajuste con figura y Highlights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p>
    <w:p>
      <w:pPr>
        <w:pStyle w:val="ListBullet2"/>
      </w:pPr>
      <w:r>
        <w:t>PDF 77 / impr. 66 — texto del algoritmo de seguimiento.</w:t>
      </w:r>
    </w:p>
    <w:p>
      <w:pPr>
        <w:pStyle w:val="ListBullet2"/>
      </w:pPr>
      <w:r>
        <w:t>PDF 74 / impr. 63 — Fig. 3.9.</w:t>
      </w:r>
    </w:p>
    <w:p>
      <w:pPr>
        <w:pStyle w:val="ListBullet2"/>
      </w:pPr>
      <w:r>
        <w:t>PDF 5 — Highlights, punto iv.</w:t>
      </w:r>
    </w:p>
    <w:p>
      <w:pPr>
        <w:pStyle w:val="ListBullet"/>
      </w:pPr>
      <w:r>
        <w:rPr>
          <w:b/>
        </w:rPr>
        <w:t>Cita:</w:t>
      </w:r>
      <w:r>
        <w:t xml:space="preserve"> "If patients treated with LABA+LAMA+ICS (or those with eosinophil counts &lt; 100 cells/µL) still have exacerbations … Among patients with blood eosinophils ≥ 300 cells/µL, consider adding dupilumab… or mepolizumab"</w:t>
      </w:r>
    </w:p>
    <w:p>
      <w:pPr>
        <w:pStyle w:val="ListBullet"/>
      </w:pPr>
      <w:r>
        <w:rPr>
          <w:b/>
        </w:rPr>
        <w:t>Problema:</w:t>
      </w:r>
    </w:p>
    <w:p>
      <w:pPr>
        <w:pStyle w:val="ListNumber"/>
        <w:numPr>
          <w:ilvl w:val="0"/>
          <w:numId w:val="14"/>
        </w:numPr>
      </w:pPr>
      <w:r>
        <w:rPr>
          <w:b/>
        </w:rPr>
        <w:t>Contradicción lógica:</w:t>
      </w:r>
      <w:r>
        <w:t xml:space="preserve"> el paréntesis abre la rama de biológicos a pacientes con eosinófilos &lt;100, mientras la viñeta exige ≥300. Esto puede llevar a interpretar que un paciente con LABA+LAMA, sin ICS, es candidato a biológico.</w:t>
      </w:r>
    </w:p>
    <w:p>
      <w:pPr>
        <w:pStyle w:val="ListNumber"/>
        <w:numPr>
          <w:ilvl w:val="0"/>
          <w:numId w:val="14"/>
        </w:numPr>
      </w:pPr>
      <w:r>
        <w:rPr>
          <w:b/>
        </w:rPr>
        <w:t>Umbral de exacerbaciones:</w:t>
      </w:r>
    </w:p>
    <w:p>
      <w:pPr>
        <w:pStyle w:val="ListBullet2"/>
      </w:pPr>
      <w:r>
        <w:t>El texto no fija número de exacerbaciones.</w:t>
      </w:r>
    </w:p>
    <w:p>
      <w:pPr>
        <w:pStyle w:val="ListBullet2"/>
      </w:pPr>
      <w:r>
        <w:t>La Fig. 3.9 exige "two moderate or one severe exacerbation AND if blood eos ≥ 300", en línea con BOREAS, NOTUS y MATINEE.</w:t>
      </w:r>
    </w:p>
    <w:p>
      <w:pPr>
        <w:pStyle w:val="ListBullet2"/>
      </w:pPr>
      <w:r>
        <w:t>Los Highlights afirman que "the threshold of one moderate exacerbation should now be used to consider treatment escalation".</w:t>
      </w:r>
    </w:p>
    <w:p>
      <w:pPr>
        <w:pStyle w:val="ListBullet2"/>
      </w:pPr>
      <w:r>
        <w:t>Un lector puede aplicar el umbral de 1 exacerbación moderada también a los biológicos, fuera de los criterios de inclusión de los ensayos pivotales.</w:t>
      </w:r>
    </w:p>
    <w:p>
      <w:pPr>
        <w:pStyle w:val="ListNumber"/>
        <w:numPr>
          <w:ilvl w:val="0"/>
          <w:numId w:val="14"/>
        </w:numPr>
      </w:pPr>
      <w:r>
        <w:rPr>
          <w:b/>
        </w:rPr>
        <w:t>Tratamiento de fondo:</w:t>
      </w:r>
      <w:r>
        <w:t xml:space="preserve"> no se aclara que todos los ensayos exigían tratamiento triple (la ficha técnica de la UE de dupilumab admite LABA+LAMA si el ICS no es apropiado).</w:t>
      </w:r>
    </w:p>
    <w:p>
      <w:pPr>
        <w:pStyle w:val="ListBullet"/>
      </w:pPr>
      <w:r>
        <w:rPr>
          <w:b/>
        </w:rPr>
        <w:t>Evidencia/justificación:</w:t>
      </w:r>
    </w:p>
    <w:p>
      <w:pPr>
        <w:pStyle w:val="ListBullet2"/>
      </w:pPr>
      <w:r>
        <w:t>Inclusión en BOREAS, NOTUS y MATINEE: ≥2 exacerbaciones moderadas o ≥1 grave en el año previo, con tratamiento triple (o doble con ICS en METREX/METREO).</w:t>
      </w:r>
    </w:p>
    <w:p>
      <w:pPr>
        <w:pStyle w:val="ListBullet2"/>
      </w:pPr>
      <w:r>
        <w:t>Ficha técnica de la UE de Dupixent (2024): pacientes con LABA+LAMA+ICS, o LABA+LAMA si el ICS no es apropiado.</w:t>
      </w:r>
    </w:p>
    <w:p>
      <w:pPr>
        <w:pStyle w:val="ListBullet"/>
      </w:pPr>
      <w:r>
        <w:rPr>
          <w:b/>
        </w:rPr>
        <w:t>Recomendación:</w:t>
      </w:r>
    </w:p>
    <w:p>
      <w:pPr>
        <w:pStyle w:val="ListBullet2"/>
      </w:pPr>
      <w:r>
        <w:t>Suprimir el paréntesis "(or those with eosinophil counts &lt; 100 cells/µL)" de la viñeta de biológicos, o reubicarlo solo en azitromicina y roflumilast.</w:t>
      </w:r>
    </w:p>
    <w:p>
      <w:pPr>
        <w:pStyle w:val="ListBullet2"/>
      </w:pPr>
      <w:r>
        <w:t>Añadir al texto el umbral "≥2 moderadas o ≥1 grave en el año previo, pese a LABA+LAMA+ICS".</w:t>
      </w:r>
    </w:p>
    <w:p>
      <w:pPr>
        <w:pStyle w:val="ListBullet2"/>
      </w:pPr>
      <w:r>
        <w:t>Precisar en los Highlights que el umbral de 1 exacerbación moderada se aplica a la escalada inhalada, no a los biológicos.</w:t>
      </w:r>
    </w:p>
    <w:p>
      <w:pPr>
        <w:pStyle w:val="ListBullet"/>
      </w:pPr>
      <w:r>
        <w:rPr>
          <w:b/>
        </w:rPr>
        <w:t>Confianza:</w:t>
      </w:r>
      <w:r>
        <w:t xml:space="preserve"> 4/5</w:t>
      </w:r>
    </w:p>
    <w:p>
      <w:pPr>
        <w:pStyle w:val="Heading4"/>
      </w:pPr>
      <w:r>
        <w:t>NOV-04 · Reducción de mortalidad con terapia triple presentada como efecto demostrado, sin las limitaciones de IMPACT y ETHOS</w:t>
      </w:r>
    </w:p>
    <w:p>
      <w:r>
        <w:rPr>
          <w:i/>
        </w:rPr>
        <w:t xml:space="preserve">Severidad final: </w:t>
      </w:r>
      <w:r>
        <w:rPr>
          <w:i/>
          <w:color w:val="ED7D31"/>
        </w:rPr>
        <w:t>🟠</w:t>
      </w:r>
      <w:r>
        <w:rPr>
          <w:i/>
        </w:rPr>
        <w:t xml:space="preserve"> ALTA · Tema T08: Terapia triple y mortalidad</w:t>
      </w:r>
    </w:p>
    <w:p>
      <w:pPr>
        <w:pStyle w:val="IntenseQuote"/>
      </w:pPr>
      <w:r>
        <w:rPr>
          <w:b/>
        </w:rPr>
        <w:t>Verificación independiente (CONFIRMADO PARCIAL):</w:t>
      </w:r>
      <w:r>
        <w:t xml:space="preserve"> 1. Presentar el efecto sobre la mortalidad como señal procedente de objetivos secundarios o análisis adicionales, no como efecto establecido. 2. En la Fig. 3.19, especificar "BGF 320 µg vs LAMA/LABA" y "vs ICS/LABA no significativo", y añadir que BGF 160 no fue significativo. 3. Mencionar el debate sobre la retirada de ICS. 4. Corregir los criterios de inclusión.</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p>
    <w:p>
      <w:pPr>
        <w:pStyle w:val="ListBullet2"/>
      </w:pPr>
      <w:r>
        <w:t>PDF 92 / impr. 81 — cap. 3, "Therapeutic interventions that reduce COPD mortality".</w:t>
      </w:r>
    </w:p>
    <w:p>
      <w:pPr>
        <w:pStyle w:val="ListBullet2"/>
      </w:pPr>
      <w:r>
        <w:t>PDF 91 / impr. 80 — Fig. 3.19.</w:t>
      </w:r>
    </w:p>
    <w:p>
      <w:pPr>
        <w:pStyle w:val="ListBullet2"/>
      </w:pPr>
      <w:r>
        <w:t>PDF 162 / impr. 151 — Apéndice 3.</w:t>
      </w:r>
    </w:p>
    <w:p>
      <w:pPr>
        <w:pStyle w:val="ListBullet"/>
      </w:pPr>
      <w:r>
        <w:rPr>
          <w:b/>
        </w:rPr>
        <w:t>Cita:</w:t>
      </w:r>
      <w:r>
        <w:t xml:space="preserve"> "Evidence has emerged from two large randomized clinical trials, IMPACT(467) and ETHOS,(492) that fixed-dose inhaled triple combinations (LABA+LAMA+ICS) reduce all-cause mortality compared to dual inhaled LABD therapy"</w:t>
      </w:r>
    </w:p>
    <w:p>
      <w:pPr>
        <w:pStyle w:val="ListBullet"/>
      </w:pPr>
      <w:r>
        <w:rPr>
          <w:b/>
        </w:rPr>
        <w:t>Problema:</w:t>
      </w:r>
      <w:r>
        <w:t xml:space="preserve"> La mortalidad se presenta como un efecto establecido. La Fig. 3.19 la etiqueta como "relative risk reduction" y la nota "*" la describe como un "RCT with pre-specified analysis of the mortality outcome (primary or secondary outcome)". Se omiten estas limitaciones:</w:t>
      </w:r>
    </w:p>
    <w:p>
      <w:pPr>
        <w:pStyle w:val="ListNumber"/>
        <w:numPr>
          <w:ilvl w:val="0"/>
          <w:numId w:val="15"/>
        </w:numPr>
      </w:pPr>
      <w:r>
        <w:rPr>
          <w:b/>
        </w:rPr>
        <w:t>IMPACT, naturaleza del análisis:</w:t>
      </w:r>
      <w:r>
        <w:t xml:space="preserve"> la mortalidad no era un objetivo primario ni secundario clave. La cifra HR 0,72 (0,53-0,99) procede de un análisis posterior con recogida adicional del estado vital (Lipson 2020, ref. 1581). El valor de P es limítrofe.</w:t>
      </w:r>
    </w:p>
    <w:p>
      <w:pPr>
        <w:pStyle w:val="ListNumber"/>
        <w:numPr>
          <w:ilvl w:val="0"/>
          <w:numId w:val="15"/>
        </w:numPr>
      </w:pPr>
      <w:r>
        <w:rPr>
          <w:b/>
        </w:rPr>
        <w:t>IMPACT, comparador ICS/LABA:</w:t>
      </w:r>
      <w:r>
        <w:t xml:space="preserve"> la comparación triple frente a FF/VI no fue significativa (HR 0,89; 0,67-1,16).</w:t>
      </w:r>
    </w:p>
    <w:p>
      <w:pPr>
        <w:pStyle w:val="ListNumber"/>
        <w:numPr>
          <w:ilvl w:val="0"/>
          <w:numId w:val="15"/>
        </w:numPr>
      </w:pPr>
      <w:r>
        <w:rPr>
          <w:b/>
        </w:rPr>
        <w:t>IMPACT, retirada de ICS:</w:t>
      </w:r>
      <w:r>
        <w:t xml:space="preserve"> alrededor del 70 % de los pacientes usaba ICS al entrar y lo suspendió bruscamente si se aleatorizó a UMEC/VI. Esto puede explicar el exceso de eventos precoces en ese brazo.</w:t>
      </w:r>
    </w:p>
    <w:p>
      <w:pPr>
        <w:pStyle w:val="ListNumber"/>
        <w:numPr>
          <w:ilvl w:val="0"/>
          <w:numId w:val="15"/>
        </w:numPr>
      </w:pPr>
      <w:r>
        <w:rPr>
          <w:b/>
        </w:rPr>
        <w:t>ETHOS:</w:t>
      </w:r>
    </w:p>
    <w:p>
      <w:pPr>
        <w:pStyle w:val="ListBullet2"/>
      </w:pPr>
      <w:r>
        <w:t>La mortalidad era un objetivo secundario sin control de multiplicidad (P nominal 0,0035).</w:t>
      </w:r>
    </w:p>
    <w:p>
      <w:pPr>
        <w:pStyle w:val="ListBullet2"/>
      </w:pPr>
      <w:r>
        <w:t>HR 0,51 corresponde solo a BGF con 320 µg de budesonida frente a GFF.</w:t>
      </w:r>
    </w:p>
    <w:p>
      <w:pPr>
        <w:pStyle w:val="ListBullet2"/>
      </w:pPr>
      <w:r>
        <w:t>Con 160 µg de budesonida no hubo diferencia significativa.</w:t>
      </w:r>
    </w:p>
    <w:p>
      <w:pPr>
        <w:pStyle w:val="ListBullet2"/>
      </w:pPr>
      <w:r>
        <w:t>Frente a BFF (ICS/LABA), el HR fue 0,72 (0,44-1,16), no significativo.</w:t>
      </w:r>
    </w:p>
    <w:p>
      <w:pPr>
        <w:pStyle w:val="ListNumber"/>
        <w:numPr>
          <w:ilvl w:val="0"/>
          <w:numId w:val="15"/>
        </w:numPr>
      </w:pPr>
      <w:r>
        <w:rPr>
          <w:b/>
        </w:rPr>
        <w:t>Inclusión:</w:t>
      </w:r>
      <w:r>
        <w:t xml:space="preserve"> la descripción de la población es imprecisa. Tanto en IMPACT como en ETHOS bastaba 1 exacerbación moderada si el FEV1 era &lt;50 %.</w:t>
      </w:r>
    </w:p>
    <w:p>
      <w:r>
        <w:t>En contraste, la Fig. A3.3 (PDF 160) es más prudente ("Recent data suggest[s]…", sin nivel de evidencia). Esto genera una incongruencia interna en el grado de certeza.</w:t>
      </w:r>
    </w:p>
    <w:p>
      <w:pPr>
        <w:pStyle w:val="ListBullet"/>
      </w:pPr>
      <w:r>
        <w:rPr>
          <w:b/>
        </w:rPr>
        <w:t>Evidencia/justificación:</w:t>
      </w:r>
    </w:p>
    <w:p>
      <w:pPr>
        <w:pStyle w:val="ListBullet2"/>
      </w:pPr>
      <w:r>
        <w:t>IMPACT: Lipson DA et al., NEJM 2018;378:1671-80 (PMID 29668352).</w:t>
      </w:r>
    </w:p>
    <w:p>
      <w:pPr>
        <w:pStyle w:val="ListBullet2"/>
      </w:pPr>
      <w:r>
        <w:t>IMPACT, mortalidad: Lipson DA et al., AJRCCM 2020;201:1508-16 (PMID 32162970).</w:t>
      </w:r>
    </w:p>
    <w:p>
      <w:pPr>
        <w:pStyle w:val="ListBullet2"/>
      </w:pPr>
      <w:r>
        <w:t>Retirada de ICS: Suissa S, Drazen JM, editorial NEJM 2018;378:1723-4.</w:t>
      </w:r>
    </w:p>
    <w:p>
      <w:pPr>
        <w:pStyle w:val="ListBullet2"/>
      </w:pPr>
      <w:r>
        <w:t>ETHOS: Rabe KF et al., NEJM 2020;383:35-48 (PMID 32579807).</w:t>
      </w:r>
    </w:p>
    <w:p>
      <w:pPr>
        <w:pStyle w:val="ListBullet2"/>
      </w:pPr>
      <w:r>
        <w:t>ETHOS, mortalidad: Martinez FJ et al., AJRCCM 2021;203:553-64 (PMID 33252985).</w:t>
      </w:r>
    </w:p>
    <w:p>
      <w:pPr>
        <w:pStyle w:val="ListBullet"/>
      </w:pPr>
      <w:r>
        <w:rPr>
          <w:b/>
        </w:rPr>
        <w:t>Recomendación:</w:t>
      </w:r>
    </w:p>
    <w:p>
      <w:pPr>
        <w:pStyle w:val="ListBullet2"/>
      </w:pPr>
      <w:r>
        <w:t xml:space="preserve">Reformular como "datos de dos ECA (análisis secundario/post hoc) </w:t>
      </w:r>
      <w:r>
        <w:rPr>
          <w:b/>
        </w:rPr>
        <w:t>sugieren</w:t>
      </w:r>
      <w:r>
        <w:t xml:space="preserve"> una menor mortalidad frente a LABA+LAMA, no frente a LABA+ICS".</w:t>
      </w:r>
    </w:p>
    <w:p>
      <w:pPr>
        <w:pStyle w:val="ListBullet2"/>
      </w:pPr>
      <w:r>
        <w:t>Explicitar las limitaciones: retirada de ICS en IMPACT, efecto dependiente de la dosis de ICS en ETHOS y ausencia de un ECA con mortalidad como objetivo primario.</w:t>
      </w:r>
    </w:p>
    <w:p>
      <w:pPr>
        <w:pStyle w:val="ListBullet2"/>
      </w:pPr>
      <w:r>
        <w:t>Corregir la nota "*" y la etiqueta "relative risk reduction" (son HR) en la Fig. 3.19.</w:t>
      </w:r>
    </w:p>
    <w:p>
      <w:pPr>
        <w:pStyle w:val="ListBullet2"/>
      </w:pPr>
      <w:r>
        <w:t>Asignar un nivel de evidencia explícito (B) coherente en el cap. 3, la Fig. 3.19 y la Fig. A3.3.</w:t>
      </w:r>
    </w:p>
    <w:p>
      <w:pPr>
        <w:pStyle w:val="ListBullet"/>
      </w:pPr>
      <w:r>
        <w:rPr>
          <w:b/>
        </w:rPr>
        <w:t>Confianza:</w:t>
      </w:r>
      <w:r>
        <w:t xml:space="preserve"> 5/5</w:t>
      </w:r>
    </w:p>
    <w:p>
      <w:pPr>
        <w:pStyle w:val="Heading4"/>
      </w:pPr>
      <w:r>
        <w:t>MET-11 · El texto sobre biológicos sobrerrepresenta los resultados de los ensayos</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Reescribir el párrafo ensayo por ensayo: • METREX: positivo solo en el estrato eosinofílico. • METREO: no significativo. • MATINEE: positivo en el objetivo primario, con eosinófilos ≥300 y de 52 a 104 semanas. • Eliminar la reducción de urgencias u hospitalizaciones, o marcarla como "no testable por jerarquía".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163 / impr. 152 (refs 681, 682, 690, 691)</w:t>
      </w:r>
    </w:p>
    <w:p>
      <w:pPr>
        <w:pStyle w:val="ListBullet"/>
      </w:pPr>
      <w:r>
        <w:rPr>
          <w:b/>
        </w:rPr>
        <w:t>Cita:</w:t>
      </w:r>
      <w:r>
        <w:t xml:space="preserve"> «Across three phase III… blood eosinophil count of ≥ 300 cells/μL who received mepolizumab… had fewer moderate or severe exacerbations and a reduction in exacerbations leading to ED visits or hospitalizations (690,691)»</w:t>
      </w:r>
    </w:p>
    <w:p>
      <w:pPr>
        <w:pStyle w:val="ListBullet"/>
      </w:pPr>
      <w:r>
        <w:rPr>
          <w:b/>
        </w:rPr>
        <w:t>Problema:</w:t>
      </w:r>
    </w:p>
    <w:p>
      <w:pPr>
        <w:pStyle w:val="ListBullet2"/>
      </w:pPr>
      <w:r>
        <w:rPr>
          <w:b/>
        </w:rPr>
        <w:t>Umbrales de eosinófilos.</w:t>
      </w:r>
      <w:r>
        <w:t xml:space="preserve"> METREX y METREO incluyeron pacientes con ≥150 células/μL en el cribado o ≥300 en el año previo; solo MATINEE exigió ≥300. La propia Fig 3.11 lo recoge.</w:t>
      </w:r>
    </w:p>
    <w:p>
      <w:pPr>
        <w:pStyle w:val="ListBullet2"/>
      </w:pPr>
      <w:r>
        <w:rPr>
          <w:b/>
        </w:rPr>
        <w:t>Resultados de los tres ensayos.</w:t>
      </w:r>
    </w:p>
    <w:p>
      <w:pPr>
        <w:pStyle w:val="ListBullet2"/>
      </w:pPr>
      <w:r>
        <w:t>METREO no fue significativo (RR 0,80; NS).</w:t>
      </w:r>
    </w:p>
    <w:p>
      <w:pPr>
        <w:pStyle w:val="ListBullet2"/>
      </w:pPr>
      <w:r>
        <w:t>METREX solo fue positivo en el estrato eosinofílico predefinido.</w:t>
      </w:r>
    </w:p>
    <w:p>
      <w:pPr>
        <w:pStyle w:val="ListBullet2"/>
      </w:pPr>
      <w:r>
        <w:rPr>
          <w:b/>
        </w:rPr>
        <w:t>Desenlaces secundarios de MATINEE.</w:t>
      </w:r>
      <w:r>
        <w:t xml:space="preserve"> La jerarquía de pruebas se detuvo al fracasar el SGRQ y los síntomas: «no statistical inferences regarding subsequent secondary end points». Por tanto, la reducción de exacerbaciones con visita a urgencias u hospitalización no es inferible.</w:t>
      </w:r>
    </w:p>
    <w:p>
      <w:pPr>
        <w:pStyle w:val="ListBullet2"/>
      </w:pPr>
      <w:r>
        <w:rPr>
          <w:b/>
        </w:rPr>
        <w:t>Dupilumab.</w:t>
      </w:r>
      <w:r>
        <w:t xml:space="preserve"> El texto afirma «improved health status over 52 weeks» (681, 682), pero en NOTUS el SGRQ no fue confirmatorio; la propia Fig 3.11 lo marca como «significance not tested».</w:t>
      </w:r>
    </w:p>
    <w:p>
      <w:pPr>
        <w:pStyle w:val="ListBullet"/>
      </w:pPr>
      <w:r>
        <w:rPr>
          <w:b/>
        </w:rPr>
        <w:t>Evidencia/justificación:</w:t>
      </w:r>
      <w:r>
        <w:t xml:space="preserve"> Abstracts en PubMed de MATINEE (PMID 40305712), NOTUS (PMID 38767614), BOREAS (PMID 37272521) y METREX/METREO (NEJM 2017;377:1613); Fig 3.11 (PDF 79 / impr. 68).</w:t>
      </w:r>
    </w:p>
    <w:p>
      <w:pPr>
        <w:pStyle w:val="ListBullet"/>
      </w:pPr>
      <w:r>
        <w:rPr>
          <w:b/>
        </w:rPr>
        <w:t>Recomendación:</w:t>
      </w:r>
      <w:r>
        <w:t xml:space="preserve"> Reescribir el párrafo ensayo por ensayo, con los umbrales reales, señalando los desenlaces no significativos y los no inferibles por la jerarquía de pruebas.</w:t>
      </w:r>
    </w:p>
    <w:p>
      <w:pPr>
        <w:pStyle w:val="ListBullet"/>
      </w:pPr>
      <w:r>
        <w:rPr>
          <w:b/>
        </w:rPr>
        <w:t>Confianza:</w:t>
      </w:r>
      <w:r>
        <w:t xml:space="preserve"> 4</w:t>
      </w:r>
    </w:p>
    <w:p>
      <w:pPr>
        <w:pStyle w:val="Heading4"/>
      </w:pPr>
      <w:r>
        <w:t>NOV-01 · Apéndice 3 describe erróneamente la evidencia de mepolizumab (población, duración, resultados)</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Reescribir el párrafo ensayo por ensayo: • METREX: positivo solo en el estrato eosinofílico. • METREO: no significativo. • MATINEE: positivo en el objetivo primario, con eosinófilos ≥300 y de 52 a 104 semanas. • Eliminar la reducción de urgencias u hospitalizaciones, o marcarla como "no testable por jerarquía".</w:t>
      </w:r>
    </w:p>
    <w:p>
      <w:pPr>
        <w:pStyle w:val="ListBullet"/>
      </w:pPr>
      <w:r>
        <w:rPr>
          <w:b/>
        </w:rPr>
        <w:t>Tipo:</w:t>
      </w:r>
      <w:r>
        <w:t xml:space="preserve"> Evidencia mal representada / Error factual</w:t>
      </w:r>
    </w:p>
    <w:p>
      <w:pPr>
        <w:pStyle w:val="ListBullet"/>
      </w:pPr>
      <w:r>
        <w:rPr>
          <w:b/>
        </w:rPr>
        <w:t>Severidad:</w:t>
      </w:r>
      <w:r>
        <w:t xml:space="preserve"> ALTA</w:t>
      </w:r>
    </w:p>
    <w:p>
      <w:pPr>
        <w:pStyle w:val="ListBullet"/>
      </w:pPr>
      <w:r>
        <w:rPr>
          <w:b/>
        </w:rPr>
        <w:t>Ubicación:</w:t>
      </w:r>
      <w:r>
        <w:t xml:space="preserve"> PDF 163 / impr. 152 — Apéndice 3, "Biologic therapy", párrafo de mepolizumab (refs. 690, 691).</w:t>
      </w:r>
    </w:p>
    <w:p>
      <w:pPr>
        <w:pStyle w:val="ListBullet"/>
      </w:pPr>
      <w:r>
        <w:rPr>
          <w:b/>
        </w:rPr>
        <w:t>Cita:</w:t>
      </w:r>
      <w:r>
        <w:t xml:space="preserve"> "Across three phase III… blood eosinophil count of ≥ 300 cells/μL who received mepolizumab for 52 to 104 weeks and had fewer moderate or severe exacerbations and a reduction in exacerbations leading to ED visits or hospitalizations"</w:t>
      </w:r>
    </w:p>
    <w:p>
      <w:pPr>
        <w:pStyle w:val="ListBullet"/>
      </w:pPr>
      <w:r>
        <w:rPr>
          <w:b/>
        </w:rPr>
        <w:t>Problema:</w:t>
      </w:r>
      <w:r>
        <w:t xml:space="preserve"> La frase atribuye a los tres ensayos (METREX, METREO y MATINEE) un umbral común de eosinófilos ≥300, una duración de 52-104 semanas y un beneficio homogéneo, incluida una reducción de urgencias/hospitalizaciones. Hay cuatro errores:</w:t>
      </w:r>
    </w:p>
    <w:p>
      <w:pPr>
        <w:pStyle w:val="ListNumber"/>
        <w:numPr>
          <w:ilvl w:val="0"/>
          <w:numId w:val="16"/>
        </w:numPr>
      </w:pPr>
      <w:r>
        <w:rPr>
          <w:b/>
        </w:rPr>
        <w:t>Resultados:</w:t>
      </w:r>
      <w:r>
        <w:t xml:space="preserve"> METREO fue negativo y METREX solo fue positivo en el estrato eosinofílico.</w:t>
      </w:r>
    </w:p>
    <w:p>
      <w:pPr>
        <w:pStyle w:val="ListNumber"/>
        <w:numPr>
          <w:ilvl w:val="0"/>
          <w:numId w:val="16"/>
        </w:numPr>
      </w:pPr>
      <w:r>
        <w:rPr>
          <w:b/>
        </w:rPr>
        <w:t>Umbral:</w:t>
      </w:r>
      <w:r>
        <w:t xml:space="preserve"> METREX/METREO no usaron ≥300 como criterio único.</w:t>
      </w:r>
    </w:p>
    <w:p>
      <w:pPr>
        <w:pStyle w:val="ListNumber"/>
        <w:numPr>
          <w:ilvl w:val="0"/>
          <w:numId w:val="16"/>
        </w:numPr>
      </w:pPr>
      <w:r>
        <w:rPr>
          <w:b/>
        </w:rPr>
        <w:t>Duración:</w:t>
      </w:r>
      <w:r>
        <w:t xml:space="preserve"> METREX y METREO duraron 52 semanas. MATINEE tuvo un tratamiento de 52 a 104 semanas, por lo que el rango solo es aplicable a este ensayo.</w:t>
      </w:r>
    </w:p>
    <w:p>
      <w:pPr>
        <w:pStyle w:val="ListNumber"/>
        <w:numPr>
          <w:ilvl w:val="0"/>
          <w:numId w:val="16"/>
        </w:numPr>
      </w:pPr>
      <w:r>
        <w:rPr>
          <w:b/>
        </w:rPr>
        <w:t>Urgencias/hospitalización:</w:t>
      </w:r>
      <w:r>
        <w:t xml:space="preserve"> este beneficio no está demostrado en ningún ensayo con contraste confirmatorio.</w:t>
      </w:r>
    </w:p>
    <w:p>
      <w:pPr>
        <w:pStyle w:val="ListBullet"/>
      </w:pPr>
      <w:r>
        <w:rPr>
          <w:b/>
        </w:rPr>
        <w:t>Evidencia/justificación:</w:t>
      </w:r>
    </w:p>
    <w:p>
      <w:pPr>
        <w:pStyle w:val="ListBullet2"/>
      </w:pPr>
      <w:r>
        <w:rPr>
          <w:b/>
        </w:rPr>
        <w:t>METREX/METREO</w:t>
      </w:r>
      <w:r>
        <w:t xml:space="preserve"> (Pavord ID et al., NEJM 2017;377:1613-29; PMID 28893134):</w:t>
      </w:r>
    </w:p>
    <w:p>
      <w:pPr>
        <w:pStyle w:val="ListBullet2"/>
      </w:pPr>
      <w:r>
        <w:t>Criterio de eosinófilos: ≥150/µL en el cribado o ≥300/µL en los 12 meses previos.</w:t>
      </w:r>
    </w:p>
    <w:p>
      <w:pPr>
        <w:pStyle w:val="ListBullet2"/>
      </w:pPr>
      <w:r>
        <w:t>METREO: RR 0,80 con 100 mg y 0,86 con 300 mg; P ajustada 0,07 y 0,14 (no significativo).</w:t>
      </w:r>
    </w:p>
    <w:p>
      <w:pPr>
        <w:pStyle w:val="ListBullet2"/>
      </w:pPr>
      <w:r>
        <w:t>METREX, estrato eosinofílico (n=462): RR 0,82, P=0,04.</w:t>
      </w:r>
    </w:p>
    <w:p>
      <w:pPr>
        <w:pStyle w:val="ListBullet2"/>
      </w:pPr>
      <w:r>
        <w:t>METREX, población mITT global (n=836): sin efecto (RR ≈0,98).</w:t>
      </w:r>
    </w:p>
    <w:p>
      <w:pPr>
        <w:pStyle w:val="ListBullet2"/>
      </w:pPr>
      <w:r>
        <w:rPr>
          <w:b/>
        </w:rPr>
        <w:t>MATINEE</w:t>
      </w:r>
      <w:r>
        <w:t xml:space="preserve"> (Sciurba FC et al., NEJM 2025;392:1710-20; NCT04133909):</w:t>
      </w:r>
    </w:p>
    <w:p>
      <w:pPr>
        <w:pStyle w:val="ListBullet2"/>
      </w:pPr>
      <w:r>
        <w:t>Criterios: eosinófilos ≥300/µL en el cribado Y ≥150/µL en el año previo.</w:t>
      </w:r>
    </w:p>
    <w:p>
      <w:pPr>
        <w:pStyle w:val="ListBullet2"/>
      </w:pPr>
      <w:r>
        <w:t>Resultado primario: RR 0,79 (IC 95 % 0,66-0,94).</w:t>
      </w:r>
    </w:p>
    <w:p>
      <w:pPr>
        <w:pStyle w:val="ListBullet2"/>
      </w:pPr>
      <w:r>
        <w:t>Las exacerbaciones con visita a urgencias u hospitalización (RR ≈0,65) no se contrastaron formalmente por la jerarquía estadística; el valor es solo nominal.</w:t>
      </w:r>
    </w:p>
    <w:p>
      <w:pPr>
        <w:pStyle w:val="ListBullet2"/>
      </w:pPr>
      <w:r>
        <w:t>SGRQ y síntomas no fueron significativos (la propia Fig. 3.11 muestra SGRQ −2,3, NS).</w:t>
      </w:r>
    </w:p>
    <w:p>
      <w:pPr>
        <w:pStyle w:val="ListBullet2"/>
      </w:pPr>
      <w:r>
        <w:rPr>
          <w:b/>
        </w:rPr>
        <w:t>Fig. 3.11 (PDF 79)</w:t>
      </w:r>
      <w:r>
        <w:t xml:space="preserve"> muestra correctamente "RR 0.80; NS" para METREO y un FEV1 no significativo en los tres ensayos. Esto contradice el texto del Apéndice 3.</w:t>
      </w:r>
    </w:p>
    <w:p>
      <w:pPr>
        <w:pStyle w:val="ListBullet"/>
      </w:pPr>
      <w:r>
        <w:rPr>
          <w:b/>
        </w:rPr>
        <w:t>Recomendación:</w:t>
      </w:r>
      <w:r>
        <w:t xml:space="preserve"> Reescribir el párrafo:</w:t>
      </w:r>
    </w:p>
    <w:p>
      <w:pPr>
        <w:pStyle w:val="ListBullet2"/>
      </w:pPr>
      <w:r>
        <w:t>Dos ensayos de 52 semanas (METREX/METREO) con resultados inconsistentes: uno negativo y otro positivo solo en el estrato eosinofílico.</w:t>
      </w:r>
    </w:p>
    <w:p>
      <w:pPr>
        <w:pStyle w:val="ListBullet2"/>
      </w:pPr>
      <w:r>
        <w:t>Un ensayo confirmatorio, MATINEE, con eosinófilos ≥300 (cribado) y ≥150 (histórico), en tratamiento triple, que redujo un 21 % las exacerbaciones moderadas/graves sin mejorar la calidad de vida ni el FEV1.</w:t>
      </w:r>
    </w:p>
    <w:p>
      <w:pPr>
        <w:pStyle w:val="ListBullet2"/>
      </w:pPr>
      <w:r>
        <w:t>Indicar que la reducción de urgencias/hospitalizaciones es un resultado nominal, no confirmatorio.</w:t>
      </w:r>
    </w:p>
    <w:p>
      <w:pPr>
        <w:pStyle w:val="ListBullet"/>
      </w:pPr>
      <w:r>
        <w:rPr>
          <w:b/>
        </w:rPr>
        <w:t>Confianza:</w:t>
      </w:r>
      <w:r>
        <w:t xml:space="preserve"> 5/5</w:t>
      </w:r>
    </w:p>
    <w:p>
      <w:pPr>
        <w:pStyle w:val="Heading4"/>
      </w:pPr>
      <w:r>
        <w:t>NOV-08 · Ensifentrina recomendada tras LABA+LAMA sin evidencia en esa posición</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1. En la Fig. 3.9 y en el texto, indicar que no hay datos de ensayos aleatorizados con LABA+LAMA de base. 2. Posicionarla como opción basada en extrapolación (evidencia D o "consenso"), o como alternativa al segundo broncodilatador cuando este no se tolera. 3. Añadir "if available" en la figura.</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p>
    <w:p>
      <w:pPr>
        <w:pStyle w:val="ListBullet2"/>
      </w:pPr>
      <w:r>
        <w:t>PDF 74 / impr. 63 — Fig. 3.9, rama de disnea.</w:t>
      </w:r>
    </w:p>
    <w:p>
      <w:pPr>
        <w:pStyle w:val="ListBullet2"/>
      </w:pPr>
      <w:r>
        <w:t>PDF 77 / impr. 66 — texto.</w:t>
      </w:r>
    </w:p>
    <w:p>
      <w:pPr>
        <w:pStyle w:val="ListBullet2"/>
      </w:pPr>
      <w:r>
        <w:t>PDF 163 / impr. 152 — Apéndice 3.</w:t>
      </w:r>
    </w:p>
    <w:p>
      <w:pPr>
        <w:pStyle w:val="ListBullet"/>
      </w:pPr>
      <w:r>
        <w:rPr>
          <w:b/>
        </w:rPr>
        <w:t>Cita:</w:t>
      </w:r>
      <w:r>
        <w:t xml:space="preserve"> "If the addition of a second long-acting bronchodilator does not improve symptoms, we suggest: … Considering adding ensifentrine if available." Frente a App. 3: "the studies were not designed to assess the impact of ensifentrine on top of LABA+LAMA or LABA+LAMA+ICS"</w:t>
      </w:r>
    </w:p>
    <w:p>
      <w:pPr>
        <w:pStyle w:val="ListBullet"/>
      </w:pPr>
      <w:r>
        <w:rPr>
          <w:b/>
        </w:rPr>
        <w:t>Problema:</w:t>
      </w:r>
    </w:p>
    <w:p>
      <w:pPr>
        <w:pStyle w:val="ListBullet2"/>
      </w:pPr>
      <w:r>
        <w:t>El algoritmo sitúa la ensifentrina como tercer escalón para la disnea persistente con LABA+LAMA, pero ENHANCE-1/2 solo admitían como tratamiento de fondo: ninguno, LABA ± ICS o LAMA ± ICS. La doble broncodilatación de acción prolongada no estaba entre los tratamientos admitidos.</w:t>
      </w:r>
    </w:p>
    <w:p>
      <w:pPr>
        <w:pStyle w:val="ListBullet2"/>
      </w:pPr>
      <w:r>
        <w:t>En los ensayos, la mayoría de los pacientes recibía un único broncodilatador de acción prolongada, con o sin ICS.</w:t>
      </w:r>
    </w:p>
    <w:p>
      <w:pPr>
        <w:pStyle w:val="ListBullet2"/>
      </w:pPr>
      <w:r>
        <w:t>No hay ECA de fase III de ensifentrina añadida a LABA+LAMA. La recomendación extrapola sin decirlo.</w:t>
      </w:r>
    </w:p>
    <w:p>
      <w:pPr>
        <w:pStyle w:val="ListBullet2"/>
      </w:pPr>
      <w:r>
        <w:t>Por precio y vía nebulizada, puede generar un uso con beneficio incierto.</w:t>
      </w:r>
    </w:p>
    <w:p>
      <w:pPr>
        <w:pStyle w:val="ListBullet"/>
      </w:pPr>
      <w:r>
        <w:rPr>
          <w:b/>
        </w:rPr>
        <w:t>Evidencia/justificación:</w:t>
      </w:r>
    </w:p>
    <w:p>
      <w:pPr>
        <w:pStyle w:val="ListBullet2"/>
      </w:pPr>
      <w:r>
        <w:t>ENHANCE-1/2: Anzueto A et al., AJRCCM 2023;208:406-16 (PMID 37364283). Métodos: "no long-acting maintenance therapy or … LABA with or without ICS or LAMA with or without ICS"; FEV1 entre 30 % y 70 %.</w:t>
      </w:r>
    </w:p>
    <w:p>
      <w:pPr>
        <w:pStyle w:val="ListBullet2"/>
      </w:pPr>
      <w:r>
        <w:t>Ficha técnica de la FDA (Ohtuvayre, junio de 2024): indicación de mantenimiento sin especificar la línea terapéutica.</w:t>
      </w:r>
    </w:p>
    <w:p>
      <w:pPr>
        <w:pStyle w:val="ListBullet"/>
      </w:pPr>
      <w:r>
        <w:rPr>
          <w:b/>
        </w:rPr>
        <w:t>Recomendación:</w:t>
      </w:r>
    </w:p>
    <w:p>
      <w:pPr>
        <w:pStyle w:val="ListBullet2"/>
      </w:pPr>
      <w:r>
        <w:t>Etiquetar la sugerencia como "basada en extrapolación (opinión de expertos, Evidencia D)".</w:t>
      </w:r>
    </w:p>
    <w:p>
      <w:pPr>
        <w:pStyle w:val="ListBullet2"/>
      </w:pPr>
      <w:r>
        <w:t>Indicar que la evidencia de ECA procede de pacientes con un solo broncodilatador.</w:t>
      </w:r>
    </w:p>
    <w:p>
      <w:pPr>
        <w:pStyle w:val="ListBullet2"/>
      </w:pPr>
      <w:r>
        <w:t>Alternativamente, ofrecerla también como alternativa al segundo broncodilatador cuando este no se tolera.</w:t>
      </w:r>
    </w:p>
    <w:p>
      <w:pPr>
        <w:pStyle w:val="ListBullet"/>
      </w:pPr>
      <w:r>
        <w:rPr>
          <w:b/>
        </w:rPr>
        <w:t>Confianza:</w:t>
      </w:r>
      <w:r>
        <w:t xml:space="preserve"> 4/5</w:t>
      </w:r>
    </w:p>
    <w:p>
      <w:pPr>
        <w:pStyle w:val="Heading4"/>
      </w:pPr>
      <w:r>
        <w:t>EXA-02 · La Fig. 4.9 no incluye el fracaso de la VNI ni la acidosis hipercápnica progresiva como indicación de VMI</w:t>
      </w:r>
    </w:p>
    <w:p>
      <w:r>
        <w:rPr>
          <w:i/>
        </w:rPr>
        <w:t xml:space="preserve">Severidad final: </w:t>
      </w:r>
      <w:r>
        <w:rPr>
          <w:i/>
          <w:color w:val="ED7D31"/>
        </w:rPr>
        <w:t>🟠</w:t>
      </w:r>
      <w:r>
        <w:rPr>
          <w:i/>
        </w:rPr>
        <w:t xml:space="preserve"> ALTA · Tema T10: Soporte ventilatorio en la exacerbación (HFNT, VNI, VMI)</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119 / impr. 108 — texto "Invasive mechanical ventilation" y Fig. 4.9.</w:t>
      </w:r>
    </w:p>
    <w:p>
      <w:pPr>
        <w:pStyle w:val="ListBullet"/>
      </w:pPr>
      <w:r>
        <w:rPr>
          <w:b/>
        </w:rPr>
        <w:t>Cita:</w:t>
      </w:r>
      <w:r>
        <w:t xml:space="preserve"> El texto dice: "and include failure of an initial trial of NIV". La figura dice: "Persistent life-threatening hypoxemia despite high flow oxygen (HFNT) or NIV"; "Unable to tolerate HFNT and/or NIV".</w:t>
      </w:r>
    </w:p>
    <w:p>
      <w:pPr>
        <w:pStyle w:val="ListBullet"/>
      </w:pPr>
      <w:r>
        <w:rPr>
          <w:b/>
        </w:rPr>
        <w:t>Problema:</w:t>
      </w:r>
    </w:p>
    <w:p>
      <w:pPr>
        <w:pStyle w:val="ListBullet2"/>
      </w:pPr>
      <w:r>
        <w:t>El texto afirma que el fracaso de la VNI es indicación de VMI, pero la figura, que es lo que se usa a pie de cama, solo contempla la hipoxemia persistente y la intolerancia.</w:t>
      </w:r>
    </w:p>
    <w:p>
      <w:pPr>
        <w:pStyle w:val="ListBullet2"/>
      </w:pPr>
      <w:r>
        <w:t>Falta la indicación más frecuente en la EPOC: empeoramiento o ausencia de mejora del pH/PaCO2 (acidosis respiratoria progresiva) o del trabajo respiratorio pese a la VNI.</w:t>
      </w:r>
    </w:p>
    <w:p>
      <w:pPr>
        <w:pStyle w:val="ListBullet2"/>
      </w:pPr>
      <w:r>
        <w:t>"Unable to tolerate HFNT" por sí sola no es una indicación de intubación: el paso lógico es la VNI.</w:t>
      </w:r>
    </w:p>
    <w:p>
      <w:pPr>
        <w:pStyle w:val="ListBullet2"/>
      </w:pPr>
      <w:r>
        <w:t>La figura puede retrasar la intubación en el fracaso hipercápnico de la VNI, que es precisamente el escenario de mayor mortalidad que describe el propio texto ("morbidity, hospital length of stay and mortality are greater").</w:t>
      </w:r>
    </w:p>
    <w:p>
      <w:pPr>
        <w:pStyle w:val="ListBullet"/>
      </w:pPr>
      <w:r>
        <w:rPr>
          <w:b/>
        </w:rPr>
        <w:t>Evidencia/justificación:</w:t>
      </w:r>
    </w:p>
    <w:p>
      <w:pPr>
        <w:pStyle w:val="ListBullet2"/>
      </w:pPr>
      <w:r>
        <w:t>BTS/ICS 2016 (Davidson, Thorax 2016;71 Suppl 2) y ERS/ATS 2017 (Rochwerg, Eur Respir J 2017;50:1602426) consideran el fracaso de la VNI (pH o PaCO2 sin mejora o en empeoramiento en 1-4 h) como indicación de VMI.</w:t>
      </w:r>
    </w:p>
    <w:p>
      <w:pPr>
        <w:pStyle w:val="ListBullet2"/>
      </w:pPr>
      <w:r>
        <w:t>Las versiones previas de GOLD decían "Unable to tolerate NIV or NIV failure" (recuerdo de ediciones anteriores, confianza 4).</w:t>
      </w:r>
    </w:p>
    <w:p>
      <w:pPr>
        <w:pStyle w:val="ListBullet"/>
      </w:pPr>
      <w:r>
        <w:rPr>
          <w:b/>
        </w:rPr>
        <w:t>Recomendación:</w:t>
      </w:r>
      <w:r>
        <w:t xml:space="preserve"> Redactar la Fig. 4.9 así:</w:t>
      </w:r>
    </w:p>
    <w:p>
      <w:pPr>
        <w:pStyle w:val="ListBullet2"/>
      </w:pPr>
      <w:r>
        <w:t>"Fracaso de la VNI (pH/PaCO2 en empeoramiento o sin mejora a las 1-4 h, agotamiento)".</w:t>
      </w:r>
    </w:p>
    <w:p>
      <w:pPr>
        <w:pStyle w:val="ListBullet2"/>
      </w:pPr>
      <w:r>
        <w:t>"Intolerancia a la VNI".</w:t>
      </w:r>
    </w:p>
    <w:p>
      <w:pPr>
        <w:pStyle w:val="ListBullet2"/>
      </w:pPr>
      <w:r>
        <w:t>"Hipoxemia que amenaza la vida pese a HFNT/VNI".</w:t>
      </w:r>
    </w:p>
    <w:p>
      <w:pPr>
        <w:pStyle w:val="ListBullet2"/>
      </w:pPr>
      <w:r>
        <w:t>Reservar la HFNT como alternativa, no como paso previo obligatorio.</w:t>
      </w:r>
    </w:p>
    <w:p>
      <w:pPr>
        <w:pStyle w:val="ListBullet"/>
      </w:pPr>
      <w:r>
        <w:rPr>
          <w:b/>
        </w:rPr>
        <w:t>Confianza:</w:t>
      </w:r>
      <w:r>
        <w:t xml:space="preserve"> 5/5</w:t>
      </w:r>
    </w:p>
    <w:p>
      <w:pPr>
        <w:pStyle w:val="Heading4"/>
      </w:pPr>
      <w:r>
        <w:t>EXA-06 · Posicionamiento de la HFNT: se le atribuye la evidencia de la VNI y hay contradicciones entre figuras y texto</w:t>
      </w:r>
    </w:p>
    <w:p>
      <w:r>
        <w:rPr>
          <w:i/>
        </w:rPr>
        <w:t xml:space="preserve">Severidad final: </w:t>
      </w:r>
      <w:r>
        <w:rPr>
          <w:i/>
          <w:color w:val="ED7D31"/>
        </w:rPr>
        <w:t>🟠</w:t>
      </w:r>
      <w:r>
        <w:rPr>
          <w:i/>
        </w:rPr>
        <w:t xml:space="preserve"> ALTA · Tema T10: Soporte ventilatorio en la exacerbación (HFNT, VNI, VMI)</w:t>
      </w:r>
    </w:p>
    <w:p>
      <w:pPr>
        <w:pStyle w:val="IntenseQuote"/>
      </w:pPr>
      <w:r>
        <w:rPr>
          <w:b/>
        </w:rPr>
        <w:t>Verificación independiente (CONFIRMADO):</w:t>
      </w:r>
      <w:r>
        <w:t xml:space="preserve"> Precisar que, dentro de la figura, la supervivencia se atribuye a la VNI. La fusión HFNT-supervivencia aparece en el mensaje clave (p103). La figura limita el «primer modo» a la insuficiencia «hypoxemic».</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p>
    <w:p>
      <w:pPr>
        <w:pStyle w:val="ListBullet2"/>
      </w:pPr>
      <w:r>
        <w:t>PDF 103 / impr. 92 (puntos clave).</w:t>
      </w:r>
    </w:p>
    <w:p>
      <w:pPr>
        <w:pStyle w:val="ListBullet2"/>
      </w:pPr>
      <w:r>
        <w:t>PDF 113 / impr. 102 (Fig. 4.6).</w:t>
      </w:r>
    </w:p>
    <w:p>
      <w:pPr>
        <w:pStyle w:val="ListBullet2"/>
      </w:pPr>
      <w:r>
        <w:t>PDF 117-118 / impr. 106-107 (Fig. 4.7 y texto).</w:t>
      </w:r>
    </w:p>
    <w:p>
      <w:pPr>
        <w:pStyle w:val="ListBullet"/>
      </w:pPr>
      <w:r>
        <w:rPr>
          <w:b/>
        </w:rPr>
        <w:t>Cita:</w:t>
      </w:r>
    </w:p>
    <w:p>
      <w:pPr>
        <w:pStyle w:val="ListBullet2"/>
      </w:pPr>
      <w:r>
        <w:t>Fig. 4.6: "High flow oxygen (HFNT) is the first mode of ventilation used in COPD patients with acute hypoxemic respiratory failure… (Evidence A)".</w:t>
      </w:r>
    </w:p>
    <w:p>
      <w:pPr>
        <w:pStyle w:val="ListBullet2"/>
      </w:pPr>
      <w:r>
        <w:t>Puntos clave: "High flow oxygen systems and mechanical NIV… also decrease hospitalization duration and improve survival".</w:t>
      </w:r>
    </w:p>
    <w:p>
      <w:pPr>
        <w:pStyle w:val="ListBullet"/>
      </w:pPr>
      <w:r>
        <w:rPr>
          <w:b/>
        </w:rPr>
        <w:t>Problema:</w:t>
      </w:r>
    </w:p>
    <w:p>
      <w:pPr>
        <w:pStyle w:val="ListBullet2"/>
      </w:pPr>
      <w:r>
        <w:rPr>
          <w:b/>
        </w:rPr>
        <w:t>Supervivencia y nivel A.</w:t>
      </w:r>
      <w:r>
        <w:t xml:space="preserve"> Ningún ensayo de HFNT en la exacerbación ha demostrado reducir la mortalidad. El beneficio en supervivencia y el nivel A proceden de la VNI (Cochrane, Osadnik 2017). Los puntos clave fusionan ambas terapias.</w:t>
      </w:r>
    </w:p>
    <w:p>
      <w:pPr>
        <w:pStyle w:val="ListBullet2"/>
      </w:pPr>
      <w:r>
        <w:rPr>
          <w:b/>
        </w:rPr>
        <w:t>Terminología.</w:t>
      </w:r>
      <w:r>
        <w:t xml:space="preserve"> La HFNT no es un "modo de ventilación".</w:t>
      </w:r>
    </w:p>
    <w:p>
      <w:pPr>
        <w:pStyle w:val="ListBullet2"/>
      </w:pPr>
      <w:r>
        <w:rPr>
          <w:b/>
        </w:rPr>
        <w:t>Modo inicial contradictorio.</w:t>
      </w:r>
      <w:r>
        <w:t xml:space="preserve"> El texto (PDF 118) afirma "NIV is the initial mode of ventilation to treat acute respiratory failure", y la Fig. 4.6 da ese papel a la HFNT (solo en la hipoxémica, matiz que se pierde en los puntos clave).</w:t>
      </w:r>
    </w:p>
    <w:p>
      <w:pPr>
        <w:pStyle w:val="ListBullet2"/>
      </w:pPr>
      <w:r>
        <w:rPr>
          <w:b/>
        </w:rPr>
        <w:t>Prevención de la reintubación.</w:t>
      </w:r>
      <w:r>
        <w:t xml:space="preserve"> La Fig. 4.7 enumera "Preventing reintubation in patients requiring intubation…" como indicación de HFNT. Pero el texto (PDF 118) recoge que la guía ERS recomienda la VNI sobre la HFNT post-extubación en alto riesgo y en hipercapnia (Oczkowski, Eur Respir J 2022;59:2101574, ref. 1084).</w:t>
      </w:r>
    </w:p>
    <w:p>
      <w:pPr>
        <w:pStyle w:val="ListBullet2"/>
      </w:pPr>
      <w:r>
        <w:rPr>
          <w:b/>
        </w:rPr>
        <w:t>Indicaciones crónicas mezcladas.</w:t>
      </w:r>
      <w:r>
        <w:t xml:space="preserve"> La Fig. 4.7 mezcla indicaciones agudas con "Treatment of patients with stable COPD at risk of exacerbations", una indicación crónica sin evidencia de mortalidad y pendiente de ensayos en curso (el propio texto lo reconoce).</w:t>
      </w:r>
    </w:p>
    <w:p>
      <w:pPr>
        <w:pStyle w:val="ListBullet2"/>
      </w:pPr>
      <w:r>
        <w:rPr>
          <w:b/>
        </w:rPr>
        <w:t>"Persistent hypoxemia" sin umbral</w:t>
      </w:r>
      <w:r>
        <w:t xml:space="preserve"> en la Fig. 4.7.</w:t>
      </w:r>
    </w:p>
    <w:p>
      <w:pPr>
        <w:pStyle w:val="ListBullet"/>
      </w:pPr>
      <w:r>
        <w:rPr>
          <w:b/>
        </w:rPr>
        <w:t>Evidencia/justificación:</w:t>
      </w:r>
    </w:p>
    <w:p>
      <w:pPr>
        <w:pStyle w:val="ListBullet2"/>
      </w:pPr>
      <w:r>
        <w:t>Osadnik CR et al., Cochrane 2017;CD004104 (la VNI reduce la mortalidad y la intubación).</w:t>
      </w:r>
    </w:p>
    <w:p>
      <w:pPr>
        <w:pStyle w:val="ListBullet2"/>
      </w:pPr>
      <w:r>
        <w:t>Guía ERS de HFNC 2022 (ref. 1084): recomendación condicional de probar la VNI antes que la HFNT en la insuficiencia hipercápnica, y de VNI frente a HFNT post-extubación en pacientes de alto riesgo.</w:t>
      </w:r>
    </w:p>
    <w:p>
      <w:pPr>
        <w:pStyle w:val="ListBullet"/>
      </w:pPr>
      <w:r>
        <w:rPr>
          <w:b/>
        </w:rPr>
        <w:t>Recomendación:</w:t>
      </w:r>
    </w:p>
    <w:p>
      <w:pPr>
        <w:pStyle w:val="ListBullet2"/>
      </w:pPr>
      <w:r>
        <w:t>Separar las afirmaciones: la VNI reduce la intubación y la mortalidad (A); la HFNT mejora el confort y la tolerancia y puede considerarse en la insuficiencia hipoxémica sin acidosis o cuando la VNI no se tolera (B/C).</w:t>
      </w:r>
    </w:p>
    <w:p>
      <w:pPr>
        <w:pStyle w:val="ListBullet2"/>
      </w:pPr>
      <w:r>
        <w:t>Retirar "Preventing reintubation" y la indicación crónica de la Fig. 4.7, o subordinarlas a "si la VNI está contraindicada o no se tolera".</w:t>
      </w:r>
    </w:p>
    <w:p>
      <w:pPr>
        <w:pStyle w:val="ListBullet"/>
      </w:pPr>
      <w:r>
        <w:rPr>
          <w:b/>
        </w:rPr>
        <w:t>Confianza:</w:t>
      </w:r>
      <w:r>
        <w:t xml:space="preserve"> 5/5</w:t>
      </w:r>
    </w:p>
    <w:p>
      <w:pPr>
        <w:pStyle w:val="Heading4"/>
      </w:pPr>
      <w:r>
        <w:t>MET-16 · Protocolos citados como resultados y un ECA descrito con resultados opuestos (HFNT, SUMMIT)</w:t>
      </w:r>
    </w:p>
    <w:p>
      <w:r>
        <w:rPr>
          <w:i/>
        </w:rPr>
        <w:t xml:space="preserve">Severidad final: </w:t>
      </w:r>
      <w:r>
        <w:rPr>
          <w:i/>
          <w:color w:val="ED7D31"/>
        </w:rPr>
        <w:t>🟠</w:t>
      </w:r>
      <w:r>
        <w:rPr>
          <w:i/>
        </w:rPr>
        <w:t xml:space="preserve"> ALTA · Tema T10: Soporte ventilatorio en la exacerbación (HFNT, VNI, VMI)</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117 / impr. 106; PDF 92 / impr. 81; refs 1077-1078 (PDF 219 / impr. 208); ref 791 (PDF 207 / impr. 196)</w:t>
      </w:r>
    </w:p>
    <w:p>
      <w:pPr>
        <w:pStyle w:val="ListBullet"/>
      </w:pPr>
      <w:r>
        <w:rPr>
          <w:b/>
        </w:rPr>
        <w:t>Cita:</w:t>
      </w:r>
      <w:r>
        <w:t xml:space="preserve"> «A multicenter RCT of patients hospitalized with exacerbations reported HFNT to be non-inferior to NIV in lowering PaCO2; however, approximately 30% of patients randomized to HFNT switched to NIV at 6 hours post-randomization…(1077)»</w:t>
      </w:r>
    </w:p>
    <w:p>
      <w:pPr>
        <w:pStyle w:val="ListBullet"/>
      </w:pPr>
      <w:r>
        <w:rPr>
          <w:b/>
        </w:rPr>
        <w:t>Problema:</w:t>
      </w:r>
    </w:p>
    <w:p>
      <w:pPr>
        <w:pStyle w:val="ListBullet2"/>
      </w:pPr>
      <w:r>
        <w:rPr>
          <w:b/>
        </w:rPr>
        <w:t>Ref 1077.</w:t>
      </w:r>
    </w:p>
    <w:p>
      <w:pPr>
        <w:pStyle w:val="ListBullet2"/>
      </w:pPr>
      <w:r>
        <w:t>Es el protocolo de Cortegiani et al. (Trials 2019, PMID 31331372). El artículo de resultados (Crit Care 2020, PMID 33317579) no está en la lista.</w:t>
      </w:r>
    </w:p>
    <w:p>
      <w:pPr>
        <w:pStyle w:val="ListBullet2"/>
      </w:pPr>
      <w:r>
        <w:t>Esa misma ref sustenta además la frase previa («Several prospective RCTs… fewer complications and reported it more comfortable»), presentada como si fuera otro conjunto de estudios.</w:t>
      </w:r>
    </w:p>
    <w:p>
      <w:pPr>
        <w:pStyle w:val="ListBullet2"/>
      </w:pPr>
      <w:r>
        <w:rPr>
          <w:b/>
        </w:rPr>
        <w:t>Ref 1078.</w:t>
      </w:r>
    </w:p>
    <w:p>
      <w:pPr>
        <w:pStyle w:val="ListBullet2"/>
      </w:pPr>
      <w:r>
        <w:t>Es Tan et al. (Crit Care 2020, PMID 32762701), un ECA posextubación con fracaso del 22,7 % con HFNC frente al 28,6 % con VNI (no inferior).</w:t>
      </w:r>
    </w:p>
    <w:p>
      <w:pPr>
        <w:pStyle w:val="ListBullet2"/>
      </w:pPr>
      <w:r>
        <w:t>El texto la describe como un ECA de pacientes hospitalizados por exacerbación en el que «the intubation rate was higher in the HFNT group», lo contrario de lo que informa el abstract. El párrafo siguiente la cita correctamente como estudio posextubación.</w:t>
      </w:r>
    </w:p>
    <w:p>
      <w:pPr>
        <w:pStyle w:val="ListBullet2"/>
      </w:pPr>
      <w:r>
        <w:rPr>
          <w:b/>
        </w:rPr>
        <w:t>Ref 791.</w:t>
      </w:r>
      <w:r>
        <w:t xml:space="preserve"> Es el protocolo de SUMMIT (ERJ 2013) y se cita para los resultados de eficacia («failed to provide evidence»). Los resultados ya están en la lista como ref 1181 (Lancet 2016).</w:t>
      </w:r>
    </w:p>
    <w:p>
      <w:pPr>
        <w:pStyle w:val="ListBullet2"/>
      </w:pPr>
      <w:r>
        <w:t>Este párrafo es la base de la recomendación sobre HFNT de la Fig 4.6 (MET-09).</w:t>
      </w:r>
    </w:p>
    <w:p>
      <w:pPr>
        <w:pStyle w:val="ListBullet"/>
      </w:pPr>
      <w:r>
        <w:rPr>
          <w:b/>
        </w:rPr>
        <w:t>Evidencia/justificación:</w:t>
      </w:r>
      <w:r>
        <w:t xml:space="preserve"> Abstracts en PubMed (efetch) de los PMIDs 31331372, 32762701 y 23018908.</w:t>
      </w:r>
    </w:p>
    <w:p>
      <w:pPr>
        <w:pStyle w:val="ListBullet"/>
      </w:pPr>
      <w:r>
        <w:rPr>
          <w:b/>
        </w:rPr>
        <w:t>Recomendación:</w:t>
      </w:r>
      <w:r>
        <w:t xml:space="preserve"> Sustituir los protocolos por las publicaciones de resultados (Cortegiani 2020; ref 1181), reescribir la descripción de la ref 1078 y revisar la base de la recomendación sobre HFNT.</w:t>
      </w:r>
    </w:p>
    <w:p>
      <w:pPr>
        <w:pStyle w:val="ListBullet"/>
      </w:pPr>
      <w:r>
        <w:rPr>
          <w:b/>
        </w:rPr>
        <w:t>Confianza:</w:t>
      </w:r>
      <w:r>
        <w:t xml:space="preserve"> 5</w:t>
      </w:r>
    </w:p>
    <w:p>
      <w:pPr>
        <w:pStyle w:val="Heading4"/>
      </w:pPr>
      <w:r>
        <w:t>EXA-07 · Criterios de indicación antibiótica mal reproducidos (Anthonisen) e incoherentes entre puntos clave, texto y figuras</w:t>
      </w:r>
    </w:p>
    <w:p>
      <w:r>
        <w:rPr>
          <w:i/>
        </w:rPr>
        <w:t xml:space="preserve">Severidad final: </w:t>
      </w:r>
      <w:r>
        <w:rPr>
          <w:i/>
          <w:color w:val="ED7D31"/>
        </w:rPr>
        <w:t>🟠</w:t>
      </w:r>
      <w:r>
        <w:rPr>
          <w:i/>
        </w:rPr>
        <w:t xml:space="preserve"> ALTA · Tema T11: Tratamiento de la exacerbación: antimicrobianos, corticoides, TEP, riesgo CV</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p>
    <w:p>
      <w:pPr>
        <w:pStyle w:val="ListBullet2"/>
      </w:pPr>
      <w:r>
        <w:t>PDF 115 / impr. 104 (texto).</w:t>
      </w:r>
    </w:p>
    <w:p>
      <w:pPr>
        <w:pStyle w:val="ListBullet2"/>
      </w:pPr>
      <w:r>
        <w:t>PDF 103 (puntos clave).</w:t>
      </w:r>
    </w:p>
    <w:p>
      <w:pPr>
        <w:pStyle w:val="ListBullet2"/>
      </w:pPr>
      <w:r>
        <w:t>PDF 113 / impr. 102 (Fig. 4.5 y 4.6).</w:t>
      </w:r>
    </w:p>
    <w:p>
      <w:pPr>
        <w:pStyle w:val="ListBullet"/>
      </w:pPr>
      <w:r>
        <w:rPr>
          <w:b/>
        </w:rPr>
        <w:t>Cita:</w:t>
      </w:r>
    </w:p>
    <w:p>
      <w:pPr>
        <w:pStyle w:val="ListBullet2"/>
      </w:pPr>
      <w:r>
        <w:t>Texto: "Have these at least two of these symptoms: increase in dyspnea, fever, sputum volume, and sputum purulence".</w:t>
      </w:r>
    </w:p>
    <w:p>
      <w:pPr>
        <w:pStyle w:val="ListBullet2"/>
      </w:pPr>
      <w:r>
        <w:t>Fig. 4.5: "Consider antibiotics (oral) in patients with purulent oral secretions… or requiring mechanical ventilation".</w:t>
      </w:r>
    </w:p>
    <w:p>
      <w:pPr>
        <w:pStyle w:val="ListBullet2"/>
      </w:pPr>
      <w:r>
        <w:t>Puntos clave: "prior history of lung infections, etc."</w:t>
      </w:r>
    </w:p>
    <w:p>
      <w:pPr>
        <w:pStyle w:val="ListBullet"/>
      </w:pPr>
      <w:r>
        <w:rPr>
          <w:b/>
        </w:rPr>
        <w:t>Problema:</w:t>
      </w:r>
    </w:p>
    <w:p>
      <w:pPr>
        <w:pStyle w:val="ListBullet2"/>
      </w:pPr>
      <w:r>
        <w:rPr>
          <w:b/>
        </w:rPr>
        <w:t>Fiebre.</w:t>
      </w:r>
      <w:r>
        <w:t xml:space="preserve"> En Anthonisen (Ann Intern Med 1987;106:196-204) la fiebre es un criterio menor, no uno cardinal. Con la redacción de GOLD, disnea + fiebre (sin purulencia) justificaría el antibiótico, lo que favorece su sobreuso en exacerbaciones víricas.</w:t>
      </w:r>
    </w:p>
    <w:p>
      <w:pPr>
        <w:pStyle w:val="ListBullet2"/>
      </w:pPr>
      <w:r>
        <w:rPr>
          <w:b/>
        </w:rPr>
        <w:t>Criterios distintos en cada lugar:</w:t>
      </w:r>
    </w:p>
    <w:p>
      <w:pPr>
        <w:pStyle w:val="ListBullet2"/>
      </w:pPr>
      <w:r>
        <w:t>El texto exige dos síntomas con purulencia.</w:t>
      </w:r>
    </w:p>
    <w:p>
      <w:pPr>
        <w:pStyle w:val="ListBullet2"/>
      </w:pPr>
      <w:r>
        <w:t>La Fig. 4.6 dice "purulent sputum, prior positive sputum bacteria culture, or requiring mechanical ventilation".</w:t>
      </w:r>
    </w:p>
    <w:p>
      <w:pPr>
        <w:pStyle w:val="ListBullet2"/>
      </w:pPr>
      <w:r>
        <w:t>Los puntos clave añaden un vago "prior history of lung infections, etc.".</w:t>
      </w:r>
    </w:p>
    <w:p>
      <w:pPr>
        <w:pStyle w:val="ListBullet2"/>
      </w:pPr>
      <w:r>
        <w:rPr>
          <w:b/>
        </w:rPr>
        <w:t>Vía oral en ventilados.</w:t>
      </w:r>
      <w:r>
        <w:t xml:space="preserve"> La Fig. 4.5 indica vía "(oral)" incluso en pacientes con ventilación mecánica invasiva, lo que es clínicamente inadecuado.</w:t>
      </w:r>
    </w:p>
    <w:p>
      <w:pPr>
        <w:pStyle w:val="ListBullet2"/>
      </w:pPr>
      <w:r>
        <w:rPr>
          <w:b/>
        </w:rPr>
        <w:t>Cultivo previo positivo.</w:t>
      </w:r>
      <w:r>
        <w:t xml:space="preserve"> No está validado como criterio de inicio.</w:t>
      </w:r>
    </w:p>
    <w:p>
      <w:pPr>
        <w:pStyle w:val="ListBullet"/>
      </w:pPr>
      <w:r>
        <w:rPr>
          <w:b/>
        </w:rPr>
        <w:t>Evidencia/justificación:</w:t>
      </w:r>
    </w:p>
    <w:p>
      <w:pPr>
        <w:pStyle w:val="ListBullet2"/>
      </w:pPr>
      <w:r>
        <w:t>Anthonisen NR et al., 1987: tipo 1 = disnea + volumen + purulencia; tipo 2 = dos de los tres; tipo 3 = uno más un criterio menor (fiebre, IRA alta, sibilancias, tos, aumento del 20 % de la FR o la FC).</w:t>
      </w:r>
    </w:p>
    <w:p>
      <w:pPr>
        <w:pStyle w:val="ListBullet2"/>
      </w:pPr>
      <w:r>
        <w:t>Woodhead M et al., guía ERS/ESCMID 2011 (Clin Microbiol Infect 2011;17 Suppl 6:E1-59), que actualiza la ref. 964 (2005).</w:t>
      </w:r>
    </w:p>
    <w:p>
      <w:pPr>
        <w:pStyle w:val="ListBullet"/>
      </w:pPr>
      <w:r>
        <w:rPr>
          <w:b/>
        </w:rPr>
        <w:t>Recomendación:</w:t>
      </w:r>
    </w:p>
    <w:p>
      <w:pPr>
        <w:pStyle w:val="ListBullet2"/>
      </w:pPr>
      <w:r>
        <w:t>Reproducir correctamente los criterios: purulencia más aumento de disnea y/o de volumen de esputo, o necesidad de ventilación.</w:t>
      </w:r>
    </w:p>
    <w:p>
      <w:pPr>
        <w:pStyle w:val="ListBullet2"/>
      </w:pPr>
      <w:r>
        <w:t>Unificar el texto en puntos clave, texto y figuras.</w:t>
      </w:r>
    </w:p>
    <w:p>
      <w:pPr>
        <w:pStyle w:val="ListBullet2"/>
      </w:pPr>
      <w:r>
        <w:t>En la Fig. 4.5, escribir "oral o IV según la gravedad y la tolerancia oral".</w:t>
      </w:r>
    </w:p>
    <w:p>
      <w:pPr>
        <w:pStyle w:val="ListBullet2"/>
      </w:pPr>
      <w:r>
        <w:t>Actualizar la ref. 964 a la guía de 2011.</w:t>
      </w:r>
    </w:p>
    <w:p>
      <w:pPr>
        <w:pStyle w:val="ListBullet"/>
      </w:pPr>
      <w:r>
        <w:rPr>
          <w:b/>
        </w:rPr>
        <w:t>Confianza:</w:t>
      </w:r>
      <w:r>
        <w:t xml:space="preserve"> 5/5</w:t>
      </w:r>
    </w:p>
    <w:p>
      <w:pPr>
        <w:pStyle w:val="Heading4"/>
      </w:pPr>
      <w:r>
        <w:t xml:space="preserve">EXA-08 · Elección empírica del antibiótico sin estratificar por riesgo de </w:t>
      </w:r>
      <w:r>
        <w:rPr>
          <w:i/>
        </w:rPr>
        <w:t>Pseudomonas</w:t>
      </w:r>
      <w:r>
        <w:t>, sin resistencias y sin advertencias sobre fluoroquinolonas</w:t>
      </w:r>
    </w:p>
    <w:p>
      <w:r>
        <w:rPr>
          <w:i/>
        </w:rPr>
        <w:t xml:space="preserve">Severidad final: </w:t>
      </w:r>
      <w:r>
        <w:rPr>
          <w:i/>
          <w:color w:val="ED7D31"/>
        </w:rPr>
        <w:t>🟠</w:t>
      </w:r>
      <w:r>
        <w:rPr>
          <w:i/>
        </w:rPr>
        <w:t xml:space="preserve"> ALTA · Tema T11: Tratamiento de la exacerbación: antimicrobianos, corticoides, TEP, riesgo CV</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115-116 / impr. 104-105 — "Antibiotics".</w:t>
      </w:r>
    </w:p>
    <w:p>
      <w:pPr>
        <w:pStyle w:val="ListBullet"/>
      </w:pPr>
      <w:r>
        <w:rPr>
          <w:b/>
        </w:rPr>
        <w:t>Cita:</w:t>
      </w:r>
      <w:r>
        <w:t xml:space="preserve"> "aminopenicillin with clavulanic acid, a macrolide, a tetracycline or, in selected patients, a quinolone".</w:t>
      </w:r>
    </w:p>
    <w:p>
      <w:pPr>
        <w:pStyle w:val="ListBullet"/>
      </w:pPr>
      <w:r>
        <w:rPr>
          <w:b/>
        </w:rPr>
        <w:t>Problema:</w:t>
      </w:r>
    </w:p>
    <w:p>
      <w:pPr>
        <w:pStyle w:val="ListBullet2"/>
      </w:pPr>
      <w:r>
        <w:rPr>
          <w:b/>
        </w:rPr>
        <w:t>Pseudomonas.</w:t>
      </w:r>
      <w:r>
        <w:t xml:space="preserve"> No se definen los factores de riesgo de </w:t>
      </w:r>
      <w:r>
        <w:rPr>
          <w:i/>
        </w:rPr>
        <w:t>P. aeruginosa</w:t>
      </w:r>
      <w:r>
        <w:t xml:space="preserve"> ni la alternativa antipseudomónica, a pesar de que el capítulo trata pacientes hospitalizados y de UCI. Los factores son:</w:t>
      </w:r>
    </w:p>
    <w:p>
      <w:pPr>
        <w:pStyle w:val="ListBullet2"/>
      </w:pPr>
      <w:r>
        <w:t>aislamiento previo;</w:t>
      </w:r>
    </w:p>
    <w:p>
      <w:pPr>
        <w:pStyle w:val="ListBullet2"/>
      </w:pPr>
      <w:r>
        <w:t>FEV1 &lt;30 %;</w:t>
      </w:r>
    </w:p>
    <w:p>
      <w:pPr>
        <w:pStyle w:val="ListBullet2"/>
      </w:pPr>
      <w:r>
        <w:t>hospitalización reciente;</w:t>
      </w:r>
    </w:p>
    <w:p>
      <w:pPr>
        <w:pStyle w:val="ListBullet2"/>
      </w:pPr>
      <w:r>
        <w:t>≥4 ciclos de antibiótico en el último año;</w:t>
      </w:r>
    </w:p>
    <w:p>
      <w:pPr>
        <w:pStyle w:val="ListBullet2"/>
      </w:pPr>
      <w:r>
        <w:t>corticoides sistémicos.</w:t>
      </w:r>
    </w:p>
    <w:p>
      <w:r>
        <w:t>Las alternativas son ciprofloxacino o levofloxacino a dosis altas y betalactámicos antipseudomónicos (piperacilina-tazobactam, cefepima).</w:t>
      </w:r>
    </w:p>
    <w:p>
      <w:pPr>
        <w:pStyle w:val="ListBullet2"/>
      </w:pPr>
      <w:r>
        <w:rPr>
          <w:b/>
        </w:rPr>
        <w:t>Resistencias y tratamiento crónico:</w:t>
      </w:r>
    </w:p>
    <w:p>
      <w:pPr>
        <w:pStyle w:val="ListBullet2"/>
      </w:pPr>
      <w:r>
        <w:t>No se comenta la resistencia de neumococo a macrólidos (&gt;20-30 % en muchas regiones).</w:t>
      </w:r>
    </w:p>
    <w:p>
      <w:pPr>
        <w:pStyle w:val="ListBullet2"/>
      </w:pPr>
      <w:r>
        <w:t xml:space="preserve">No se comenta la pobre actividad de los macrólidos frente a </w:t>
      </w:r>
      <w:r>
        <w:rPr>
          <w:i/>
        </w:rPr>
        <w:t>H. influenzae</w:t>
      </w:r>
      <w:r>
        <w:t>.</w:t>
      </w:r>
    </w:p>
    <w:p>
      <w:pPr>
        <w:pStyle w:val="ListBullet2"/>
      </w:pPr>
      <w:r>
        <w:t>No se dice qué hacer en pacientes con azitromicina crónica (recomendada en el cap. 3), en los que el macrólido empírico es inapropiado.</w:t>
      </w:r>
    </w:p>
    <w:p>
      <w:pPr>
        <w:pStyle w:val="ListBullet2"/>
      </w:pPr>
      <w:r>
        <w:rPr>
          <w:b/>
        </w:rPr>
        <w:t>"Selected patients" sin definir</w:t>
      </w:r>
      <w:r>
        <w:t xml:space="preserve"> para las quinolonas, y sin advertencias de seguridad:</w:t>
      </w:r>
    </w:p>
    <w:p>
      <w:pPr>
        <w:pStyle w:val="ListBullet2"/>
      </w:pPr>
      <w:r>
        <w:t>FDA 2016-2018: tendinopatía, neuropatía, disglucemia, aneurisma aórtico.</w:t>
      </w:r>
    </w:p>
    <w:p>
      <w:pPr>
        <w:pStyle w:val="ListBullet2"/>
      </w:pPr>
      <w:r>
        <w:t>EMA/PRAC 2018: no usar en exacerbaciones leves o moderadas de EPOC salvo que no haya alternativa.</w:t>
      </w:r>
    </w:p>
    <w:p>
      <w:pPr>
        <w:pStyle w:val="ListBullet2"/>
      </w:pPr>
      <w:r>
        <w:rPr>
          <w:b/>
        </w:rPr>
        <w:t>Recogida de muestras.</w:t>
      </w:r>
      <w:r>
        <w:t xml:space="preserve"> No se recomienda obtener esputo o aspirado traqueal para cultivo antes de iniciar el antibiótico en el paciente hospitalizado o ventilado.</w:t>
      </w:r>
    </w:p>
    <w:p>
      <w:pPr>
        <w:pStyle w:val="ListBullet"/>
      </w:pPr>
      <w:r>
        <w:rPr>
          <w:b/>
        </w:rPr>
        <w:t>Evidencia/justificación:</w:t>
      </w:r>
    </w:p>
    <w:p>
      <w:pPr>
        <w:pStyle w:val="ListBullet2"/>
      </w:pPr>
      <w:r>
        <w:t>Woodhead et al., Clin Microbiol Infect 2011;17 Suppl 6.</w:t>
      </w:r>
    </w:p>
    <w:p>
      <w:pPr>
        <w:pStyle w:val="ListBullet2"/>
      </w:pPr>
      <w:r>
        <w:t>FDA Drug Safety Communications (12-may-2016; 10-jul-2018; 20-dic-2018).</w:t>
      </w:r>
    </w:p>
    <w:p>
      <w:pPr>
        <w:pStyle w:val="ListBullet2"/>
      </w:pPr>
      <w:r>
        <w:t>EMA, "Disabling and potentially permanent side effects lead to suspension or restrictions of quinolone and fluoroquinolone antibiotics" (EMA/795349/2018, nov-2018).</w:t>
      </w:r>
    </w:p>
    <w:p>
      <w:pPr>
        <w:pStyle w:val="ListBullet"/>
      </w:pPr>
      <w:r>
        <w:rPr>
          <w:b/>
        </w:rPr>
        <w:t>Recomendación:</w:t>
      </w:r>
      <w:r>
        <w:t xml:space="preserve"> Añadir una tabla de elección empírica estratificada:</w:t>
      </w:r>
    </w:p>
    <w:p>
      <w:pPr>
        <w:pStyle w:val="ListBullet2"/>
      </w:pPr>
      <w:r>
        <w:t>Ambulatorio sin factores de riesgo.</w:t>
      </w:r>
    </w:p>
    <w:p>
      <w:pPr>
        <w:pStyle w:val="ListBullet2"/>
      </w:pPr>
      <w:r>
        <w:t xml:space="preserve">Hospitalizado sin riesgo de </w:t>
      </w:r>
      <w:r>
        <w:rPr>
          <w:i/>
        </w:rPr>
        <w:t>Pseudomonas</w:t>
      </w:r>
      <w:r>
        <w:t>.</w:t>
      </w:r>
    </w:p>
    <w:p>
      <w:pPr>
        <w:pStyle w:val="ListBullet2"/>
      </w:pPr>
      <w:r>
        <w:t xml:space="preserve">Hospitalizado con riesgo de </w:t>
      </w:r>
      <w:r>
        <w:rPr>
          <w:i/>
        </w:rPr>
        <w:t>Pseudomonas</w:t>
      </w:r>
      <w:r>
        <w:t xml:space="preserve"> o en UCI.</w:t>
      </w:r>
    </w:p>
    <w:p>
      <w:r>
        <w:t>Incluir además la recomendación de cultivo previo en el hospitalizado, la consideración del tratamiento con macrólido crónico y de la epidemiología local, y advertencias sobre fluoroquinolonas.</w:t>
      </w:r>
    </w:p>
    <w:p>
      <w:pPr>
        <w:pStyle w:val="ListBullet"/>
      </w:pPr>
      <w:r>
        <w:rPr>
          <w:b/>
        </w:rPr>
        <w:t>Confianza:</w:t>
      </w:r>
      <w:r>
        <w:t xml:space="preserve"> 4/5</w:t>
      </w:r>
    </w:p>
    <w:p>
      <w:pPr>
        <w:pStyle w:val="Heading4"/>
      </w:pPr>
      <w:r>
        <w:t>EXA-09 · Omisión completa del tratamiento antiviral (gripe, COVID-19)</w:t>
      </w:r>
    </w:p>
    <w:p>
      <w:r>
        <w:rPr>
          <w:i/>
        </w:rPr>
        <w:t xml:space="preserve">Severidad final: </w:t>
      </w:r>
      <w:r>
        <w:rPr>
          <w:i/>
          <w:color w:val="ED7D31"/>
        </w:rPr>
        <w:t>🟠</w:t>
      </w:r>
      <w:r>
        <w:rPr>
          <w:i/>
        </w:rPr>
        <w:t xml:space="preserve"> ALTA · Tema T11: Tratamiento de la exacerbación: antimicrobianos, corticoides, TEP, riesgo CV</w:t>
      </w:r>
    </w:p>
    <w:p>
      <w:pPr>
        <w:pStyle w:val="IntenseQuote"/>
      </w:pPr>
      <w:r>
        <w:rPr>
          <w:b/>
        </w:rPr>
        <w:t>Verificación independiente (CONFIRMADO):</w:t>
      </w:r>
      <w:r>
        <w:t xml:space="preserve"> La guía afirma que la etiología es mayoritariamente viral y recomienda hacer pruebas virales, pero no dice qué hacer si salen positivas. Es una omisión clínicamente relevante e incoherente. Corrección: añadir un apartado breve de tratamiento antiviral, con oseltamivir ante gripe sospechada o confirmada y antivirales frente al SARS-CoV-2 según las guías vigentes, enlazado con la Fig 4.2.</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107 (Fig. 4.2: "viral testing") y PDF 110 / impr. 99. Búsqueda en todo </w:t>
      </w:r>
      <w:r>
        <w:rPr>
          <w:rFonts w:ascii="Consolas" w:hAnsi="Consolas"/>
        </w:rPr>
        <w:t>gold_full.txt</w:t>
      </w:r>
      <w:r>
        <w:t>.</w:t>
      </w:r>
    </w:p>
    <w:p>
      <w:pPr>
        <w:pStyle w:val="ListBullet"/>
      </w:pPr>
      <w:r>
        <w:rPr>
          <w:b/>
        </w:rPr>
        <w:t>Cita:</w:t>
      </w:r>
      <w:r>
        <w:t xml:space="preserve"> "Exacerbations are mainly triggered by respiratory viral infections" (PDF 110). La Fig. 4.2 termina en "Determine etiology: viral testing, sputum culture, other".</w:t>
      </w:r>
    </w:p>
    <w:p>
      <w:pPr>
        <w:pStyle w:val="ListBullet"/>
      </w:pPr>
      <w:r>
        <w:rPr>
          <w:b/>
        </w:rPr>
        <w:t>Problema:</w:t>
      </w:r>
    </w:p>
    <w:p>
      <w:pPr>
        <w:pStyle w:val="ListBullet2"/>
      </w:pPr>
      <w:r>
        <w:t>La guía recomienda hacer pruebas virales, pero en ningún lugar del documento aparecen "oseltamivir", "antiviral", "nirmatrelvir" ni "remdesivir".</w:t>
      </w:r>
    </w:p>
    <w:p>
      <w:pPr>
        <w:pStyle w:val="ListBullet2"/>
      </w:pPr>
      <w:r>
        <w:t>No se dice qué hacer con un resultado positivo para gripe o SARS-CoV-2 en un paciente con EPOC, grupo de alto riesgo en el que el antiviral precoz está indicado.</w:t>
      </w:r>
    </w:p>
    <w:p>
      <w:pPr>
        <w:pStyle w:val="ListBullet2"/>
      </w:pPr>
      <w:r>
        <w:t>Para un infectólogo, recomendar una prueba diagnóstica sin consecuencia terapéutica es una incoherencia.</w:t>
      </w:r>
    </w:p>
    <w:p>
      <w:pPr>
        <w:pStyle w:val="ListBullet"/>
      </w:pPr>
      <w:r>
        <w:rPr>
          <w:b/>
        </w:rPr>
        <w:t>Evidencia/justificación:</w:t>
      </w:r>
    </w:p>
    <w:p>
      <w:pPr>
        <w:pStyle w:val="ListBullet2"/>
      </w:pPr>
      <w:r>
        <w:t>IDSA 2018 (Uyeki TM et al., Clin Infect Dis 2019;68:e1-e47): oseltamivir en todo paciente hospitalizado con gripe, independientemente del tiempo de evolución, y en ambulatorios de alto riesgo (incluye EPOC).</w:t>
      </w:r>
    </w:p>
    <w:p>
      <w:pPr>
        <w:pStyle w:val="ListBullet2"/>
      </w:pPr>
      <w:r>
        <w:t>Guías NIH/IDSA de COVID-19: nirmatrelvir/ritonavir o remdesivir en pacientes de alto riesgo.</w:t>
      </w:r>
    </w:p>
    <w:p>
      <w:pPr>
        <w:pStyle w:val="ListBullet"/>
      </w:pPr>
      <w:r>
        <w:rPr>
          <w:b/>
        </w:rPr>
        <w:t>Recomendación:</w:t>
      </w:r>
      <w:r>
        <w:t xml:space="preserve"> Añadir un apartado "Tratamiento antiviral" (oseltamivir ante sospecha o confirmación de gripe en hospitalizados y ambulatorios de riesgo; antivirales frente a SARS-CoV-2 según las guías vigentes) y enlazarlo con la Fig. 4.2 y con las Fig. 4.5 y 4.6.</w:t>
      </w:r>
    </w:p>
    <w:p>
      <w:pPr>
        <w:pStyle w:val="ListBullet"/>
      </w:pPr>
      <w:r>
        <w:rPr>
          <w:b/>
        </w:rPr>
        <w:t>Confianza:</w:t>
      </w:r>
      <w:r>
        <w:t xml:space="preserve"> 5/5</w:t>
      </w:r>
    </w:p>
    <w:p>
      <w:pPr>
        <w:pStyle w:val="Heading4"/>
      </w:pPr>
      <w:r>
        <w:t>MET-09 · Fig 4.6: un único nivel A para afirmaciones compuestas, discordancia con el texto y criterio antibiótico sin base en ECA</w:t>
      </w:r>
    </w:p>
    <w:p>
      <w:r>
        <w:rPr>
          <w:i/>
        </w:rPr>
        <w:t xml:space="preserve">Severidad final: </w:t>
      </w:r>
      <w:r>
        <w:rPr>
          <w:i/>
          <w:color w:val="ED7D31"/>
        </w:rPr>
        <w:t>🟠</w:t>
      </w:r>
      <w:r>
        <w:rPr>
          <w:i/>
        </w:rPr>
        <w:t xml:space="preserve"> ALTA · Tema T11: Tratamiento de la exacerbación: antimicrobianos, corticoides, TEP, riesgo CV</w:t>
      </w:r>
    </w:p>
    <w:p>
      <w:pPr>
        <w:pStyle w:val="IntenseQuote"/>
      </w:pPr>
      <w:r>
        <w:rPr>
          <w:b/>
        </w:rPr>
        <w:t>Verificación independiente (CONFIRMADO):</w:t>
      </w:r>
      <w:r>
        <w:t xml:space="preserve"> Que no haya ECA que respalden el criterio del cultivo previo es [externo, no verificable con figuras].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4.6 y Fig 4.5 (PDF 113 / impr. 102); texto (PDF 118 / impr. 107)</w:t>
      </w:r>
    </w:p>
    <w:p>
      <w:pPr>
        <w:pStyle w:val="ListBullet"/>
      </w:pPr>
      <w:r>
        <w:rPr>
          <w:b/>
        </w:rPr>
        <w:t>Cita:</w:t>
      </w:r>
      <w:r>
        <w:t xml:space="preserve"> «High flow oxygen (HFNT) is the first mode of ventilation used in COPD patients with acute hypoxemic respiratory failure.» (Fig 4.6) frente a «NIV is the initial mode of ventilation to treat acute respiratory failure in patients hospitalized for acute exacerbations of COPD.» (texto)</w:t>
      </w:r>
    </w:p>
    <w:p>
      <w:pPr>
        <w:pStyle w:val="ListBullet"/>
      </w:pPr>
      <w:r>
        <w:rPr>
          <w:b/>
        </w:rPr>
        <w:t>Problema:</w:t>
      </w:r>
    </w:p>
    <w:p>
      <w:pPr>
        <w:pStyle w:val="ListNumber"/>
        <w:numPr>
          <w:ilvl w:val="0"/>
          <w:numId w:val="17"/>
        </w:numPr>
      </w:pPr>
      <w:r>
        <w:rPr>
          <w:b/>
        </w:rPr>
        <w:t>Una sola A para cinco afirmaciones.</w:t>
      </w:r>
      <w:r>
        <w:t xml:space="preserve"> Un único «(Evidence A)» cubre:</w:t>
      </w:r>
    </w:p>
    <w:p>
      <w:pPr>
        <w:pStyle w:val="ListBullet2"/>
      </w:pPr>
      <w:r>
        <w:t>HFNT como primer modo en la insuficiencia hipoxémica;</w:t>
      </w:r>
    </w:p>
    <w:p>
      <w:pPr>
        <w:pStyle w:val="ListBullet2"/>
      </w:pPr>
      <w:r>
        <w:t>VNI en la hipercápnica;</w:t>
      </w:r>
    </w:p>
    <w:p>
      <w:pPr>
        <w:pStyle w:val="ListBullet2"/>
      </w:pPr>
      <w:r>
        <w:t>y los efectos de la VNI sobre gases, intubación, estancia y supervivencia.</w:t>
      </w:r>
    </w:p>
    <w:p>
      <w:r>
        <w:t>La A procede de los ECA de VNI en acidosis hipercápnica. Para HFNT como «first mode» en la insuficiencia hipoxémica de la EPOC solo hay ensayos pequeños, y algunos de los citados están mal referenciados (MET-16).</w:t>
      </w:r>
    </w:p>
    <w:p>
      <w:r>
        <w:t>Además, HFNT no es un «modo de ventilación».</w:t>
      </w:r>
    </w:p>
    <w:p>
      <w:pPr>
        <w:pStyle w:val="ListNumber"/>
        <w:numPr>
          <w:ilvl w:val="0"/>
          <w:numId w:val="17"/>
        </w:numPr>
      </w:pPr>
      <w:r>
        <w:rPr>
          <w:b/>
        </w:rPr>
        <w:t>Mensajes discordantes.</w:t>
      </w:r>
      <w:r>
        <w:t xml:space="preserve"> El texto (PDF 118) dice que la VNI es el modo inicial en la insuficiencia respiratoria aguda, sin distinguir entre hipoxémica e hipercápnica.</w:t>
      </w:r>
    </w:p>
    <w:p>
      <w:pPr>
        <w:pStyle w:val="ListNumber"/>
        <w:numPr>
          <w:ilvl w:val="0"/>
          <w:numId w:val="17"/>
        </w:numPr>
      </w:pPr>
      <w:r>
        <w:rPr>
          <w:b/>
        </w:rPr>
        <w:t>Criterio antibiótico sin base en ECA.</w:t>
      </w:r>
      <w:r>
        <w:t xml:space="preserve"> «prior positive sputum bacteria culture» figura como indicación de antibiótico con nivel A, aunque los ECA se basan en la purulencia o los criterios de Anthonisen y en la ventilación mecánica.</w:t>
      </w:r>
    </w:p>
    <w:p>
      <w:pPr>
        <w:pStyle w:val="ListNumber"/>
        <w:numPr>
          <w:ilvl w:val="0"/>
          <w:numId w:val="17"/>
        </w:numPr>
      </w:pPr>
      <w:r>
        <w:rPr>
          <w:b/>
        </w:rPr>
        <w:t>Terminología inconsistente.</w:t>
      </w:r>
      <w:r>
        <w:t xml:space="preserve"> La Fig 4.5 dice «purulent oral secretions» y la Fig 4.6 dice «purulent sputum».</w:t>
      </w:r>
    </w:p>
    <w:p>
      <w:pPr>
        <w:pStyle w:val="ListBullet"/>
      </w:pPr>
      <w:r>
        <w:rPr>
          <w:b/>
        </w:rPr>
        <w:t>Evidencia/justificación:</w:t>
      </w:r>
      <w:r>
        <w:t xml:space="preserve"> Tabla A; RIGHT, ítem 13c (certeza por recomendación); AGREE II, ítem 15.</w:t>
      </w:r>
    </w:p>
    <w:p>
      <w:pPr>
        <w:pStyle w:val="ListBullet"/>
      </w:pPr>
      <w:r>
        <w:rPr>
          <w:b/>
        </w:rPr>
        <w:t>Recomendación:</w:t>
      </w:r>
    </w:p>
    <w:p>
      <w:pPr>
        <w:pStyle w:val="ListBullet2"/>
      </w:pPr>
      <w:r>
        <w:t>Desagregar la viñeta en recomendaciones independientes, cada una con su nivel y sus referencias.</w:t>
      </w:r>
    </w:p>
    <w:p>
      <w:pPr>
        <w:pStyle w:val="ListBullet2"/>
      </w:pPr>
      <w:r>
        <w:t>Armonizar el texto con la figura.</w:t>
      </w:r>
    </w:p>
    <w:p>
      <w:pPr>
        <w:pStyle w:val="ListBullet2"/>
      </w:pPr>
      <w:r>
        <w:t>Retirar o rebajar a D el criterio de cultivo previo.</w:t>
      </w:r>
    </w:p>
    <w:p>
      <w:pPr>
        <w:pStyle w:val="ListBullet"/>
      </w:pPr>
      <w:r>
        <w:rPr>
          <w:b/>
        </w:rPr>
        <w:t>Confianza:</w:t>
      </w:r>
      <w:r>
        <w:t xml:space="preserve"> 4</w:t>
      </w:r>
    </w:p>
    <w:p>
      <w:pPr>
        <w:pStyle w:val="Heading4"/>
      </w:pPr>
      <w:r>
        <w:t>REH-04 · Criterios de prescripción de LTOT incoherentes entre texto, Figura 3.18 y mensajes clave</w:t>
      </w:r>
    </w:p>
    <w:p>
      <w:r>
        <w:rPr>
          <w:i/>
        </w:rPr>
        <w:t xml:space="preserve">Severidad final: </w:t>
      </w:r>
      <w:r>
        <w:rPr>
          <w:i/>
          <w:color w:val="ED7D31"/>
        </w:rPr>
        <w:t>🟠</w:t>
      </w:r>
      <w:r>
        <w:rPr>
          <w:i/>
        </w:rPr>
        <w:t xml:space="preserve"> ALTA · Tema T12: Oxigenoterapia crónica domiciliaria (LTOT)</w:t>
      </w:r>
    </w:p>
    <w:p>
      <w:pPr>
        <w:pStyle w:val="ListBullet"/>
      </w:pPr>
      <w:r>
        <w:rPr>
          <w:b/>
        </w:rPr>
        <w:t>Tipo:</w:t>
      </w:r>
      <w:r>
        <w:t xml:space="preserve"> Incongruencia interna / Error factual</w:t>
      </w:r>
    </w:p>
    <w:p>
      <w:pPr>
        <w:pStyle w:val="ListBullet"/>
      </w:pPr>
      <w:r>
        <w:rPr>
          <w:b/>
        </w:rPr>
        <w:t>Severidad:</w:t>
      </w:r>
      <w:r>
        <w:t xml:space="preserve"> ALTA</w:t>
      </w:r>
    </w:p>
    <w:p>
      <w:pPr>
        <w:pStyle w:val="ListBullet"/>
      </w:pPr>
      <w:r>
        <w:rPr>
          <w:b/>
        </w:rPr>
        <w:t>Ubicación:</w:t>
      </w:r>
      <w:r>
        <w:t xml:space="preserve"> PDF 87 / impr. 76 — texto «Oxygen therapy»; PDF 89 / impr. 78 — Figura 3.18; PDF 61 / impr. 50 — mensajes clave del cap. 3; PDF 88 / impr. 77 — Figura 3.17.</w:t>
      </w:r>
    </w:p>
    <w:p>
      <w:pPr>
        <w:pStyle w:val="ListBullet"/>
      </w:pPr>
      <w:r>
        <w:rPr>
          <w:b/>
        </w:rPr>
        <w:t>Cita:</w:t>
      </w:r>
      <w:r>
        <w:t xml:space="preserve"> Texto: «PaO2 at or below 55 mmHg (7.3 kPa) or SaO2 at or below 88%» y, en el segundo criterio, «PaO2 between 55 mmHg… and 60 mmHg…, or SaO2 of 88%». Figura 3.18: «PaO2 ≤ 55 mmHg (≤ 7.3 kPa) or SaO2 &lt; 88%».</w:t>
      </w:r>
    </w:p>
    <w:p>
      <w:pPr>
        <w:pStyle w:val="ListBullet"/>
      </w:pPr>
      <w:r>
        <w:rPr>
          <w:b/>
        </w:rPr>
        <w:t>Problema:</w:t>
      </w:r>
    </w:p>
    <w:p>
      <w:pPr>
        <w:pStyle w:val="ListNumber"/>
        <w:numPr>
          <w:ilvl w:val="0"/>
          <w:numId w:val="18"/>
        </w:numPr>
      </w:pPr>
      <w:r>
        <w:rPr>
          <w:b/>
        </w:rPr>
        <w:t>Umbral principal discordante:</w:t>
      </w:r>
      <w:r>
        <w:t xml:space="preserve"> ≤ 88 % en el texto frente a &lt; 88 % en la figura. Un paciente con SaO2 = 88 % cumple el criterio en el texto pero no en la figura.</w:t>
      </w:r>
    </w:p>
    <w:p>
      <w:pPr>
        <w:pStyle w:val="ListNumber"/>
        <w:numPr>
          <w:ilvl w:val="0"/>
          <w:numId w:val="18"/>
        </w:numPr>
      </w:pPr>
      <w:r>
        <w:rPr>
          <w:b/>
        </w:rPr>
        <w:t>Segundo criterio erróneo:</w:t>
      </w:r>
      <w:r>
        <w:t xml:space="preserve"> usa «SaO2 de 88 %», que se solapa con el primero. Debería ser 89 % (equivalente a PaO2 56-59 mmHg en NOTT/CMS), y la Figura 3.18 omite cualquier criterio de SaO2 para este grupo.</w:t>
      </w:r>
    </w:p>
    <w:p>
      <w:pPr>
        <w:pStyle w:val="ListNumber"/>
        <w:numPr>
          <w:ilvl w:val="0"/>
          <w:numId w:val="18"/>
        </w:numPr>
      </w:pPr>
      <w:r>
        <w:rPr>
          <w:b/>
        </w:rPr>
        <w:t>Comorbilidades con distinta redacción:</w:t>
      </w:r>
      <w:r>
        <w:t xml:space="preserve"> texto «peripheral edema suggesting congestive cardiac failure/polycythemia»; figura «congestive heart failure/erythrocytosis».</w:t>
      </w:r>
    </w:p>
    <w:p>
      <w:pPr>
        <w:pStyle w:val="ListNumber"/>
        <w:numPr>
          <w:ilvl w:val="0"/>
          <w:numId w:val="18"/>
        </w:numPr>
      </w:pPr>
      <w:r>
        <w:rPr>
          <w:b/>
        </w:rPr>
        <w:t>Frase ambigua:</w:t>
      </w:r>
      <w:r>
        <w:t xml:space="preserve"> «with or without hypercapnia confirmed twice over a three-week period» no aclara qué se confirma. No se define la estabilidad clínica (p. ej., ≥ 8 semanas tras una exacerbación) aunque el cap. 4 (PDF 121) advierte que la reevaluación tardía es más precisa.</w:t>
      </w:r>
    </w:p>
    <w:p>
      <w:pPr>
        <w:pStyle w:val="ListNumber"/>
        <w:numPr>
          <w:ilvl w:val="0"/>
          <w:numId w:val="18"/>
        </w:numPr>
      </w:pPr>
      <w:r>
        <w:rPr>
          <w:b/>
        </w:rPr>
        <w:t>Mensaje clave más débil y sin SaO2:</w:t>
      </w:r>
      <w:r>
        <w:t xml:space="preserve"> «it may improve survival in patients with severe resting chronic hypoxemia» frente a «increases survival… (Evidence A)» en la Figura 3.17.</w:t>
      </w:r>
    </w:p>
    <w:p>
      <w:pPr>
        <w:pStyle w:val="ListBullet"/>
      </w:pPr>
      <w:r>
        <w:rPr>
          <w:b/>
        </w:rPr>
        <w:t>Evidencia/justificación:</w:t>
      </w:r>
    </w:p>
    <w:p>
      <w:pPr>
        <w:pStyle w:val="ListBullet2"/>
      </w:pPr>
      <w:r>
        <w:t xml:space="preserve">CMS National Coverage Determination 240.2, grupo II: PaO2 56-59 mmHg o SaO2 89 % con edema por insuficiencia cardiaca, </w:t>
      </w:r>
      <w:r>
        <w:rPr>
          <w:i/>
        </w:rPr>
        <w:t>P pulmonale</w:t>
      </w:r>
      <w:r>
        <w:t xml:space="preserve"> o hematocrito &gt; 56 %.</w:t>
      </w:r>
    </w:p>
    <w:p>
      <w:pPr>
        <w:pStyle w:val="ListBullet2"/>
      </w:pPr>
      <w:r>
        <w:t>Hardinge M et al., guía BTS de oxigenoterapia domiciliaria, Thorax 2015;70(Suppl 1):i1-i43 (doi:10.1136/thoraxjnl-2015-206865): evaluar en situación estable, ≥ 8 semanas tras una exacerbación, con dos gasometrías separadas ≥ 3 semanas.</w:t>
      </w:r>
    </w:p>
    <w:p>
      <w:pPr>
        <w:pStyle w:val="ListBullet"/>
      </w:pPr>
      <w:r>
        <w:rPr>
          <w:b/>
        </w:rPr>
        <w:t>Recomendación:</w:t>
      </w:r>
      <w:r>
        <w:t xml:space="preserve"> Armonizar como «PaO2 ≤ 55 mmHg o SaO2 ≤ 88 %» y «PaO2 56-59 mmHg o SaO2 89 % con HTP, edema periférico por insuficiencia cardiaca o hematocrito &gt; 55 %». Reproducir exactamente estos criterios en la Figura 3.18 y en los mensajes clave. Precisar «hipoxemia confirmada en dos determinaciones separadas ≥ 3 semanas, en fase estable (≥ 8 semanas tras exacerbación)». Alinear el verbo con la Evidencia A («increases survival»).</w:t>
      </w:r>
    </w:p>
    <w:p>
      <w:pPr>
        <w:pStyle w:val="ListBullet"/>
      </w:pPr>
      <w:r>
        <w:rPr>
          <w:b/>
        </w:rPr>
        <w:t>Confianza:</w:t>
      </w:r>
      <w:r>
        <w:t xml:space="preserve"> 5/5</w:t>
      </w:r>
    </w:p>
    <w:p>
      <w:pPr>
        <w:pStyle w:val="Heading4"/>
      </w:pPr>
      <w:r>
        <w:t>REH-05 · LTOT basada en «SaO2» sin exigir gasometría ni advertir del sesgo de la oximetría según el tono de piel</w:t>
      </w:r>
    </w:p>
    <w:p>
      <w:r>
        <w:rPr>
          <w:i/>
        </w:rPr>
        <w:t xml:space="preserve">Severidad final: </w:t>
      </w:r>
      <w:r>
        <w:rPr>
          <w:i/>
          <w:color w:val="ED7D31"/>
        </w:rPr>
        <w:t>🟠</w:t>
      </w:r>
      <w:r>
        <w:rPr>
          <w:i/>
        </w:rPr>
        <w:t xml:space="preserve"> ALTA · Tema T12: Oxigenoterapia crónica domiciliaria (LTOT)</w:t>
      </w:r>
    </w:p>
    <w:p>
      <w:pPr>
        <w:pStyle w:val="ListBullet"/>
      </w:pPr>
      <w:r>
        <w:rPr>
          <w:b/>
        </w:rPr>
        <w:t>Tipo:</w:t>
      </w:r>
      <w:r>
        <w:t xml:space="preserve"> Sesgo/Equidad / Incongruencia interna</w:t>
      </w:r>
    </w:p>
    <w:p>
      <w:pPr>
        <w:pStyle w:val="ListBullet"/>
      </w:pPr>
      <w:r>
        <w:rPr>
          <w:b/>
        </w:rPr>
        <w:t>Severidad:</w:t>
      </w:r>
      <w:r>
        <w:t xml:space="preserve"> ALTA</w:t>
      </w:r>
    </w:p>
    <w:p>
      <w:pPr>
        <w:pStyle w:val="ListBullet"/>
      </w:pPr>
      <w:r>
        <w:rPr>
          <w:b/>
        </w:rPr>
        <w:t>Ubicación:</w:t>
      </w:r>
      <w:r>
        <w:t xml:space="preserve"> PDF 87 / impr. 76 y Figura 3.18 (PDF 89 / impr. 78), frente a cap. 2, PDF 56 / impr. 45, y cap. 4, PDF 110 / impr. 99.</w:t>
      </w:r>
    </w:p>
    <w:p>
      <w:pPr>
        <w:pStyle w:val="ListBullet"/>
      </w:pPr>
      <w:r>
        <w:rPr>
          <w:b/>
        </w:rPr>
        <w:t>Cita:</w:t>
      </w:r>
      <w:r>
        <w:t xml:space="preserve"> Cap. 2: «If peripheral oxygen saturation is ≤ 92%, arterial blood gases should be measured due to the imperfect correlation… (516)». Cap. 4: «less accurate in individuals with darker skin tone.(958)»</w:t>
      </w:r>
    </w:p>
    <w:p>
      <w:pPr>
        <w:pStyle w:val="ListBullet"/>
      </w:pPr>
      <w:r>
        <w:rPr>
          <w:b/>
        </w:rPr>
        <w:t>Problema:</w:t>
      </w:r>
      <w:r>
        <w:t xml:space="preserve"> El cap. 3 y la Figura 3.18 permiten prescribir y titular LTOT con «SaO2» y no aclaran si se trata de saturación arterial medida por cooximetría o de SpO2 por pulsioximetría. No se exige gasometría para confirmar la indicación, aunque el cap. 2 la exige si SpO2 ≤ 92 %, y no se menciona la hipoxemia oculta en pieles oscuras, que el cap. 4 sí reconoce. La consecuencia previsible es la infraprescripción de una terapia que prolonga la vida en pacientes de piel oscura, ya que la SpO2 sobrestima la SaO2.</w:t>
      </w:r>
    </w:p>
    <w:p>
      <w:pPr>
        <w:pStyle w:val="ListBullet"/>
      </w:pPr>
      <w:r>
        <w:rPr>
          <w:b/>
        </w:rPr>
        <w:t>Evidencia/justificación:</w:t>
      </w:r>
    </w:p>
    <w:p>
      <w:pPr>
        <w:pStyle w:val="ListBullet2"/>
      </w:pPr>
      <w:r>
        <w:t>Lacasse Y et al., ERJ Open Res 2021;7:00518-2021 (ref. 516 del propio GOLD; PMID 34671670): la oximetría no es adecuada para prescribir LTOT.</w:t>
      </w:r>
    </w:p>
    <w:p>
      <w:pPr>
        <w:pStyle w:val="ListBullet2"/>
      </w:pPr>
      <w:r>
        <w:t>Sjoding MW et al., N Engl J Med 2020;383:2477-2478 (doi:10.1056/NEJMc2029240): hipoxemia oculta casi tres veces más frecuente en pacientes negros.</w:t>
      </w:r>
    </w:p>
    <w:p>
      <w:pPr>
        <w:pStyle w:val="ListBullet2"/>
      </w:pPr>
      <w:r>
        <w:t>La FDA publicó en enero de 2025 un borrador de guía que endurece los requisitos de exactitud de los pulsioxímetros según la pigmentación cutánea.</w:t>
      </w:r>
    </w:p>
    <w:p>
      <w:pPr>
        <w:pStyle w:val="ListBullet2"/>
      </w:pPr>
      <w:r>
        <w:t>Hardinge 2015 (BTS): la LTOT debe basarse en gasometría.</w:t>
      </w:r>
    </w:p>
    <w:p>
      <w:pPr>
        <w:pStyle w:val="ListBullet"/>
      </w:pPr>
      <w:r>
        <w:rPr>
          <w:b/>
        </w:rPr>
        <w:t>Recomendación:</w:t>
      </w:r>
      <w:r>
        <w:t xml:space="preserve"> Indicar expresamente: «la indicación de LTOT debe confirmarse con gasometría arterial (o capilar arterializada); la pulsioximetría solo sirve de cribado (derivar si SpO2 ≤ 92 %)». Añadir una advertencia sobre la menor exactitud de la SpO2 en pieles oscuras y usar «SpO2» o «SaO2» de forma rigurosa en el texto y en las Figuras 3.17 y 3.18.</w:t>
      </w:r>
    </w:p>
    <w:p>
      <w:pPr>
        <w:pStyle w:val="ListBullet"/>
      </w:pPr>
      <w:r>
        <w:rPr>
          <w:b/>
        </w:rPr>
        <w:t>Confianza:</w:t>
      </w:r>
      <w:r>
        <w:t xml:space="preserve"> 4/5</w:t>
      </w:r>
    </w:p>
    <w:p>
      <w:pPr>
        <w:pStyle w:val="Heading4"/>
      </w:pPr>
      <w:r>
        <w:t>REH-12 · VMNI: errores de citación que invierten el sentido de la evidencia</w:t>
      </w:r>
    </w:p>
    <w:p>
      <w:r>
        <w:rPr>
          <w:i/>
        </w:rPr>
        <w:t xml:space="preserve">Severidad final: </w:t>
      </w:r>
      <w:r>
        <w:rPr>
          <w:i/>
          <w:color w:val="ED7D31"/>
        </w:rPr>
        <w:t>🟠</w:t>
      </w:r>
      <w:r>
        <w:rPr>
          <w:i/>
        </w:rPr>
        <w:t xml:space="preserve"> ALTA · Tema T13: Ventilación no invasiva domiciliaria</w:t>
      </w:r>
    </w:p>
    <w:p>
      <w:pPr>
        <w:pStyle w:val="ListBullet"/>
      </w:pPr>
      <w:r>
        <w:rPr>
          <w:b/>
        </w:rPr>
        <w:t>Tipo:</w:t>
      </w:r>
      <w:r>
        <w:t xml:space="preserve"> Error factual / Evidencia mal representada</w:t>
      </w:r>
    </w:p>
    <w:p>
      <w:pPr>
        <w:pStyle w:val="ListBullet"/>
      </w:pPr>
      <w:r>
        <w:rPr>
          <w:b/>
        </w:rPr>
        <w:t>Severidad:</w:t>
      </w:r>
      <w:r>
        <w:t xml:space="preserve"> ALTA</w:t>
      </w:r>
    </w:p>
    <w:p>
      <w:pPr>
        <w:pStyle w:val="ListBullet"/>
      </w:pPr>
      <w:r>
        <w:rPr>
          <w:b/>
        </w:rPr>
        <w:t>Ubicación:</w:t>
      </w:r>
      <w:r>
        <w:t xml:space="preserve"> PDF 89-90 / impr. 78-79 — «Ventilatory support»; PDF 92 / impr. 81 — «Non-invasive positive pressure ventilation».</w:t>
      </w:r>
    </w:p>
    <w:p>
      <w:pPr>
        <w:pStyle w:val="ListBullet"/>
      </w:pPr>
      <w:r>
        <w:rPr>
          <w:b/>
        </w:rPr>
        <w:t>Cita:</w:t>
      </w:r>
      <w:r>
        <w:t xml:space="preserve"> PDF 89-90: «two of three RCTs(763,767-770) reported reductions in re-hospitalization and improved survival… while another showed no benefit of NPPV for survival.(768)». PDF 92: «larger trials… applying higher IPAP levels demonstrated a reduction of mortality.(768,787)»</w:t>
      </w:r>
    </w:p>
    <w:p>
      <w:pPr>
        <w:pStyle w:val="ListBullet"/>
      </w:pPr>
      <w:r>
        <w:rPr>
          <w:b/>
        </w:rPr>
        <w:t>Problema:</w:t>
      </w:r>
    </w:p>
    <w:p>
      <w:pPr>
        <w:pStyle w:val="ListNumber"/>
        <w:numPr>
          <w:ilvl w:val="0"/>
          <w:numId w:val="19"/>
        </w:numPr>
      </w:pPr>
      <w:r>
        <w:t xml:space="preserve">La ref. 768 (Köhnlein 2014) es el ensayo </w:t>
      </w:r>
      <w:r>
        <w:rPr>
          <w:b/>
        </w:rPr>
        <w:t>positivo</w:t>
      </w:r>
      <w:r>
        <w:t xml:space="preserve"> para mortalidad (12 % frente a 33 %; HR 0,24), como recoge la propia Figura 3.19. En PDF 90 se cita como «sin beneficio en supervivencia», y en PDF 92 se cita en sentido contrario.</w:t>
      </w:r>
    </w:p>
    <w:p>
      <w:pPr>
        <w:pStyle w:val="ListNumber"/>
        <w:numPr>
          <w:ilvl w:val="0"/>
          <w:numId w:val="19"/>
        </w:numPr>
      </w:pPr>
      <w:r>
        <w:t xml:space="preserve">La ref. 787 (McEvoy 2009) usó presiones </w:t>
      </w:r>
      <w:r>
        <w:rPr>
          <w:b/>
        </w:rPr>
        <w:t>bajas</w:t>
      </w:r>
      <w:r>
        <w:t xml:space="preserve"> (IPAP media ~13 cmH2O), con beneficio de supervivencia solo en el análisis ajustado y peor calidad de vida; no es un ensayo de «IPAP alta».</w:t>
      </w:r>
    </w:p>
    <w:p>
      <w:pPr>
        <w:pStyle w:val="ListNumber"/>
        <w:numPr>
          <w:ilvl w:val="0"/>
          <w:numId w:val="19"/>
        </w:numPr>
      </w:pPr>
      <w:r>
        <w:t>Se mencionan «dos de tres ECA» pero se citan cinco (763, 767, 768, 769, 770), de los cuales solo HOT-HMV (763) y Struik 2014 (769) son posteriores a una hospitalización.</w:t>
      </w:r>
    </w:p>
    <w:p>
      <w:pPr>
        <w:pStyle w:val="ListNumber"/>
        <w:numPr>
          <w:ilvl w:val="0"/>
          <w:numId w:val="19"/>
        </w:numPr>
      </w:pPr>
      <w:r>
        <w:t>HOT-HMV no redujo la mortalidad de forma aislada (28 % frente a 32 % a 12 meses); el beneficio del objetivo combinado se debió a los reingresos.</w:t>
      </w:r>
    </w:p>
    <w:p>
      <w:pPr>
        <w:pStyle w:val="ListBullet"/>
      </w:pPr>
      <w:r>
        <w:rPr>
          <w:b/>
        </w:rPr>
        <w:t>Evidencia/justificación:</w:t>
      </w:r>
    </w:p>
    <w:p>
      <w:pPr>
        <w:pStyle w:val="ListBullet2"/>
      </w:pPr>
      <w:r>
        <w:t>Köhnlein T et al., Lancet Respir Med 2014;2:698-705 (doi:10.1016/S2213-2600(14)70153-5).</w:t>
      </w:r>
    </w:p>
    <w:p>
      <w:pPr>
        <w:pStyle w:val="ListBullet2"/>
      </w:pPr>
      <w:r>
        <w:t>McEvoy RD et al., Thorax 2009;64:561-566 (doi:10.1136/thx.2008.108274).</w:t>
      </w:r>
    </w:p>
    <w:p>
      <w:pPr>
        <w:pStyle w:val="ListBullet2"/>
      </w:pPr>
      <w:r>
        <w:t>Murphy PB et al., HOT-HMV, JAMA 2017;317:2177-2186 (PMID 28528348).</w:t>
      </w:r>
    </w:p>
    <w:p>
      <w:pPr>
        <w:pStyle w:val="ListBullet2"/>
      </w:pPr>
      <w:r>
        <w:t>Struik FM et al., Thorax 2014;69:826-834.</w:t>
      </w:r>
    </w:p>
    <w:p>
      <w:pPr>
        <w:pStyle w:val="ListBullet"/>
      </w:pPr>
      <w:r>
        <w:rPr>
          <w:b/>
        </w:rPr>
        <w:t>Recomendación:</w:t>
      </w:r>
      <w:r>
        <w:t xml:space="preserve"> Reescribir el párrafo identificando cada ensayo, su población (estable frente a posthospitalización), la intensidad de la ventilación y su resultado. Retirar 768 de «no benefit» y 787 de «higher IPAP». Precisar que HOT-HMV mejoró la supervivencia libre de reingreso, no la mortalidad.</w:t>
      </w:r>
    </w:p>
    <w:p>
      <w:pPr>
        <w:pStyle w:val="ListBullet"/>
      </w:pPr>
      <w:r>
        <w:rPr>
          <w:b/>
        </w:rPr>
        <w:t>Confianza:</w:t>
      </w:r>
      <w:r>
        <w:t xml:space="preserve"> 5/5</w:t>
      </w:r>
    </w:p>
    <w:p>
      <w:pPr>
        <w:pStyle w:val="Heading4"/>
      </w:pPr>
      <w:r>
        <w:t>REH-13 · VMNI domiciliaria: mensajes contradictorios y sin criterios operativos de prescripción</w:t>
      </w:r>
    </w:p>
    <w:p>
      <w:r>
        <w:rPr>
          <w:i/>
        </w:rPr>
        <w:t xml:space="preserve">Severidad final: </w:t>
      </w:r>
      <w:r>
        <w:rPr>
          <w:i/>
          <w:color w:val="ED7D31"/>
        </w:rPr>
        <w:t>🟠</w:t>
      </w:r>
      <w:r>
        <w:rPr>
          <w:i/>
        </w:rPr>
        <w:t xml:space="preserve"> ALTA · Tema T13: Ventilación no invasiva domiciliaria</w:t>
      </w:r>
    </w:p>
    <w:p>
      <w:pPr>
        <w:pStyle w:val="ListBullet"/>
      </w:pPr>
      <w:r>
        <w:rPr>
          <w:b/>
        </w:rPr>
        <w:t>Tipo:</w:t>
      </w:r>
      <w:r>
        <w:t xml:space="preserve"> Incongruencia interna / Desactualización / Omisión</w:t>
      </w:r>
    </w:p>
    <w:p>
      <w:pPr>
        <w:pStyle w:val="ListBullet"/>
      </w:pPr>
      <w:r>
        <w:rPr>
          <w:b/>
        </w:rPr>
        <w:t>Severidad:</w:t>
      </w:r>
      <w:r>
        <w:t xml:space="preserve"> ALTA</w:t>
      </w:r>
    </w:p>
    <w:p>
      <w:pPr>
        <w:pStyle w:val="ListBullet"/>
      </w:pPr>
      <w:r>
        <w:rPr>
          <w:b/>
        </w:rPr>
        <w:t>Ubicación:</w:t>
      </w:r>
      <w:r>
        <w:t xml:space="preserve"> PDF 61 / impr. 50 (mensajes clave); PDF 88 / impr. 77 (Figura 3.17); PDF 89 / impr. 78 (texto); PDF 91-92 / impr. 80-81 (Figura 3.19 y texto).</w:t>
      </w:r>
    </w:p>
    <w:p>
      <w:pPr>
        <w:pStyle w:val="ListBullet"/>
      </w:pPr>
      <w:r>
        <w:rPr>
          <w:b/>
        </w:rPr>
        <w:t>Cita:</w:t>
      </w:r>
      <w:r>
        <w:t xml:space="preserve"> PDF 89: «a systematic review was unable to support or refute this.(760)»; «remains undetermined»; «A systematic review and meta-analysis… confirms that NIV decreases mortality». Figura 3.19: «Stable COPD with marked hypercapnia».</w:t>
      </w:r>
    </w:p>
    <w:p>
      <w:pPr>
        <w:pStyle w:val="ListBullet"/>
      </w:pPr>
      <w:r>
        <w:rPr>
          <w:b/>
        </w:rPr>
        <w:t>Problema:</w:t>
      </w:r>
    </w:p>
    <w:p>
      <w:pPr>
        <w:pStyle w:val="ListBullet2"/>
      </w:pPr>
      <w:r>
        <w:rPr>
          <w:b/>
        </w:rPr>
        <w:t>Mensajes sucesivos incompatibles:</w:t>
      </w:r>
      <w:r>
        <w:t xml:space="preserve"> «puede ser de alguna utilidad» (mensajes clave), «indeterminado», «no se puede apoyar ni refutar» (Cochrane 2013, desactualizada) y «confirma que reduce la mortalidad». El metaanálisis de Wilson 2020 calificó la certeza de la evidencia sobre mortalidad como baja.</w:t>
      </w:r>
    </w:p>
    <w:p>
      <w:pPr>
        <w:pStyle w:val="ListBullet2"/>
      </w:pPr>
      <w:r>
        <w:rPr>
          <w:b/>
        </w:rPr>
        <w:t>Poblaciones distintas entre figuras:</w:t>
      </w:r>
      <w:r>
        <w:t xml:space="preserve"> la Figura 3.17 restringe la VMNI a pacientes con hospitalización reciente y PaCO2 &gt; 53 mmHg, en dos viñetas redundantes con Evidencia B. La Figura 3.19 la incluye como reductora de mortalidad en EPOC </w:t>
      </w:r>
      <w:r>
        <w:rPr>
          <w:b/>
        </w:rPr>
        <w:t>estable</w:t>
      </w:r>
      <w:r>
        <w:t xml:space="preserve"> con hipercapnia marcada (Köhnlein: PaCO2 ≥ 51,9 mmHg, pH &gt; 7,35).</w:t>
      </w:r>
    </w:p>
    <w:p>
      <w:pPr>
        <w:pStyle w:val="ListBullet2"/>
      </w:pPr>
      <w:r>
        <w:rPr>
          <w:b/>
        </w:rPr>
        <w:t>Faltan los criterios operativos que el clínico necesita:</w:t>
      </w:r>
    </w:p>
    <w:p>
      <w:pPr>
        <w:pStyle w:val="ListBullet2"/>
      </w:pPr>
      <w:r>
        <w:t>umbral de PaCO2 y momento de evaluación (2-4 semanas tras el alta; no iniciarla con hipercapnia transitoria durante el ingreso);</w:t>
      </w:r>
    </w:p>
    <w:p>
      <w:pPr>
        <w:pStyle w:val="ListBullet2"/>
      </w:pPr>
      <w:r>
        <w:t>VMNI de alta intensidad con objetivo de reducción o normalización de la PaCO2;</w:t>
      </w:r>
    </w:p>
    <w:p>
      <w:pPr>
        <w:pStyle w:val="ListBullet2"/>
      </w:pPr>
      <w:r>
        <w:t>cribado de SAOS antes de iniciarla;</w:t>
      </w:r>
    </w:p>
    <w:p>
      <w:pPr>
        <w:pStyle w:val="ListBullet2"/>
      </w:pPr>
      <w:r>
        <w:t>adherencia mínima (&gt; 4-5 h/noche) y seguimiento.</w:t>
      </w:r>
    </w:p>
    <w:p>
      <w:pPr>
        <w:pStyle w:val="ListBullet2"/>
      </w:pPr>
      <w:r>
        <w:t>No se citan las guías específicas.</w:t>
      </w:r>
    </w:p>
    <w:p>
      <w:pPr>
        <w:pStyle w:val="ListBullet"/>
      </w:pPr>
      <w:r>
        <w:rPr>
          <w:b/>
        </w:rPr>
        <w:t>Evidencia/justificación:</w:t>
      </w:r>
    </w:p>
    <w:p>
      <w:pPr>
        <w:pStyle w:val="ListBullet2"/>
      </w:pPr>
      <w:r>
        <w:t>Ergan B et al., guía ERS de VMNI domiciliaria a largo plazo en EPOC, Eur Respir J 2019;54:1901003 (doi:10.1183/13993003.01003-2019).</w:t>
      </w:r>
    </w:p>
    <w:p>
      <w:pPr>
        <w:pStyle w:val="ListBullet2"/>
      </w:pPr>
      <w:r>
        <w:t>Macrea M et al., guía ATS 2020, Am J Respir Crit Care Med 2020;202:e74-e87 (doi:10.1164/rccm.202006-2382ST): VMNI nocturna en EPOC estable hipercápnica, cribado de SAOS previo, no iniciarla durante el ingreso (reevaluar a las 2-4 semanas) y titulación dirigida a normalizar la PaCO2.</w:t>
      </w:r>
    </w:p>
    <w:p>
      <w:pPr>
        <w:pStyle w:val="ListBullet2"/>
      </w:pPr>
      <w:r>
        <w:t>Wilson ME et al., JAMA 2020;323:455-465 (ref. 764).</w:t>
      </w:r>
    </w:p>
    <w:p>
      <w:pPr>
        <w:pStyle w:val="ListBullet"/>
      </w:pPr>
      <w:r>
        <w:rPr>
          <w:b/>
        </w:rPr>
        <w:t>Recomendación:</w:t>
      </w:r>
    </w:p>
    <w:p>
      <w:pPr>
        <w:pStyle w:val="ListBullet2"/>
      </w:pPr>
      <w:r>
        <w:t>Unificar en un único mensaje: «la VMNI domiciliaria de alta intensidad está indicada en EPOC estable con hipercapnia diurna persistente (PaCO2 ≥ 52-53 mmHg, pH &gt; 7,35), sobre todo tras un ingreso por fallo hipercápnico, con reevaluación de la PaCO2 a las 2-4 semanas del alta; reduce reingresos y posiblemente la mortalidad (certeza baja-moderada)».</w:t>
      </w:r>
    </w:p>
    <w:p>
      <w:pPr>
        <w:pStyle w:val="ListBullet2"/>
      </w:pPr>
      <w:r>
        <w:t>Fusionar las viñetas de la Figura 3.17, incluir la población estable y citar ERS 2019 y ATS 2020.</w:t>
      </w:r>
    </w:p>
    <w:p>
      <w:pPr>
        <w:pStyle w:val="ListBullet2"/>
      </w:pPr>
      <w:r>
        <w:t>Retirar la referencia a Cochrane 2013 como argumento principal.</w:t>
      </w:r>
    </w:p>
    <w:p>
      <w:pPr>
        <w:pStyle w:val="ListBullet"/>
      </w:pPr>
      <w:r>
        <w:rPr>
          <w:b/>
        </w:rPr>
        <w:t>Confianza:</w:t>
      </w:r>
      <w:r>
        <w:t xml:space="preserve"> 4/5</w:t>
      </w:r>
    </w:p>
    <w:p>
      <w:pPr>
        <w:pStyle w:val="Heading4"/>
      </w:pPr>
      <w:r>
        <w:t>INT-02 · Opioides para la disnea: «pueden aliviar» (Evidence C) sin reflejar los ECA negativos, la guía ERS 2024 ni la seguridad</w:t>
      </w:r>
    </w:p>
    <w:p>
      <w:r>
        <w:rPr>
          <w:i/>
        </w:rPr>
        <w:t xml:space="preserve">Severidad final: </w:t>
      </w:r>
      <w:r>
        <w:rPr>
          <w:i/>
          <w:color w:val="ED7D31"/>
        </w:rPr>
        <w:t>🟠</w:t>
      </w:r>
      <w:r>
        <w:rPr>
          <w:i/>
        </w:rPr>
        <w:t xml:space="preserve"> ALTA · Tema T14: Cuidados paliativos y disnea refractaria</w:t>
      </w:r>
    </w:p>
    <w:p>
      <w:pPr>
        <w:pStyle w:val="IntenseQuote"/>
      </w:pPr>
      <w:r>
        <w:rPr>
          <w:b/>
        </w:rPr>
        <w:t>Verificación independiente (CONFIRMADO):</w:t>
      </w:r>
      <w:r>
        <w:t xml:space="preserve"> Currow 2020, la guía ERS 2024 y las señales de mortalidad con &gt; 30 mg MME son [externo, no verificable con figuras].</w:t>
      </w:r>
    </w:p>
    <w:p>
      <w:pPr>
        <w:pStyle w:val="ListBullet"/>
      </w:pPr>
      <w:r>
        <w:rPr>
          <w:b/>
        </w:rPr>
        <w:t>Tipo:</w:t>
      </w:r>
      <w:r>
        <w:t xml:space="preserve"> Evidencia mal representada / Omisión</w:t>
      </w:r>
    </w:p>
    <w:p>
      <w:pPr>
        <w:pStyle w:val="ListBullet"/>
      </w:pPr>
      <w:r>
        <w:rPr>
          <w:b/>
        </w:rPr>
        <w:t>Severidad:</w:t>
      </w:r>
      <w:r>
        <w:t xml:space="preserve"> ALTA</w:t>
      </w:r>
    </w:p>
    <w:p>
      <w:pPr>
        <w:pStyle w:val="ListBullet"/>
      </w:pPr>
      <w:r>
        <w:rPr>
          <w:b/>
        </w:rPr>
        <w:t>Ubicación:</w:t>
      </w:r>
      <w:r>
        <w:t xml:space="preserve"> PDF 93 / impr. 82 — Fig. 3.20 y texto «Palliative treatment of dyspnea»; PDF 94 / impr. 83</w:t>
      </w:r>
    </w:p>
    <w:p>
      <w:pPr>
        <w:pStyle w:val="ListBullet"/>
      </w:pPr>
      <w:r>
        <w:rPr>
          <w:b/>
        </w:rPr>
        <w:t>Cita:</w:t>
      </w:r>
      <w:r>
        <w:t xml:space="preserve"> "Opiates, neuromuscular electrical stimulation (NMES), oxygen and fans blowing air onto the face can relieve breathlessness (Evidence C)"</w:t>
      </w:r>
    </w:p>
    <w:p>
      <w:pPr>
        <w:pStyle w:val="ListBullet"/>
      </w:pPr>
      <w:r>
        <w:rPr>
          <w:b/>
        </w:rPr>
        <w:t>Problema:</w:t>
      </w:r>
    </w:p>
    <w:p>
      <w:pPr>
        <w:pStyle w:val="ListBullet2"/>
      </w:pPr>
      <w:r>
        <w:t>La afirmación es genérica y positiva: no indica dosis, vía, duración, fenotipo, monitorización ni efectos adversos.</w:t>
      </w:r>
    </w:p>
    <w:p>
      <w:pPr>
        <w:pStyle w:val="ListBullet2"/>
      </w:pPr>
      <w:r>
        <w:t>El texto solo menciona BEAMS (ref. 805) como resultado negativo. Omite el ECA de Currow 2020 (morfina de liberación sostenida 20 mg/día, multicéntrico, primario negativo).</w:t>
      </w:r>
    </w:p>
    <w:p>
      <w:pPr>
        <w:pStyle w:val="ListBullet2"/>
      </w:pPr>
      <w:r>
        <w:t xml:space="preserve">Omite que la guía ERS 2024 sugiere </w:t>
      </w:r>
      <w:r>
        <w:rPr>
          <w:b/>
        </w:rPr>
        <w:t>no</w:t>
      </w:r>
      <w:r>
        <w:t xml:space="preserve"> usar opioides para la disnea crónica en enfermedad respiratoria grave.</w:t>
      </w:r>
    </w:p>
    <w:p>
      <w:pPr>
        <w:pStyle w:val="ListBullet2"/>
      </w:pPr>
      <w:r>
        <w:t>No advierte de las señales de seguridad: la mortalidad con dosis &gt; 30 mg MME/día en EPOC con LTOT y los eventos respiratorios en mayores que inician opioides.</w:t>
      </w:r>
    </w:p>
    <w:p>
      <w:pPr>
        <w:pStyle w:val="ListBullet2"/>
      </w:pPr>
      <w:r>
        <w:t>El nivel «C» no es coherente con la Tabla A (PDF 14), que reserva la C para estudios no aleatorizados u observacionales. Aquí hay varios ECA con resultados inconsistentes, lo que según la Tabla A es «B».</w:t>
      </w:r>
    </w:p>
    <w:p>
      <w:pPr>
        <w:pStyle w:val="ListBullet"/>
      </w:pPr>
      <w:r>
        <w:rPr>
          <w:b/>
        </w:rPr>
        <w:t>Evidencia/justificación:</w:t>
      </w:r>
    </w:p>
    <w:p>
      <w:pPr>
        <w:pStyle w:val="ListBullet2"/>
      </w:pPr>
      <w:r>
        <w:rPr>
          <w:b/>
        </w:rPr>
        <w:t>Ensayos negativos:</w:t>
      </w:r>
    </w:p>
    <w:p>
      <w:pPr>
        <w:pStyle w:val="ListBullet2"/>
      </w:pPr>
      <w:r>
        <w:t xml:space="preserve">Currow DC et al., </w:t>
      </w:r>
      <w:r>
        <w:rPr>
          <w:i/>
        </w:rPr>
        <w:t>Thorax</w:t>
      </w:r>
      <w:r>
        <w:t xml:space="preserve"> 2020;75:50-56: morfina SR 20 mg/d vs placebo, sin diferencia en la peor disnea y con más estreñimiento y náuseas.</w:t>
      </w:r>
    </w:p>
    <w:p>
      <w:pPr>
        <w:pStyle w:val="ListBullet2"/>
      </w:pPr>
      <w:r>
        <w:t xml:space="preserve">Ekström M et al., </w:t>
      </w:r>
      <w:r>
        <w:rPr>
          <w:b/>
        </w:rPr>
        <w:t>BEAMS</w:t>
      </w:r>
      <w:r>
        <w:t xml:space="preserve">, </w:t>
      </w:r>
      <w:r>
        <w:rPr>
          <w:i/>
        </w:rPr>
        <w:t>JAMA</w:t>
      </w:r>
      <w:r>
        <w:t xml:space="preserve"> 2022;328:2022-32: 8/16 mg/d de liberación prolongada, sin efecto en la disnea, la actividad ni la calidad de vida.</w:t>
      </w:r>
    </w:p>
    <w:p>
      <w:pPr>
        <w:pStyle w:val="ListBullet2"/>
      </w:pPr>
      <w:r>
        <w:rPr>
          <w:b/>
        </w:rPr>
        <w:t>ECA con resultado positivo en calidad de vida:</w:t>
      </w:r>
      <w:r>
        <w:t xml:space="preserve"> Verberkt CA et al., </w:t>
      </w:r>
      <w:r>
        <w:rPr>
          <w:b/>
        </w:rPr>
        <w:t>MORDYC</w:t>
      </w:r>
      <w:r>
        <w:t xml:space="preserve">, </w:t>
      </w:r>
      <w:r>
        <w:rPr>
          <w:i/>
        </w:rPr>
        <w:t>JAMA Intern Med</w:t>
      </w:r>
      <w:r>
        <w:t xml:space="preserve"> 2020;180:1306-14. Mejora el CAT (desenlace primario); no hubo una mejora consistente de la disnea en la población global.</w:t>
      </w:r>
    </w:p>
    <w:p>
      <w:pPr>
        <w:pStyle w:val="ListBullet2"/>
      </w:pPr>
      <w:r>
        <w:rPr>
          <w:b/>
        </w:rPr>
        <w:t>Guía:</w:t>
      </w:r>
      <w:r>
        <w:t xml:space="preserve"> Holland AE et al., ERS Clinical Practice Guideline on symptom management, </w:t>
      </w:r>
      <w:r>
        <w:rPr>
          <w:i/>
        </w:rPr>
        <w:t>Eur Respir J</w:t>
      </w:r>
      <w:r>
        <w:t xml:space="preserve"> 2024;63:2400335. Recomendación condicional en contra de los opioides, certeza muy baja.</w:t>
      </w:r>
    </w:p>
    <w:p>
      <w:pPr>
        <w:pStyle w:val="ListBullet2"/>
      </w:pPr>
      <w:r>
        <w:rPr>
          <w:b/>
        </w:rPr>
        <w:t>Seguridad:</w:t>
      </w:r>
    </w:p>
    <w:p>
      <w:pPr>
        <w:pStyle w:val="ListBullet2"/>
      </w:pPr>
      <w:r>
        <w:t xml:space="preserve">Ekström MP et al., </w:t>
      </w:r>
      <w:r>
        <w:rPr>
          <w:i/>
        </w:rPr>
        <w:t>BMJ</w:t>
      </w:r>
      <w:r>
        <w:t xml:space="preserve"> 2014;348:g445: opioides a dosis bajas sin exceso de mortalidad, dosis altas asociadas a mayor mortalidad; benzodiacepinas asociadas a mayor mortalidad.</w:t>
      </w:r>
    </w:p>
    <w:p>
      <w:pPr>
        <w:pStyle w:val="ListBullet2"/>
      </w:pPr>
      <w:r>
        <w:t xml:space="preserve">Vozoris NT et al., </w:t>
      </w:r>
      <w:r>
        <w:rPr>
          <w:i/>
        </w:rPr>
        <w:t>Eur Respir J</w:t>
      </w:r>
      <w:r>
        <w:t xml:space="preserve"> 2016;48:683-93: inicio de opioides asociado a eventos respiratorios y mortalidad en EPOC de edad avanzada.</w:t>
      </w:r>
    </w:p>
    <w:p>
      <w:pPr>
        <w:pStyle w:val="ListBullet2"/>
      </w:pPr>
      <w:r>
        <w:rPr>
          <w:b/>
        </w:rPr>
        <w:t>Sobre el término «MORDIP» del encargo:</w:t>
      </w:r>
      <w:r>
        <w:t xml:space="preserve"> no he podido identificar un ensayo con ese nombre. Interpreto que se refiere a MORDYC; si existe otro ensayo, queda como «Punto debatible».</w:t>
      </w:r>
    </w:p>
    <w:p>
      <w:pPr>
        <w:pStyle w:val="ListBullet"/>
      </w:pPr>
      <w:r>
        <w:rPr>
          <w:b/>
        </w:rPr>
        <w:t>Recomendación:</w:t>
      </w:r>
    </w:p>
    <w:p>
      <w:pPr>
        <w:pStyle w:val="ListBullet2"/>
      </w:pPr>
      <w:r>
        <w:t xml:space="preserve">Reformular así: «En disnea crónica refractoria pese a tratamiento optimizado, puede considerarse un </w:t>
      </w:r>
      <w:r>
        <w:rPr>
          <w:b/>
        </w:rPr>
        <w:t>ensayo terapéutico individualizado</w:t>
      </w:r>
      <w:r>
        <w:t xml:space="preserve"> de morfina oral a dosis baja (p. ej., ≤ 10 mg/12 h de liberación prolongada, máx. ≤ 30 mg MME/d), con objetivos predefinidos, reevaluación en 1-2 semanas, laxante profiláctico, vigilancia de somnolencia/hipercapnia y retirada si no hay beneficio».</w:t>
      </w:r>
    </w:p>
    <w:p>
      <w:pPr>
        <w:pStyle w:val="ListBullet2"/>
      </w:pPr>
      <w:r>
        <w:t>Citar Currow 2020, BEAMS, MORDYC y ERS 2024, y reclasificar a «Evidence B (resultados inconsistentes)».</w:t>
      </w:r>
    </w:p>
    <w:p>
      <w:pPr>
        <w:pStyle w:val="ListBullet2"/>
      </w:pPr>
      <w:r>
        <w:t>Separar en la figura opioides, NMES, ventilador facial y oxígeno, cada uno con su propio nivel. El ventilador de mano tiene ECA pequeños y recomendación condicional ERS a favor (certeza muy baja).</w:t>
      </w:r>
    </w:p>
    <w:p>
      <w:pPr>
        <w:pStyle w:val="ListBullet"/>
      </w:pPr>
      <w:r>
        <w:rPr>
          <w:b/>
        </w:rPr>
        <w:t>Confianza:</w:t>
      </w:r>
      <w:r>
        <w:t xml:space="preserve"> 4/5</w:t>
      </w:r>
    </w:p>
    <w:p>
      <w:pPr>
        <w:pStyle w:val="Heading4"/>
      </w:pPr>
      <w:r>
        <w:t>INT-03 · Oxígeno paliativo en pacientes no hipoxémicos: remisión errónea a la Fig. 3.17 y contradicción con la PDF 87 y con la propia PDF 93</w:t>
      </w:r>
    </w:p>
    <w:p>
      <w:r>
        <w:rPr>
          <w:i/>
        </w:rPr>
        <w:t xml:space="preserve">Severidad final: </w:t>
      </w:r>
      <w:r>
        <w:rPr>
          <w:i/>
          <w:color w:val="ED7D31"/>
        </w:rPr>
        <w:t>🟠</w:t>
      </w:r>
      <w:r>
        <w:rPr>
          <w:i/>
        </w:rPr>
        <w:t xml:space="preserve"> ALTA · Tema T14: Cuidados paliativos y disnea refractaria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94 / impr. 83 (texto); PDF 93 / impr. 82 (Fig. 3.20 y texto); PDF 87-88 / impr. 76-77 (texto de oxigenoterapia y Fig. 3.17)</w:t>
      </w:r>
    </w:p>
    <w:p>
      <w:pPr>
        <w:pStyle w:val="ListBullet"/>
      </w:pPr>
      <w:r>
        <w:rPr>
          <w:b/>
        </w:rPr>
        <w:t>Cita:</w:t>
      </w:r>
      <w:r>
        <w:t xml:space="preserve"> "Oxygen may offer some benefit even if the patient is not hypoxemic (SpO2 &gt; 92%) (Figure 3.17).(809)"</w:t>
      </w:r>
    </w:p>
    <w:p>
      <w:pPr>
        <w:pStyle w:val="ListBullet"/>
      </w:pPr>
      <w:r>
        <w:rPr>
          <w:b/>
        </w:rPr>
        <w:t>Problema:</w:t>
      </w:r>
    </w:p>
    <w:p>
      <w:pPr>
        <w:pStyle w:val="ListBullet2"/>
      </w:pPr>
      <w:r>
        <w:rPr>
          <w:b/>
        </w:rPr>
        <w:t>La Fig. 3.17 no dice eso.</w:t>
      </w:r>
      <w:r>
        <w:t xml:space="preserve"> Trata la supervivencia con LTOT y la falta de beneficio en la desaturación moderada; no menciona disnea en normoxémicos.</w:t>
      </w:r>
    </w:p>
    <w:p>
      <w:pPr>
        <w:pStyle w:val="ListBullet2"/>
      </w:pPr>
      <w:r>
        <w:rPr>
          <w:b/>
        </w:rPr>
        <w:t>Contradice el texto de oxigenoterapia de la PDF 87:</w:t>
      </w:r>
      <w:r>
        <w:t xml:space="preserve"> "studies have shown no improvement of breathlessness in daily life and no benefit on health-related quality of life (Figure 3.17)".</w:t>
      </w:r>
    </w:p>
    <w:p>
      <w:pPr>
        <w:pStyle w:val="ListBullet2"/>
      </w:pPr>
      <w:r>
        <w:rPr>
          <w:b/>
        </w:rPr>
        <w:t>Contradice la misma PDF 93:</w:t>
      </w:r>
      <w:r>
        <w:t xml:space="preserve"> "The roles of oxygen therapy, HFNT and NIV for palliation of dyspnea are debated", y sin embargo la Fig. 3.20 incluye el oxígeno entre lo que «can relieve breathlessness (Evidence C)».</w:t>
      </w:r>
    </w:p>
    <w:p>
      <w:pPr>
        <w:pStyle w:val="ListBullet2"/>
      </w:pPr>
      <w:r>
        <w:t>El umbral «SpO2 &gt; 92 %» no procede de ningún criterio estándar. Puede inducir a prescribir O2 domiciliario sin hipoxemia, con su coste, carga, riesgo de quemaduras/incendio y efecto sobre la movilidad.</w:t>
      </w:r>
    </w:p>
    <w:p>
      <w:pPr>
        <w:pStyle w:val="ListBullet"/>
      </w:pPr>
      <w:r>
        <w:rPr>
          <w:b/>
        </w:rPr>
        <w:t>Evidencia/justificación:</w:t>
      </w:r>
    </w:p>
    <w:p>
      <w:pPr>
        <w:pStyle w:val="ListBullet2"/>
      </w:pPr>
      <w:r>
        <w:t xml:space="preserve">Abernethy AP et al., </w:t>
      </w:r>
      <w:r>
        <w:rPr>
          <w:i/>
        </w:rPr>
        <w:t>Lancet</w:t>
      </w:r>
      <w:r>
        <w:t xml:space="preserve"> 2010;376:784-93: O2 paliativo = aire medicinal en disnea refractoria con PaO2 &gt; 55 mmHg.</w:t>
      </w:r>
    </w:p>
    <w:p>
      <w:pPr>
        <w:pStyle w:val="ListBullet2"/>
      </w:pPr>
      <w:r>
        <w:t>Ekström M et al., Cochrane 2016;CD006429: beneficio modesto durante el ejercicio, no en la vida diaria ni en la calidad de vida.</w:t>
      </w:r>
    </w:p>
    <w:p>
      <w:pPr>
        <w:pStyle w:val="ListBullet2"/>
      </w:pPr>
      <w:r>
        <w:t xml:space="preserve">LOTT Research Group, </w:t>
      </w:r>
      <w:r>
        <w:rPr>
          <w:i/>
        </w:rPr>
        <w:t>NEJM</w:t>
      </w:r>
      <w:r>
        <w:t xml:space="preserve"> 2016;375:1617-27.</w:t>
      </w:r>
    </w:p>
    <w:p>
      <w:pPr>
        <w:pStyle w:val="ListBullet2"/>
      </w:pPr>
      <w:r>
        <w:t xml:space="preserve">ERS 2024 (Holland, </w:t>
      </w:r>
      <w:r>
        <w:rPr>
          <w:i/>
        </w:rPr>
        <w:t>ERJ</w:t>
      </w:r>
      <w:r>
        <w:t xml:space="preserve"> 2024;63:2400335): recomendación condicional, certeza baja.</w:t>
      </w:r>
    </w:p>
    <w:p>
      <w:pPr>
        <w:pStyle w:val="ListBullet2"/>
      </w:pPr>
      <w:r>
        <w:t xml:space="preserve">La ref. 809 (Uronis 2015, </w:t>
      </w:r>
      <w:r>
        <w:rPr>
          <w:i/>
        </w:rPr>
        <w:t>Thorax</w:t>
      </w:r>
      <w:r>
        <w:t>) muestra un efecto pequeño, sobre todo en pruebas de esfuerzo de laboratorio.</w:t>
      </w:r>
    </w:p>
    <w:p>
      <w:pPr>
        <w:pStyle w:val="ListBullet"/>
      </w:pPr>
      <w:r>
        <w:rPr>
          <w:b/>
        </w:rPr>
        <w:t>Recomendación:</w:t>
      </w:r>
    </w:p>
    <w:p>
      <w:pPr>
        <w:pStyle w:val="ListBullet2"/>
      </w:pPr>
      <w:r>
        <w:t>Armonizar con la PDF 87: «En pacientes no hipoxémicos el oxígeno no mejora la disnea diaria ni la calidad de vida; puede considerarse durante el entrenamiento o como prueba individual con evaluación objetiva del beneficio».</w:t>
      </w:r>
    </w:p>
    <w:p>
      <w:pPr>
        <w:pStyle w:val="ListBullet2"/>
      </w:pPr>
      <w:r>
        <w:t>Eliminar la remisión a la Fig. 3.17 y el umbral «SpO2 &gt; 92 %».</w:t>
      </w:r>
    </w:p>
    <w:p>
      <w:pPr>
        <w:pStyle w:val="ListBullet2"/>
      </w:pPr>
      <w:r>
        <w:t>Retirar el oxígeno de la viñeta de la Fig. 3.20, o calificarlo como «solo en hipoxemia o ensayo individual».</w:t>
      </w:r>
    </w:p>
    <w:p>
      <w:pPr>
        <w:pStyle w:val="ListBullet2"/>
      </w:pPr>
      <w:r>
        <w:t xml:space="preserve">Mencionar el </w:t>
      </w:r>
      <w:r>
        <w:rPr>
          <w:b/>
        </w:rPr>
        <w:t>ventilador de mano</w:t>
      </w:r>
      <w:r>
        <w:t xml:space="preserve"> como primera opción no farmacológica.</w:t>
      </w:r>
    </w:p>
    <w:p>
      <w:pPr>
        <w:pStyle w:val="ListBullet"/>
      </w:pPr>
      <w:r>
        <w:rPr>
          <w:b/>
        </w:rPr>
        <w:t>Confianza:</w:t>
      </w:r>
      <w:r>
        <w:t xml:space="preserve"> 5/5</w:t>
      </w:r>
    </w:p>
    <w:p>
      <w:pPr>
        <w:pStyle w:val="Heading4"/>
      </w:pPr>
      <w:r>
        <w:t>INT-05 · EBV frente a LVRS: afirmación mal citada («menos complicaciones», ref. 862) y omisión del ECA CELEB; la nota de la Fig. 3.23 está desactualizada y contradice el texto</w:t>
      </w:r>
    </w:p>
    <w:p>
      <w:r>
        <w:rPr>
          <w:i/>
        </w:rPr>
        <w:t xml:space="preserve">Severidad final: </w:t>
      </w:r>
      <w:r>
        <w:rPr>
          <w:i/>
          <w:color w:val="ED7D31"/>
        </w:rPr>
        <w:t>🟠</w:t>
      </w:r>
      <w:r>
        <w:rPr>
          <w:i/>
        </w:rPr>
        <w:t xml:space="preserve"> ALTA · Tema T15: Intervenciones broncoscópicas y quirúrgicas</w:t>
      </w:r>
    </w:p>
    <w:p>
      <w:pPr>
        <w:pStyle w:val="IntenseQuote"/>
      </w:pPr>
      <w:r>
        <w:rPr>
          <w:b/>
        </w:rPr>
        <w:t>Verificación independiente (CONFIRMADO):</w:t>
      </w:r>
      <w:r>
        <w:t xml:space="preserve"> 1. Corregir la frase: "En el único ECA directo (CELEB), LVRS y EBV produjeron mejoras similares a 12 meses, con potencia limitada; no hay evidencia comparativa sólida sobre complicaciones." 2. Citar CELEB. 3. Desvincular la ref. 862 de esta afirmación.</w:t>
      </w:r>
    </w:p>
    <w:p>
      <w:pPr>
        <w:pStyle w:val="ListBullet"/>
      </w:pPr>
      <w:r>
        <w:rPr>
          <w:b/>
        </w:rPr>
        <w:t>Tipo:</w:t>
      </w:r>
      <w:r>
        <w:t xml:space="preserve"> Error factual (cita) / Omisión / Incongruencia interna</w:t>
      </w:r>
    </w:p>
    <w:p>
      <w:pPr>
        <w:pStyle w:val="ListBullet"/>
      </w:pPr>
      <w:r>
        <w:rPr>
          <w:b/>
        </w:rPr>
        <w:t>Severidad:</w:t>
      </w:r>
      <w:r>
        <w:t xml:space="preserve"> ALTA</w:t>
      </w:r>
    </w:p>
    <w:p>
      <w:pPr>
        <w:pStyle w:val="ListBullet"/>
      </w:pPr>
      <w:r>
        <w:rPr>
          <w:b/>
        </w:rPr>
        <w:t>Ubicación:</w:t>
      </w:r>
      <w:r>
        <w:t xml:space="preserve"> PDF 99-100 / impr. 88-89 — «Endobronchial one-way valves»; PDF 99 / impr. 88 — nota de la Fig. 3.23</w:t>
      </w:r>
    </w:p>
    <w:p>
      <w:pPr>
        <w:pStyle w:val="ListBullet"/>
      </w:pPr>
      <w:r>
        <w:rPr>
          <w:b/>
        </w:rPr>
        <w:t>Cita:</w:t>
      </w:r>
      <w:r>
        <w:t xml:space="preserve"> Texto: "associated with EBV compared to LVRS show comparable benefits with endobronchial valve treatment but with fewer complications.(862)". Fig. 3.23: "Long term ELVR outcomes or direct comparisons to LVRS are unknown."</w:t>
      </w:r>
    </w:p>
    <w:p>
      <w:pPr>
        <w:pStyle w:val="ListBullet"/>
      </w:pPr>
      <w:r>
        <w:rPr>
          <w:b/>
        </w:rPr>
        <w:t>Problema:</w:t>
      </w:r>
    </w:p>
    <w:p>
      <w:pPr>
        <w:pStyle w:val="ListBullet2"/>
      </w:pPr>
      <w:r>
        <w:rPr>
          <w:b/>
        </w:rPr>
        <w:t>La ref. 862 no compara con LVRS.</w:t>
      </w:r>
      <w:r>
        <w:t xml:space="preserve"> Es LIBERATE (Criner, </w:t>
      </w:r>
      <w:r>
        <w:rPr>
          <w:i/>
        </w:rPr>
        <w:t>AJRCCM</w:t>
      </w:r>
      <w:r>
        <w:t xml:space="preserve"> 2018): Zephyr frente a tratamiento estándar.</w:t>
      </w:r>
    </w:p>
    <w:p>
      <w:pPr>
        <w:pStyle w:val="ListBullet2"/>
      </w:pPr>
      <w:r>
        <w:rPr>
          <w:b/>
        </w:rPr>
        <w:t>Se omite el único ECA directo, CELEB 2023.</w:t>
      </w:r>
      <w:r>
        <w:t xml:space="preserve"> Mostró resultados equivalentes en el iBODE a 12 meses, sin demostrar menos complicaciones.</w:t>
      </w:r>
    </w:p>
    <w:p>
      <w:pPr>
        <w:pStyle w:val="ListBullet2"/>
      </w:pPr>
      <w:r>
        <w:rPr>
          <w:b/>
        </w:rPr>
        <w:t>El texto y la figura se contradicen.</w:t>
      </w:r>
      <w:r>
        <w:t xml:space="preserve"> El texto afirma que la comparación existe; la figura dice que no se conoce.</w:t>
      </w:r>
    </w:p>
    <w:p>
      <w:pPr>
        <w:pStyle w:val="ListBullet2"/>
      </w:pPr>
      <w:r>
        <w:t>Se presenta la superioridad en seguridad de las EBV como un hecho establecido, lo que sesga la decisión compartida entre las dos opciones.</w:t>
      </w:r>
    </w:p>
    <w:p>
      <w:pPr>
        <w:pStyle w:val="ListBullet"/>
      </w:pPr>
      <w:r>
        <w:rPr>
          <w:b/>
        </w:rPr>
        <w:t>Evidencia/justificación:</w:t>
      </w:r>
    </w:p>
    <w:p>
      <w:pPr>
        <w:pStyle w:val="ListBullet2"/>
      </w:pPr>
      <w:r>
        <w:rPr>
          <w:b/>
        </w:rPr>
        <w:t>CELEB:</w:t>
      </w:r>
      <w:r>
        <w:t xml:space="preserve"> Buttery SC et al., </w:t>
      </w:r>
      <w:r>
        <w:rPr>
          <w:i/>
        </w:rPr>
        <w:t>Eur Respir J</w:t>
      </w:r>
      <w:r>
        <w:t xml:space="preserve"> 2023;61:2202063. 88 pacientes candidatos a ambas técnicas. Cambio del iBODE a 12 meses: LVRS −1,10 vs EBV −0,82, p = 0,54. Complicaciones sin diferencias claras.</w:t>
      </w:r>
    </w:p>
    <w:p>
      <w:pPr>
        <w:pStyle w:val="ListBullet2"/>
      </w:pPr>
      <w:r>
        <w:rPr>
          <w:b/>
        </w:rPr>
        <w:t>Comparaciones indirectas:</w:t>
      </w:r>
      <w:r>
        <w:t xml:space="preserve"> proceden de metaanálisis en red o de cohortes, no de un ECA.</w:t>
      </w:r>
    </w:p>
    <w:p>
      <w:pPr>
        <w:pStyle w:val="ListBullet"/>
      </w:pPr>
      <w:r>
        <w:rPr>
          <w:b/>
        </w:rPr>
        <w:t>Recomendación:</w:t>
      </w:r>
    </w:p>
    <w:p>
      <w:pPr>
        <w:pStyle w:val="ListBullet2"/>
      </w:pPr>
      <w:r>
        <w:t>Sustituir la frase por: «En el único ECA directo (CELEB), EBV y LVRS produjeron mejoras similares a 12 meses en candidatos aptos para ambas técnicas; no hay datos aleatorizados a largo plazo sobre supervivencia comparada».</w:t>
      </w:r>
    </w:p>
    <w:p>
      <w:pPr>
        <w:pStyle w:val="ListBullet2"/>
      </w:pPr>
      <w:r>
        <w:t>Citar a Buttery 2023 y actualizar la nota de la Fig. 3.23.</w:t>
      </w:r>
    </w:p>
    <w:p>
      <w:pPr>
        <w:pStyle w:val="ListBullet2"/>
      </w:pPr>
      <w:r>
        <w:t>Recomendar que la elección se haga en un equipo multidisciplinar.</w:t>
      </w:r>
    </w:p>
    <w:p>
      <w:pPr>
        <w:pStyle w:val="ListBullet"/>
      </w:pPr>
      <w:r>
        <w:rPr>
          <w:b/>
        </w:rPr>
        <w:t>Confianza:</w:t>
      </w:r>
      <w:r>
        <w:t xml:space="preserve"> 5/5</w:t>
      </w:r>
    </w:p>
    <w:p>
      <w:pPr>
        <w:pStyle w:val="Heading4"/>
      </w:pPr>
      <w:r>
        <w:t>INT-07 · La Fig. 3.23 ofrece LVRS y ablación por vapor en el enfisema homogéneo sin advertir del subgrupo de alto riesgo</w:t>
      </w:r>
    </w:p>
    <w:p>
      <w:r>
        <w:rPr>
          <w:i/>
        </w:rPr>
        <w:t xml:space="preserve">Severidad final: </w:t>
      </w:r>
      <w:r>
        <w:rPr>
          <w:i/>
          <w:color w:val="ED7D31"/>
        </w:rPr>
        <w:t>🟠</w:t>
      </w:r>
      <w:r>
        <w:rPr>
          <w:i/>
        </w:rPr>
        <w:t xml:space="preserve"> ALTA · Tema T15: Intervenciones broncoscópicas y quirúrgicas</w:t>
      </w:r>
    </w:p>
    <w:p>
      <w:pPr>
        <w:pStyle w:val="IntenseQuote"/>
      </w:pPr>
      <w:r>
        <w:rPr>
          <w:b/>
        </w:rPr>
        <w:t>Verificación independiente (CONFIRMADO):</w:t>
      </w:r>
      <w:r>
        <w:t xml:space="preserve"> Ninguna. Refuerza el hallazgo que la ablación por vapor (STEP-UP) se estudió solo en enfisema heterogéneo de lóbulos superiores.</w:t>
      </w:r>
    </w:p>
    <w:p>
      <w:pPr>
        <w:pStyle w:val="ListBullet"/>
      </w:pPr>
      <w:r>
        <w:rPr>
          <w:b/>
        </w:rPr>
        <w:t>Tipo:</w:t>
      </w:r>
      <w:r>
        <w:t xml:space="preserve"> Ambigüedad clínica / Evidencia mal representada</w:t>
      </w:r>
    </w:p>
    <w:p>
      <w:pPr>
        <w:pStyle w:val="ListBullet"/>
      </w:pPr>
      <w:r>
        <w:rPr>
          <w:b/>
        </w:rPr>
        <w:t>Severidad:</w:t>
      </w:r>
      <w:r>
        <w:t xml:space="preserve"> ALTA</w:t>
      </w:r>
    </w:p>
    <w:p>
      <w:pPr>
        <w:pStyle w:val="ListBullet"/>
      </w:pPr>
      <w:r>
        <w:rPr>
          <w:b/>
        </w:rPr>
        <w:t>Ubicación:</w:t>
      </w:r>
      <w:r>
        <w:t xml:space="preserve"> PDF 99 / impr. 88 — Fig. 3.23 (rama «Homogeneous Emphysema»); comparar con PDF 98 / impr. 87 y PDF 92 / impr. 81</w:t>
      </w:r>
    </w:p>
    <w:p>
      <w:pPr>
        <w:pStyle w:val="ListBullet"/>
      </w:pPr>
      <w:r>
        <w:rPr>
          <w:b/>
        </w:rPr>
        <w:t>Cita:</w:t>
      </w:r>
      <w:r>
        <w:t xml:space="preserve"> Fig. 3.23, rama homogénea: "- CV or FI+ → ELVR (EBV,LVRC,VA) LVRS"; "+ CV or FI- → ELVR (LVRC,VA) LVRS". Texto: "LVRS has been demonstrated to result in higher mortality than medical management in patients with severe emphysema who have FEV1 ≤ 20% predicted and either homogeneous emphysema"</w:t>
      </w:r>
    </w:p>
    <w:p>
      <w:pPr>
        <w:pStyle w:val="ListBullet"/>
      </w:pPr>
      <w:r>
        <w:rPr>
          <w:b/>
        </w:rPr>
        <w:t>Problema:</w:t>
      </w:r>
    </w:p>
    <w:p>
      <w:pPr>
        <w:pStyle w:val="ListBullet2"/>
      </w:pPr>
      <w:r>
        <w:rPr>
          <w:b/>
        </w:rPr>
        <w:t>Ninguna rama excluye opciones.</w:t>
      </w:r>
      <w:r>
        <w:t xml:space="preserve"> Todas las ramas terminan en LVRS más alguna técnica endoscópica, así que el algoritmo no discrimina.</w:t>
      </w:r>
    </w:p>
    <w:p>
      <w:pPr>
        <w:pStyle w:val="ListBullet2"/>
      </w:pPr>
      <w:r>
        <w:rPr>
          <w:b/>
        </w:rPr>
        <w:t>La LVRS en enfisema homogéneo carece de beneficio en supervivencia en el NETT.</w:t>
      </w:r>
      <w:r>
        <w:t xml:space="preserve"> En el subgrupo no de lóbulo superior y con capacidad de ejercicio alta, la mortalidad fue mayor. El subgrupo FEV1 ≤ 20 % + homogéneo/DLCO ≤ 20 % tuvo una mortalidad a 30 días inaceptable (16 %).</w:t>
      </w:r>
    </w:p>
    <w:p>
      <w:pPr>
        <w:pStyle w:val="ListBullet2"/>
      </w:pPr>
      <w:r>
        <w:rPr>
          <w:b/>
        </w:rPr>
        <w:t>La ablación por vapor (STEP-UP) solo se ha estudiado en enfisema heterogéneo de predominio superior.</w:t>
      </w:r>
    </w:p>
    <w:p>
      <w:pPr>
        <w:pStyle w:val="ListBullet2"/>
      </w:pPr>
      <w:r>
        <w:t>El algoritmo adapta Vogelmeier 2017, no incorpora los criterios de exclusión y no remite a la PDF 98.</w:t>
      </w:r>
    </w:p>
    <w:p>
      <w:pPr>
        <w:pStyle w:val="ListBullet"/>
      </w:pPr>
      <w:r>
        <w:rPr>
          <w:b/>
        </w:rPr>
        <w:t>Evidencia/justificación:</w:t>
      </w:r>
    </w:p>
    <w:p>
      <w:pPr>
        <w:pStyle w:val="ListBullet2"/>
      </w:pPr>
      <w:r>
        <w:t xml:space="preserve">NETT Research Group, </w:t>
      </w:r>
      <w:r>
        <w:rPr>
          <w:i/>
        </w:rPr>
        <w:t>NEJM</w:t>
      </w:r>
      <w:r>
        <w:t xml:space="preserve"> 2001;345:1075-83 (ref. 847).</w:t>
      </w:r>
    </w:p>
    <w:p>
      <w:pPr>
        <w:pStyle w:val="ListBullet2"/>
      </w:pPr>
      <w:r>
        <w:t xml:space="preserve">Fishman A et al., </w:t>
      </w:r>
      <w:r>
        <w:rPr>
          <w:i/>
        </w:rPr>
        <w:t>NEJM</w:t>
      </w:r>
      <w:r>
        <w:t xml:space="preserve"> 2003;348:2059-73 (ref. 789).</w:t>
      </w:r>
    </w:p>
    <w:p>
      <w:pPr>
        <w:pStyle w:val="ListBullet2"/>
      </w:pPr>
      <w:r>
        <w:t xml:space="preserve">Herth FJ et al., </w:t>
      </w:r>
      <w:r>
        <w:rPr>
          <w:b/>
        </w:rPr>
        <w:t>STEP-UP</w:t>
      </w:r>
      <w:r>
        <w:t xml:space="preserve">, </w:t>
      </w:r>
      <w:r>
        <w:rPr>
          <w:i/>
        </w:rPr>
        <w:t>Lancet Respir Med</w:t>
      </w:r>
      <w:r>
        <w:t xml:space="preserve"> 2016 (ref. 861): solo heterogéneo de lóbulo superior.</w:t>
      </w:r>
    </w:p>
    <w:p>
      <w:pPr>
        <w:pStyle w:val="ListBullet2"/>
      </w:pPr>
      <w:r>
        <w:t xml:space="preserve">Valipour A et al., </w:t>
      </w:r>
      <w:r>
        <w:rPr>
          <w:b/>
        </w:rPr>
        <w:t>IMPACT</w:t>
      </w:r>
      <w:r>
        <w:t xml:space="preserve">, </w:t>
      </w:r>
      <w:r>
        <w:rPr>
          <w:i/>
        </w:rPr>
        <w:t>AJRCCM</w:t>
      </w:r>
      <w:r>
        <w:t xml:space="preserve"> 2016 (ref. 864): EBV en enfisema homogéneo sin ventilación colateral.</w:t>
      </w:r>
    </w:p>
    <w:p>
      <w:pPr>
        <w:pStyle w:val="ListBullet"/>
      </w:pPr>
      <w:r>
        <w:rPr>
          <w:b/>
        </w:rPr>
        <w:t>Recomendación:</w:t>
      </w:r>
    </w:p>
    <w:p>
      <w:pPr>
        <w:pStyle w:val="ListBullet2"/>
      </w:pPr>
      <w:r>
        <w:t>Rehacer el algoritmo con criterios de entrada: FEV1 15-45 %, RV ≥ 175 %, TLC ≥ 100 %, 6MWD 100-500 m, rehabilitación completada, no fumador.</w:t>
      </w:r>
    </w:p>
    <w:p>
      <w:pPr>
        <w:pStyle w:val="ListBullet2"/>
      </w:pPr>
      <w:r>
        <w:t xml:space="preserve">Marcar la </w:t>
      </w:r>
      <w:r>
        <w:rPr>
          <w:b/>
        </w:rPr>
        <w:t>exclusión de alto riesgo NETT</w:t>
      </w:r>
      <w:r>
        <w:t xml:space="preserve"> en todas las ramas quirúrgicas.</w:t>
      </w:r>
    </w:p>
    <w:p>
      <w:pPr>
        <w:pStyle w:val="ListBullet2"/>
      </w:pPr>
      <w:r>
        <w:t>En el enfisema homogéneo, priorizar EBV si no hay ventilación colateral y restringir la LVRS a casos muy seleccionados en centros expertos.</w:t>
      </w:r>
    </w:p>
    <w:p>
      <w:pPr>
        <w:pStyle w:val="ListBullet2"/>
      </w:pPr>
      <w:r>
        <w:t>Limitar el vapor a enfisema heterogéneo de lóbulo superior y retirar los coils (véase INT-06).</w:t>
      </w:r>
    </w:p>
    <w:p>
      <w:pPr>
        <w:pStyle w:val="ListBullet"/>
      </w:pPr>
      <w:r>
        <w:rPr>
          <w:b/>
        </w:rPr>
        <w:t>Confianza:</w:t>
      </w:r>
      <w:r>
        <w:t xml:space="preserve"> 4/5</w:t>
      </w:r>
    </w:p>
    <w:p>
      <w:pPr>
        <w:pStyle w:val="Heading4"/>
      </w:pPr>
      <w:r>
        <w:t>FARM-07 · Cigarrillo electrónico: el key point niega una eficacia que el Apéndice 3 y Cochrane reconocen</w:t>
      </w:r>
    </w:p>
    <w:p>
      <w:r>
        <w:rPr>
          <w:i/>
        </w:rPr>
        <w:t xml:space="preserve">Severidad final: </w:t>
      </w:r>
      <w:r>
        <w:rPr>
          <w:i/>
          <w:color w:val="ED7D31"/>
        </w:rPr>
        <w:t>🟠</w:t>
      </w:r>
      <w:r>
        <w:rPr>
          <w:i/>
        </w:rPr>
        <w:t xml:space="preserve"> ALTA · Tema T16: Tabaquismo y otros factores de riesgo inhalados</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61 / impr. 50 (key point) vs PDF 154 / impr. 143 (Apéndice 3)</w:t>
      </w:r>
    </w:p>
    <w:p>
      <w:pPr>
        <w:pStyle w:val="ListBullet"/>
      </w:pPr>
      <w:r>
        <w:rPr>
          <w:b/>
        </w:rPr>
        <w:t>Cita:</w:t>
      </w:r>
    </w:p>
    <w:p>
      <w:pPr>
        <w:pStyle w:val="ListBullet2"/>
      </w:pPr>
      <w:r>
        <w:t>Key point: "There is no evidence to support the effectiveness and safety of e-cigarettes as a smoking cessation aid at present."</w:t>
      </w:r>
    </w:p>
    <w:p>
      <w:pPr>
        <w:pStyle w:val="ListBullet2"/>
      </w:pPr>
      <w:r>
        <w:t>Apéndice 3: "A meta-analysis of five RCTs has suggested that e-cigarettes are superior to nicotine replacement therapy…(1465)".</w:t>
      </w:r>
    </w:p>
    <w:p>
      <w:pPr>
        <w:pStyle w:val="ListBullet"/>
      </w:pPr>
      <w:r>
        <w:rPr>
          <w:b/>
        </w:rPr>
        <w:t>Problema:</w:t>
      </w:r>
    </w:p>
    <w:p>
      <w:pPr>
        <w:pStyle w:val="ListBullet2"/>
      </w:pPr>
      <w:r>
        <w:t>"No evidence of effectiveness" es falso y contradice el propio Apéndice.</w:t>
      </w:r>
    </w:p>
    <w:p>
      <w:pPr>
        <w:pStyle w:val="ListBullet2"/>
      </w:pPr>
      <w:r>
        <w:t>Se mezclan dos cuestiones distintas: la eficacia para dejar de fumar, que está demostrada, y la seguridad a largo plazo, que en EPOC es incierta.</w:t>
      </w:r>
    </w:p>
    <w:p>
      <w:pPr>
        <w:pStyle w:val="ListBullet2"/>
      </w:pPr>
      <w:r>
        <w:t>La ref 1466 (Glantz, NEJM Evid 2024), que sostiene la conclusión del Apéndice, estudia odds de enfermedad poblacional, no la eficacia como tratamiento de cesación.</w:t>
      </w:r>
    </w:p>
    <w:p>
      <w:pPr>
        <w:pStyle w:val="ListBullet"/>
      </w:pPr>
      <w:r>
        <w:rPr>
          <w:b/>
        </w:rPr>
        <w:t>Evidencia/justificación:</w:t>
      </w:r>
    </w:p>
    <w:p>
      <w:pPr>
        <w:pStyle w:val="ListBullet2"/>
      </w:pPr>
      <w:r>
        <w:t xml:space="preserve">Lindson N et al., Cochrane CD010216 (revisión </w:t>
      </w:r>
      <w:r>
        <w:rPr>
          <w:i/>
        </w:rPr>
        <w:t>living</w:t>
      </w:r>
      <w:r>
        <w:t>, actualizaciones 2024-2025): los cigarrillos electrónicos con nicotina aumentan la abstinencia a ≥6 meses frente a la TSN (RR ≈1,5-1,6), con certeza alta.</w:t>
      </w:r>
    </w:p>
    <w:p>
      <w:pPr>
        <w:pStyle w:val="ListBullet2"/>
      </w:pPr>
      <w:r>
        <w:t>NICE NG209 (2021, actualizada) los considera una opción de cesación.</w:t>
      </w:r>
    </w:p>
    <w:p>
      <w:pPr>
        <w:pStyle w:val="ListBullet"/>
      </w:pPr>
      <w:r>
        <w:rPr>
          <w:b/>
        </w:rPr>
        <w:t>Recomendación:</w:t>
      </w:r>
      <w:r>
        <w:t xml:space="preserve"> reformular así: "Los cigarrillos electrónicos con nicotina aumentan las tasas de abandono frente a la TSN (evidencia de certeza alta), pero su seguridad a largo plazo, especialmente en EPOC, es incierta. No se recomiendan como primera línea; si se usan, debe buscarse el abandono completo del tabaco combustible, evitar el uso dual y planificar la retirada".</w:t>
      </w:r>
    </w:p>
    <w:p>
      <w:pPr>
        <w:pStyle w:val="ListBullet"/>
      </w:pPr>
      <w:r>
        <w:rPr>
          <w:b/>
        </w:rPr>
        <w:t>Confianza:</w:t>
      </w:r>
      <w:r>
        <w:t xml:space="preserve"> 5/5</w:t>
      </w:r>
    </w:p>
    <w:p>
      <w:pPr>
        <w:pStyle w:val="Heading4"/>
      </w:pPr>
      <w:r>
        <w:t>FARM-02 · Gripe: "killed or live inactivated", un oxímoron y una recomendación sin soporte</w:t>
      </w:r>
    </w:p>
    <w:p>
      <w:r>
        <w:rPr>
          <w:i/>
        </w:rPr>
        <w:t xml:space="preserve">Severidad final: </w:t>
      </w:r>
      <w:r>
        <w:rPr>
          <w:i/>
          <w:color w:val="ED7D31"/>
        </w:rPr>
        <w:t>🟠</w:t>
      </w:r>
      <w:r>
        <w:rPr>
          <w:i/>
        </w:rPr>
        <w:t xml:space="preserve"> ALTA · Tema T17: Vacunación</w:t>
      </w:r>
    </w:p>
    <w:p>
      <w:pPr>
        <w:pStyle w:val="ListBullet"/>
      </w:pPr>
      <w:r>
        <w:rPr>
          <w:b/>
        </w:rPr>
        <w:t>Tipo:</w:t>
      </w:r>
      <w:r>
        <w:t xml:space="preserve"> Error factual</w:t>
      </w:r>
    </w:p>
    <w:p>
      <w:pPr>
        <w:pStyle w:val="ListBullet"/>
      </w:pPr>
      <w:r>
        <w:rPr>
          <w:b/>
        </w:rPr>
        <w:t>Severidad:</w:t>
      </w:r>
      <w:r>
        <w:t xml:space="preserve"> ALTA</w:t>
      </w:r>
    </w:p>
    <w:p>
      <w:pPr>
        <w:pStyle w:val="ListBullet"/>
      </w:pPr>
      <w:r>
        <w:rPr>
          <w:b/>
        </w:rPr>
        <w:t>Ubicación:</w:t>
      </w:r>
      <w:r>
        <w:t xml:space="preserve"> PDF 68 / impr. 57 — texto, vacuna antigripal</w:t>
      </w:r>
    </w:p>
    <w:p>
      <w:pPr>
        <w:pStyle w:val="ListBullet"/>
      </w:pPr>
      <w:r>
        <w:rPr>
          <w:b/>
        </w:rPr>
        <w:t>Cita:</w:t>
      </w:r>
      <w:r>
        <w:t xml:space="preserve"> "Vaccines containing either killed or live inactivated viruses are recommended(639) as they are more effective in elderly people with COPD.(640)"</w:t>
      </w:r>
    </w:p>
    <w:p>
      <w:pPr>
        <w:pStyle w:val="ListBullet"/>
      </w:pPr>
      <w:r>
        <w:rPr>
          <w:b/>
        </w:rPr>
        <w:t>Problema:</w:t>
      </w:r>
    </w:p>
    <w:p>
      <w:pPr>
        <w:pStyle w:val="ListBullet2"/>
      </w:pPr>
      <w:r>
        <w:t>Un virus "vivo inactivado" no existe: las vacunas son inactivadas (o recombinantes) o vivas atenuadas (LAIV).</w:t>
      </w:r>
    </w:p>
    <w:p>
      <w:pPr>
        <w:pStyle w:val="ListBullet2"/>
      </w:pPr>
      <w:r>
        <w:t>La LAIV solo está autorizada entre 2 y 49 años. En EPOC/enfermedad pulmonar crónica es una precaución, de modo que en la población típica de EPOC no es una opción.</w:t>
      </w:r>
    </w:p>
    <w:p>
      <w:pPr>
        <w:pStyle w:val="ListBullet2"/>
      </w:pPr>
      <w:r>
        <w:t>Las referencias no sostienen la afirmación:</w:t>
      </w:r>
    </w:p>
    <w:p>
      <w:pPr>
        <w:pStyle w:val="ListBullet2"/>
      </w:pPr>
      <w:r>
        <w:t xml:space="preserve">639 (Edwards, J Infect Dis 1994) es un RCT en población general que compara vacunas </w:t>
      </w:r>
      <w:r>
        <w:rPr>
          <w:i/>
        </w:rPr>
        <w:t>cold-adapted</w:t>
      </w:r>
      <w:r>
        <w:t xml:space="preserve"> e inactivadas.</w:t>
      </w:r>
    </w:p>
    <w:p>
      <w:pPr>
        <w:pStyle w:val="ListBullet2"/>
      </w:pPr>
      <w:r>
        <w:t>640 (Hak, J Epidemiol Community Health 1998) es un estudio de coste-efectividad.</w:t>
      </w:r>
    </w:p>
    <w:p>
      <w:pPr>
        <w:pStyle w:val="ListBullet2"/>
      </w:pPr>
      <w:r>
        <w:t>Ninguna de las dos demuestra mayor eficacia en ancianos con EPOC.</w:t>
      </w:r>
    </w:p>
    <w:p>
      <w:pPr>
        <w:pStyle w:val="ListBullet"/>
      </w:pPr>
      <w:r>
        <w:rPr>
          <w:b/>
        </w:rPr>
        <w:t>Evidencia/justificación:</w:t>
      </w:r>
      <w:r>
        <w:t xml:space="preserve"> ACIP 2024-25 y 2025-26 (Grohskopf et al., MMWR Recomm Rep 2024;73(5); MMWR 2025;74(32):500-507): LAIV autorizada para 2-49 años; precaución en enfermedades crónicas, incluida la pulmonar.</w:t>
      </w:r>
    </w:p>
    <w:p>
      <w:pPr>
        <w:pStyle w:val="ListBullet"/>
      </w:pPr>
      <w:r>
        <w:rPr>
          <w:b/>
        </w:rPr>
        <w:t>Recomendación:</w:t>
      </w:r>
      <w:r>
        <w:t xml:space="preserve"> sustituir por "Se recomiendan vacunas inactivadas o recombinantes. La vacuna atenuada (LAIV) no está indicada a partir de los 50 años y debe evitarse en enfermedad pulmonar crónica". Retirar o reubicar las refs 639 y 640.</w:t>
      </w:r>
    </w:p>
    <w:p>
      <w:pPr>
        <w:pStyle w:val="ListBullet"/>
      </w:pPr>
      <w:r>
        <w:rPr>
          <w:b/>
        </w:rPr>
        <w:t>Confianza:</w:t>
      </w:r>
      <w:r>
        <w:t xml:space="preserve"> 5/5</w:t>
      </w:r>
    </w:p>
    <w:p>
      <w:pPr>
        <w:pStyle w:val="Heading4"/>
      </w:pPr>
      <w:r>
        <w:t>DX-01 · Fig. 2.4: requisitos de espirometría obsoletos e internamente contradictorios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Desactualización / Incongruencia interna</w:t>
      </w:r>
    </w:p>
    <w:p>
      <w:pPr>
        <w:pStyle w:val="ListBullet"/>
      </w:pPr>
      <w:r>
        <w:rPr>
          <w:b/>
        </w:rPr>
        <w:t>Severidad:</w:t>
      </w:r>
      <w:r>
        <w:t xml:space="preserve"> ALTA</w:t>
      </w:r>
    </w:p>
    <w:p>
      <w:pPr>
        <w:pStyle w:val="ListBullet"/>
      </w:pPr>
      <w:r>
        <w:rPr>
          <w:b/>
        </w:rPr>
        <w:t>Ubicación:</w:t>
      </w:r>
      <w:r>
        <w:t xml:space="preserve"> PDF 38 / impr. 27 — Figura 2.4 «Considerations in Performing Spirometry» (notas al pie: Miller 2005, Pellegrino 2005)</w:t>
      </w:r>
    </w:p>
    <w:p>
      <w:pPr>
        <w:pStyle w:val="ListBullet"/>
      </w:pPr>
      <w:r>
        <w:rPr>
          <w:b/>
        </w:rPr>
        <w:t>Cita:</w:t>
      </w:r>
      <w:r>
        <w:t xml:space="preserve"> «…FVC and FEV1 values in these three curves should vary by no more than 5% or 150 mL, whichever is greater» / «The FEV1/FVC ratio should be taken from the technically acceptable curve with the largest sum of FVC and FEV1».</w:t>
      </w:r>
    </w:p>
    <w:p>
      <w:pPr>
        <w:pStyle w:val="ListBullet"/>
      </w:pPr>
      <w:r>
        <w:rPr>
          <w:b/>
        </w:rPr>
        <w:t>Problema:</w:t>
      </w:r>
    </w:p>
    <w:p>
      <w:pPr>
        <w:pStyle w:val="ListNumber"/>
        <w:numPr>
          <w:ilvl w:val="0"/>
          <w:numId w:val="20"/>
        </w:numPr>
      </w:pPr>
      <w:r>
        <w:rPr>
          <w:b/>
        </w:rPr>
        <w:t>Repetibilidad.</w:t>
      </w:r>
      <w:r>
        <w:t xml:space="preserve"> El criterio «5% o 150 mL, lo que sea mayor» no figura ni en el estándar de 2005 que se cita ni en el de 2019. Ambos exigen ≤150 mL entre los dos valores mayores de FVC y de FEV1 (≤100 mL si la FVC es ≤1 L). Un margen del 5% es más laxo en pacientes con volúmenes grandes.</w:t>
      </w:r>
    </w:p>
    <w:p>
      <w:pPr>
        <w:pStyle w:val="ListNumber"/>
        <w:numPr>
          <w:ilvl w:val="0"/>
          <w:numId w:val="20"/>
        </w:numPr>
      </w:pPr>
      <w:r>
        <w:rPr>
          <w:b/>
        </w:rPr>
        <w:t>Contradicción interna.</w:t>
      </w:r>
      <w:r>
        <w:t xml:space="preserve"> La misma figura pide tomar el FEV1 y la FVC mayores «de cualquiera» de las curvas, pero calcular el cociente desde una sola curva («largest sum»). Según los estándares de 2005 y 2019, el cociente se calcula con el mayor FEV1 y la mayor FVC, aunque procedan de maniobras distintas. La «curva con mayor suma» solo se usa para los índices de flujo.</w:t>
      </w:r>
    </w:p>
    <w:p>
      <w:pPr>
        <w:pStyle w:val="ListNumber"/>
        <w:numPr>
          <w:ilvl w:val="0"/>
          <w:numId w:val="20"/>
        </w:numPr>
      </w:pPr>
      <w:r>
        <w:rPr>
          <w:b/>
        </w:rPr>
        <w:t>Pausa en TLC.</w:t>
      </w:r>
      <w:r>
        <w:t xml:space="preserve"> La figura exige una pausa inferior a 1 s; el estándar de 2019 la acepta hasta ≤2 s.</w:t>
      </w:r>
    </w:p>
    <w:p>
      <w:pPr>
        <w:pStyle w:val="ListNumber"/>
        <w:numPr>
          <w:ilvl w:val="0"/>
          <w:numId w:val="20"/>
        </w:numPr>
      </w:pPr>
      <w:r>
        <w:rPr>
          <w:b/>
        </w:rPr>
        <w:t>Número de maniobras.</w:t>
      </w:r>
      <w:r>
        <w:t xml:space="preserve"> La figura habla de «three curves»; el estándar de 2019 pide ≥3 maniobras aceptables con hasta 8 intentos y define criterios de usabilidad.</w:t>
      </w:r>
    </w:p>
    <w:p>
      <w:pPr>
        <w:pStyle w:val="ListNumber"/>
        <w:numPr>
          <w:ilvl w:val="0"/>
          <w:numId w:val="20"/>
        </w:numPr>
      </w:pPr>
      <w:r>
        <w:rPr>
          <w:b/>
        </w:rPr>
        <w:t>Retirada de broncodilatadores.</w:t>
      </w:r>
      <w:r>
        <w:t xml:space="preserve"> No indica cuánto tiempo suspenderlos antes de una prueba diagnóstica con test broncodilatador. Solo dice que en el seguimiento no es necesario.</w:t>
      </w:r>
    </w:p>
    <w:p>
      <w:pPr>
        <w:pStyle w:val="ListBullet"/>
      </w:pPr>
      <w:r>
        <w:rPr>
          <w:b/>
        </w:rPr>
        <w:t>Evidencia/justificación:</w:t>
      </w:r>
    </w:p>
    <w:p>
      <w:pPr>
        <w:pStyle w:val="ListBullet2"/>
      </w:pPr>
      <w:r>
        <w:t xml:space="preserve">Graham BL et al. </w:t>
      </w:r>
      <w:r>
        <w:rPr>
          <w:i/>
        </w:rPr>
        <w:t>Standardization of Spirometry 2019 Update. An Official ATS and ERS Technical Statement</w:t>
      </w:r>
      <w:r>
        <w:t>. AJRCCM 2019;200:e70-e88 (doi:10.1164/rccm.201908-1590ST). Repetibilidad ≤0,150 L; FEV1 y FVC máximos de cualquier maniobra aceptable; pausa ≤2 s.</w:t>
      </w:r>
    </w:p>
    <w:p>
      <w:pPr>
        <w:pStyle w:val="ListBullet2"/>
      </w:pPr>
      <w:r>
        <w:t>El mismo documento fija los tiempos de suspensión: SABA 4-6 h, SAMA 12 h, LABA 24 h, LABA de ultra larga duración 36 h y LAMA 36-48 h.</w:t>
      </w:r>
    </w:p>
    <w:p>
      <w:pPr>
        <w:pStyle w:val="ListBullet2"/>
      </w:pPr>
      <w:r>
        <w:t>Miller MR et al. ERJ 2005;26:319-38 (ref. 332) ya fijaba ≤150 mL, sin el 5%.</w:t>
      </w:r>
    </w:p>
    <w:p>
      <w:pPr>
        <w:pStyle w:val="ListBullet"/>
      </w:pPr>
      <w:r>
        <w:rPr>
          <w:b/>
        </w:rPr>
        <w:t>Recomendación:</w:t>
      </w:r>
    </w:p>
    <w:p>
      <w:pPr>
        <w:pStyle w:val="ListBullet2"/>
      </w:pPr>
      <w:r>
        <w:t>Actualizar la Fig. 2.4 al estándar ATS/ERS 2019 y citarlo.</w:t>
      </w:r>
    </w:p>
    <w:p>
      <w:pPr>
        <w:pStyle w:val="ListBullet2"/>
      </w:pPr>
      <w:r>
        <w:t>Corregir la regla de cálculo del cociente.</w:t>
      </w:r>
    </w:p>
    <w:p>
      <w:pPr>
        <w:pStyle w:val="ListBullet2"/>
      </w:pPr>
      <w:r>
        <w:t>Añadir una fila «Preparación para el test broncodilatador diagnóstico» con los tiempos de retirada.</w:t>
      </w:r>
    </w:p>
    <w:p>
      <w:pPr>
        <w:pStyle w:val="ListBullet2"/>
      </w:pPr>
      <w:r>
        <w:t>Definir la respuesta broncodilatadora según ERS/ATS 2022: cambio &gt;10% del valor predicho en FEV1 o FVC.</w:t>
      </w:r>
    </w:p>
    <w:p>
      <w:pPr>
        <w:pStyle w:val="ListBullet"/>
      </w:pPr>
      <w:r>
        <w:rPr>
          <w:b/>
        </w:rPr>
        <w:t>Confianza:</w:t>
      </w:r>
      <w:r>
        <w:t xml:space="preserve"> 5/5</w:t>
      </w:r>
    </w:p>
    <w:p>
      <w:pPr>
        <w:pStyle w:val="Heading4"/>
      </w:pPr>
      <w:r>
        <w:t>DX-02 · Fig. 2.6: algoritmo pre/post-BD contradictorio y sin las salidas clínicas necesarias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r>
        <w:t xml:space="preserve"> PDF 40 / impr. 29 — Figura 2.6. Cotejado con el texto de PDF 39 / impr. 28 y PDF 41 / impr. 30, y con los key points de PDF 32 / impr. 21.</w:t>
      </w:r>
    </w:p>
    <w:p>
      <w:pPr>
        <w:pStyle w:val="ListBullet"/>
      </w:pPr>
      <w:r>
        <w:rPr>
          <w:b/>
        </w:rPr>
        <w:t>Cita:</w:t>
      </w:r>
      <w:r>
        <w:t xml:space="preserve"> Figura: «Not COPD» → (flecha punteada) «Measure Post-Bronchodilator FEV1/FVC if volume responder suspected e.g., low FEV1 or high symptoms»; rama post-BD &lt;0,7 → «COPD confirmed». Key point: «Pre-bronchodilator spirometry can be used to exclude a diagnosis of COPD».</w:t>
      </w:r>
    </w:p>
    <w:p>
      <w:pPr>
        <w:pStyle w:val="ListBullet"/>
      </w:pPr>
      <w:r>
        <w:rPr>
          <w:b/>
        </w:rPr>
        <w:t>Problema:</w:t>
      </w:r>
    </w:p>
    <w:p>
      <w:pPr>
        <w:pStyle w:val="ListNumber"/>
        <w:numPr>
          <w:ilvl w:val="0"/>
          <w:numId w:val="21"/>
        </w:numPr>
      </w:pPr>
      <w:r>
        <w:rPr>
          <w:b/>
        </w:rPr>
        <w:t>Etiqueta contradictoria.</w:t>
      </w:r>
      <w:r>
        <w:t xml:space="preserve"> Se rotula «Not COPD» y a continuación se propone una prueba que puede revelar EPOC (los respondedores de volumen aumentan la FVC y bajan el cociente). El key point, en términos absolutos, refuerza el mensaje de exclusión.</w:t>
      </w:r>
    </w:p>
    <w:p>
      <w:pPr>
        <w:pStyle w:val="ListNumber"/>
        <w:numPr>
          <w:ilvl w:val="0"/>
          <w:numId w:val="21"/>
        </w:numPr>
      </w:pPr>
      <w:r>
        <w:rPr>
          <w:b/>
        </w:rPr>
        <w:t>«Volume responder» sin definir.</w:t>
      </w:r>
      <w:r>
        <w:t xml:space="preserve"> El disparador de la figura («low FEV1 or high symptoms») tampoco coincide con el del texto («very high clinical suspicion of COPD»).</w:t>
      </w:r>
    </w:p>
    <w:p>
      <w:pPr>
        <w:pStyle w:val="ListNumber"/>
        <w:numPr>
          <w:ilvl w:val="0"/>
          <w:numId w:val="21"/>
        </w:numPr>
      </w:pPr>
      <w:r>
        <w:rPr>
          <w:b/>
        </w:rPr>
        <w:t>Confirmación con una sola medida.</w:t>
      </w:r>
      <w:r>
        <w:t xml:space="preserve"> «COPD confirmed» tras un único post-BD &lt;0,7 contradice la regla del texto (PDF 41): repetir la espirometría en otra ocasión si el cociente está entre 0,6 y 0,8. También omite el contexto clínico, que el propio texto exige.</w:t>
      </w:r>
    </w:p>
    <w:p>
      <w:pPr>
        <w:pStyle w:val="ListNumber"/>
        <w:numPr>
          <w:ilvl w:val="0"/>
          <w:numId w:val="21"/>
        </w:numPr>
      </w:pPr>
      <w:r>
        <w:rPr>
          <w:b/>
        </w:rPr>
        <w:t>Falta la salida PRISm.</w:t>
      </w:r>
      <w:r>
        <w:t xml:space="preserve"> No existe ruta para un cociente ≥0,7 con FEV1 o FVC bajos, que es precisamente el caso que la figura usa como disparador («low FEV1»). Esos pacientes quedan etiquetados como «Not COPD» sin seguimiento (véase DX-03).</w:t>
      </w:r>
    </w:p>
    <w:p>
      <w:pPr>
        <w:pStyle w:val="ListBullet"/>
      </w:pPr>
      <w:r>
        <w:rPr>
          <w:b/>
        </w:rPr>
        <w:t>Evidencia/justificación:</w:t>
      </w:r>
    </w:p>
    <w:p>
      <w:pPr>
        <w:pStyle w:val="ListBullet2"/>
      </w:pPr>
      <w:r>
        <w:t>Stanojevic S et al. ERS/ATS technical standard on interpretive strategies. ERJ 2022;60:2101499 (doi:10.1183/13993003.01499-2021, ref. 337). Define la respuesta broncodilatadora como &gt;10% del predicho en FEV1 o FVC.</w:t>
      </w:r>
    </w:p>
    <w:p>
      <w:pPr>
        <w:pStyle w:val="ListBullet2"/>
      </w:pPr>
      <w:r>
        <w:t>Las regresiones del cociente hacia &gt;0,7 son frecuentes cuando el valor inicial es cercano al umbral (refs. 353-354, citadas por el propio GOLD).</w:t>
      </w:r>
    </w:p>
    <w:p>
      <w:pPr>
        <w:pStyle w:val="ListBullet"/>
      </w:pPr>
      <w:r>
        <w:rPr>
          <w:b/>
        </w:rPr>
        <w:t>Recomendación:</w:t>
      </w:r>
    </w:p>
    <w:p>
      <w:pPr>
        <w:pStyle w:val="ListBullet2"/>
      </w:pPr>
      <w:r>
        <w:t>Sustituir «Not COPD» por «Sin obstrucción: valorar diagnósticos alternativos/PRISm».</w:t>
      </w:r>
    </w:p>
    <w:p>
      <w:pPr>
        <w:pStyle w:val="ListBullet2"/>
      </w:pPr>
      <w:r>
        <w:t>Definir operativamente «volume responder» y alinear el disparador con el texto.</w:t>
      </w:r>
    </w:p>
    <w:p>
      <w:pPr>
        <w:pStyle w:val="ListBullet2"/>
      </w:pPr>
      <w:r>
        <w:t>En la rama post-BD &lt;0,7, añadir «si 0,6-0,8: repetir en otra visita» y «en el contexto clínico apropiado».</w:t>
      </w:r>
    </w:p>
    <w:p>
      <w:pPr>
        <w:pStyle w:val="ListBullet2"/>
      </w:pPr>
      <w:r>
        <w:t>Matizar el key point: «puede usarse para descartar obstrucción en la mayoría de los casos».</w:t>
      </w:r>
    </w:p>
    <w:p>
      <w:pPr>
        <w:pStyle w:val="ListBullet"/>
      </w:pPr>
      <w:r>
        <w:rPr>
          <w:b/>
        </w:rPr>
        <w:t>Confianza:</w:t>
      </w:r>
      <w:r>
        <w:t xml:space="preserve"> 5/5</w:t>
      </w:r>
    </w:p>
    <w:p>
      <w:pPr>
        <w:pStyle w:val="Heading4"/>
      </w:pPr>
      <w:r>
        <w:t>DX-10 · USPSTF 2022 mal representada: el grado D se aplica a todos los adultos asintomáticos, no solo a los de «bajo riesgo»</w:t>
      </w:r>
    </w:p>
    <w:p>
      <w:r>
        <w:rPr>
          <w:i/>
        </w:rPr>
        <w:t xml:space="preserve">Severidad final: </w:t>
      </w:r>
      <w:r>
        <w:rPr>
          <w:i/>
          <w:color w:val="ED7D31"/>
        </w:rPr>
        <w:t>🟠</w:t>
      </w:r>
      <w:r>
        <w:rPr>
          <w:i/>
        </w:rPr>
        <w:t xml:space="preserve"> ALTA · Tema T18: Diagnóstico, espirometría, búsqueda de casos, pre-EPOC/PRISm</w:t>
      </w:r>
    </w:p>
    <w:p>
      <w:pPr>
        <w:pStyle w:val="IntenseQuote"/>
      </w:pPr>
      <w:r>
        <w:rPr>
          <w:b/>
        </w:rPr>
        <w:t>Verificación independiente (CONFIRMADO):</w:t>
      </w:r>
      <w:r>
        <w:t xml:space="preserve"> 1. Citar con exactitud: "La USPSTF desaconseja (D) el cribado en adultos asintomáticos, incluidos fumadores". 2. Citar Mangione 2022. 3. Declarar y justificar la divergencia de GOLD sobre la búsqueda activa de casos en expuestos asintomáticos (PDF 45).</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44 / impr. 33 (cribado). Relacionado: PDF 45 / impr. 34 (búsqueda activa), Fig. 2.1 (PDF 33 / impr. 22) y Fig. 2.9 (PDF 46 / impr. 35).</w:t>
      </w:r>
    </w:p>
    <w:p>
      <w:pPr>
        <w:pStyle w:val="ListBullet"/>
      </w:pPr>
      <w:r>
        <w:rPr>
          <w:b/>
        </w:rPr>
        <w:t>Cita:</w:t>
      </w:r>
      <w:r>
        <w:t xml:space="preserve"> «…screening of low-risk, asymptomatic individuals is not recommended by the US Preventive Services Task Force.(380)»</w:t>
      </w:r>
    </w:p>
    <w:p>
      <w:pPr>
        <w:pStyle w:val="ListBullet"/>
      </w:pPr>
      <w:r>
        <w:rPr>
          <w:b/>
        </w:rPr>
        <w:t>Problema:</w:t>
      </w:r>
    </w:p>
    <w:p>
      <w:pPr>
        <w:pStyle w:val="ListBullet2"/>
      </w:pPr>
      <w:r>
        <w:t xml:space="preserve">La USPSTF recomienda </w:t>
      </w:r>
      <w:r>
        <w:rPr>
          <w:b/>
        </w:rPr>
        <w:t>en contra</w:t>
      </w:r>
      <w:r>
        <w:t xml:space="preserve"> del cribado de EPOC en </w:t>
      </w:r>
      <w:r>
        <w:rPr>
          <w:b/>
        </w:rPr>
        <w:t>adultos asintomáticos</w:t>
      </w:r>
      <w:r>
        <w:t>, sin limitarlo a los de bajo riesgo. Su revisión incluyó expresamente a personas con factores de riesgo; la recomendación solo excluye a quienes presentan síntomas.</w:t>
      </w:r>
    </w:p>
    <w:p>
      <w:pPr>
        <w:pStyle w:val="ListBullet2"/>
      </w:pPr>
      <w:r>
        <w:t>GOLD, en cambio, propone espirometría a asintomáticos con &gt;20 paquetes-año dentro de la «búsqueda activa de casos» (PDF 45), y las Figs. 2.1 y 2.9 incluyen «Age ≥ 35» y exposición como criterios de entrada. Esto equivale a cribar a fumadores asintomáticos, justo lo que la USPSTF desaconseja.</w:t>
      </w:r>
    </w:p>
    <w:p>
      <w:pPr>
        <w:pStyle w:val="ListBullet2"/>
      </w:pPr>
      <w:r>
        <w:t>La discrepancia es legítima (la USPSTF valoró resultados y no el diagnóstico), pero debe declararse de forma transparente y no ocultarse con una paráfrasis inexacta.</w:t>
      </w:r>
    </w:p>
    <w:p>
      <w:pPr>
        <w:pStyle w:val="ListBullet2"/>
      </w:pPr>
      <w:r>
        <w:t>La ref. 380 es el informe de evidencia (Webber 2022), no la declaración de recomendación.</w:t>
      </w:r>
    </w:p>
    <w:p>
      <w:pPr>
        <w:pStyle w:val="ListBullet"/>
      </w:pPr>
      <w:r>
        <w:rPr>
          <w:b/>
        </w:rPr>
        <w:t>Evidencia/justificación:</w:t>
      </w:r>
    </w:p>
    <w:p>
      <w:pPr>
        <w:pStyle w:val="ListBullet2"/>
      </w:pPr>
      <w:r>
        <w:t xml:space="preserve">US Preventive Services Task Force; Mangione CM et al. </w:t>
      </w:r>
      <w:r>
        <w:rPr>
          <w:i/>
        </w:rPr>
        <w:t>Screening for COPD: Reaffirmation Recommendation Statement</w:t>
      </w:r>
      <w:r>
        <w:t>. JAMA 2022;327(18):1806-1811 (doi:10.1001/jama.2022.5692): «recommends against screening for COPD in asymptomatic adults (D)».</w:t>
      </w:r>
    </w:p>
    <w:p>
      <w:pPr>
        <w:pStyle w:val="ListBullet2"/>
      </w:pPr>
      <w:r>
        <w:t>Webber EM et al. JAMA 2022;327:1812-1816 (PMID 35536261; informe completo de la AHRQ: PMID 35605065): no halló ensayos que evaluaran la eficacia del cribado.</w:t>
      </w:r>
    </w:p>
    <w:p>
      <w:pPr>
        <w:pStyle w:val="ListBullet"/>
      </w:pPr>
      <w:r>
        <w:rPr>
          <w:b/>
        </w:rPr>
        <w:t>Recomendación:</w:t>
      </w:r>
    </w:p>
    <w:p>
      <w:pPr>
        <w:pStyle w:val="ListBullet2"/>
      </w:pPr>
      <w:r>
        <w:t>Citar literalmente la recomendación D y su población.</w:t>
      </w:r>
    </w:p>
    <w:p>
      <w:pPr>
        <w:pStyle w:val="ListBullet2"/>
      </w:pPr>
      <w:r>
        <w:t>Explicitar que GOLD diverge para fumadores o expuestos y justificarlo: Çolak 2017 (asintomáticos con HR ≈5 para exacerbaciones), utilidad para la deshabituación y valor pronóstico.</w:t>
      </w:r>
    </w:p>
    <w:p>
      <w:pPr>
        <w:pStyle w:val="ListBullet2"/>
      </w:pPr>
      <w:r>
        <w:t>Etiquetar como «cribado dirigido a población de riesgo» la espirometría en asintomáticos con &gt;20 paquetes-año, en lugar de «búsqueda de casos».</w:t>
      </w:r>
    </w:p>
    <w:p>
      <w:pPr>
        <w:pStyle w:val="ListBullet"/>
      </w:pPr>
      <w:r>
        <w:rPr>
          <w:b/>
        </w:rPr>
        <w:t>Confianza:</w:t>
      </w:r>
      <w:r>
        <w:t xml:space="preserve"> 5/5</w:t>
      </w:r>
    </w:p>
    <w:p>
      <w:pPr>
        <w:pStyle w:val="Heading4"/>
      </w:pPr>
      <w:r>
        <w:t>EPI-02 · Pre-EPOC y PRISm: definiciones solapadas y mensaje terapéutico no apoyado por la evidencia citada</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18 / impr. 7 (Diagnostic criteria) y PDF 25 / impr. 14 (Pre-COPD, PRISm)</w:t>
      </w:r>
    </w:p>
    <w:p>
      <w:pPr>
        <w:pStyle w:val="ListBullet"/>
      </w:pPr>
      <w:r>
        <w:rPr>
          <w:b/>
        </w:rPr>
        <w:t>Cita:</w:t>
      </w:r>
      <w:r>
        <w:t xml:space="preserve"> PDF 18: «physiological abnormalities (including low FEV1, gas trapping…) without airflow obstruction… These subjects are labeled ‘pre-COPD’»; PDF 25: «they should be considered “patients”… they deserve care and treatment… there is no evidence on what the best treatment is… yet.(159)»</w:t>
      </w:r>
    </w:p>
    <w:p>
      <w:pPr>
        <w:pStyle w:val="ListBullet"/>
      </w:pPr>
      <w:r>
        <w:rPr>
          <w:b/>
        </w:rPr>
        <w:t>Problema:</w:t>
      </w:r>
    </w:p>
    <w:p>
      <w:pPr>
        <w:pStyle w:val="ListNumber"/>
        <w:numPr>
          <w:ilvl w:val="0"/>
          <w:numId w:val="22"/>
        </w:numPr>
      </w:pPr>
      <w:r>
        <w:rPr>
          <w:b/>
        </w:rPr>
        <w:t>Dos definiciones distintas de pre-EPOC.</w:t>
      </w:r>
      <w:r>
        <w:t xml:space="preserve"> En PDF 18 se basa solo en anomalías estructurales/fisiológicas e incluye «low FEV1», lo que en la práctica engloba PRISm. En PDF 25 se basa en síntomas «and/or» anomalías, «of any age». No se explica si PRISm es un subconjunto de pre-EPOC, una entidad paralela o se solapa parcialmente.</w:t>
      </w:r>
    </w:p>
    <w:p>
      <w:pPr>
        <w:pStyle w:val="ListNumber"/>
        <w:numPr>
          <w:ilvl w:val="0"/>
          <w:numId w:val="22"/>
        </w:numPr>
      </w:pPr>
      <w:r>
        <w:rPr>
          <w:b/>
        </w:rPr>
        <w:t>Umbral de PRISm fijo</w:t>
      </w:r>
      <w:r>
        <w:t xml:space="preserve"> (FEV1 &lt;80% del teórico post-BD), sin mención del LLN ni de los z-scores. El cap. 2 recomienda GLI-Global (PDF 42 / impr. 31), y las normas de interpretación ERS/ATS 2022 desaconsejan los porcentajes fijos.</w:t>
      </w:r>
    </w:p>
    <w:p>
      <w:pPr>
        <w:pStyle w:val="ListNumber"/>
        <w:numPr>
          <w:ilvl w:val="0"/>
          <w:numId w:val="22"/>
        </w:numPr>
      </w:pPr>
      <w:r>
        <w:rPr>
          <w:b/>
        </w:rPr>
        <w:t>Mensaje terapéutico no apoyado.</w:t>
      </w:r>
      <w:r>
        <w:t xml:space="preserve"> La frase «deserve care and treatment» se apoya en la ref 159, que es </w:t>
      </w:r>
      <w:r>
        <w:rPr>
          <w:b/>
        </w:rPr>
        <w:t>RETHINC</w:t>
      </w:r>
      <w:r>
        <w:t>: ensayo negativo de LABA+LAMA en fumadores sintomáticos con espirometría preservada. Leída sin matices, la frase invita a tratar farmacológicamente a sintomáticos sin obstrucción. Además, contradice el tono de PDF 18 («Research is needed to determine what is the best treatment»).</w:t>
      </w:r>
    </w:p>
    <w:p>
      <w:pPr>
        <w:pStyle w:val="ListNumber"/>
        <w:numPr>
          <w:ilvl w:val="0"/>
          <w:numId w:val="22"/>
        </w:numPr>
      </w:pPr>
      <w:r>
        <w:rPr>
          <w:b/>
        </w:rPr>
        <w:t>Terminología oscilante</w:t>
      </w:r>
      <w:r>
        <w:t xml:space="preserve"> para un mismo concepto: «persistent» (definición), «non-fully reversible» (PDF 18) y «fixed airflow obstruction» (PDF 25).</w:t>
      </w:r>
    </w:p>
    <w:p>
      <w:pPr>
        <w:pStyle w:val="ListBullet"/>
      </w:pPr>
      <w:r>
        <w:rPr>
          <w:b/>
        </w:rPr>
        <w:t>Evidencia/justificación:</w:t>
      </w:r>
    </w:p>
    <w:p>
      <w:pPr>
        <w:pStyle w:val="ListBullet2"/>
      </w:pPr>
      <w:r>
        <w:t xml:space="preserve">Han MK et al. </w:t>
      </w:r>
      <w:r>
        <w:rPr>
          <w:i/>
        </w:rPr>
        <w:t>NEJM</w:t>
      </w:r>
      <w:r>
        <w:t xml:space="preserve"> 2022;387:1173-84 (RETHINC, PMID 36066078): indacaterol-glicopirronio no redujo los síntomas frente a placebo.</w:t>
      </w:r>
    </w:p>
    <w:p>
      <w:pPr>
        <w:pStyle w:val="ListBullet2"/>
      </w:pPr>
      <w:r>
        <w:t xml:space="preserve">Han MK et al. </w:t>
      </w:r>
      <w:r>
        <w:rPr>
          <w:i/>
        </w:rPr>
        <w:t>AJRCCM</w:t>
      </w:r>
      <w:r>
        <w:t xml:space="preserve"> 2021;203:414-23 (PMID 33211970): origen del término pre-EPOC.</w:t>
      </w:r>
    </w:p>
    <w:p>
      <w:pPr>
        <w:pStyle w:val="ListBullet2"/>
      </w:pPr>
      <w:r>
        <w:t xml:space="preserve">Stanojevic S et al. </w:t>
      </w:r>
      <w:r>
        <w:rPr>
          <w:i/>
        </w:rPr>
        <w:t>ERJ</w:t>
      </w:r>
      <w:r>
        <w:t xml:space="preserve"> 2022;60:2101499 (normas de interpretación ERS/ATS, uso de LLN/z-score).</w:t>
      </w:r>
    </w:p>
    <w:p>
      <w:pPr>
        <w:pStyle w:val="ListBullet"/>
      </w:pPr>
      <w:r>
        <w:rPr>
          <w:b/>
        </w:rPr>
        <w:t>Recomendación:</w:t>
      </w:r>
    </w:p>
    <w:p>
      <w:pPr>
        <w:pStyle w:val="ListBullet2"/>
      </w:pPr>
      <w:r>
        <w:t>Unificar en un único recuadro las definiciones operativas de pre-EPOC y PRISm, con su relación explícita (diagrama de Venn) y la opción LLN/z-score para PRISm.</w:t>
      </w:r>
    </w:p>
    <w:p>
      <w:pPr>
        <w:pStyle w:val="ListBullet2"/>
      </w:pPr>
      <w:r>
        <w:t>Reformular la frase terapéutica: «merecen seguimiento, cesación tabáquica, control de exposiciones y evaluación de diagnósticos alternativos; no hay evidencia que apoye broncodilatadores (RETHINC)».</w:t>
      </w:r>
    </w:p>
    <w:p>
      <w:pPr>
        <w:pStyle w:val="ListBullet2"/>
      </w:pPr>
      <w:r>
        <w:t>Usar «persistent» de forma homogénea.</w:t>
      </w:r>
    </w:p>
    <w:p>
      <w:pPr>
        <w:pStyle w:val="ListBullet"/>
      </w:pPr>
      <w:r>
        <w:rPr>
          <w:b/>
        </w:rPr>
        <w:t>Confianza:</w:t>
      </w:r>
      <w:r>
        <w:t xml:space="preserve"> 5/5</w:t>
      </w:r>
    </w:p>
    <w:p>
      <w:pPr>
        <w:pStyle w:val="Heading4"/>
      </w:pPr>
      <w:r>
        <w:t>EQ-02 · El algoritmo de búsqueda de casos (fig. 2.9) reserva la espirometría a la atención especializada y puede dejar sin diagnóstico a personas con síntomas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46 / impr. 35 — figura 2.9 y apartado "Opportunistic case-finding in primary care".</w:t>
      </w:r>
    </w:p>
    <w:p>
      <w:pPr>
        <w:pStyle w:val="ListBullet"/>
      </w:pPr>
      <w:r>
        <w:rPr>
          <w:b/>
        </w:rPr>
        <w:t>Cita:</w:t>
      </w:r>
      <w:r>
        <w:t xml:space="preserve"> Figura: "In Primary Care Setting — Hand devices (PEF, COPD-6, PIKO-6)" frente a "In Specialty Care Setting — Confirmatory pre-BD spirometry". Texto: "Systematic active case-finding in a primary care setting via mail-out of a screening questionnaire…"</w:t>
      </w:r>
    </w:p>
    <w:p>
      <w:pPr>
        <w:pStyle w:val="ListBullet"/>
      </w:pPr>
      <w:r>
        <w:rPr>
          <w:b/>
        </w:rPr>
        <w:t>Problema:</w:t>
      </w:r>
      <w:r>
        <w:t xml:space="preserve"> La figura presenta tres problemas:</w:t>
      </w:r>
    </w:p>
    <w:p>
      <w:pPr>
        <w:pStyle w:val="ListNumber"/>
        <w:numPr>
          <w:ilvl w:val="0"/>
          <w:numId w:val="23"/>
        </w:numPr>
      </w:pPr>
      <w:r>
        <w:t>La espirometría confirmatoria solo aparece en la atención especializada. Esto contradice EQ-01 y la práctica de muchos sistemas en los que AP hace espirometría (Reino Unido, Países Bajos, España, Canadá). En LMIC, donde apenas hay especialistas, la figura deja a la AP sin camino diagnóstico.</w:t>
      </w:r>
    </w:p>
    <w:p>
      <w:pPr>
        <w:pStyle w:val="ListNumber"/>
        <w:numPr>
          <w:ilvl w:val="0"/>
          <w:numId w:val="23"/>
        </w:numPr>
      </w:pPr>
      <w:r>
        <w:t>La casilla "Individuals at Risk" incluye "Respiratory symptoms". Sin embargo, un cuestionario negativo lleva a "Monitor symptoms &amp; address risk factors", de modo que una persona sintomática y expuesta se queda sin espirometría. Esto contradice el principio general del GOLD de que los síntomas más la exposición obligan a hacer espirometría. Los cuestionarios están pensados para población asintomática o no consultante, no para sustituir el estudio de una persona con síntomas.</w:t>
      </w:r>
    </w:p>
    <w:p>
      <w:pPr>
        <w:pStyle w:val="ListNumber"/>
        <w:numPr>
          <w:ilvl w:val="0"/>
          <w:numId w:val="23"/>
        </w:numPr>
      </w:pPr>
      <w:r>
        <w:t>Los factores de riesgo de la figura omiten la TB, el VIH y las infecciones respiratorias de la infancia, a pesar de que el texto (PDF 26 y 37) y la figura de etiotipos los incluyen. Además, el epígrafe "Opportunistic" introduce un ejemplo de búsqueda sistemática por correo, lo que mezcla dos estrategias distintas.</w:t>
      </w:r>
    </w:p>
    <w:p>
      <w:pPr>
        <w:pStyle w:val="ListBullet"/>
      </w:pPr>
      <w:r>
        <w:rPr>
          <w:b/>
        </w:rPr>
        <w:t>Evidencia/justificación:</w:t>
      </w:r>
      <w:r>
        <w:t xml:space="preserve"> La figura está adaptada de Aaron et al., AJRCCM 2024, cuyo contexto es el sistema canadiense. Los cuestionarios citados (LFQ, CDQ, COPD-PS, CAPTURE) se validaron sobre todo en países de ingresos altos (HIC).</w:t>
      </w:r>
    </w:p>
    <w:p>
      <w:pPr>
        <w:pStyle w:val="ListBullet"/>
      </w:pPr>
      <w:r>
        <w:rPr>
          <w:b/>
        </w:rPr>
        <w:t>Recomendación:</w:t>
      </w:r>
    </w:p>
    <w:p>
      <w:pPr>
        <w:pStyle w:val="ListBullet2"/>
      </w:pPr>
      <w:r>
        <w:t>Redibujar la figura con la espirometría disponible "en AP o en especializada, según el sistema".</w:t>
      </w:r>
    </w:p>
    <w:p>
      <w:pPr>
        <w:pStyle w:val="ListBullet2"/>
      </w:pPr>
      <w:r>
        <w:t>Hacer que los síntomas respiratorios lleven directamente a espirometría, sin pasar por el cuestionario.</w:t>
      </w:r>
    </w:p>
    <w:p>
      <w:pPr>
        <w:pStyle w:val="ListBullet2"/>
      </w:pPr>
      <w:r>
        <w:t>Añadir la TB previa, el VIH y la biomasa como factores de riesgo.</w:t>
      </w:r>
    </w:p>
    <w:p>
      <w:pPr>
        <w:pStyle w:val="ListBullet2"/>
      </w:pPr>
      <w:r>
        <w:t>Incluir una rama "sin espirometría disponible" (EQ-03).</w:t>
      </w:r>
    </w:p>
    <w:p>
      <w:pPr>
        <w:pStyle w:val="ListBullet2"/>
      </w:pPr>
      <w:r>
        <w:t>Separar la búsqueda oportunista de la sistemática.</w:t>
      </w:r>
    </w:p>
    <w:p>
      <w:pPr>
        <w:pStyle w:val="ListBullet"/>
      </w:pPr>
      <w:r>
        <w:rPr>
          <w:b/>
        </w:rPr>
        <w:t>Confianza:</w:t>
      </w:r>
      <w:r>
        <w:t xml:space="preserve"> 4/5</w:t>
      </w:r>
    </w:p>
    <w:p>
      <w:pPr>
        <w:pStyle w:val="Heading4"/>
      </w:pPr>
      <w:r>
        <w:t>MUL-03 · HTA: umbral «&gt;130/80 merece tratamiento» mal atribuido a la ESC 2024 y guía pediátrica citada para adultos</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126-127 / impr. 115-116 — Systemic hypertension</w:t>
      </w:r>
    </w:p>
    <w:p>
      <w:pPr>
        <w:pStyle w:val="ListBullet"/>
      </w:pPr>
      <w:r>
        <w:rPr>
          <w:b/>
        </w:rPr>
        <w:t>Cita:</w:t>
      </w:r>
      <w:r>
        <w:t xml:space="preserve"> "with values &gt; 130/80 mmHg abnormal and meriting treatment.(1147)" … "should be managed according to guidelines.(1148,1149)"</w:t>
      </w:r>
    </w:p>
    <w:p>
      <w:pPr>
        <w:pStyle w:val="ListBullet"/>
      </w:pPr>
      <w:r>
        <w:rPr>
          <w:b/>
        </w:rPr>
        <w:t>Problema:</w:t>
      </w:r>
    </w:p>
    <w:p>
      <w:pPr>
        <w:pStyle w:val="ListBullet2"/>
      </w:pPr>
      <w:r>
        <w:t xml:space="preserve">La ref. 1147 (ESC 2024) </w:t>
      </w:r>
      <w:r>
        <w:rPr>
          <w:b/>
        </w:rPr>
        <w:t>no</w:t>
      </w:r>
      <w:r>
        <w:t xml:space="preserve"> define 130/80 como HTA ni como indicación general de tratamiento farmacológico.</w:t>
      </w:r>
    </w:p>
    <w:p>
      <w:pPr>
        <w:pStyle w:val="ListBullet2"/>
      </w:pPr>
      <w:r>
        <w:t>En una población anciana, frágil y polimedicada, el mensaje favorece el sobretratamiento: hipotensión ortostática, caídas e insuficiencia renal aguda.</w:t>
      </w:r>
    </w:p>
    <w:p>
      <w:pPr>
        <w:pStyle w:val="ListBullet2"/>
      </w:pPr>
      <w:r>
        <w:t xml:space="preserve">La ref. 1148 es la guía ESH 2016 de HTA </w:t>
      </w:r>
      <w:r>
        <w:rPr>
          <w:b/>
        </w:rPr>
        <w:t>en niños y adolescentes</w:t>
      </w:r>
      <w:r>
        <w:t xml:space="preserve"> (Lurbe E, J Hypertens 2016;34:1887). No corresponde a adultos con EPOC.</w:t>
      </w:r>
    </w:p>
    <w:p>
      <w:pPr>
        <w:pStyle w:val="ListBullet"/>
      </w:pPr>
      <w:r>
        <w:rPr>
          <w:b/>
        </w:rPr>
        <w:t>Evidencia/justificación:</w:t>
      </w:r>
    </w:p>
    <w:p>
      <w:pPr>
        <w:pStyle w:val="ListBullet2"/>
      </w:pPr>
      <w:r>
        <w:rPr>
          <w:b/>
        </w:rPr>
        <w:t>ESC 2024</w:t>
      </w:r>
      <w:r>
        <w:t xml:space="preserve"> (McEvoy JW, Eur Heart J 2024;45:3912): HTA si la PA es ≥140/90. La PA «elevada» (120-139/70-89) solo se trata con fármacos si es ≥130/80, el riesgo CV es alto y han pasado unos 3 meses de cambios de estilo de vida. En pacientes de ≥85 años o con fragilidad moderada o grave, los umbrales y los objetivos son más laxos.</w:t>
      </w:r>
    </w:p>
    <w:p>
      <w:pPr>
        <w:pStyle w:val="ListBullet2"/>
      </w:pPr>
      <w:r>
        <w:rPr>
          <w:b/>
        </w:rPr>
        <w:t>AHA/ACC 2025</w:t>
      </w:r>
      <w:r>
        <w:t xml:space="preserve"> (ref. 1149): el estadio 1 (130-139/80-89) se trata con fármacos solo si hay ECV, diabetes, ERC o un riesgo PREVENT ≥7,5 %. Si no, se recomiendan 3-6 meses de estilo de vida.</w:t>
      </w:r>
    </w:p>
    <w:p>
      <w:pPr>
        <w:pStyle w:val="ListBullet"/>
      </w:pPr>
      <w:r>
        <w:rPr>
          <w:b/>
        </w:rPr>
        <w:t>Recomendación:</w:t>
      </w:r>
    </w:p>
    <w:p>
      <w:pPr>
        <w:pStyle w:val="ListBullet2"/>
      </w:pPr>
      <w:r>
        <w:t>Corregir así: «Diagnosticar la HTA según la guía regional (≥140/90 ESC; ≥130/80 AHA/ACC). La indicación farmacológica depende del riesgo CV global. Individualizar en ancianos frágiles».</w:t>
      </w:r>
    </w:p>
    <w:p>
      <w:pPr>
        <w:pStyle w:val="ListBullet2"/>
      </w:pPr>
      <w:r>
        <w:t>Sustituir la ref. 1148 por la guía ESH 2023 del adulto (Mancia G, J Hypertens 2023;41:1874).</w:t>
      </w:r>
    </w:p>
    <w:p>
      <w:pPr>
        <w:pStyle w:val="ListBullet2"/>
      </w:pPr>
      <w:r>
        <w:t>Mencionar que, con betabloqueantes, se prefieren los cardioselectivos.</w:t>
      </w:r>
    </w:p>
    <w:p>
      <w:pPr>
        <w:pStyle w:val="ListBullet"/>
      </w:pPr>
      <w:r>
        <w:rPr>
          <w:b/>
        </w:rPr>
        <w:t>Confianza:</w:t>
      </w:r>
      <w:r>
        <w:t xml:space="preserve"> 5/5</w:t>
      </w:r>
    </w:p>
    <w:p>
      <w:pPr>
        <w:pStyle w:val="Heading4"/>
      </w:pPr>
      <w:r>
        <w:t>MUL-04 · Riesgo CV: cribado universal con hs-troponina contrario a la ESC y al cap. 2, y calculadora obsoleta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127 / impr. 116 — Coronary artery disease</w:t>
      </w:r>
    </w:p>
    <w:p>
      <w:pPr>
        <w:pStyle w:val="ListBullet"/>
      </w:pPr>
      <w:r>
        <w:rPr>
          <w:b/>
        </w:rPr>
        <w:t>Cita:</w:t>
      </w:r>
      <w:r>
        <w:t xml:space="preserve"> "screening using high sensitivity troponin at COPD diagnosis and at unexplained change in symptoms … is recommended." / "global risk calculator that can be found on the US NHLBI website.(1161)"</w:t>
      </w:r>
    </w:p>
    <w:p>
      <w:pPr>
        <w:pStyle w:val="ListBullet"/>
      </w:pPr>
      <w:r>
        <w:rPr>
          <w:b/>
        </w:rPr>
        <w:t>Problema:</w:t>
      </w:r>
    </w:p>
    <w:p>
      <w:pPr>
        <w:pStyle w:val="ListBullet2"/>
      </w:pPr>
      <w:r>
        <w:t>Se «recomienda» un cribado universal con hs-troponina sin vía de actuación: no se dice qué hacer con un valor elevado en un paciente asintomático.</w:t>
      </w:r>
    </w:p>
    <w:p>
      <w:pPr>
        <w:pStyle w:val="ListBullet2"/>
      </w:pPr>
      <w:r>
        <w:t>Tampoco aparece en las Figs. 5.5 y 5.6, que solo incluyen ECG y NT-proBNP. Es una incongruencia entre texto y figura.</w:t>
      </w:r>
    </w:p>
    <w:p>
      <w:pPr>
        <w:pStyle w:val="ListBullet2"/>
      </w:pPr>
      <w:r>
        <w:t>El cap. 2 (PDF 53 / impr. 42) califica la medición de troponina y BNP en exacerbaciones como evidencia «still weak».</w:t>
      </w:r>
    </w:p>
    <w:p>
      <w:pPr>
        <w:pStyle w:val="ListBullet2"/>
      </w:pPr>
      <w:r>
        <w:t>El umbral de «5-6 ng/L» no se corresponde con el análisis de la ref. 1162. Adamson (JACC 2018;72:1126; SUMMIT, subgrupo de 1.599 pacientes) usó quintiles de hs-cTnI: el riesgo era mayor en el quintil superior (≥7,7 ng/L; HR de eventos CV 3,7) y el estudio no generó un algoritmo de cribado.</w:t>
      </w:r>
    </w:p>
    <w:p>
      <w:pPr>
        <w:pStyle w:val="ListBullet2"/>
      </w:pPr>
      <w:r>
        <w:t>La calculadora de la NHLBI (ref. 1161) es una revisión de evidencia de 2013. Ya está superada por PREVENT (AHA 2023), en la que se basa la guía AHA/ACC 2025, y por SCORE2/SCORE2-OP (ESC 2021, ref. 1146).</w:t>
      </w:r>
    </w:p>
    <w:p>
      <w:pPr>
        <w:pStyle w:val="ListBullet2"/>
      </w:pPr>
      <w:r>
        <w:t>El cap. 2 (PDF 53) advierte que Framingham y QRisk «may underestimate CVD in patients with COPD». Esa advertencia no se repite en el cap. 5.</w:t>
      </w:r>
    </w:p>
    <w:p>
      <w:pPr>
        <w:pStyle w:val="ListBullet"/>
      </w:pPr>
      <w:r>
        <w:rPr>
          <w:b/>
        </w:rPr>
        <w:t>Evidencia/justificación:</w:t>
      </w:r>
    </w:p>
    <w:p>
      <w:pPr>
        <w:pStyle w:val="ListBullet2"/>
      </w:pPr>
      <w:r>
        <w:t>La ESC 2021 de prevención (ref. 1146; Visseren, Eur Heart J 2021;42:3227) desaconseja (clase III) la determinación rutinaria de biomarcadores circulantes para estratificar el riesgo.</w:t>
      </w:r>
    </w:p>
    <w:p>
      <w:pPr>
        <w:pStyle w:val="ListBullet2"/>
      </w:pPr>
      <w:r>
        <w:t>El resumen del artículo de Adamson (PMID 30165984) concluye que es «a specific and major indicator» pronóstico, no que haya que cribar.</w:t>
      </w:r>
    </w:p>
    <w:p>
      <w:pPr>
        <w:pStyle w:val="ListBullet2"/>
      </w:pPr>
      <w:r>
        <w:t>La cifra de «29-39 % por encima de 5-6 ng/L» no se ha podido verificar en el resumen: es un punto debatible.</w:t>
      </w:r>
    </w:p>
    <w:p>
      <w:pPr>
        <w:pStyle w:val="ListBullet"/>
      </w:pPr>
      <w:r>
        <w:rPr>
          <w:b/>
        </w:rPr>
        <w:t>Recomendación:</w:t>
      </w:r>
    </w:p>
    <w:p>
      <w:pPr>
        <w:pStyle w:val="ListBullet2"/>
      </w:pPr>
      <w:r>
        <w:t>Rebajar a: «puede considerarse la hs-troponina como marcador pronóstico; la evidencia para el cribado sistemático es insuficiente».</w:t>
      </w:r>
    </w:p>
    <w:p>
      <w:pPr>
        <w:pStyle w:val="ListBullet2"/>
      </w:pPr>
      <w:r>
        <w:t>Alinear la recomendación con el cap. 2 y con las figuras.</w:t>
      </w:r>
    </w:p>
    <w:p>
      <w:pPr>
        <w:pStyle w:val="ListBullet2"/>
      </w:pPr>
      <w:r>
        <w:t>Sustituir la calculadora por SCORE2/SCORE2-OP (Europa) o PREVENT (EE. UU.), repitiendo la advertencia de infraestimación en la EPOC.</w:t>
      </w:r>
    </w:p>
    <w:p>
      <w:pPr>
        <w:pStyle w:val="ListBullet"/>
      </w:pPr>
      <w:r>
        <w:rPr>
          <w:b/>
        </w:rPr>
        <w:t>Confianza:</w:t>
      </w:r>
      <w:r>
        <w:t xml:space="preserve"> 4/5</w:t>
      </w:r>
    </w:p>
    <w:p>
      <w:pPr>
        <w:pStyle w:val="Heading4"/>
      </w:pPr>
      <w:r>
        <w:t>MUL-05 · IC: terapias de la IC-FEp atribuidas a la ESC 2021 sin actualizar; falta la IC-FElr y la elección de betabloqueante</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127 / impr. 116 — Heart failure</w:t>
      </w:r>
    </w:p>
    <w:p>
      <w:pPr>
        <w:pStyle w:val="ListBullet"/>
      </w:pPr>
      <w:r>
        <w:rPr>
          <w:b/>
        </w:rPr>
        <w:t>Cita:</w:t>
      </w:r>
      <w:r>
        <w:t xml:space="preserve"> "Cardiovascular guidelines provide specific recommendations.(1155) … For HFpEF this includes sodium-glucose transport protein 2 inhibitors, sacubitril-valsartan and mineralocorticoid receptor antagonists."</w:t>
      </w:r>
    </w:p>
    <w:p>
      <w:pPr>
        <w:pStyle w:val="ListBullet"/>
      </w:pPr>
      <w:r>
        <w:rPr>
          <w:b/>
        </w:rPr>
        <w:t>Problema:</w:t>
      </w:r>
    </w:p>
    <w:p>
      <w:pPr>
        <w:pStyle w:val="ListBullet2"/>
      </w:pPr>
      <w:r>
        <w:t>La ref. 1155 (ESC 2021) no recomienda tratamiento modificador para la IC-FEp más allá de los diuréticos y el tratamiento de las comorbilidades.</w:t>
      </w:r>
    </w:p>
    <w:p>
      <w:pPr>
        <w:pStyle w:val="ListBullet2"/>
      </w:pPr>
      <w:r>
        <w:t>Sacubitril-valsartán y la ARM clásica tienen, como mucho, recomendación débil en IC-FEp: clase 2b en ACC/AHA/HFSA 2022.</w:t>
      </w:r>
    </w:p>
    <w:p>
      <w:pPr>
        <w:pStyle w:val="ListBullet2"/>
      </w:pPr>
      <w:r>
        <w:t>No se menciona la IC-FElr.</w:t>
      </w:r>
    </w:p>
    <w:p>
      <w:pPr>
        <w:pStyle w:val="ListBullet2"/>
      </w:pPr>
      <w:r>
        <w:t>No se dan ejemplos de β1-selectivos: el texto habla de «β1-blockers» sin precisar que el carvedilol, de uso común en la IC-FEr, no es selectivo.</w:t>
      </w:r>
    </w:p>
    <w:p>
      <w:pPr>
        <w:pStyle w:val="ListBullet2"/>
      </w:pPr>
      <w:r>
        <w:t>No se advierte de que la espirometría debe hacerse en euvolemia.</w:t>
      </w:r>
    </w:p>
    <w:p>
      <w:pPr>
        <w:pStyle w:val="ListBullet2"/>
      </w:pPr>
      <w:r>
        <w:t>Se usa «sodium-glucose transport protein 2 inhibitors» en lugar del término estándar, inhibidores del cotransportador sodio-glucosa tipo 2 (iSGLT2).</w:t>
      </w:r>
    </w:p>
    <w:p>
      <w:pPr>
        <w:pStyle w:val="ListBullet"/>
      </w:pPr>
      <w:r>
        <w:rPr>
          <w:b/>
        </w:rPr>
        <w:t>Evidencia/justificación:</w:t>
      </w:r>
    </w:p>
    <w:p>
      <w:pPr>
        <w:pStyle w:val="ListBullet2"/>
      </w:pPr>
      <w:r>
        <w:t>La actualización focalizada de la ESC 2023 (McDonagh TA, Eur Heart J 2023;44:3627; doi:10.1093/eurheartj/ehad195) da clase I a dapagliflozina y empagliflozina en IC-FElr e IC-FEp.</w:t>
      </w:r>
    </w:p>
    <w:p>
      <w:pPr>
        <w:pStyle w:val="ListBullet2"/>
      </w:pPr>
      <w:r>
        <w:t>FINEARTS-HF (Solomon SD, NEJM 2024;391:1475): la finerenona redujo los eventos con FEVI ≥40 %; la FDA la aprobó en julio de 2025.</w:t>
      </w:r>
    </w:p>
    <w:p>
      <w:pPr>
        <w:pStyle w:val="ListBullet2"/>
      </w:pPr>
      <w:r>
        <w:t>STEP-HFpEF (Kosiborod, NEJM 2023;389:1069) y SUMMIT (Packer, NEJM 2025;392:427): semaglutida y tirzepatida en IC-FEp con obesidad, un fenotipo frecuente en la EPOC.</w:t>
      </w:r>
    </w:p>
    <w:p>
      <w:pPr>
        <w:pStyle w:val="ListBullet2"/>
      </w:pPr>
      <w:r>
        <w:t>Es coherente con el Apéndice 3 (PDF 164) y con BLOCK-COPD (ref. 1157) que los betabloqueantes no se usen para prevenir exacerbaciones.</w:t>
      </w:r>
    </w:p>
    <w:p>
      <w:pPr>
        <w:pStyle w:val="ListBullet"/>
      </w:pPr>
      <w:r>
        <w:rPr>
          <w:b/>
        </w:rPr>
        <w:t>Recomendación:</w:t>
      </w:r>
    </w:p>
    <w:p>
      <w:pPr>
        <w:pStyle w:val="ListBullet2"/>
      </w:pPr>
      <w:r>
        <w:t>Citar la ESC 2023 y la guía ACC/AHA/HFSA 2022.</w:t>
      </w:r>
    </w:p>
    <w:p>
      <w:pPr>
        <w:pStyle w:val="ListBullet2"/>
      </w:pPr>
      <w:r>
        <w:t>Para la IC-FEp/IC-FElr, escribir: «iSGLT2 (clase I), diuréticos si hay congestión; considerar finerenona y, si hay obesidad, agonistas del receptor de GLP-1 (AR-GLP-1) o tirzepatida».</w:t>
      </w:r>
    </w:p>
    <w:p>
      <w:pPr>
        <w:pStyle w:val="ListBullet2"/>
      </w:pPr>
      <w:r>
        <w:t>Listar los β1-selectivos con evidencia en IC-FEr: bisoprolol, metoprolol succinato y nebivolol.</w:t>
      </w:r>
    </w:p>
    <w:p>
      <w:pPr>
        <w:pStyle w:val="ListBullet"/>
      </w:pPr>
      <w:r>
        <w:rPr>
          <w:b/>
        </w:rPr>
        <w:t>Confianza:</w:t>
      </w:r>
      <w:r>
        <w:t xml:space="preserve"> 4/5</w:t>
      </w:r>
    </w:p>
    <w:p>
      <w:pPr>
        <w:pStyle w:val="Heading4"/>
      </w:pPr>
      <w:r>
        <w:t xml:space="preserve">MUL-06 · HP: «peripheral» en lugar de </w:t>
      </w:r>
      <w:r>
        <w:rPr>
          <w:i/>
        </w:rPr>
        <w:t>pulmonary vascular resistance</w:t>
      </w:r>
      <w:r>
        <w:t>, definición incompleta y Fig. 5.3 sin el grupo 2</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ALTA</w:t>
      </w:r>
    </w:p>
    <w:p>
      <w:pPr>
        <w:pStyle w:val="ListBullet"/>
      </w:pPr>
      <w:r>
        <w:rPr>
          <w:b/>
        </w:rPr>
        <w:t>Ubicación:</w:t>
      </w:r>
      <w:r>
        <w:t xml:space="preserve"> PDF 128-129 / impr. 117-118 — Pulmonary hypertension; Fig. 5.3</w:t>
      </w:r>
    </w:p>
    <w:p>
      <w:pPr>
        <w:pStyle w:val="ListBullet"/>
      </w:pPr>
      <w:r>
        <w:rPr>
          <w:b/>
        </w:rPr>
        <w:t>Cita:</w:t>
      </w:r>
      <w:r>
        <w:t xml:space="preserve"> "The 2022 ESC/ERS PH guidelines define severe PH-COPD by an increased peripheral vascular resistance &gt; 5 Wood Units." / "chronic thromboembolic PH is a treatable cause of PH occurring more frequently in patients above the age of 40 years"</w:t>
      </w:r>
    </w:p>
    <w:p>
      <w:pPr>
        <w:pStyle w:val="ListBullet"/>
      </w:pPr>
      <w:r>
        <w:rPr>
          <w:b/>
        </w:rPr>
        <w:t>Problema:</w:t>
      </w:r>
    </w:p>
    <w:p>
      <w:pPr>
        <w:pStyle w:val="ListBullet2"/>
      </w:pPr>
      <w:r>
        <w:t xml:space="preserve">Error terminológico sustantivo: el umbral de &gt;5 UW se refiere a la </w:t>
      </w:r>
      <w:r>
        <w:rPr>
          <w:b/>
        </w:rPr>
        <w:t>resistencia vascular pulmonar (PVR)</w:t>
      </w:r>
      <w:r>
        <w:t>, no a la periférica.</w:t>
      </w:r>
    </w:p>
    <w:p>
      <w:pPr>
        <w:pStyle w:val="ListBullet2"/>
      </w:pPr>
      <w:r>
        <w:t>La definición hemodinámica omite que la HP precapilar requiere PAWP ≤15 mmHg y PVR &gt;2 UW.</w:t>
      </w:r>
    </w:p>
    <w:p>
      <w:pPr>
        <w:pStyle w:val="ListBullet2"/>
      </w:pPr>
      <w:r>
        <w:t>La frase sobre la HPTEC y los «40 años» no tiene utilidad clínica.</w:t>
      </w:r>
    </w:p>
    <w:p>
      <w:pPr>
        <w:pStyle w:val="ListBullet2"/>
      </w:pPr>
      <w:r>
        <w:t>No se recomienda la gammagrafía V/Q para descartar HPTEC.</w:t>
      </w:r>
    </w:p>
    <w:p>
      <w:pPr>
        <w:pStyle w:val="ListBullet2"/>
      </w:pPr>
      <w:r>
        <w:t>La Fig. 5.3 solo representa los grupos 1, 3 (grave) y 4. Omite el grupo 2 (cardiopatía izquierda), muy relevante si coexiste IC-FEp, y la HP no grave del grupo 3. Sin embargo, el texto afirma que «All groups of PH can be diagnosed in patients with COPD».</w:t>
      </w:r>
    </w:p>
    <w:p>
      <w:pPr>
        <w:pStyle w:val="ListBullet"/>
      </w:pPr>
      <w:r>
        <w:rPr>
          <w:b/>
        </w:rPr>
        <w:t>Evidencia/justificación:</w:t>
      </w:r>
    </w:p>
    <w:p>
      <w:pPr>
        <w:pStyle w:val="ListBullet2"/>
      </w:pPr>
      <w:r>
        <w:t>Guía ESC/ERS 2022 (Humbert M, Eur Heart J 2022;43:3618; Eur Respir J 2023;61:2200879): HP si la PAPm es &gt;20 mmHg; HP precapilar si además la PAWP es ≤15 mmHg y la PVR &gt;2 UW; HP grave en enfermedad pulmonar si la PVR es &gt;5 UW.</w:t>
      </w:r>
    </w:p>
    <w:p>
      <w:pPr>
        <w:pStyle w:val="ListBullet2"/>
      </w:pPr>
      <w:r>
        <w:t>En la HP no explicada se recomienda la gammagrafía V/Q para el cribado de HPTEC (clase I).</w:t>
      </w:r>
    </w:p>
    <w:p>
      <w:pPr>
        <w:pStyle w:val="ListBullet2"/>
      </w:pPr>
      <w:r>
        <w:t xml:space="preserve">La ref. 1191 (Zeder, ERJ 2021) se titula precisamente «Elevated </w:t>
      </w:r>
      <w:r>
        <w:rPr>
          <w:i/>
        </w:rPr>
        <w:t>pulmonary</w:t>
      </w:r>
      <w:r>
        <w:t xml:space="preserve"> vascular resistance…».</w:t>
      </w:r>
    </w:p>
    <w:p>
      <w:pPr>
        <w:pStyle w:val="ListBullet"/>
      </w:pPr>
      <w:r>
        <w:rPr>
          <w:b/>
        </w:rPr>
        <w:t>Recomendación:</w:t>
      </w:r>
    </w:p>
    <w:p>
      <w:pPr>
        <w:pStyle w:val="ListBullet2"/>
      </w:pPr>
      <w:r>
        <w:t>Corregir a «pulmonary vascular resistance (PVR) &gt; 5 WU».</w:t>
      </w:r>
    </w:p>
    <w:p>
      <w:pPr>
        <w:pStyle w:val="ListBullet2"/>
      </w:pPr>
      <w:r>
        <w:t>Añadir los criterios PAWP ≤15 / PVR &gt;2 UW y la gammagrafía V/Q.</w:t>
      </w:r>
    </w:p>
    <w:p>
      <w:pPr>
        <w:pStyle w:val="ListBullet2"/>
      </w:pPr>
      <w:r>
        <w:t>Eliminar la frase sobre los «40 años».</w:t>
      </w:r>
    </w:p>
    <w:p>
      <w:pPr>
        <w:pStyle w:val="ListBullet2"/>
      </w:pPr>
      <w:r>
        <w:t>Completar la Fig. 5.3 con el grupo 2 y con la HP-EPOC no grave.</w:t>
      </w:r>
    </w:p>
    <w:p>
      <w:pPr>
        <w:pStyle w:val="ListBullet"/>
      </w:pPr>
      <w:r>
        <w:rPr>
          <w:b/>
        </w:rPr>
        <w:t>Confianza:</w:t>
      </w:r>
      <w:r>
        <w:t xml:space="preserve"> 5/5</w:t>
      </w:r>
    </w:p>
    <w:p>
      <w:pPr>
        <w:pStyle w:val="Heading4"/>
      </w:pPr>
      <w:r>
        <w:t>MUL-07 · HP-EPOC: no se informa de que el ensayo PERFECT se detuvo por daño</w:t>
      </w:r>
    </w:p>
    <w:p>
      <w:r>
        <w:rPr>
          <w:i/>
        </w:rPr>
        <w:t xml:space="preserve">Severidad final: </w:t>
      </w:r>
      <w:r>
        <w:rPr>
          <w:i/>
          <w:color w:val="ED7D31"/>
        </w:rPr>
        <w:t>🟠</w:t>
      </w:r>
      <w:r>
        <w:rPr>
          <w:i/>
        </w:rPr>
        <w:t xml:space="preserve"> ALTA · Tema T19: Multimorbilidad (cardiovascular, HP, SAOS, salud mental, metabólica, otras)</w:t>
      </w:r>
    </w:p>
    <w:p>
      <w:pPr>
        <w:pStyle w:val="IntenseQuote"/>
      </w:pPr>
      <w:r>
        <w:rPr>
          <w:b/>
        </w:rPr>
        <w:t>Verificación independiente (CONFIRMADO):</w:t>
      </w:r>
      <w:r>
        <w:t xml:space="preserve"> Añadir: "El treprostinil inhalado no debe usarse en la HP-EPOC (ensayo PERFECT interrumpido por daño). En la HP grave, el tratamiento con vasodilatadores debe limitarse a centros expertos o a ensayos clínicos."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129 / impr. 118 — Pulmonary hypertension</w:t>
      </w:r>
    </w:p>
    <w:p>
      <w:pPr>
        <w:pStyle w:val="ListBullet"/>
      </w:pPr>
      <w:r>
        <w:rPr>
          <w:b/>
        </w:rPr>
        <w:t>Cita:</w:t>
      </w:r>
      <w:r>
        <w:t xml:space="preserve"> "Further well-designed RCTs should be encouraged to advise for or against the use of PAH medications in PH-COPD.(1193)"</w:t>
      </w:r>
    </w:p>
    <w:p>
      <w:pPr>
        <w:pStyle w:val="ListBullet"/>
      </w:pPr>
      <w:r>
        <w:rPr>
          <w:b/>
        </w:rPr>
        <w:t>Problema:</w:t>
      </w:r>
      <w:r>
        <w:t xml:space="preserve"> La ref. 1193 es el ensayo PERFECT (treprostinil inhalado en HP-EPOC). Se cita solo como motivo para pedir más ensayos, sin decir que se interrumpió precozmente por seguridad. Esto deja abierta la puerta al uso fuera de indicación de prostanoides inhalados, extrapolando el beneficio observado en la HP asociada a EPI (INCREASE).</w:t>
      </w:r>
    </w:p>
    <w:p>
      <w:pPr>
        <w:pStyle w:val="ListBullet"/>
      </w:pPr>
      <w:r>
        <w:rPr>
          <w:b/>
        </w:rPr>
        <w:t>Evidencia/justificación:</w:t>
      </w:r>
      <w:r>
        <w:t xml:space="preserve"> Nathan SD et al., Eur Respir J 2024;63:2400172 (PMID 38811045): el estudio se detuvo tras un análisis intermedio por mayor frecuencia de eventos adversos graves, una tendencia a mayor mortalidad y peor distancia en la prueba de marcha de 6 minutos con treprostinil frente a placebo.</w:t>
      </w:r>
    </w:p>
    <w:p>
      <w:pPr>
        <w:pStyle w:val="ListBullet"/>
      </w:pPr>
      <w:r>
        <w:rPr>
          <w:b/>
        </w:rPr>
        <w:t>Recomendación:</w:t>
      </w:r>
      <w:r>
        <w:t xml:space="preserve"> Añadir: «En la HP-EPOC, el treprostinil inhalado no está recomendado (ensayo PERFECT detenido por daño). El tratamiento con vasodilatadores pulmonares en la HP grave debe limitarse a centros expertos y, preferiblemente, a ensayos clínicos».</w:t>
      </w:r>
    </w:p>
    <w:p>
      <w:pPr>
        <w:pStyle w:val="ListBullet"/>
      </w:pPr>
      <w:r>
        <w:rPr>
          <w:b/>
        </w:rPr>
        <w:t>Confianza:</w:t>
      </w:r>
      <w:r>
        <w:t xml:space="preserve"> 5/5</w:t>
      </w:r>
    </w:p>
    <w:p>
      <w:pPr>
        <w:pStyle w:val="Heading4"/>
      </w:pPr>
      <w:r>
        <w:t>MUL-11 · Punto clave «la comorbilidad no debe alterar el tratamiento de la EPOC», contradicho por el propio capítulo (asma, TB, bronquiectasias, FA)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123 / impr. 112 (punto clave); PDF 131-132 / impr. 120-121 (asma, TB, bronquiectasias); PDF 128 (FA); Apéndice 3, PDF 162 / impr. 151</w:t>
      </w:r>
    </w:p>
    <w:p>
      <w:pPr>
        <w:pStyle w:val="ListBullet"/>
      </w:pPr>
      <w:r>
        <w:rPr>
          <w:b/>
        </w:rPr>
        <w:t>Cita:</w:t>
      </w:r>
      <w:r>
        <w:t xml:space="preserve"> "The presence of those morbidities should not alter COPD treatment; comorbid disease should be treated as per usual standards"</w:t>
      </w:r>
    </w:p>
    <w:p>
      <w:pPr>
        <w:pStyle w:val="ListBullet"/>
      </w:pPr>
      <w:r>
        <w:rPr>
          <w:b/>
        </w:rPr>
        <w:t>Problema:</w:t>
      </w:r>
      <w:r>
        <w:t xml:space="preserve"> El propio capítulo modifica el tratamiento de la EPOC según la comorbilidad en varios casos:</w:t>
      </w:r>
    </w:p>
    <w:p>
      <w:pPr>
        <w:pStyle w:val="ListBullet2"/>
      </w:pPr>
      <w:r>
        <w:rPr>
          <w:b/>
        </w:rPr>
        <w:t>Asma:</w:t>
      </w:r>
      <w:r>
        <w:t xml:space="preserve"> el ICS de mantenimiento es obligatorio. Falta además la advertencia de no usar LABA o LABA/LAMA sin ICS.</w:t>
      </w:r>
    </w:p>
    <w:p>
      <w:pPr>
        <w:pStyle w:val="ListBullet2"/>
      </w:pPr>
      <w:r>
        <w:rPr>
          <w:b/>
        </w:rPr>
        <w:t>TB:</w:t>
      </w:r>
      <w:r>
        <w:t xml:space="preserve"> ICS con cautela y descartar TB activa.</w:t>
      </w:r>
    </w:p>
    <w:p>
      <w:pPr>
        <w:pStyle w:val="ListBullet2"/>
      </w:pPr>
      <w:r>
        <w:rPr>
          <w:b/>
        </w:rPr>
        <w:t>Bronquiectasias:</w:t>
      </w:r>
      <w:r>
        <w:t xml:space="preserve"> riesgo de neumonía y de infección por micobacterias no tuberculosas con ICS.</w:t>
      </w:r>
    </w:p>
    <w:p>
      <w:pPr>
        <w:pStyle w:val="ListBullet2"/>
      </w:pPr>
      <w:r>
        <w:rPr>
          <w:b/>
        </w:rPr>
        <w:t>FA:</w:t>
      </w:r>
      <w:r>
        <w:t xml:space="preserve"> precaución con SABA y teofilina.</w:t>
      </w:r>
    </w:p>
    <w:p>
      <w:pPr>
        <w:pStyle w:val="ListBullet2"/>
      </w:pPr>
      <w:r>
        <w:rPr>
          <w:b/>
        </w:rPr>
        <w:t>Diabetes, osteoporosis y cataratas:</w:t>
      </w:r>
      <w:r>
        <w:t xml:space="preserve"> riesgos de los ICS y de los corticoides sistémicos, recogidos en el Apéndice 3 (PDF 162: «diabetes/poor control of diabetes… cataracts… mycobacterial infection»).</w:t>
      </w:r>
    </w:p>
    <w:p>
      <w:r>
        <w:t>El mensaje absoluto puede llevar a ignorar estas interacciones. Por otro lado, la recomendación «We recommend the close examination of a lung CT» en el asma-EPOC sugiere una TC sistemática sin indicación definida.</w:t>
      </w:r>
    </w:p>
    <w:p>
      <w:pPr>
        <w:pStyle w:val="ListBullet"/>
      </w:pPr>
      <w:r>
        <w:rPr>
          <w:b/>
        </w:rPr>
        <w:t>Evidencia/justificación:</w:t>
      </w:r>
    </w:p>
    <w:p>
      <w:pPr>
        <w:pStyle w:val="ListBullet2"/>
      </w:pPr>
      <w:r>
        <w:t>GINA 2024/2025: no usar LABA ni LAMA sin ICS en el asma.</w:t>
      </w:r>
    </w:p>
    <w:p>
      <w:pPr>
        <w:pStyle w:val="ListBullet2"/>
      </w:pPr>
      <w:r>
        <w:t>Coherencia interna con el Apéndice 3 y con la figura de factores para iniciar ICS del cap. 3.</w:t>
      </w:r>
    </w:p>
    <w:p>
      <w:pPr>
        <w:pStyle w:val="ListBullet"/>
      </w:pPr>
      <w:r>
        <w:rPr>
          <w:b/>
        </w:rPr>
        <w:t>Recomendación:</w:t>
      </w:r>
    </w:p>
    <w:p>
      <w:pPr>
        <w:pStyle w:val="ListBullet2"/>
      </w:pPr>
      <w:r>
        <w:t>Reformular: «El tratamiento de la EPOC sigue los mismos principios, pero algunas comorbilidades (asma, TB/micobacterias, bronquiectasias, FA, diabetes, osteoporosis) modifican la elección de fármacos, en especial ICS, SABA/teofilina y corticoides sistémicos».</w:t>
      </w:r>
    </w:p>
    <w:p>
      <w:pPr>
        <w:pStyle w:val="ListBullet2"/>
      </w:pPr>
      <w:r>
        <w:t>Añadir la advertencia sobre LABA/LAMA sin ICS en el asma.</w:t>
      </w:r>
    </w:p>
    <w:p>
      <w:pPr>
        <w:pStyle w:val="ListBullet2"/>
      </w:pPr>
      <w:r>
        <w:t>Limitar la TC en el asma-EPOC a las indicaciones del cap. 2.</w:t>
      </w:r>
    </w:p>
    <w:p>
      <w:pPr>
        <w:pStyle w:val="ListBullet"/>
      </w:pPr>
      <w:r>
        <w:rPr>
          <w:b/>
        </w:rPr>
        <w:t>Confianza:</w:t>
      </w:r>
      <w:r>
        <w:t xml:space="preserve"> 5/5</w:t>
      </w:r>
    </w:p>
    <w:p>
      <w:pPr>
        <w:pStyle w:val="Heading4"/>
      </w:pPr>
      <w:r>
        <w:t>MUL-12 · SAOS: «la CPAP disminuye la mortalidad» sobredimensionado, prueba diagnóstica inadecuada y tirzepatida omitida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123 / impr. 112 (punto clave); PDF 133 / impr. 122 — Obstructive sleep apnea</w:t>
      </w:r>
    </w:p>
    <w:p>
      <w:pPr>
        <w:pStyle w:val="ListBullet"/>
      </w:pPr>
      <w:r>
        <w:rPr>
          <w:b/>
        </w:rPr>
        <w:t>Cita:</w:t>
      </w:r>
      <w:r>
        <w:t xml:space="preserve"> "If OSA is present, CPAP treatment decreases risk of death." / "CPAP or bi-level positive airway pressure should be initiated in patients with COPD and sleep disordered breathing as it improves health-related quality of life and decreases the risk of death.(762)"</w:t>
      </w:r>
    </w:p>
    <w:p>
      <w:pPr>
        <w:pStyle w:val="ListBullet"/>
      </w:pPr>
      <w:r>
        <w:rPr>
          <w:b/>
        </w:rPr>
        <w:t>Problema:</w:t>
      </w:r>
    </w:p>
    <w:p>
      <w:pPr>
        <w:pStyle w:val="ListBullet2"/>
      </w:pPr>
      <w:r>
        <w:t>La afirmación causal sobre la mortalidad se basa en una cohorte observacional (Marin 2010, ref. 762) con sesgo de adherencia («healthy adherer»). No hay ensayos aleatorizados en el síndrome de solapamiento.</w:t>
      </w:r>
    </w:p>
    <w:p>
      <w:pPr>
        <w:pStyle w:val="ListBullet2"/>
      </w:pPr>
      <w:r>
        <w:t>Indicar CPAP o BPAP en todo «sleep disordered breathing» es excesivamente amplio.</w:t>
      </w:r>
    </w:p>
    <w:p>
      <w:pPr>
        <w:pStyle w:val="ListBullet2"/>
      </w:pPr>
      <w:r>
        <w:t>No se especifica que en la EPOC moderada-grave se prefiere la polisomnografía (PSG) a la poligrafía domiciliaria.</w:t>
      </w:r>
    </w:p>
    <w:p>
      <w:pPr>
        <w:pStyle w:val="ListBullet2"/>
      </w:pPr>
      <w:r>
        <w:t>El término «glucagon-like peptide receptor agonists» es incorrecto: son agonistas del receptor de GLP-1.</w:t>
      </w:r>
    </w:p>
    <w:p>
      <w:pPr>
        <w:pStyle w:val="ListBullet2"/>
      </w:pPr>
      <w:r>
        <w:t>Se ignora la tirzepatida, aprobada para el SAOS.</w:t>
      </w:r>
    </w:p>
    <w:p>
      <w:pPr>
        <w:pStyle w:val="ListBullet2"/>
      </w:pPr>
      <w:r>
        <w:t>Las refs. 1269 y 1270 (Epworth, STOP-BANG) no se citan en el texto, aunque esas escalas aparecen en las Figs. 5.5 y 5.6.</w:t>
      </w:r>
    </w:p>
    <w:p>
      <w:pPr>
        <w:pStyle w:val="ListBullet"/>
      </w:pPr>
      <w:r>
        <w:rPr>
          <w:b/>
        </w:rPr>
        <w:t>Evidencia/justificación:</w:t>
      </w:r>
    </w:p>
    <w:p>
      <w:pPr>
        <w:pStyle w:val="ListBullet2"/>
      </w:pPr>
      <w:r>
        <w:t>SAVE (McEvoy RD, NEJM 2016;375:919) y el metaanálisis de Yu J (JAMA 2017;318:156): la CPAP no reduce los eventos CV ni la mortalidad en el SAOS.</w:t>
      </w:r>
    </w:p>
    <w:p>
      <w:pPr>
        <w:pStyle w:val="ListBullet2"/>
      </w:pPr>
      <w:r>
        <w:t>AASM 2017 (Kapur VK, J Clin Sleep Med 2017;13:479): la poligrafía domiciliaria no se recomienda si hay enfermedad cardiorrespiratoria significativa.</w:t>
      </w:r>
    </w:p>
    <w:p>
      <w:pPr>
        <w:pStyle w:val="ListBullet2"/>
      </w:pPr>
      <w:r>
        <w:t>SURMOUNT-OSA (Malhotra A, NEJM 2024;391:1193): la FDA aprobó la tirzepatida en diciembre de 2024 para el SAOS moderado-grave con obesidad.</w:t>
      </w:r>
    </w:p>
    <w:p>
      <w:pPr>
        <w:pStyle w:val="ListBullet"/>
      </w:pPr>
      <w:r>
        <w:rPr>
          <w:b/>
        </w:rPr>
        <w:t>Recomendación:</w:t>
      </w:r>
    </w:p>
    <w:p>
      <w:pPr>
        <w:pStyle w:val="ListBullet2"/>
      </w:pPr>
      <w:r>
        <w:t>Cambiar el punto clave a: «En el síndrome de solapamiento, la CPAP se asocia en estudios observacionales a menor mortalidad y hospitalizaciones».</w:t>
      </w:r>
    </w:p>
    <w:p>
      <w:pPr>
        <w:pStyle w:val="ListBullet2"/>
      </w:pPr>
      <w:r>
        <w:t>Recomendar PSG.</w:t>
      </w:r>
    </w:p>
    <w:p>
      <w:pPr>
        <w:pStyle w:val="ListBullet2"/>
      </w:pPr>
      <w:r>
        <w:t>Citar la tirzepatida (SURMOUNT-OSA) y corregir la terminología.</w:t>
      </w:r>
    </w:p>
    <w:p>
      <w:pPr>
        <w:pStyle w:val="ListBullet"/>
      </w:pPr>
      <w:r>
        <w:rPr>
          <w:b/>
        </w:rPr>
        <w:t>Confianza:</w:t>
      </w:r>
      <w:r>
        <w:t xml:space="preserve"> 4/5</w:t>
      </w:r>
    </w:p>
    <w:p>
      <w:pPr>
        <w:pStyle w:val="Heading4"/>
      </w:pPr>
      <w:r>
        <w:t>MUL-15 · Salud mental: faltan advertencias sobre psicofármacos depresores respiratorios, sobre la interacción tabaco-CYP1A2 y sobre el riesgo suicida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133-134 / impr. 122-123 — Mental conditions</w:t>
      </w:r>
    </w:p>
    <w:p>
      <w:pPr>
        <w:pStyle w:val="ListBullet"/>
      </w:pPr>
      <w:r>
        <w:rPr>
          <w:b/>
        </w:rPr>
        <w:t>Cita:</w:t>
      </w:r>
      <w:r>
        <w:t xml:space="preserve"> "Anti-depressant drug therapy needs to be managed with caution" / "psychosis (including schizophrenia and substance abuse, both alcohol and drugs)"</w:t>
      </w:r>
    </w:p>
    <w:p>
      <w:pPr>
        <w:pStyle w:val="ListBullet"/>
      </w:pPr>
      <w:r>
        <w:rPr>
          <w:b/>
        </w:rPr>
        <w:t>Problema:</w:t>
      </w:r>
    </w:p>
    <w:p>
      <w:pPr>
        <w:pStyle w:val="ListBullet2"/>
      </w:pPr>
      <w:r>
        <w:t>La cautela se dirige a los antidepresivos (ISRS/IRSN, en general seguros), pero se omiten los fármacos con riesgo real en la EPOC: benzodiacepinas, opioides y antipsicóticos, asociados a exacerbaciones e insuficiencia respiratoria.</w:t>
      </w:r>
    </w:p>
    <w:p>
      <w:pPr>
        <w:pStyle w:val="ListBullet2"/>
      </w:pPr>
      <w:r>
        <w:rPr>
          <w:b/>
        </w:rPr>
        <w:t>Interacción crítica omitida:</w:t>
      </w:r>
      <w:r>
        <w:t xml:space="preserve"> dejar de fumar, incluido el ingreso en un hospital sin humo, elimina la inducción de CYP1A2 por los hidrocarburos del humo. Eso aumenta los niveles de clozapina, olanzapina y teofilina, con riesgo de toxicidad. La terapia sustitutiva con nicotina no induce CYP1A2.</w:t>
      </w:r>
    </w:p>
    <w:p>
      <w:pPr>
        <w:pStyle w:val="ListBullet2"/>
      </w:pPr>
      <w:r>
        <w:t>No se menciona que la vareniclina y el bupropión son seguros en pacientes con enfermedad psiquiátrica.</w:t>
      </w:r>
    </w:p>
    <w:p>
      <w:pPr>
        <w:pStyle w:val="ListBullet2"/>
      </w:pPr>
      <w:r>
        <w:t>Un PHQ-2 o GAD-2 positivo debe seguirse de PHQ-9 o GAD-7. Pese a que el texto cita el doble de riesgo de suicidio (ref. 1282), no se indica cribado del riesgo suicida (ítem 9 del PHQ-9 u otra herramienta).</w:t>
      </w:r>
    </w:p>
    <w:p>
      <w:pPr>
        <w:pStyle w:val="ListBullet2"/>
      </w:pPr>
      <w:r>
        <w:t>Errores nosológicos: «psychosis (including … substance abuse)» y «bipolarity». Lo correcto es trastorno psicótico, trastorno por uso de sustancias y trastorno bipolar.</w:t>
      </w:r>
    </w:p>
    <w:p>
      <w:pPr>
        <w:pStyle w:val="ListBullet"/>
      </w:pPr>
      <w:r>
        <w:rPr>
          <w:b/>
        </w:rPr>
        <w:t>Evidencia/justificación:</w:t>
      </w:r>
    </w:p>
    <w:p>
      <w:pPr>
        <w:pStyle w:val="ListBullet2"/>
      </w:pPr>
      <w:r>
        <w:t>Benzodiacepinas: Vozoris NT, Eur Respir J 2014;44:332.</w:t>
      </w:r>
    </w:p>
    <w:p>
      <w:pPr>
        <w:pStyle w:val="ListBullet2"/>
      </w:pPr>
      <w:r>
        <w:t>Opioides: Vozoris NT, Eur Respir J 2016;48:683.</w:t>
      </w:r>
    </w:p>
    <w:p>
      <w:pPr>
        <w:pStyle w:val="ListBullet2"/>
      </w:pPr>
      <w:r>
        <w:t>Antipsicóticos: Wang MT, JAMA Psychiatry 2017;74:252.</w:t>
      </w:r>
    </w:p>
    <w:p>
      <w:pPr>
        <w:pStyle w:val="ListBullet2"/>
      </w:pPr>
      <w:r>
        <w:t>EAGLES: Anthenelli RM, Lancet 2016;387:2507.</w:t>
      </w:r>
    </w:p>
    <w:p>
      <w:pPr>
        <w:pStyle w:val="ListBullet2"/>
      </w:pPr>
      <w:r>
        <w:t>Interacción tabaco-CYP1A2: fichas técnicas de clozapina y teofilina; Kroon LA, Am J Health-Syst Pharm 2007;64:1917.</w:t>
      </w:r>
    </w:p>
    <w:p>
      <w:pPr>
        <w:pStyle w:val="ListBullet"/>
      </w:pPr>
      <w:r>
        <w:rPr>
          <w:b/>
        </w:rPr>
        <w:t>Recomendación:</w:t>
      </w:r>
    </w:p>
    <w:p>
      <w:pPr>
        <w:pStyle w:val="ListBullet2"/>
      </w:pPr>
      <w:r>
        <w:t>Añadir un recuadro de seguridad de psicofármacos en la EPOC: evitar o minimizar benzodiacepinas y opioides, vigilar antipsicóticos, y monitorizar niveles o síntomas de clozapina, olanzapina y teofilina al dejar de fumar.</w:t>
      </w:r>
    </w:p>
    <w:p>
      <w:pPr>
        <w:pStyle w:val="ListBullet2"/>
      </w:pPr>
      <w:r>
        <w:t>Establecer el escalonamiento PHQ-2 → PHQ-9 con evaluación del riesgo suicida.</w:t>
      </w:r>
    </w:p>
    <w:p>
      <w:pPr>
        <w:pStyle w:val="ListBullet2"/>
      </w:pPr>
      <w:r>
        <w:t>Corregir la terminología según el DSM-5.</w:t>
      </w:r>
    </w:p>
    <w:p>
      <w:pPr>
        <w:pStyle w:val="ListBullet"/>
      </w:pPr>
      <w:r>
        <w:rPr>
          <w:b/>
        </w:rPr>
        <w:t>Confianza:</w:t>
      </w:r>
      <w:r>
        <w:t xml:space="preserve"> 4/5</w:t>
      </w:r>
    </w:p>
    <w:p>
      <w:pPr>
        <w:pStyle w:val="Heading4"/>
      </w:pPr>
      <w:r>
        <w:t>IA-02 · Puntos clave sobre telesalud ("improved access, outcomes, and affordability") sin respaldo e incoherentes con el Apéndice 4</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Key Points, Cap. 6, PDF 142 / impr. 131</w:t>
      </w:r>
    </w:p>
    <w:p>
      <w:pPr>
        <w:pStyle w:val="ListBullet2"/>
      </w:pPr>
      <w:r>
        <w:t>Cuerpo del texto, PDF 146 / impr. 135</w:t>
      </w:r>
    </w:p>
    <w:p>
      <w:pPr>
        <w:pStyle w:val="ListBullet2"/>
      </w:pPr>
      <w:r>
        <w:t>Key Points, Cap. 2, PDF 32 / impr. 21</w:t>
      </w:r>
    </w:p>
    <w:p>
      <w:pPr>
        <w:pStyle w:val="ListBullet"/>
      </w:pPr>
      <w:r>
        <w:rPr>
          <w:b/>
        </w:rPr>
        <w:t>Cita:</w:t>
      </w:r>
      <w:r>
        <w:t xml:space="preserve"> "Telehealth may offer improved healthcare access, outcomes, and affordability." (PDF 142); "…with a goal of improved healthcare access, outcomes, and affordability.(1434)" (PDF 146)</w:t>
      </w:r>
    </w:p>
    <w:p>
      <w:pPr>
        <w:pStyle w:val="ListBullet"/>
      </w:pPr>
      <w:r>
        <w:rPr>
          <w:b/>
        </w:rPr>
        <w:t>Problema:</w:t>
      </w:r>
    </w:p>
    <w:p>
      <w:pPr>
        <w:pStyle w:val="ListBullet2"/>
      </w:pPr>
      <w:r>
        <w:t xml:space="preserve">La ref. 1434 es la web del </w:t>
      </w:r>
      <w:r>
        <w:rPr>
          <w:i/>
        </w:rPr>
        <w:t>Action Plan</w:t>
      </w:r>
      <w:r>
        <w:t xml:space="preserve"> de </w:t>
      </w:r>
      <w:r>
        <w:rPr>
          <w:i/>
        </w:rPr>
        <w:t>Living Well with COPD</w:t>
      </w:r>
      <w:r>
        <w:t xml:space="preserve"> (Bourbeau 2005). Está bien citada en el Apéndice 2 (PDF 152), pero no aporta datos sobre resultados ni costes de la telesalud.</w:t>
      </w:r>
    </w:p>
    <w:p>
      <w:pPr>
        <w:pStyle w:val="ListBullet2"/>
      </w:pPr>
      <w:r>
        <w:t>El Apéndice 4 (PDF 170 / impr. 159) concluye lo contrario: "delivering integrated interventions by telemedicine did not show a significant effect.(1685,1686)".</w:t>
      </w:r>
    </w:p>
    <w:p>
      <w:pPr>
        <w:pStyle w:val="ListBullet2"/>
      </w:pPr>
      <w:r>
        <w:t>El punto clave del Cap. 6 omite la salvedad que sí incluye el Cap. 2: "but use should be based on evidence".</w:t>
      </w:r>
    </w:p>
    <w:p>
      <w:pPr>
        <w:pStyle w:val="ListBullet"/>
      </w:pPr>
      <w:r>
        <w:rPr>
          <w:b/>
        </w:rPr>
        <w:t>Evidencia/justificación:</w:t>
      </w:r>
    </w:p>
    <w:p>
      <w:pPr>
        <w:pStyle w:val="ListBullet2"/>
      </w:pPr>
      <w:r>
        <w:rPr>
          <w:b/>
        </w:rPr>
        <w:t>TELESCOT</w:t>
      </w:r>
      <w:r>
        <w:t xml:space="preserve"> (Pinnock H et al., BMJ 2013;347:f6070, PMID 24136634), n = 256: sin efecto en el tiempo hasta el ingreso (HR 0,98; IC 0,66-1,44) ni en el SGRQ.</w:t>
      </w:r>
    </w:p>
    <w:p>
      <w:pPr>
        <w:pStyle w:val="ListBullet2"/>
      </w:pPr>
      <w:r>
        <w:rPr>
          <w:b/>
        </w:rPr>
        <w:t>CHROMED</w:t>
      </w:r>
      <w:r>
        <w:t xml:space="preserve"> (Walker PP et al., AJRCCM 2018;198:620-628, PMID 29557669), n = 312: no mejoró las variables primarias (tiempo hasta la primera hospitalización, EQ-5D).</w:t>
      </w:r>
    </w:p>
    <w:p>
      <w:pPr>
        <w:pStyle w:val="ListBullet2"/>
      </w:pPr>
      <w:r>
        <w:rPr>
          <w:b/>
        </w:rPr>
        <w:t>TeleCRAFT</w:t>
      </w:r>
      <w:r>
        <w:t xml:space="preserve"> (ver IA-01): aumentó los ingresos.</w:t>
      </w:r>
    </w:p>
    <w:p>
      <w:pPr>
        <w:pStyle w:val="ListBullet2"/>
      </w:pPr>
      <w:r>
        <w:rPr>
          <w:b/>
        </w:rPr>
        <w:t>Coste-efectividad:</w:t>
      </w:r>
      <w:r>
        <w:t xml:space="preserve"> la evaluación económica del Whole Systems Demonstrator (Henderson C et al., BMJ 2013;346:f1035, PMID 23520339) estimó un ICER de unas £92.000/AVAC, con probabilidad de coste-efectividad del 11 % para un umbral de £30.000.</w:t>
      </w:r>
    </w:p>
    <w:p>
      <w:pPr>
        <w:pStyle w:val="ListBullet2"/>
      </w:pPr>
      <w:r>
        <w:t>El acceso puede mejorar, pero "outcomes" y "affordability" no están demostrados.</w:t>
      </w:r>
    </w:p>
    <w:p>
      <w:pPr>
        <w:pStyle w:val="ListBullet"/>
      </w:pPr>
      <w:r>
        <w:rPr>
          <w:b/>
        </w:rPr>
        <w:t>Recomendación:</w:t>
      </w:r>
    </w:p>
    <w:p>
      <w:pPr>
        <w:pStyle w:val="ListBullet2"/>
      </w:pPr>
      <w:r>
        <w:t>Reformular como: "Telehealth may improve access for selected patients; RCTs of telemonitoring have shown inconsistent or no effects on hospitalisation, health status or mortality, and cost-effectiveness has not been demonstrated."</w:t>
      </w:r>
    </w:p>
    <w:p>
      <w:pPr>
        <w:pStyle w:val="ListBullet2"/>
      </w:pPr>
      <w:r>
        <w:t>Sustituir la ref. 1434 por CD013196 y los ECAs citados.</w:t>
      </w:r>
    </w:p>
    <w:p>
      <w:pPr>
        <w:pStyle w:val="ListBullet2"/>
      </w:pPr>
      <w:r>
        <w:t>Armonizar los Caps. 2 y 6 y el Apéndice 4.</w:t>
      </w:r>
    </w:p>
    <w:p>
      <w:pPr>
        <w:pStyle w:val="ListBullet"/>
      </w:pPr>
      <w:r>
        <w:rPr>
          <w:b/>
        </w:rPr>
        <w:t>Confianza:</w:t>
      </w:r>
      <w:r>
        <w:t xml:space="preserve"> 5/5</w:t>
      </w:r>
    </w:p>
    <w:p>
      <w:pPr>
        <w:pStyle w:val="Heading4"/>
      </w:pPr>
      <w:r>
        <w:t>IA-03 · El punto clave sobre IA sobreafirma su utilidad y contradice la propia evidencia del capítulo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Key Points, Cap. 6, PDF 142 / impr. 131</w:t>
      </w:r>
    </w:p>
    <w:p>
      <w:pPr>
        <w:pStyle w:val="ListBullet"/>
      </w:pPr>
      <w:r>
        <w:rPr>
          <w:b/>
        </w:rPr>
        <w:t>Cita:</w:t>
      </w:r>
      <w:r>
        <w:t xml:space="preserve"> "Artificial intelligence can help in the diagnosis, assessment, clinical management, and prediction of prognosis of COPD."</w:t>
      </w:r>
    </w:p>
    <w:p>
      <w:pPr>
        <w:pStyle w:val="ListBullet"/>
      </w:pPr>
      <w:r>
        <w:rPr>
          <w:b/>
        </w:rPr>
        <w:t>Problema:</w:t>
      </w:r>
    </w:p>
    <w:p>
      <w:pPr>
        <w:pStyle w:val="ListBullet2"/>
      </w:pPr>
      <w:r>
        <w:t>Se afirma en indicativo una capacidad clínica general, sin matizar que casi toda la evidencia citada es de desarrollo o validación interna.</w:t>
      </w:r>
    </w:p>
    <w:p>
      <w:pPr>
        <w:pStyle w:val="ListBullet2"/>
      </w:pPr>
      <w:r>
        <w:t>El Cap. 2 (PDF 47 / impr. 36) es más prudente: "Deep learning approaches are also being investigated … with results varying depending on the method and cohort analyzed.(413)".</w:t>
      </w:r>
    </w:p>
    <w:p>
      <w:pPr>
        <w:pStyle w:val="ListBullet2"/>
      </w:pPr>
      <w:r>
        <w:t>El propio Cap. 6 cita a Smith et al. (ref. 1432), con una conclusión negativa (ver justificación).</w:t>
      </w:r>
    </w:p>
    <w:p>
      <w:pPr>
        <w:pStyle w:val="ListBullet"/>
      </w:pPr>
      <w:r>
        <w:rPr>
          <w:b/>
        </w:rPr>
        <w:t>Evidencia/justificación:</w:t>
      </w:r>
    </w:p>
    <w:p>
      <w:pPr>
        <w:pStyle w:val="ListBullet2"/>
      </w:pPr>
      <w:r>
        <w:t>Smith LA et al. (Lancet Digit Health 2023;5:e872-81) es una revisión sistemática y metaanálisis de modelos de ML/DL para el pronóstico de la EPOC:</w:t>
      </w:r>
    </w:p>
    <w:p>
      <w:pPr>
        <w:pStyle w:val="ListBullet2"/>
      </w:pPr>
      <w:r>
        <w:t>AUC agrupado ~0,77 con heterogeneidad extrema (I² ~97 %).</w:t>
      </w:r>
    </w:p>
    <w:p>
      <w:pPr>
        <w:pStyle w:val="ListBullet2"/>
      </w:pPr>
      <w:r>
        <w:t>Sin mejora significativa frente a los índices existentes.</w:t>
      </w:r>
    </w:p>
    <w:p>
      <w:pPr>
        <w:pStyle w:val="ListBullet2"/>
      </w:pPr>
      <w:r>
        <w:t>Riesgo de sesgo PROBAST alto en la mayoría de modelos.</w:t>
      </w:r>
    </w:p>
    <w:p>
      <w:pPr>
        <w:pStyle w:val="ListBullet2"/>
      </w:pPr>
      <w:r>
        <w:t>Los pocos modelos con validación externa no superaron a la regresión convencional.</w:t>
      </w:r>
    </w:p>
    <w:p>
      <w:pPr>
        <w:pStyle w:val="ListBullet2"/>
      </w:pPr>
      <w:r>
        <w:t>Ninguna herramienta de IA para EPOC citada ha demostrado en un ECA beneficio en resultados centrados en el paciente. El único ECA citado (ref. 1397) es un estudio de lectores: ver IA-06.</w:t>
      </w:r>
    </w:p>
    <w:p>
      <w:pPr>
        <w:pStyle w:val="ListBullet"/>
      </w:pPr>
      <w:r>
        <w:rPr>
          <w:b/>
        </w:rPr>
        <w:t>Recomendación:</w:t>
      </w:r>
    </w:p>
    <w:p>
      <w:pPr>
        <w:pStyle w:val="ListBullet2"/>
      </w:pPr>
      <w:r>
        <w:t>Reformular como: "AI is being investigated as a tool to support diagnosis, assessment, management and prognosis of COPD; to date, evidence comes mostly from development and internal-validation studies, and no AI tool has shown improvement in patient-relevant outcomes in COPD."</w:t>
      </w:r>
    </w:p>
    <w:p>
      <w:pPr>
        <w:pStyle w:val="ListBullet2"/>
      </w:pPr>
      <w:r>
        <w:t>Alinear con el tono del Cap. 2.</w:t>
      </w:r>
    </w:p>
    <w:p>
      <w:pPr>
        <w:pStyle w:val="ListBullet"/>
      </w:pPr>
      <w:r>
        <w:rPr>
          <w:b/>
        </w:rPr>
        <w:t>Confianza:</w:t>
      </w:r>
      <w:r>
        <w:t xml:space="preserve"> 4/5</w:t>
      </w:r>
    </w:p>
    <w:p>
      <w:pPr>
        <w:pStyle w:val="Heading4"/>
      </w:pPr>
      <w:r>
        <w:t>IA-04 · "AI can also help identifying patients at higher risk of exacerbations" se apoya en un estudio caso-control con sesgo de espectro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"Prognosis", PDF 145-146 / impr. 134-135</w:t>
      </w:r>
    </w:p>
    <w:p>
      <w:pPr>
        <w:pStyle w:val="ListBullet"/>
      </w:pPr>
      <w:r>
        <w:rPr>
          <w:b/>
        </w:rPr>
        <w:t>Cita:</w:t>
      </w:r>
      <w:r>
        <w:t xml:space="preserve"> "Likewise, AI can also help identifying patients at higher risk of exacerbations.(1421) Most of these studies require validation … but clearly pave the way for a better assessment of risk in COPD patients.(1433)"</w:t>
      </w:r>
    </w:p>
    <w:p>
      <w:pPr>
        <w:pStyle w:val="ListBullet"/>
      </w:pPr>
      <w:r>
        <w:rPr>
          <w:b/>
        </w:rPr>
        <w:t>Problema:</w:t>
      </w:r>
    </w:p>
    <w:p>
      <w:pPr>
        <w:pStyle w:val="ListBullet2"/>
      </w:pPr>
      <w:r>
        <w:t>"Likewise" encadena una afirmación positiva a la conclusión negativa de Smith 2023, lo que invierte su mensaje.</w:t>
      </w:r>
    </w:p>
    <w:p>
      <w:pPr>
        <w:pStyle w:val="ListBullet2"/>
      </w:pPr>
      <w:r>
        <w:t>La ref. 1421 (Zhu Y et al., Front Med 2025, PMID 40823588) no predice exacerbaciones futuras:</w:t>
      </w:r>
    </w:p>
    <w:p>
      <w:pPr>
        <w:pStyle w:val="ListBullet2"/>
      </w:pPr>
      <w:r>
        <w:t>Estudio retrospectivo de un único centro.</w:t>
      </w:r>
    </w:p>
    <w:p>
      <w:pPr>
        <w:pStyle w:val="ListBullet2"/>
      </w:pPr>
      <w:r>
        <w:t>Compara 443 pacientes ingresados por exacerbación con 320 estables.</w:t>
      </w:r>
    </w:p>
    <w:p>
      <w:pPr>
        <w:pStyle w:val="ListBullet2"/>
      </w:pPr>
      <w:r>
        <w:t>Usa cocientes del hemograma.</w:t>
      </w:r>
    </w:p>
    <w:p>
      <w:pPr>
        <w:pStyle w:val="ListBullet2"/>
      </w:pPr>
      <w:r>
        <w:t>División aleatoria 7:3 con validación interna solamente; AUC ≈ 0,90.</w:t>
      </w:r>
    </w:p>
    <w:p>
      <w:pPr>
        <w:pStyle w:val="ListBullet2"/>
      </w:pPr>
      <w:r>
        <w:t>Discrimina el estado actual, lo que introduce sesgo de espectro y sobreestima la AUC.</w:t>
      </w:r>
    </w:p>
    <w:p>
      <w:pPr>
        <w:pStyle w:val="ListBullet2"/>
      </w:pPr>
      <w:r>
        <w:t>La ref. 1433 (Singh D et al., Ther Adv Respir Dis 2022) agrupa datos de ensayos de un patrocinador (~20.000 pacientes):</w:t>
      </w:r>
    </w:p>
    <w:p>
      <w:pPr>
        <w:pStyle w:val="ListBullet2"/>
      </w:pPr>
      <w:r>
        <w:t>El ML se usó solo para seleccionar variables y el modelo final es de regresión.</w:t>
      </w:r>
    </w:p>
    <w:p>
      <w:pPr>
        <w:pStyle w:val="ListBullet2"/>
      </w:pPr>
      <w:r>
        <w:t>La validación es interna, en población de ensayo.</w:t>
      </w:r>
    </w:p>
    <w:p>
      <w:pPr>
        <w:pStyle w:val="ListBullet2"/>
      </w:pPr>
      <w:r>
        <w:t>No respalda "clearly pave the way".</w:t>
      </w:r>
    </w:p>
    <w:p>
      <w:pPr>
        <w:pStyle w:val="ListBullet"/>
      </w:pPr>
      <w:r>
        <w:rPr>
          <w:b/>
        </w:rPr>
        <w:t>Evidencia/justificación:</w:t>
      </w:r>
      <w:r>
        <w:t xml:space="preserve"> PROBAST+AI (Moons KGM et al., BMJ 2025;388:e082505, PMID 40127903) considera de alto riesgo de sesgo los diseños caso-control y la ausencia de validación externa. TRIPOD+AI (Collins GS et al., BMJ 2024;385:e078378, PMID 38626948) exige informar de la calibración y de la validación externa. Ninguno de los dos estudios cumple estos requisitos.</w:t>
      </w:r>
    </w:p>
    <w:p>
      <w:pPr>
        <w:pStyle w:val="ListBullet"/>
      </w:pPr>
      <w:r>
        <w:rPr>
          <w:b/>
        </w:rPr>
        <w:t>Recomendación:</w:t>
      </w:r>
    </w:p>
    <w:p>
      <w:pPr>
        <w:pStyle w:val="ListBullet2"/>
      </w:pPr>
      <w:r>
        <w:t>Eliminar "Likewise" y "clearly".</w:t>
      </w:r>
    </w:p>
    <w:p>
      <w:pPr>
        <w:pStyle w:val="ListBullet2"/>
      </w:pPr>
      <w:r>
        <w:t>Indicar que no hay modelos de IA de riesgo de exacerbación validados externamente que superen a la historia de exacerbaciones previas (predictor recomendado por GOLD).</w:t>
      </w:r>
    </w:p>
    <w:p>
      <w:pPr>
        <w:pStyle w:val="ListBullet2"/>
      </w:pPr>
      <w:r>
        <w:t>Si se mantiene un ejemplo, elegir uno con validación externa y calibración informada.</w:t>
      </w:r>
    </w:p>
    <w:p>
      <w:pPr>
        <w:pStyle w:val="ListBullet"/>
      </w:pPr>
      <w:r>
        <w:rPr>
          <w:b/>
        </w:rPr>
        <w:t>Confianza:</w:t>
      </w:r>
      <w:r>
        <w:t xml:space="preserve"> 5/5</w:t>
      </w:r>
    </w:p>
    <w:p>
      <w:pPr>
        <w:pStyle w:val="Heading4"/>
      </w:pPr>
      <w:r>
        <w:t>IA-05 · Referencias no pertinentes en "Underdiagnosis" y "Late diagnosis" (refs. 386, 1396, 1402, 1403)</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"Underdiagnosis" (PDF 142 / impr. 131) y "Late diagnosis" (PDF 143 / impr. 132)</w:t>
      </w:r>
    </w:p>
    <w:p>
      <w:pPr>
        <w:pStyle w:val="ListBullet"/>
      </w:pPr>
      <w:r>
        <w:rPr>
          <w:b/>
        </w:rPr>
        <w:t>Cita:</w:t>
      </w:r>
      <w:r>
        <w:t xml:space="preserve"> "This can also be done in the community, as shown in Canada.(386) There may even be the opportunity to identify undiagnosed patients with COPD in lung cancer screening programs.(386,1396)"; "AI can facilitate earlier diagnosis by searching EHRs.(1402,1403)"</w:t>
      </w:r>
    </w:p>
    <w:p>
      <w:pPr>
        <w:pStyle w:val="ListBullet"/>
      </w:pPr>
      <w:r>
        <w:rPr>
          <w:b/>
        </w:rPr>
        <w:t>Problema:</w:t>
      </w:r>
    </w:p>
    <w:p>
      <w:pPr>
        <w:pStyle w:val="ListBullet2"/>
      </w:pPr>
      <w:r>
        <w:rPr>
          <w:b/>
        </w:rPr>
        <w:t>Ref. 386</w:t>
      </w:r>
      <w:r>
        <w:t xml:space="preserve"> (Aaron SD et al., NEJM 2024, UCAP) es un ECA de búsqueda de casos mediante llamadas telefónicas aleatorias, cuestionario y espirometría. No usa IA ni HCE ni cribado de cáncer de pulmón.</w:t>
      </w:r>
    </w:p>
    <w:p>
      <w:pPr>
        <w:pStyle w:val="ListBullet2"/>
      </w:pPr>
      <w:r>
        <w:rPr>
          <w:b/>
        </w:rPr>
        <w:t>Ref. 1396</w:t>
      </w:r>
      <w:r>
        <w:t xml:space="preserve"> (Spetrini R et al., 2025) es un piloto (n ≈ 67) con cuestionario CAPTURE y espirometría portátil, también sin IA. Además se publicó después del corte metodológico de julio de 2025 (PMID 40893032).</w:t>
      </w:r>
    </w:p>
    <w:p>
      <w:pPr>
        <w:pStyle w:val="ListBullet2"/>
      </w:pPr>
      <w:r>
        <w:rPr>
          <w:b/>
        </w:rPr>
        <w:t>Ref. 1402</w:t>
      </w:r>
      <w:r>
        <w:t xml:space="preserve"> (Bush A et al., ERJ Open Res 2025) trata de supervivientes de parto prematuro, y la </w:t>
      </w:r>
      <w:r>
        <w:rPr>
          <w:b/>
        </w:rPr>
        <w:t>ref. 1403</w:t>
      </w:r>
      <w:r>
        <w:t xml:space="preserve"> (DeBoer EM et al., Pediatrics 2023) es un taller sobre salud pulmonar pediátrica. Ninguna trata de IA ni de búsqueda en HCE.</w:t>
      </w:r>
    </w:p>
    <w:p>
      <w:pPr>
        <w:pStyle w:val="ListBullet"/>
      </w:pPr>
      <w:r>
        <w:rPr>
          <w:b/>
        </w:rPr>
        <w:t>Evidencia/justificación:</w:t>
      </w:r>
    </w:p>
    <w:p>
      <w:pPr>
        <w:pStyle w:val="ListBullet2"/>
      </w:pPr>
      <w:r>
        <w:t>Verificado en los resúmenes (PubMed/EuropePMC) de cada referencia.</w:t>
      </w:r>
    </w:p>
    <w:p>
      <w:pPr>
        <w:pStyle w:val="ListBullet2"/>
      </w:pPr>
      <w:r>
        <w:t>El lector deduce que hay evidencia de que la IA en HCE o en la comunidad detecta EPOC no diagnosticada, pero las citas no lo respaldan.</w:t>
      </w:r>
    </w:p>
    <w:p>
      <w:pPr>
        <w:pStyle w:val="ListBullet2"/>
      </w:pPr>
      <w:r>
        <w:t>Sí existen estudios de modelos de HCE para detectar EPOC no diagnosticada, pero no son los citados.</w:t>
      </w:r>
    </w:p>
    <w:p>
      <w:pPr>
        <w:pStyle w:val="ListBullet"/>
      </w:pPr>
      <w:r>
        <w:rPr>
          <w:b/>
        </w:rPr>
        <w:t>Recomendación:</w:t>
      </w:r>
    </w:p>
    <w:p>
      <w:pPr>
        <w:pStyle w:val="ListBullet2"/>
      </w:pPr>
      <w:r>
        <w:t>Reasignar las citas: ref. 386 para la búsqueda de casos convencional; refs. 1402/1403, si procede, para prematuridad y trayectorias.</w:t>
      </w:r>
    </w:p>
    <w:p>
      <w:pPr>
        <w:pStyle w:val="ListBullet2"/>
      </w:pPr>
      <w:r>
        <w:t>Citar estudios de modelos de HCE con validación externa, o declarar explícitamente que la evidencia de IA en esta área es preliminar.</w:t>
      </w:r>
    </w:p>
    <w:p>
      <w:pPr>
        <w:pStyle w:val="ListBullet2"/>
      </w:pPr>
      <w:r>
        <w:t>Reformular "AI can facilitate" como "AI could potentially facilitate".</w:t>
      </w:r>
    </w:p>
    <w:p>
      <w:pPr>
        <w:pStyle w:val="ListBullet"/>
      </w:pPr>
      <w:r>
        <w:rPr>
          <w:b/>
        </w:rPr>
        <w:t>Confianza:</w:t>
      </w:r>
      <w:r>
        <w:t xml:space="preserve"> 5/5</w:t>
      </w:r>
    </w:p>
    <w:p>
      <w:pPr>
        <w:pStyle w:val="Heading4"/>
      </w:pPr>
      <w:r>
        <w:t>IA-07 · Las "AI-assisted diagnostic alternatives to spirometry" contradicen el carácter obligatorio de la espirometría y se basan en estudios con sesgo de espectro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Cap. 6, PDF 143-144 / impr. 132-133</w:t>
      </w:r>
    </w:p>
    <w:p>
      <w:pPr>
        <w:pStyle w:val="ListBullet"/>
      </w:pPr>
      <w:r>
        <w:rPr>
          <w:b/>
        </w:rPr>
        <w:t>Cita:</w:t>
      </w:r>
      <w:r>
        <w:t xml:space="preserve"> "There are several AI-assisted novel diagnostic alternatives to spirometry being explored in relatively small populations, so they require validation in larger cohorts:(1406)"</w:t>
      </w:r>
    </w:p>
    <w:p>
      <w:pPr>
        <w:pStyle w:val="ListBullet"/>
      </w:pPr>
      <w:r>
        <w:rPr>
          <w:b/>
        </w:rPr>
        <w:t>Problema:</w:t>
      </w:r>
    </w:p>
    <w:p>
      <w:pPr>
        <w:pStyle w:val="ListBullet2"/>
      </w:pPr>
      <w:r>
        <w:rPr>
          <w:b/>
        </w:rPr>
        <w:t>Incongruencia con GOLD.</w:t>
      </w:r>
      <w:r>
        <w:t xml:space="preserve"> GOLD establece en el Cap. 2 (PDF 32 / impr. 21) que la espirometría "is mandatory to establish the diagnosis of COPD". Llamarlas "alternatives" (y no "complementos" o "herramientas de preselección") puede inducir a usarlas como sustitutas.</w:t>
      </w:r>
    </w:p>
    <w:p>
      <w:pPr>
        <w:pStyle w:val="ListBullet2"/>
      </w:pPr>
      <w:r>
        <w:rPr>
          <w:b/>
        </w:rPr>
        <w:t>El problema no es solo el tamaño muestral, sino el diseño:</w:t>
      </w:r>
    </w:p>
    <w:p>
      <w:pPr>
        <w:pStyle w:val="ListBullet2"/>
      </w:pPr>
      <w:r>
        <w:t>Sonidos respiratorios, ref. 1407: AUC 99,67 % sin validación externa.</w:t>
      </w:r>
    </w:p>
    <w:p>
      <w:pPr>
        <w:pStyle w:val="ListBullet2"/>
      </w:pPr>
      <w:r>
        <w:t>Voz, ref. 1408: 48 participantes.</w:t>
      </w:r>
    </w:p>
    <w:p>
      <w:pPr>
        <w:pStyle w:val="ListBullet2"/>
      </w:pPr>
      <w:r>
        <w:t>Sensores de movimiento, ref. 1410: 25 pacientes en rehabilitación; el modelo "perfectly computed" el estadio GOLD.</w:t>
      </w:r>
    </w:p>
    <w:p>
      <w:pPr>
        <w:pStyle w:val="ListBullet2"/>
      </w:pPr>
      <w:r>
        <w:t>Nariz electrónica, refs. 1411-1412: 119 pacientes con EPOC frente a 63 controles sanos, AUC 0,82, con el tabaquismo como confusor.</w:t>
      </w:r>
    </w:p>
    <w:p>
      <w:pPr>
        <w:pStyle w:val="ListBullet2"/>
      </w:pPr>
      <w:r>
        <w:t>Fotopletismografía, ref. 1413.</w:t>
      </w:r>
    </w:p>
    <w:p>
      <w:pPr>
        <w:pStyle w:val="ListBullet2"/>
      </w:pPr>
      <w:r>
        <w:t>En casi todos se compara EPOC establecida con sanos (diseño caso-control), lo que infla la AUC por sesgo de espectro.</w:t>
      </w:r>
    </w:p>
    <w:p>
      <w:pPr>
        <w:pStyle w:val="ListBullet2"/>
      </w:pPr>
      <w:r>
        <w:rPr>
          <w:b/>
        </w:rPr>
        <w:t>Varias técnicas no son IA:</w:t>
      </w:r>
    </w:p>
    <w:p>
      <w:pPr>
        <w:pStyle w:val="ListBullet2"/>
      </w:pPr>
      <w:r>
        <w:t>La oscilometría (ref. 1409, Abdo 2025) es una prueba fisiológica.</w:t>
      </w:r>
    </w:p>
    <w:p>
      <w:pPr>
        <w:pStyle w:val="ListBullet2"/>
      </w:pPr>
      <w:r>
        <w:t>La tomografía por impedancia eléctrica (ref. 1414) se estudió en personas con espirometría normal, con especificidad del 50 % frente a TC.</w:t>
      </w:r>
    </w:p>
    <w:p>
      <w:pPr>
        <w:pStyle w:val="ListBullet2"/>
      </w:pPr>
      <w:r>
        <w:t>La ref. 1414 aparece citada también para la TC.</w:t>
      </w:r>
    </w:p>
    <w:p>
      <w:pPr>
        <w:pStyle w:val="ListBullet2"/>
      </w:pPr>
      <w:r>
        <w:rPr>
          <w:b/>
        </w:rPr>
        <w:t>La ref. 1406</w:t>
      </w:r>
      <w:r>
        <w:t xml:space="preserve"> es una revisión de 2018, desactualizada para un "estado del arte".</w:t>
      </w:r>
    </w:p>
    <w:p>
      <w:pPr>
        <w:pStyle w:val="ListBullet"/>
      </w:pPr>
      <w:r>
        <w:rPr>
          <w:b/>
        </w:rPr>
        <w:t>Evidencia/justificación:</w:t>
      </w:r>
    </w:p>
    <w:p>
      <w:pPr>
        <w:pStyle w:val="ListBullet2"/>
      </w:pPr>
      <w:r>
        <w:t>Para validar un test diagnóstico hay que hacerlo en la población de uso previsto: pacientes sintomáticos de atención primaria, con diagnósticos diferenciales como asma o insuficiencia cardiaca.</w:t>
      </w:r>
    </w:p>
    <w:p>
      <w:pPr>
        <w:pStyle w:val="ListBullet2"/>
      </w:pPr>
      <w:r>
        <w:t>Para informar se dispone de STARD-AI (Sounderajah V et al., Nat Med 2025;31:3283-3289, PMID 40954311) y QUADAS.</w:t>
      </w:r>
    </w:p>
    <w:p>
      <w:pPr>
        <w:pStyle w:val="ListBullet2"/>
      </w:pPr>
      <w:r>
        <w:t>La ref. 1415 (Sun J et al., Eur Radiol 2022) es mejor ejemplo: TC con aprendizaje profundo y validación externa en NLST.</w:t>
      </w:r>
    </w:p>
    <w:p>
      <w:pPr>
        <w:pStyle w:val="ListBullet2"/>
      </w:pPr>
      <w:r>
        <w:t>Los sensores de pulsioximetría y fotopletismografía tienen sesgo por pigmentación cutánea: Sjoding MW et al., NEJM 2020;383:2477-2478, PMID 33326721.</w:t>
      </w:r>
    </w:p>
    <w:p>
      <w:pPr>
        <w:pStyle w:val="ListBullet"/>
      </w:pPr>
      <w:r>
        <w:rPr>
          <w:b/>
        </w:rPr>
        <w:t>Recomendación:</w:t>
      </w:r>
    </w:p>
    <w:p>
      <w:pPr>
        <w:pStyle w:val="ListBullet2"/>
      </w:pPr>
      <w:r>
        <w:t>Renombrar como "AI-assisted tools being explored for COPD case-finding/pre-screening (not substitutes for spirometry)".</w:t>
      </w:r>
    </w:p>
    <w:p>
      <w:pPr>
        <w:pStyle w:val="ListBullet2"/>
      </w:pPr>
      <w:r>
        <w:t>Separar las técnicas que no son IA.</w:t>
      </w:r>
    </w:p>
    <w:p>
      <w:pPr>
        <w:pStyle w:val="ListBullet2"/>
      </w:pPr>
      <w:r>
        <w:t>Indicar para cada una el diseño (caso-control o cohorte), la existencia o no de validación externa y la población.</w:t>
      </w:r>
    </w:p>
    <w:p>
      <w:pPr>
        <w:pStyle w:val="ListBullet2"/>
      </w:pPr>
      <w:r>
        <w:t>Advertir del sesgo de espectro y del sesgo por pigmentación.</w:t>
      </w:r>
    </w:p>
    <w:p>
      <w:pPr>
        <w:pStyle w:val="ListBullet"/>
      </w:pPr>
      <w:r>
        <w:rPr>
          <w:b/>
        </w:rPr>
        <w:t>Confianza:</w:t>
      </w:r>
      <w:r>
        <w:t xml:space="preserve"> 4/5</w:t>
      </w:r>
    </w:p>
    <w:p>
      <w:pPr>
        <w:pStyle w:val="Heading4"/>
      </w:pPr>
      <w:r>
        <w:t>IA-11 · Ausencia de un marco de evaluación y reporte de IA y de niveles de evidencia</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Todo el Cap. 6, PDF 142-148 / impr. 131-137 (p. ej., la introducción en PDF 142)</w:t>
      </w:r>
    </w:p>
    <w:p>
      <w:pPr>
        <w:pStyle w:val="ListBullet"/>
      </w:pPr>
      <w:r>
        <w:rPr>
          <w:b/>
        </w:rPr>
        <w:t>Cita:</w:t>
      </w:r>
      <w:r>
        <w:t xml:space="preserve"> "AI comes with risks and limitations that need careful consideration before deployment in clinical practice (Figure 6.2).(1392)"</w:t>
      </w:r>
    </w:p>
    <w:p>
      <w:pPr>
        <w:pStyle w:val="ListBullet"/>
      </w:pPr>
      <w:r>
        <w:rPr>
          <w:b/>
        </w:rPr>
        <w:t>Problema:</w:t>
      </w:r>
    </w:p>
    <w:p>
      <w:pPr>
        <w:pStyle w:val="ListBullet2"/>
      </w:pPr>
      <w:r>
        <w:t>El capítulo no ofrece ningún criterio para que el clínico juzgue la madurez de una herramienta de IA o digital.</w:t>
      </w:r>
    </w:p>
    <w:p>
      <w:pPr>
        <w:pStyle w:val="ListBullet2"/>
      </w:pPr>
      <w:r>
        <w:t>No asigna niveles de evidencia GOLD (A-D) a ninguna afirmación. El único grado citado es el GRADE de la guía ATS (PDF 148).</w:t>
      </w:r>
    </w:p>
    <w:p>
      <w:pPr>
        <w:pStyle w:val="ListBullet2"/>
      </w:pPr>
      <w:r>
        <w:t>Mezcla en el mismo plano prototipos de laboratorio, validaciones internas, estudios de lectores y ECAs.</w:t>
      </w:r>
    </w:p>
    <w:p>
      <w:pPr>
        <w:pStyle w:val="ListBullet"/>
      </w:pPr>
      <w:r>
        <w:rPr>
          <w:b/>
        </w:rPr>
        <w:t>Evidencia/justificación:</w:t>
      </w:r>
      <w:r>
        <w:t xml:space="preserve"> Existen estándares consolidados que una guía de referencia debería exigir o recomendar:</w:t>
      </w:r>
    </w:p>
    <w:p>
      <w:pPr>
        <w:pStyle w:val="ListBullet2"/>
      </w:pPr>
      <w:r>
        <w:rPr>
          <w:b/>
        </w:rPr>
        <w:t>TRIPOD+AI</w:t>
      </w:r>
      <w:r>
        <w:t xml:space="preserve"> (BMJ 2024;385:e078378) y </w:t>
      </w:r>
      <w:r>
        <w:rPr>
          <w:b/>
        </w:rPr>
        <w:t>PROBAST+AI</w:t>
      </w:r>
      <w:r>
        <w:t xml:space="preserve"> (BMJ 2025;388:e082505), para modelos predictivos.</w:t>
      </w:r>
    </w:p>
    <w:p>
      <w:pPr>
        <w:pStyle w:val="ListBullet2"/>
      </w:pPr>
      <w:r>
        <w:rPr>
          <w:b/>
        </w:rPr>
        <w:t>STARD-AI</w:t>
      </w:r>
      <w:r>
        <w:t xml:space="preserve"> (Nat Med 2025;31:3283-3289), para exactitud diagnóstica.</w:t>
      </w:r>
    </w:p>
    <w:p>
      <w:pPr>
        <w:pStyle w:val="ListBullet2"/>
      </w:pPr>
      <w:r>
        <w:rPr>
          <w:b/>
        </w:rPr>
        <w:t>DECIDE-AI</w:t>
      </w:r>
      <w:r>
        <w:t xml:space="preserve"> (Nat Med 2022;28:924-933; BMJ 2022;377:e070904), para la evaluación clínica temprana.</w:t>
      </w:r>
    </w:p>
    <w:p>
      <w:pPr>
        <w:pStyle w:val="ListBullet2"/>
      </w:pPr>
      <w:r>
        <w:rPr>
          <w:b/>
        </w:rPr>
        <w:t>SPIRIT-AI / CONSORT-AI</w:t>
      </w:r>
      <w:r>
        <w:t xml:space="preserve"> (Nat Med 2020;26:1351-1363 y 1364-1374), para ECAs.</w:t>
      </w:r>
    </w:p>
    <w:p>
      <w:pPr>
        <w:pStyle w:val="ListBullet2"/>
      </w:pPr>
      <w:r>
        <w:rPr>
          <w:b/>
        </w:rPr>
        <w:t>TRIPOD-LLM</w:t>
      </w:r>
      <w:r>
        <w:t xml:space="preserve"> (Gallifant J et al., Nat Med 2025), para LLM.</w:t>
      </w:r>
    </w:p>
    <w:p>
      <w:pPr>
        <w:pStyle w:val="ListBullet2"/>
      </w:pPr>
      <w:r>
        <w:rPr>
          <w:b/>
        </w:rPr>
        <w:t>CONSORT-EHEALTH</w:t>
      </w:r>
      <w:r>
        <w:t xml:space="preserve"> (Eysenbach G, JMIR 2011;13:e126), para intervenciones de salud digital.</w:t>
      </w:r>
    </w:p>
    <w:p>
      <w:pPr>
        <w:pStyle w:val="ListBullet"/>
      </w:pPr>
      <w:r>
        <w:rPr>
          <w:b/>
        </w:rPr>
        <w:t>Recomendación:</w:t>
      </w:r>
    </w:p>
    <w:p>
      <w:pPr>
        <w:pStyle w:val="ListBullet2"/>
      </w:pPr>
      <w:r>
        <w:t>Añadir una tabla de "madurez de la evidencia" con los niveles: desarrollo → validación externa (discriminación y calibración) → evaluación clínica temprana (DECIDE-AI) → ECA de impacto → vigilancia poscomercialización.</w:t>
      </w:r>
    </w:p>
    <w:p>
      <w:pPr>
        <w:pStyle w:val="ListBullet2"/>
      </w:pPr>
      <w:r>
        <w:t>Clasificar cada uso mencionado en esa tabla.</w:t>
      </w:r>
    </w:p>
    <w:p>
      <w:pPr>
        <w:pStyle w:val="ListBullet2"/>
      </w:pPr>
      <w:r>
        <w:t>Asignar niveles de evidencia GOLD a las afirmaciones con implicaciones prácticas.</w:t>
      </w:r>
    </w:p>
    <w:p>
      <w:pPr>
        <w:pStyle w:val="ListBullet"/>
      </w:pPr>
      <w:r>
        <w:rPr>
          <w:b/>
        </w:rPr>
        <w:t>Confianza:</w:t>
      </w:r>
      <w:r>
        <w:t xml:space="preserve"> 5/5</w:t>
      </w:r>
    </w:p>
    <w:p>
      <w:pPr>
        <w:pStyle w:val="Heading4"/>
      </w:pPr>
      <w:r>
        <w:t>IA-12 · Marco regulatorio casi ausente y sin distinguir herramientas autorizadas de prototipos</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Cap. 6, PDF 142 / impr. 131 (única mención); afecta a PDF 142-146</w:t>
      </w:r>
    </w:p>
    <w:p>
      <w:pPr>
        <w:pStyle w:val="ListBullet"/>
      </w:pPr>
      <w:r>
        <w:rPr>
          <w:b/>
        </w:rPr>
        <w:t>Cita:</w:t>
      </w:r>
      <w:r>
        <w:t xml:space="preserve"> "…together with the legal framework on data access and medical devices, may limit its practical implementation."</w:t>
      </w:r>
    </w:p>
    <w:p>
      <w:pPr>
        <w:pStyle w:val="ListBullet"/>
      </w:pPr>
      <w:r>
        <w:rPr>
          <w:b/>
        </w:rPr>
        <w:t>Problema:</w:t>
      </w:r>
    </w:p>
    <w:p>
      <w:pPr>
        <w:pStyle w:val="ListBullet2"/>
      </w:pPr>
      <w:r>
        <w:t>El marco legal se menciona solo como barrera.</w:t>
      </w:r>
    </w:p>
    <w:p>
      <w:pPr>
        <w:pStyle w:val="ListBullet2"/>
      </w:pPr>
      <w:r>
        <w:t>Muchas funciones propuestas son, por definición, software dispositivo médico (SaMD): interpretación de espirometrías, triaje con chatbot, telemonitorización con alertas, predicción de exacerbaciones, CDS en la HCE.</w:t>
      </w:r>
    </w:p>
    <w:p>
      <w:pPr>
        <w:pStyle w:val="ListBullet2"/>
      </w:pPr>
      <w:r>
        <w:t>El capítulo no indica qué está aprobado. Esto contradice el principio metodológico de GOLD de no recomendar lo no aprobado por una agencia reguladora importante (PDF 7 / impr. vi), aunque ese principio se formula para fármacos.</w:t>
      </w:r>
    </w:p>
    <w:p>
      <w:pPr>
        <w:pStyle w:val="ListBullet"/>
      </w:pPr>
      <w:r>
        <w:rPr>
          <w:b/>
        </w:rPr>
        <w:t>Evidencia/justificación:</w:t>
      </w:r>
    </w:p>
    <w:p>
      <w:pPr>
        <w:pStyle w:val="ListBullet2"/>
      </w:pPr>
      <w:r>
        <w:rPr>
          <w:b/>
        </w:rPr>
        <w:t>UE:</w:t>
      </w:r>
    </w:p>
    <w:p>
      <w:pPr>
        <w:pStyle w:val="ListBullet2"/>
      </w:pPr>
      <w:r>
        <w:t>Reglamento (UE) 2017/745 (MDR), Anexo VIII, Regla 11: el software para decisiones diagnósticas o terapéuticas es al menos clase IIa.</w:t>
      </w:r>
    </w:p>
    <w:p>
      <w:pPr>
        <w:pStyle w:val="ListBullet2"/>
      </w:pPr>
      <w:r>
        <w:t>Reglamento (UE) 2024/1689 (Ley de IA): los sistemas de IA que son dispositivos médicos sujetos a evaluación por organismo notificado son de alto riesgo (art. 6(1), Anexo I). Las obligaciones aplican desde agosto de 2027. La propuesta "Digital Omnibus" (noviembre de 2025) podría modificar los plazos; esto es incierto.</w:t>
      </w:r>
    </w:p>
    <w:p>
      <w:pPr>
        <w:pStyle w:val="ListBullet2"/>
      </w:pPr>
      <w:r>
        <w:rPr>
          <w:b/>
        </w:rPr>
        <w:t>FDA:</w:t>
      </w:r>
    </w:p>
    <w:p>
      <w:pPr>
        <w:pStyle w:val="ListBullet2"/>
      </w:pPr>
      <w:r>
        <w:t>Guía final de PCCP (diciembre de 2024).</w:t>
      </w:r>
    </w:p>
    <w:p>
      <w:pPr>
        <w:pStyle w:val="ListBullet2"/>
      </w:pPr>
      <w:r>
        <w:t>Borrador sobre funciones de software con IA (enero de 2025).</w:t>
      </w:r>
    </w:p>
    <w:p>
      <w:pPr>
        <w:pStyle w:val="ListBullet2"/>
      </w:pPr>
      <w:r>
        <w:t>Guía de CDS (2022).</w:t>
      </w:r>
    </w:p>
    <w:p>
      <w:pPr>
        <w:pStyle w:val="ListBullet2"/>
      </w:pPr>
      <w:r>
        <w:t>Principios de buenas prácticas de aprendizaje automático (GMLP; FDA/Health Canada/MHRA, 2021).</w:t>
      </w:r>
    </w:p>
    <w:p>
      <w:pPr>
        <w:pStyle w:val="ListBullet2"/>
      </w:pPr>
      <w:r>
        <w:rPr>
          <w:b/>
        </w:rPr>
        <w:t>Protección de datos:</w:t>
      </w:r>
      <w:r>
        <w:t xml:space="preserve"> RGPD (art. 9) y HIPAA.</w:t>
      </w:r>
    </w:p>
    <w:p>
      <w:pPr>
        <w:pStyle w:val="ListBullet"/>
      </w:pPr>
      <w:r>
        <w:rPr>
          <w:b/>
        </w:rPr>
        <w:t>Recomendación:</w:t>
      </w:r>
    </w:p>
    <w:p>
      <w:pPr>
        <w:pStyle w:val="ListBullet2"/>
      </w:pPr>
      <w:r>
        <w:t>Añadir un apartado breve sobre "Regulatory status and accountability".</w:t>
      </w:r>
    </w:p>
    <w:p>
      <w:pPr>
        <w:pStyle w:val="ListBullet2"/>
      </w:pPr>
      <w:r>
        <w:t>Indicar para cada tipo de herramienta si existen productos con marcado CE o autorización FDA.</w:t>
      </w:r>
    </w:p>
    <w:p>
      <w:pPr>
        <w:pStyle w:val="ListBullet2"/>
      </w:pPr>
      <w:r>
        <w:t>Recomendar usar solo herramientas autorizadas para su uso previsto, con supervisión humana y vigilancia poscomercialización.</w:t>
      </w:r>
    </w:p>
    <w:p>
      <w:pPr>
        <w:pStyle w:val="ListBullet"/>
      </w:pPr>
      <w:r>
        <w:rPr>
          <w:b/>
        </w:rPr>
        <w:t>Confianza:</w:t>
      </w:r>
      <w:r>
        <w:t xml:space="preserve"> 4/5</w:t>
      </w:r>
    </w:p>
    <w:p>
      <w:pPr>
        <w:pStyle w:val="Heading4"/>
      </w:pPr>
      <w:r>
        <w:t>IA-13 · "Keyboard zero" y envío de resúmenes por WhatsApp/SMS: privacidad, consentimiento y errores de los LLM no abordados</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Cap. 6, "Management guidelines, multimorbidity and AI", PDF 145 / impr. 134</w:t>
      </w:r>
    </w:p>
    <w:p>
      <w:pPr>
        <w:pStyle w:val="ListBullet"/>
      </w:pPr>
      <w:r>
        <w:rPr>
          <w:b/>
        </w:rPr>
        <w:t>Cita:</w:t>
      </w:r>
      <w:r>
        <w:t xml:space="preserve"> "…the conversation between the patient and the doctor is continuously recorded ("keyboard zero"). Then, AI can produce a summary … sent e.g., via e-mail, text message, SMS, WhatsApp etc) to the patient. … likely to improve eye contact (and empathy)"</w:t>
      </w:r>
    </w:p>
    <w:p>
      <w:pPr>
        <w:pStyle w:val="ListBullet"/>
      </w:pPr>
      <w:r>
        <w:rPr>
          <w:b/>
        </w:rPr>
        <w:t>Problema:</w:t>
      </w:r>
    </w:p>
    <w:p>
      <w:pPr>
        <w:pStyle w:val="ListBullet2"/>
      </w:pPr>
      <w:r>
        <w:t>Se propone grabar la consulta y enviar datos de salud por canales de consumo sin mencionar:</w:t>
      </w:r>
    </w:p>
    <w:p>
      <w:pPr>
        <w:pStyle w:val="ListBullet2"/>
      </w:pPr>
      <w:r>
        <w:t>El consentimiento explícito de la grabación (en algunas jurisdicciones, de todas las partes).</w:t>
      </w:r>
    </w:p>
    <w:p>
      <w:pPr>
        <w:pStyle w:val="ListBullet2"/>
      </w:pPr>
      <w:r>
        <w:t>Las bases jurídicas para datos de salud (RGPD art. 9) y la retención y el borrado de las grabaciones.</w:t>
      </w:r>
    </w:p>
    <w:p>
      <w:pPr>
        <w:pStyle w:val="ListBullet2"/>
      </w:pPr>
      <w:r>
        <w:t>Que WhatsApp y el SMS no son canales seguros conformes a HIPAA, ni el riesgo de exposición en dispositivos compartidos.</w:t>
      </w:r>
    </w:p>
    <w:p>
      <w:pPr>
        <w:pStyle w:val="ListBullet2"/>
      </w:pPr>
      <w:r>
        <w:t>Las alucinaciones u omisiones de los LLM y la responsabilidad legal.</w:t>
      </w:r>
    </w:p>
    <w:p>
      <w:pPr>
        <w:pStyle w:val="ListBullet2"/>
      </w:pPr>
      <w:r>
        <w:t>"Likely to improve eye contact (and empathy)" no lleva cita.</w:t>
      </w:r>
    </w:p>
    <w:p>
      <w:pPr>
        <w:pStyle w:val="ListBullet"/>
      </w:pPr>
      <w:r>
        <w:rPr>
          <w:b/>
        </w:rPr>
        <w:t>Evidencia/justificación:</w:t>
      </w:r>
    </w:p>
    <w:p>
      <w:pPr>
        <w:pStyle w:val="ListBullet2"/>
      </w:pPr>
      <w:r>
        <w:t>El primer ECA de escribas ambientales (Lukac PJ et al., NEJM AI 2025;2(12), DOI 10.1056/AIoa2501000, PMID 41497288; 238 médicos) halló:</w:t>
      </w:r>
    </w:p>
    <w:p>
      <w:pPr>
        <w:pStyle w:val="ListBullet2"/>
      </w:pPr>
      <w:r>
        <w:t>Reducción modesta del tiempo de documentación con una sola de las dos plataformas: Nabla −9,5 %; DAX sin cambios.</w:t>
      </w:r>
    </w:p>
    <w:p>
      <w:pPr>
        <w:pStyle w:val="ListBullet2"/>
      </w:pPr>
      <w:r>
        <w:t>Inexactitudes clínicamente significativas notificadas "occasionally".</w:t>
      </w:r>
    </w:p>
    <w:p>
      <w:pPr>
        <w:pStyle w:val="ListBullet2"/>
      </w:pPr>
      <w:r>
        <w:t>Los autores piden "ongoing vigilance".</w:t>
      </w:r>
    </w:p>
    <w:p>
      <w:pPr>
        <w:pStyle w:val="ListBullet2"/>
      </w:pPr>
      <w:r>
        <w:t>Eccles A et al. (BMJ 2025;390, PMID 40866006) describen consecuencias no deseadas en atención primaria.</w:t>
      </w:r>
    </w:p>
    <w:p>
      <w:pPr>
        <w:pStyle w:val="ListBullet2"/>
      </w:pPr>
      <w:r>
        <w:t>No hay evidencia de mejora de la empatía en EPOC.</w:t>
      </w:r>
    </w:p>
    <w:p>
      <w:pPr>
        <w:pStyle w:val="ListBullet"/>
      </w:pPr>
      <w:r>
        <w:rPr>
          <w:b/>
        </w:rPr>
        <w:t>Recomendación:</w:t>
      </w:r>
    </w:p>
    <w:p>
      <w:pPr>
        <w:pStyle w:val="ListBullet2"/>
      </w:pPr>
      <w:r>
        <w:t>Presentarlo como experiencia emergente, no como recomendación.</w:t>
      </w:r>
    </w:p>
    <w:p>
      <w:pPr>
        <w:pStyle w:val="ListBullet2"/>
      </w:pPr>
      <w:r>
        <w:t>Exigir consentimiento informado, plataformas seguras y conformes con la normativa, y revisión y firma médica.</w:t>
      </w:r>
    </w:p>
    <w:p>
      <w:pPr>
        <w:pStyle w:val="ListBullet2"/>
      </w:pPr>
      <w:r>
        <w:t>Advertir del riesgo de errores.</w:t>
      </w:r>
    </w:p>
    <w:p>
      <w:pPr>
        <w:pStyle w:val="ListBullet2"/>
      </w:pPr>
      <w:r>
        <w:t>Eliminar o citar la afirmación sobre empatía.</w:t>
      </w:r>
    </w:p>
    <w:p>
      <w:pPr>
        <w:pStyle w:val="ListBullet"/>
      </w:pPr>
      <w:r>
        <w:rPr>
          <w:b/>
        </w:rPr>
        <w:t>Confianza:</w:t>
      </w:r>
      <w:r>
        <w:t xml:space="preserve"> 4/5</w:t>
      </w:r>
    </w:p>
    <w:p>
      <w:pPr>
        <w:pStyle w:val="Heading4"/>
      </w:pPr>
      <w:r>
        <w:t>IA-15 · Chatbot como primera interfaz y para recomendar acciones: la referencia no evalúa triaje y no se abordan los riesgos de seguridad</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PDF 145 / impr. 134</w:t>
      </w:r>
    </w:p>
    <w:p>
      <w:pPr>
        <w:pStyle w:val="ListBullet"/>
      </w:pPr>
      <w:r>
        <w:rPr>
          <w:b/>
        </w:rPr>
        <w:t>Cita:</w:t>
      </w:r>
      <w:r>
        <w:t xml:space="preserve"> "…a chatbot in the home of the patient can potentially be the first interface to contact the healthcare system(1430) and answer questions … and recommend specific actions, including automatically seeking healthcare, either remotely or in person.(1431)"</w:t>
      </w:r>
    </w:p>
    <w:p>
      <w:pPr>
        <w:pStyle w:val="ListBullet"/>
      </w:pPr>
      <w:r>
        <w:rPr>
          <w:b/>
        </w:rPr>
        <w:t>Problema:</w:t>
      </w:r>
    </w:p>
    <w:p>
      <w:pPr>
        <w:pStyle w:val="ListBullet2"/>
      </w:pPr>
      <w:r>
        <w:t xml:space="preserve">La </w:t>
      </w:r>
      <w:r>
        <w:rPr>
          <w:b/>
        </w:rPr>
        <w:t>ref. 1431</w:t>
      </w:r>
      <w:r>
        <w:t xml:space="preserve"> (Ayers JW et al., JAMA Intern Med 2023) es un estudio transversal: valoró la calidad y la empatía de respuestas a 195 preguntas de un foro de Reddit (r/AskDocs). No evaluó triaje, EPOC, seguridad ni acciones automáticas.</w:t>
      </w:r>
    </w:p>
    <w:p>
      <w:pPr>
        <w:pStyle w:val="ListBullet2"/>
      </w:pPr>
      <w:r>
        <w:t xml:space="preserve">La </w:t>
      </w:r>
      <w:r>
        <w:rPr>
          <w:b/>
        </w:rPr>
        <w:t>ref. 1430</w:t>
      </w:r>
      <w:r>
        <w:t xml:space="preserve"> es un artículo de opinión de autores de GOLD (Med Clin Barc 2025).</w:t>
      </w:r>
    </w:p>
    <w:p>
      <w:pPr>
        <w:pStyle w:val="ListBullet2"/>
      </w:pPr>
      <w:r>
        <w:t>Un error de triaje puede retrasar la atención de una exacerbación grave: se trata de un riesgo directo para el paciente.</w:t>
      </w:r>
    </w:p>
    <w:p>
      <w:pPr>
        <w:pStyle w:val="ListBullet"/>
      </w:pPr>
      <w:r>
        <w:rPr>
          <w:b/>
        </w:rPr>
        <w:t>Evidencia/justificación:</w:t>
      </w:r>
    </w:p>
    <w:p>
      <w:pPr>
        <w:pStyle w:val="ListBullet2"/>
      </w:pPr>
      <w:r>
        <w:t>Los verificadores de síntomas tienen una exactitud de triaje baja y variable: Semigran HL et al., BMJ 2015;351:h3480; Wallace W et al., npj Digit Med 2022;5:118.</w:t>
      </w:r>
    </w:p>
    <w:p>
      <w:pPr>
        <w:pStyle w:val="ListBullet2"/>
      </w:pPr>
      <w:r>
        <w:t>Un chatbot que recomienda acciones clínicas sería un dispositivo médico (ver IA-12).</w:t>
      </w:r>
    </w:p>
    <w:p>
      <w:pPr>
        <w:pStyle w:val="ListBullet2"/>
      </w:pPr>
      <w:r>
        <w:t>La Figura 6.2 no menciona riesgos específicos de los LLM: alucinaciones, consejo inseguro, sesgo de automatización más allá de "overreliance".</w:t>
      </w:r>
    </w:p>
    <w:p>
      <w:pPr>
        <w:pStyle w:val="ListBullet"/>
      </w:pPr>
      <w:r>
        <w:rPr>
          <w:b/>
        </w:rPr>
        <w:t>Recomendación:</w:t>
      </w:r>
    </w:p>
    <w:p>
      <w:pPr>
        <w:pStyle w:val="ListBullet2"/>
      </w:pPr>
      <w:r>
        <w:t>Sustituir la ref. 1431 por evidencia de triaje.</w:t>
      </w:r>
    </w:p>
    <w:p>
      <w:pPr>
        <w:pStyle w:val="ListBullet2"/>
      </w:pPr>
      <w:r>
        <w:t>Precisar que hoy no existen chatbots validados para el triaje de la EPOC.</w:t>
      </w:r>
    </w:p>
    <w:p>
      <w:pPr>
        <w:pStyle w:val="ListBullet2"/>
      </w:pPr>
      <w:r>
        <w:t>Exigir validación prospectiva, autorización regulatoria y vías de escalado claras: ante síntomas graves, contacto humano o urgencias.</w:t>
      </w:r>
    </w:p>
    <w:p>
      <w:pPr>
        <w:pStyle w:val="ListBullet2"/>
      </w:pPr>
      <w:r>
        <w:t>Añadir las alucinaciones de los LLM a la Figura 6.2.</w:t>
      </w:r>
    </w:p>
    <w:p>
      <w:pPr>
        <w:pStyle w:val="ListBullet"/>
      </w:pPr>
      <w:r>
        <w:rPr>
          <w:b/>
        </w:rPr>
        <w:t>Confianza:</w:t>
      </w:r>
      <w:r>
        <w:t xml:space="preserve"> 4/5</w:t>
      </w:r>
    </w:p>
    <w:p>
      <w:pPr>
        <w:pStyle w:val="Heading4"/>
      </w:pPr>
      <w:r>
        <w:t>IA-17 · "AI-supported home rehabilitation … alternative" cuando la ref. 1429 evaluó el mantenimiento de la actividad física tras la rehabilitación pulmonar</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PDF 145 / impr. 134</w:t>
      </w:r>
    </w:p>
    <w:p>
      <w:pPr>
        <w:pStyle w:val="ListBullet"/>
      </w:pPr>
      <w:r>
        <w:rPr>
          <w:b/>
        </w:rPr>
        <w:t>Cita:</w:t>
      </w:r>
      <w:r>
        <w:t xml:space="preserve"> "Likewise, AI-supported home rehabilitation is a potential alternative when face to face programs are not available.(1429)"</w:t>
      </w:r>
    </w:p>
    <w:p>
      <w:pPr>
        <w:pStyle w:val="ListBullet"/>
      </w:pPr>
      <w:r>
        <w:rPr>
          <w:b/>
        </w:rPr>
        <w:t>Problema:</w:t>
      </w:r>
    </w:p>
    <w:p>
      <w:pPr>
        <w:pStyle w:val="ListBullet2"/>
      </w:pPr>
      <w:r>
        <w:t>La ref. 1429 (Spielmanns M et al., Thorax 2023;78:442-450) es un ECA de una aplicación de smartphone para mantener la actividad física (pasos diarios) después de completar la rehabilitación pulmonar presencial.</w:t>
      </w:r>
    </w:p>
    <w:p>
      <w:pPr>
        <w:pStyle w:val="ListBullet2"/>
      </w:pPr>
      <w:r>
        <w:t>No compara la aplicación con la rehabilitación como alternativa.</w:t>
      </w:r>
    </w:p>
    <w:p>
      <w:pPr>
        <w:pStyle w:val="ListBullet2"/>
      </w:pPr>
      <w:r>
        <w:t>El papel de la IA en esa aplicación no está claro.</w:t>
      </w:r>
    </w:p>
    <w:p>
      <w:pPr>
        <w:pStyle w:val="ListBullet2"/>
      </w:pPr>
      <w:r>
        <w:t>El Apéndice 4 (PDF 173 / impr. 162) dice: "Promoting physical activity using smartphone apps … at present data on effectiveness are lacking.(164)". En la PDF 170 usa la ref. 1429 con otro sentido.</w:t>
      </w:r>
    </w:p>
    <w:p>
      <w:pPr>
        <w:pStyle w:val="ListBullet"/>
      </w:pPr>
      <w:r>
        <w:rPr>
          <w:b/>
        </w:rPr>
        <w:t>Evidencia/justificación:</w:t>
      </w:r>
      <w:r>
        <w:t xml:space="preserve"> Verificado en el resumen del ECA.</w:t>
      </w:r>
    </w:p>
    <w:p>
      <w:pPr>
        <w:pStyle w:val="ListBullet"/>
      </w:pPr>
      <w:r>
        <w:rPr>
          <w:b/>
        </w:rPr>
        <w:t>Recomendación:</w:t>
      </w:r>
    </w:p>
    <w:p>
      <w:pPr>
        <w:pStyle w:val="ListBullet2"/>
      </w:pPr>
      <w:r>
        <w:t>Reformular como: "Smartphone-based programmes may help maintain physical activity after PR(1429); evidence for app-based or AI-supported home rehabilitation as an alternative to PR is lacking."</w:t>
      </w:r>
    </w:p>
    <w:p>
      <w:pPr>
        <w:pStyle w:val="ListBullet2"/>
      </w:pPr>
      <w:r>
        <w:t>Para la telerrehabilitación como alternativa, remitir a la ref. 1436 y a la ref. 736.</w:t>
      </w:r>
    </w:p>
    <w:p>
      <w:pPr>
        <w:pStyle w:val="ListBullet2"/>
      </w:pPr>
      <w:r>
        <w:t>Armonizar con el Apéndice 4.</w:t>
      </w:r>
    </w:p>
    <w:p>
      <w:pPr>
        <w:pStyle w:val="ListBullet"/>
      </w:pPr>
      <w:r>
        <w:rPr>
          <w:b/>
        </w:rPr>
        <w:t>Confianza:</w:t>
      </w:r>
      <w:r>
        <w:t xml:space="preserve"> 4/5</w:t>
      </w:r>
    </w:p>
    <w:p>
      <w:pPr>
        <w:pStyle w:val="Heading4"/>
      </w:pPr>
      <w:r>
        <w:t>REH-17 · Telesalud, telerrehabilitación y atención integrada: la Figura A4.1 contradice el Apéndice 4 y el cap. 6</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 / Desactualización</w:t>
      </w:r>
    </w:p>
    <w:p>
      <w:pPr>
        <w:pStyle w:val="ListBullet"/>
      </w:pPr>
      <w:r>
        <w:rPr>
          <w:b/>
        </w:rPr>
        <w:t>Severidad:</w:t>
      </w:r>
      <w:r>
        <w:t xml:space="preserve"> ALTA</w:t>
      </w:r>
    </w:p>
    <w:p>
      <w:pPr>
        <w:pStyle w:val="ListBullet"/>
      </w:pPr>
      <w:r>
        <w:rPr>
          <w:b/>
        </w:rPr>
        <w:t>Ubicación:</w:t>
      </w:r>
      <w:r>
        <w:t xml:space="preserve"> PDF 172 / impr. 161 — Figura A4.1; PDF 169-170 / impr. 158-159 — «Integrated care programs»; PDF 173 / impr. 162 — telerrehabilitación; cap. 6, PDF 148 / impr. 137.</w:t>
      </w:r>
    </w:p>
    <w:p>
      <w:pPr>
        <w:pStyle w:val="ListBullet"/>
      </w:pPr>
      <w:r>
        <w:rPr>
          <w:b/>
        </w:rPr>
        <w:t>Cita:</w:t>
      </w:r>
    </w:p>
    <w:p>
      <w:pPr>
        <w:pStyle w:val="ListBullet2"/>
      </w:pPr>
      <w:r>
        <w:t>Figura A4.1: «Integrative care and telehealth have no demonstrated benefit at this time (Evidence B)».</w:t>
      </w:r>
    </w:p>
    <w:p>
      <w:pPr>
        <w:pStyle w:val="ListBullet2"/>
      </w:pPr>
      <w:r>
        <w:t>Apéndice: «tele-rehabilitation is safe and has similar benefits»; «supervision remains the standard of care and first-line option».</w:t>
      </w:r>
    </w:p>
    <w:p>
      <w:pPr>
        <w:pStyle w:val="ListBullet2"/>
      </w:pPr>
      <w:r>
        <w:t>Cap. 6: «should be offered the choice of a center-based pulmonary rehabilitation or telerehabilitation (strong recommendation, moderate quality…».</w:t>
      </w:r>
    </w:p>
    <w:p>
      <w:pPr>
        <w:pStyle w:val="ListBullet"/>
      </w:pPr>
      <w:r>
        <w:rPr>
          <w:b/>
        </w:rPr>
        <w:t>Problema:</w:t>
      </w:r>
    </w:p>
    <w:p>
      <w:pPr>
        <w:pStyle w:val="ListBullet2"/>
      </w:pPr>
      <w:r>
        <w:t>Una afirmación general de «ningún beneficio demostrado» (con Evidencia B) choca con:</w:t>
      </w:r>
    </w:p>
    <w:p>
      <w:pPr>
        <w:pStyle w:val="ListBullet2"/>
      </w:pPr>
      <w:r>
        <w:t>la telerrehabilitación, con resultados similares a la RR presencial (Cochrane 2021) y recomendación fuerte de la ATS 2023, recogida por el propio GOLD en el cap. 6;</w:t>
      </w:r>
    </w:p>
    <w:p>
      <w:pPr>
        <w:pStyle w:val="ListBullet2"/>
      </w:pPr>
      <w:r>
        <w:t>la atención integrada, que el texto califica de «conflicting» y para la que cita COMET y PIC-COPD (menor mortalidad) y Poot 2021 (Cochrane: mejora la calidad de vida y la capacidad de ejercicio y reduce los ingresos respiratorios).</w:t>
      </w:r>
    </w:p>
    <w:p>
      <w:pPr>
        <w:pStyle w:val="ListBullet2"/>
      </w:pPr>
      <w:r>
        <w:t>Además, el Apéndice presenta la RR presencial como «primera línea», mientras que el cap. 6 recomienda ofrecer a elegir entre presencial y telerrehabilitación.</w:t>
      </w:r>
    </w:p>
    <w:p>
      <w:pPr>
        <w:pStyle w:val="ListBullet2"/>
      </w:pPr>
      <w:r>
        <w:t>Riesgo: que pagadores o clínicos nieguen la telerrehabilitación a pacientes sin acceso a un centro.</w:t>
      </w:r>
    </w:p>
    <w:p>
      <w:pPr>
        <w:pStyle w:val="ListBullet"/>
      </w:pPr>
      <w:r>
        <w:rPr>
          <w:b/>
        </w:rPr>
        <w:t>Evidencia/justificación:</w:t>
      </w:r>
    </w:p>
    <w:p>
      <w:pPr>
        <w:pStyle w:val="ListBullet2"/>
      </w:pPr>
      <w:r>
        <w:t>Cox NS et al., Cochrane 2021;CD013040 (ref. 1436).</w:t>
      </w:r>
    </w:p>
    <w:p>
      <w:pPr>
        <w:pStyle w:val="ListBullet2"/>
      </w:pPr>
      <w:r>
        <w:t>Rochester 2023, guía ATS (ref. 736).</w:t>
      </w:r>
    </w:p>
    <w:p>
      <w:pPr>
        <w:pStyle w:val="ListBullet2"/>
      </w:pPr>
      <w:r>
        <w:t>Poot CC et al., Cochrane 2021;CD009437 (ref. 1682).</w:t>
      </w:r>
    </w:p>
    <w:p>
      <w:pPr>
        <w:pStyle w:val="ListBullet2"/>
      </w:pPr>
      <w:r>
        <w:t>Kessler R et al., COMET, Eur Respir J 2018;51:1701612 (ref. 1677).</w:t>
      </w:r>
    </w:p>
    <w:p>
      <w:pPr>
        <w:pStyle w:val="ListBullet"/>
      </w:pPr>
      <w:r>
        <w:rPr>
          <w:b/>
        </w:rPr>
        <w:t>Recomendación:</w:t>
      </w:r>
      <w:r>
        <w:t xml:space="preserve"> Sustituir la viñeta por dos:</w:t>
      </w:r>
    </w:p>
    <w:p>
      <w:pPr>
        <w:pStyle w:val="ListBullet2"/>
      </w:pPr>
      <w:r>
        <w:t>«La telerrehabilitación con componente de entrenamiento y evaluación presencial inicial obtiene beneficios similares a la RR presencial (Evidencia A/B)».</w:t>
      </w:r>
    </w:p>
    <w:p>
      <w:pPr>
        <w:pStyle w:val="ListBullet2"/>
      </w:pPr>
      <w:r>
        <w:t>«Los programas de atención integrada muestran beneficios heterogéneos en calidad de vida e ingresos; la telemonitorización aislada no ha demostrado beneficio (Evidencia B)».</w:t>
      </w:r>
    </w:p>
    <w:p>
      <w:r>
        <w:t>Alinear el Apéndice con el cap. 6 («ofrecer a elegir»).</w:t>
      </w:r>
    </w:p>
    <w:p>
      <w:pPr>
        <w:pStyle w:val="ListBullet"/>
      </w:pPr>
      <w:r>
        <w:rPr>
          <w:b/>
        </w:rPr>
        <w:t>Confianza:</w:t>
      </w:r>
      <w:r>
        <w:t xml:space="preserve"> 4/5</w:t>
      </w:r>
    </w:p>
    <w:p>
      <w:pPr>
        <w:pStyle w:val="Heading4"/>
      </w:pPr>
      <w:r>
        <w:t>EQ-07 · Metodología y gobernanza poco compatibles con una "estrategia global": sin GRADE, sin coste-efectividad, solo en inglés, sin pacientes ni AP, y con escasa representación de LMIC</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Sesgo/Equidad</w:t>
      </w:r>
    </w:p>
    <w:p>
      <w:pPr>
        <w:pStyle w:val="ListBullet"/>
      </w:pPr>
      <w:r>
        <w:rPr>
          <w:b/>
        </w:rPr>
        <w:t>Severidad:</w:t>
      </w:r>
      <w:r>
        <w:t xml:space="preserve"> ALTA</w:t>
      </w:r>
    </w:p>
    <w:p>
      <w:pPr>
        <w:pStyle w:val="ListBullet"/>
      </w:pPr>
      <w:r>
        <w:rPr>
          <w:b/>
        </w:rPr>
        <w:t>Ubicación:</w:t>
      </w:r>
      <w:r>
        <w:t xml:space="preserve"> PDF 6-7 / impr. v-vi (metodología) y PDF 3 / impr. ii (comité científico).</w:t>
      </w:r>
    </w:p>
    <w:p>
      <w:pPr>
        <w:pStyle w:val="ListBullet"/>
      </w:pPr>
      <w:r>
        <w:rPr>
          <w:b/>
        </w:rPr>
        <w:t>Cita:</w:t>
      </w:r>
      <w:r>
        <w:t xml:space="preserve"> "articles in the top 20 medical or respiratory journals"; "providing the full paper, including abstract, is submitted in (or translated into) English."</w:t>
      </w:r>
    </w:p>
    <w:p>
      <w:pPr>
        <w:pStyle w:val="ListBullet"/>
      </w:pPr>
      <w:r>
        <w:rPr>
          <w:b/>
        </w:rPr>
        <w:t>Problema:</w:t>
      </w:r>
    </w:p>
    <w:p>
      <w:pPr>
        <w:pStyle w:val="ListBullet2"/>
      </w:pPr>
      <w:r>
        <w:t>La búsqueda se limita a PubMed, a ensayos y metaanálisis, y a 20 revistas de alto impacto, y exige el inglés. Esto excluye de forma sistemática la investigación publicada en revistas regionales (África, América Latina, Asia), que es donde se publica gran parte de la evidencia sobre biomasa, post-TB y AP en LMIC.</w:t>
      </w:r>
    </w:p>
    <w:p>
      <w:pPr>
        <w:pStyle w:val="ListBullet2"/>
      </w:pPr>
      <w:r>
        <w:t>No se usa GRADE ni ningún marco de evidencia a decisión, que obligaría a ponderar coste, equidad, aceptabilidad y factibilidad.</w:t>
      </w:r>
    </w:p>
    <w:p>
      <w:pPr>
        <w:pStyle w:val="ListBullet2"/>
      </w:pPr>
      <w:r>
        <w:t>El comité científico tiene 19 miembros: 4 de EE. UU., 3 de Canadá, 4 del Reino Unido y 5 de Europa continental, frente a solo 3 de LMIC (Nigeria, Venezuela y China).</w:t>
      </w:r>
    </w:p>
    <w:p>
      <w:pPr>
        <w:pStyle w:val="ListBullet2"/>
      </w:pPr>
      <w:r>
        <w:t>No hay ningún representante de pacientes, de enfermería, de farmacia ni de AP identificable.</w:t>
      </w:r>
    </w:p>
    <w:p>
      <w:pPr>
        <w:pStyle w:val="ListBullet"/>
      </w:pPr>
      <w:r>
        <w:rPr>
          <w:b/>
        </w:rPr>
        <w:t>Evidencia/justificación:</w:t>
      </w:r>
      <w:r>
        <w:t xml:space="preserve"> Los estándares internacionales de guías clínicas exigen participación de pacientes, consideración de valores y costes, y evaluación explícita de la certeza de la evidencia (GRADE/EtD; Guidelines International Network; manual de guías de la OMS).</w:t>
      </w:r>
    </w:p>
    <w:p>
      <w:pPr>
        <w:pStyle w:val="ListBullet"/>
      </w:pPr>
      <w:r>
        <w:rPr>
          <w:b/>
        </w:rPr>
        <w:t>Recomendación:</w:t>
      </w:r>
    </w:p>
    <w:p>
      <w:pPr>
        <w:pStyle w:val="ListBullet2"/>
      </w:pPr>
      <w:r>
        <w:t>Incorporar representantes de pacientes y de AP, y aumentar la proporción de miembros de LMIC.</w:t>
      </w:r>
    </w:p>
    <w:p>
      <w:pPr>
        <w:pStyle w:val="ListBullet2"/>
      </w:pPr>
      <w:r>
        <w:t>Ampliar la búsqueda a LILACS, African Journals Online, CNKI o similares y permitir resúmenes en otros idiomas.</w:t>
      </w:r>
    </w:p>
    <w:p>
      <w:pPr>
        <w:pStyle w:val="ListBullet2"/>
      </w:pPr>
      <w:r>
        <w:t>Adoptar GRADE/EtD, al menos para las recomendaciones clave (tratamiento inicial, vacunas, biológicos).</w:t>
      </w:r>
    </w:p>
    <w:p>
      <w:pPr>
        <w:pStyle w:val="ListBullet2"/>
      </w:pPr>
      <w:r>
        <w:t>Publicar las declaraciones de conflictos de interés junto al documento, no solo en la web.</w:t>
      </w:r>
    </w:p>
    <w:p>
      <w:pPr>
        <w:pStyle w:val="ListBullet"/>
      </w:pPr>
      <w:r>
        <w:rPr>
          <w:b/>
        </w:rPr>
        <w:t>Confianza:</w:t>
      </w:r>
      <w:r>
        <w:t xml:space="preserve"> 5/5</w:t>
      </w:r>
    </w:p>
    <w:p>
      <w:pPr>
        <w:pStyle w:val="Heading4"/>
      </w:pPr>
      <w:r>
        <w:t>MET-01 · Los niveles de evidencia no aparecen donde dice el método: casi todos están en figuras-imagen sin referencias</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Declaración: PDF 13 / impr. 2.</w:t>
      </w:r>
    </w:p>
    <w:p>
      <w:pPr>
        <w:pStyle w:val="ListBullet2"/>
      </w:pPr>
      <w:r>
        <w:t>Figuras «Key points»: PDF 64-172 / impr. 53-161.</w:t>
      </w:r>
    </w:p>
    <w:p>
      <w:pPr>
        <w:pStyle w:val="ListBullet2"/>
      </w:pPr>
      <w:r>
        <w:t>Único nivel en texto corrido: PDF 166 / impr. 155.</w:t>
      </w:r>
    </w:p>
    <w:p>
      <w:pPr>
        <w:pStyle w:val="ListBullet"/>
      </w:pPr>
      <w:r>
        <w:rPr>
          <w:b/>
        </w:rPr>
        <w:t>Cita:</w:t>
      </w:r>
      <w:r>
        <w:t xml:space="preserve"> «Evidence levels are indicated in boldface type enclosed in parentheses after the relevant statement»</w:t>
      </w:r>
    </w:p>
    <w:p>
      <w:pPr>
        <w:pStyle w:val="ListBullet"/>
      </w:pPr>
      <w:r>
        <w:rPr>
          <w:b/>
        </w:rPr>
        <w:t>Problema:</w:t>
      </w:r>
    </w:p>
    <w:p>
      <w:pPr>
        <w:pStyle w:val="ListBullet2"/>
      </w:pPr>
      <w:r>
        <w:t>El script sobre el texto completo encuentra un único «(Evidence B)» en texto corrido (aumentación en el déficit de AAT, PDF 166). Todas las demás asignaciones están en recuadros rasterizados.</w:t>
      </w:r>
    </w:p>
    <w:p>
      <w:pPr>
        <w:pStyle w:val="ListBullet2"/>
      </w:pPr>
      <w:r>
        <w:t>Esos recuadros casi nunca citan los estudios en los que se basa el nivel, y las mismas recomendaciones del texto aparecen sin nivel.</w:t>
      </w:r>
    </w:p>
    <w:p>
      <w:pPr>
        <w:pStyle w:val="ListBullet2"/>
      </w:pPr>
      <w:r>
        <w:t>En consecuencia, no es posible trazar la cadena afirmación → nivel → estudios, ni buscar o extraer automáticamente los niveles. Tampoco son legibles con lectores de pantalla, lo que dificulta la adaptación local de la guía.</w:t>
      </w:r>
    </w:p>
    <w:p>
      <w:pPr>
        <w:pStyle w:val="ListBullet"/>
      </w:pPr>
      <w:r>
        <w:rPr>
          <w:b/>
        </w:rPr>
        <w:t>Evidencia/justificación:</w:t>
      </w:r>
    </w:p>
    <w:p>
      <w:pPr>
        <w:pStyle w:val="ListBullet2"/>
      </w:pPr>
      <w:r>
        <w:t>AGREE II, ítem 12 (vínculo explícito entre recomendación y evidencia) e ítem 17 (recomendaciones clave fácilmente identificables).</w:t>
      </w:r>
    </w:p>
    <w:p>
      <w:pPr>
        <w:pStyle w:val="ListBullet2"/>
      </w:pPr>
      <w:r>
        <w:t>RIGHT, ítem 13c (fuerza y certeza de la evidencia de cada recomendación).</w:t>
      </w:r>
    </w:p>
    <w:p>
      <w:pPr>
        <w:pStyle w:val="ListBullet2"/>
      </w:pPr>
      <w:r>
        <w:t>IOM, estándar 6 (articulación de las recomendaciones).</w:t>
      </w:r>
    </w:p>
    <w:p>
      <w:pPr>
        <w:pStyle w:val="ListBullet"/>
      </w:pPr>
      <w:r>
        <w:rPr>
          <w:b/>
        </w:rPr>
        <w:t>Recomendación:</w:t>
      </w:r>
    </w:p>
    <w:p>
      <w:pPr>
        <w:pStyle w:val="ListBullet2"/>
      </w:pPr>
      <w:r>
        <w:t>Poner el nivel junto a cada recomendación en el texto, con las referencias que lo sustentan.</w:t>
      </w:r>
    </w:p>
    <w:p>
      <w:pPr>
        <w:pStyle w:val="ListBullet2"/>
      </w:pPr>
      <w:r>
        <w:t>Publicar las figuras como texto o tablas accesibles.</w:t>
      </w:r>
    </w:p>
    <w:p>
      <w:pPr>
        <w:pStyle w:val="ListBullet2"/>
      </w:pPr>
      <w:r>
        <w:t>Añadir un anexo-tabla maestra con: recomendación, nivel, estudios clave y año de la última revisión.</w:t>
      </w:r>
    </w:p>
    <w:p>
      <w:pPr>
        <w:pStyle w:val="ListBullet"/>
      </w:pPr>
      <w:r>
        <w:rPr>
          <w:b/>
        </w:rPr>
        <w:t>Confianza:</w:t>
      </w:r>
      <w:r>
        <w:t xml:space="preserve"> 5</w:t>
      </w:r>
    </w:p>
    <w:p>
      <w:pPr>
        <w:pStyle w:val="Heading4"/>
      </w:pPr>
      <w:r>
        <w:t>MET-03 · Búsqueda y selección no reproducibles; referencias fuera de la ventana declarada</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6-7 / impr. v-vi; lista de referencias (PDF 175-248)</w:t>
      </w:r>
    </w:p>
    <w:p>
      <w:pPr>
        <w:pStyle w:val="ListBullet"/>
      </w:pPr>
      <w:r>
        <w:rPr>
          <w:b/>
        </w:rPr>
        <w:t>Cita:</w:t>
      </w:r>
      <w:r>
        <w:t xml:space="preserve"> «1) COPD or Chronic Obstructive Pulmonary Disease (All Fields) AND 2) Clinical Trials or Meta-analysis (All Fields) OR 3) articles in the top 20 medical or respiratory journals (available on request)»</w:t>
      </w:r>
    </w:p>
    <w:p>
      <w:pPr>
        <w:pStyle w:val="ListBullet"/>
      </w:pPr>
      <w:r>
        <w:rPr>
          <w:b/>
        </w:rPr>
        <w:t>Problema:</w:t>
      </w:r>
    </w:p>
    <w:p>
      <w:pPr>
        <w:pStyle w:val="ListNumber"/>
        <w:numPr>
          <w:ilvl w:val="0"/>
          <w:numId w:val="24"/>
        </w:numPr>
      </w:pPr>
      <w:r>
        <w:rPr>
          <w:b/>
        </w:rPr>
        <w:t>Fuentes.</w:t>
      </w:r>
      <w:r>
        <w:t xml:space="preserve"> Solo se busca en PubMed (más Cochrane DSR); no se usan Embase, CENTRAL ni registros de ensayos.</w:t>
      </w:r>
    </w:p>
    <w:p>
      <w:pPr>
        <w:pStyle w:val="ListNumber"/>
        <w:numPr>
          <w:ilvl w:val="0"/>
          <w:numId w:val="24"/>
        </w:numPr>
      </w:pPr>
      <w:r>
        <w:rPr>
          <w:b/>
        </w:rPr>
        <w:t>Cadena de búsqueda.</w:t>
      </w:r>
    </w:p>
    <w:p>
      <w:pPr>
        <w:pStyle w:val="ListBullet2"/>
      </w:pPr>
      <w:r>
        <w:t>No usa términos MeSH ni paréntesis. «A AND B OR C» se evalúa de izquierda a derecha, de modo que recuperaría todos los artículos de las 20 revistas, traten o no de EPOC.</w:t>
      </w:r>
    </w:p>
    <w:p>
      <w:pPr>
        <w:pStyle w:val="ListBullet2"/>
      </w:pPr>
      <w:r>
        <w:t>La lista de revistas solo está «available on request».</w:t>
      </w:r>
    </w:p>
    <w:p>
      <w:pPr>
        <w:pStyle w:val="ListBullet2"/>
      </w:pPr>
      <w:r>
        <w:t>No se indican fechas de búsqueda ni el número de registros cribados e incluidos (no hay diagrama PRISMA).</w:t>
      </w:r>
    </w:p>
    <w:p>
      <w:pPr>
        <w:pStyle w:val="ListNumber"/>
        <w:numPr>
          <w:ilvl w:val="0"/>
          <w:numId w:val="24"/>
        </w:numPr>
      </w:pPr>
      <w:r>
        <w:rPr>
          <w:b/>
        </w:rPr>
        <w:t>Cribado.</w:t>
      </w:r>
    </w:p>
    <w:p>
      <w:pPr>
        <w:pStyle w:val="ListBullet2"/>
      </w:pPr>
      <w:r>
        <w:t>Lo hacen «two unbiased Committee members» con «four specific written questions» que no se publican.</w:t>
      </w:r>
    </w:p>
    <w:p>
      <w:pPr>
        <w:pStyle w:val="ListBullet2"/>
      </w:pPr>
      <w:r>
        <w:t>No hay criterios de inclusión ni de evaluación crítica estandarizados.</w:t>
      </w:r>
    </w:p>
    <w:p>
      <w:pPr>
        <w:pStyle w:val="ListBullet2"/>
      </w:pPr>
      <w:r>
        <w:t>La «double-blind review» (PDF 7) no se define: los revisores conocen los autores y la revista.</w:t>
      </w:r>
    </w:p>
    <w:p>
      <w:pPr>
        <w:pStyle w:val="ListNumber"/>
        <w:numPr>
          <w:ilvl w:val="0"/>
          <w:numId w:val="24"/>
        </w:numPr>
      </w:pPr>
      <w:r>
        <w:rPr>
          <w:b/>
        </w:rPr>
        <w:t>Vía de entrada no sistemática.</w:t>
      </w:r>
      <w:r>
        <w:t xml:space="preserve"> Los artículos se pueden enviar directamente al Chair.</w:t>
      </w:r>
    </w:p>
    <w:p>
      <w:pPr>
        <w:pStyle w:val="ListNumber"/>
        <w:numPr>
          <w:ilvl w:val="0"/>
          <w:numId w:val="24"/>
        </w:numPr>
      </w:pPr>
      <w:r>
        <w:rPr>
          <w:b/>
        </w:rPr>
        <w:t>Ventana incumplida.</w:t>
      </w:r>
      <w:r>
        <w:t xml:space="preserve"> La ventana declarada es «January 2024 to July 2025», pero esummary encontró 15 referencias publicadas (incluida la fecha epub) después de julio de 2025: refs 50, 51, 74, 111, 642, 664, 735, 906, 1106, 1133, 1149, 1192, 1396, 1409 y 1725. Entre ellas:</w:t>
      </w:r>
    </w:p>
    <w:p>
      <w:pPr>
        <w:pStyle w:val="ListBullet2"/>
      </w:pPr>
      <w:r>
        <w:t>ref 906, AIRFLOW-3, diciembre de 2025, PDF 211 / impr. 200;</w:t>
      </w:r>
    </w:p>
    <w:p>
      <w:pPr>
        <w:pStyle w:val="ListBullet2"/>
      </w:pPr>
      <w:r>
        <w:t>ref 1133, Eur J Intern Med, agosto de 2025, PDF 221 / impr. 210. Es la base declarada de la Fig 5.6 («Adapted from: Celli BR… Criner GJ… Papi A… Agusti A, Sin DD», PDF 141 / impr. 130) y la firman cuatro miembros del comité.</w:t>
      </w:r>
    </w:p>
    <w:p>
      <w:r>
        <w:t>Incluir evidencia a última hora sin un criterio declarado introduce riesgo de selección.</w:t>
      </w:r>
    </w:p>
    <w:p>
      <w:pPr>
        <w:pStyle w:val="ListBullet"/>
      </w:pPr>
      <w:r>
        <w:rPr>
          <w:b/>
        </w:rPr>
        <w:t>Evidencia/justificación:</w:t>
      </w:r>
    </w:p>
    <w:p>
      <w:pPr>
        <w:pStyle w:val="ListBullet2"/>
      </w:pPr>
      <w:r>
        <w:t>AGREE II, ítems 7 (métodos sistemáticos de búsqueda) y 8 (criterios de selección).</w:t>
      </w:r>
    </w:p>
    <w:p>
      <w:pPr>
        <w:pStyle w:val="ListBullet2"/>
      </w:pPr>
      <w:r>
        <w:t>IOM, estándar 4 (revisión sistemática).</w:t>
      </w:r>
    </w:p>
    <w:p>
      <w:pPr>
        <w:pStyle w:val="ListBullet2"/>
      </w:pPr>
      <w:r>
        <w:t>RIGHT, ítem 11.</w:t>
      </w:r>
    </w:p>
    <w:p>
      <w:pPr>
        <w:pStyle w:val="ListBullet2"/>
      </w:pPr>
      <w:r>
        <w:t>PRISMA 2020.</w:t>
      </w:r>
    </w:p>
    <w:p>
      <w:pPr>
        <w:pStyle w:val="ListBullet"/>
      </w:pPr>
      <w:r>
        <w:rPr>
          <w:b/>
        </w:rPr>
        <w:t>Recomendación:</w:t>
      </w:r>
    </w:p>
    <w:p>
      <w:pPr>
        <w:pStyle w:val="ListBullet2"/>
      </w:pPr>
      <w:r>
        <w:t>Publicar el protocolo, la estrategia completa para cada base de datos con fechas, el diagrama de flujo, los criterios de inclusión y el formulario de evaluación.</w:t>
      </w:r>
    </w:p>
    <w:p>
      <w:pPr>
        <w:pStyle w:val="ListBullet2"/>
      </w:pPr>
      <w:r>
        <w:t>Declarar una política explícita de «late-breaking evidence».</w:t>
      </w:r>
    </w:p>
    <w:p>
      <w:pPr>
        <w:pStyle w:val="ListBullet"/>
      </w:pPr>
      <w:r>
        <w:rPr>
          <w:b/>
        </w:rPr>
        <w:t>Confianza:</w:t>
      </w:r>
      <w:r>
        <w:t xml:space="preserve"> 5</w:t>
      </w:r>
    </w:p>
    <w:p>
      <w:pPr>
        <w:pStyle w:val="Heading4"/>
      </w:pPr>
      <w:r>
        <w:t>MET-06 · Nivel A asignado a evidencia que la propia Tabla A clasifica como B</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3.22 (PDF 97 / impr. 86); Fig A3.3 (PDF 160 / impr. 149); Fig 3.6 (PDF 69 / impr. 58); Fig 3.17 (PDF 88 / impr. 77)</w:t>
      </w:r>
    </w:p>
    <w:p>
      <w:pPr>
        <w:pStyle w:val="ListBullet"/>
      </w:pPr>
      <w:r>
        <w:rPr>
          <w:b/>
        </w:rPr>
        <w:t>Cita:</w:t>
      </w:r>
      <w:r>
        <w:t xml:space="preserve"> «Lung volume reduction surgery improves survival in patients with severe emphysema who have an upper-lobe and low post-rehabilitation exercise capacity (Evidence A)»</w:t>
      </w:r>
    </w:p>
    <w:p>
      <w:pPr>
        <w:pStyle w:val="ListBullet"/>
      </w:pPr>
      <w:r>
        <w:rPr>
          <w:b/>
        </w:rPr>
        <w:t>Problema:</w:t>
      </w:r>
    </w:p>
    <w:p>
      <w:pPr>
        <w:pStyle w:val="ListBullet2"/>
      </w:pPr>
      <w:r>
        <w:rPr>
          <w:b/>
        </w:rPr>
        <w:t>CRVP.</w:t>
      </w:r>
    </w:p>
    <w:p>
      <w:pPr>
        <w:pStyle w:val="ListBullet2"/>
      </w:pPr>
      <w:r>
        <w:t>El beneficio en supervivencia procede de un subgrupo de un único ECA (NETT, ref 789); la mortalidad global no difirió.</w:t>
      </w:r>
    </w:p>
    <w:p>
      <w:pPr>
        <w:pStyle w:val="ListBullet2"/>
      </w:pPr>
      <w:r>
        <w:t>La Tabla A asigna B a los «post hoc or subgroup analyses».</w:t>
      </w:r>
    </w:p>
    <w:p>
      <w:pPr>
        <w:pStyle w:val="ListBullet2"/>
      </w:pPr>
      <w:r>
        <w:rPr>
          <w:b/>
        </w:rPr>
        <w:t>Mepolizumab</w:t>
      </w:r>
      <w:r>
        <w:t xml:space="preserve"> («reduces exacerbations in patients with and without chronic bronchitis (Evidence A)»).</w:t>
      </w:r>
    </w:p>
    <w:p>
      <w:pPr>
        <w:pStyle w:val="ListBullet2"/>
      </w:pPr>
      <w:r>
        <w:t>Resultados inconsistentes entre ensayos: METREO no significativo, METREX positivo solo en el estrato eosinofílico y MATINEE positivo.</w:t>
      </w:r>
    </w:p>
    <w:p>
      <w:pPr>
        <w:pStyle w:val="ListBullet2"/>
      </w:pPr>
      <w:r>
        <w:t>La Tabla A asigna B a los resultados «somewhat inconsistent».</w:t>
      </w:r>
    </w:p>
    <w:p>
      <w:pPr>
        <w:pStyle w:val="ListBullet2"/>
      </w:pPr>
      <w:r>
        <w:rPr>
          <w:b/>
        </w:rPr>
        <w:t>Vacuna del VRS (A).</w:t>
      </w:r>
    </w:p>
    <w:p>
      <w:pPr>
        <w:pStyle w:val="ListBullet2"/>
      </w:pPr>
      <w:r>
        <w:t>La eficacia procede de ECA en población general de ≥60 años; en EPOC solo hay subgrupos (evidencia indirecta), lo que corresponde a B.</w:t>
      </w:r>
    </w:p>
    <w:p>
      <w:pPr>
        <w:pStyle w:val="ListBullet2"/>
      </w:pPr>
      <w:r>
        <w:t>Además, la viñeta «≥ 50 years and/or with chronic heart or lung disease, as recommended by the CDC» no reproduce los criterios de edad y riesgo vigentes de los CDC.</w:t>
      </w:r>
    </w:p>
    <w:p>
      <w:pPr>
        <w:pStyle w:val="ListBullet2"/>
      </w:pPr>
      <w:r>
        <w:rPr>
          <w:b/>
        </w:rPr>
        <w:t>Oxigenoterapia crónica domiciliaria</w:t>
      </w:r>
      <w:r>
        <w:t xml:space="preserve"> («increases survival… (Evidence A)»).</w:t>
      </w:r>
    </w:p>
    <w:p>
      <w:pPr>
        <w:pStyle w:val="ListBullet2"/>
      </w:pPr>
      <w:r>
        <w:t>Se basa en NOTT (n=203; oxígeno continuo frente a nocturno) y MRC (n=87), dos ensayos abiertos de 1980-81.</w:t>
      </w:r>
    </w:p>
    <w:p>
      <w:pPr>
        <w:pStyle w:val="ListBullet2"/>
      </w:pPr>
      <w:r>
        <w:t>La Tabla A asigna B a los ECA con «only a limited number of patients».</w:t>
      </w:r>
    </w:p>
    <w:p>
      <w:pPr>
        <w:pStyle w:val="ListBullet2"/>
      </w:pPr>
      <w:r>
        <w:t>Una A sería defendible por consenso histórico, pero debería justificarse.</w:t>
      </w:r>
    </w:p>
    <w:p>
      <w:pPr>
        <w:pStyle w:val="ListBullet"/>
      </w:pPr>
      <w:r>
        <w:rPr>
          <w:b/>
        </w:rPr>
        <w:t>Evidencia/justificación:</w:t>
      </w:r>
      <w:r>
        <w:t xml:space="preserve"> Tabla A (PDF 14). Abstracts de PubMed de NETT (PMID 12759479), METREX/METREO (ref 690) y MATINEE (PMID 40305712).</w:t>
      </w:r>
    </w:p>
    <w:p>
      <w:pPr>
        <w:pStyle w:val="ListBullet"/>
      </w:pPr>
      <w:r>
        <w:rPr>
          <w:b/>
        </w:rPr>
        <w:t>Recomendación:</w:t>
      </w:r>
      <w:r>
        <w:t xml:space="preserve"> Reclasificar o justificar explícitamente cada A que no cumpla la Tabla A; con GRADE, la evidencia indirecta y la inconsistencia se degradan de forma transparente.</w:t>
      </w:r>
    </w:p>
    <w:p>
      <w:pPr>
        <w:pStyle w:val="ListBullet"/>
      </w:pPr>
      <w:r>
        <w:rPr>
          <w:b/>
        </w:rPr>
        <w:t>Confianza:</w:t>
      </w:r>
      <w:r>
        <w:t xml:space="preserve"> 4</w:t>
      </w:r>
    </w:p>
    <w:p>
      <w:pPr>
        <w:pStyle w:val="Heading4"/>
      </w:pPr>
      <w:r>
        <w:t>MET-04 · Conflictos de interés y financiación: no se declaran, no hay política de gestión y el comité firma los ensayos que evalúa</w:t>
      </w:r>
    </w:p>
    <w:p>
      <w:r>
        <w:rPr>
          <w:i/>
        </w:rPr>
        <w:t xml:space="preserve">Severidad final: </w:t>
      </w:r>
      <w:r>
        <w:rPr>
          <w:i/>
          <w:color w:val="ED7D31"/>
        </w:rPr>
        <w:t>🟠</w:t>
      </w:r>
      <w:r>
        <w:rPr>
          <w:i/>
        </w:rPr>
        <w:t xml:space="preserve"> ALTA · Tema T22: Conflictos de interés y financiación</w:t>
      </w:r>
    </w:p>
    <w:p>
      <w:pPr>
        <w:pStyle w:val="IntenseQuote"/>
      </w:pPr>
      <w:r>
        <w:rPr>
          <w:b/>
        </w:rPr>
        <w:t>Verificación independiente (CONFIRMADO PARCIAL):</w:t>
      </w:r>
      <w:r>
        <w:t xml:space="preserve"> Corrección al hallazgo: el título «no se declaran» es inexacto. Las declaraciones existen online y el informe remite a ellas. Lo que sí se confirma: (a) el documento no incluye una declaración de financiación; (b) no describe ninguna política de gestión de COI (umbrales, recusación en las votaciones); (c) las declaraciones públicas enlazadas corresponden a 2022 y no al ciclo de GOLD 2026; (d) el modelo «venta de docu…</w:t>
      </w:r>
    </w:p>
    <w:p>
      <w:pPr>
        <w:pStyle w:val="ListBullet"/>
      </w:pPr>
      <w:r>
        <w:rPr>
          <w:b/>
        </w:rPr>
        <w:t>Tipo:</w:t>
      </w:r>
      <w:r>
        <w:t xml:space="preserve"> Sesgo/Equidad</w:t>
      </w:r>
    </w:p>
    <w:p>
      <w:pPr>
        <w:pStyle w:val="ListBullet"/>
      </w:pPr>
      <w:r>
        <w:rPr>
          <w:b/>
        </w:rPr>
        <w:t>Severidad:</w:t>
      </w:r>
      <w:r>
        <w:t xml:space="preserve"> ALTA</w:t>
      </w:r>
    </w:p>
    <w:p>
      <w:pPr>
        <w:pStyle w:val="ListBullet"/>
      </w:pPr>
      <w:r>
        <w:rPr>
          <w:b/>
        </w:rPr>
        <w:t>Ubicación:</w:t>
      </w:r>
      <w:r>
        <w:t xml:space="preserve"> PDF 3 / impr. ii; PDF 12 / impr. 1; Fig 3.6 (PDF 69 / impr. 58); Fig 3.11 (PDF 79 / impr. 68); Fig A3.2-A3.3 (PDF 157-160 / impr. 146-149)</w:t>
      </w:r>
    </w:p>
    <w:p>
      <w:pPr>
        <w:pStyle w:val="ListBullet"/>
      </w:pPr>
      <w:r>
        <w:rPr>
          <w:b/>
        </w:rPr>
        <w:t>Cita:</w:t>
      </w:r>
      <w:r>
        <w:t xml:space="preserve"> «*Disclosure forms for GOLD Committees are posted on the GOLD Website, www.goldcopd.org»</w:t>
      </w:r>
    </w:p>
    <w:p>
      <w:pPr>
        <w:pStyle w:val="ListBullet"/>
      </w:pPr>
      <w:r>
        <w:rPr>
          <w:b/>
        </w:rPr>
        <w:t>Problema:</w:t>
      </w:r>
    </w:p>
    <w:p>
      <w:pPr>
        <w:pStyle w:val="ListBullet2"/>
      </w:pPr>
      <w:r>
        <w:rPr>
          <w:b/>
        </w:rPr>
        <w:t>Lo que falta en el informe:</w:t>
      </w:r>
    </w:p>
    <w:p>
      <w:pPr>
        <w:pStyle w:val="ListBullet2"/>
      </w:pPr>
      <w:r>
        <w:t>la fuente de financiación de GOLD y del informe, incluido el posible patrocinio de la industria;</w:t>
      </w:r>
    </w:p>
    <w:p>
      <w:pPr>
        <w:pStyle w:val="ListBullet2"/>
      </w:pPr>
      <w:r>
        <w:t>una política de conflictos de interés (umbrales, gestión, recusación en las votaciones);</w:t>
      </w:r>
    </w:p>
    <w:p>
      <w:pPr>
        <w:pStyle w:val="ListBullet2"/>
      </w:pPr>
      <w:r>
        <w:t>un resumen de los conflictos relevantes por recomendación.</w:t>
      </w:r>
    </w:p>
    <w:p>
      <w:r>
        <w:t>Al mismo tiempo, el texto afirma ofrecer un «non-biased review» (PDF 12) sin explicar cómo se garantiza.</w:t>
      </w:r>
    </w:p>
    <w:p>
      <w:pPr>
        <w:pStyle w:val="ListBullet2"/>
      </w:pPr>
      <w:r>
        <w:rPr>
          <w:b/>
        </w:rPr>
        <w:t>Miembros del comité que firman los ensayos pivotales (verificado en PubMed):</w:t>
      </w:r>
    </w:p>
    <w:tbl>
      <w:tblPr>
        <w:tblStyle w:val="TableGrid"/>
        <w:tblW w:type="auto" w:w="0"/>
        <w:tblLayout w:type="fixed"/>
        <w:tblLook w:firstColumn="1" w:firstRow="1" w:lastColumn="0" w:lastRow="0" w:noHBand="0" w:noVBand="1" w:val="04A0"/>
      </w:tblPr>
      <w:tblGrid>
        <w:gridCol w:w="2446"/>
        <w:gridCol w:w="709"/>
        <w:gridCol w:w="3242"/>
        <w:gridCol w:w="3242"/>
      </w:tblGrid>
      <w:tr>
        <w:trPr>
          <w:tblHeader w:val="true"/>
        </w:trPr>
        <w:tc>
          <w:tcPr>
            <w:tcW w:type="dxa" w:w="2446"/>
            <w:shd w:val="clear" w:color="auto" w:fill="D9E2F3"/>
          </w:tcPr>
          <w:p>
            <w:r/>
            <w:r>
              <w:rPr>
                <w:b/>
                <w:sz w:val="18"/>
              </w:rPr>
              <w:t>Ensayo</w:t>
            </w:r>
          </w:p>
        </w:tc>
        <w:tc>
          <w:tcPr>
            <w:tcW w:type="dxa" w:w="709"/>
            <w:shd w:val="clear" w:color="auto" w:fill="D9E2F3"/>
          </w:tcPr>
          <w:p>
            <w:r/>
            <w:r>
              <w:rPr>
                <w:b/>
                <w:sz w:val="18"/>
              </w:rPr>
              <w:t>Ref.</w:t>
            </w:r>
          </w:p>
        </w:tc>
        <w:tc>
          <w:tcPr>
            <w:tcW w:type="dxa" w:w="3242"/>
            <w:shd w:val="clear" w:color="auto" w:fill="D9E2F3"/>
          </w:tcPr>
          <w:p>
            <w:r/>
            <w:r>
              <w:rPr>
                <w:b/>
                <w:sz w:val="18"/>
              </w:rPr>
              <w:t>Intervención</w:t>
            </w:r>
          </w:p>
        </w:tc>
        <w:tc>
          <w:tcPr>
            <w:tcW w:type="dxa" w:w="3242"/>
            <w:shd w:val="clear" w:color="auto" w:fill="D9E2F3"/>
          </w:tcPr>
          <w:p>
            <w:r/>
            <w:r>
              <w:rPr>
                <w:b/>
                <w:sz w:val="18"/>
              </w:rPr>
              <w:t>Miembros del comité 2025-26 entre los autores</w:t>
            </w:r>
          </w:p>
        </w:tc>
      </w:tr>
      <w:tr>
        <w:tc>
          <w:tcPr>
            <w:tcW w:type="dxa" w:w="2446"/>
          </w:tcPr>
          <w:p>
            <w:r/>
            <w:r>
              <w:rPr>
                <w:sz w:val="18"/>
              </w:rPr>
              <w:t>MATINEE</w:t>
            </w:r>
          </w:p>
        </w:tc>
        <w:tc>
          <w:tcPr>
            <w:tcW w:type="dxa" w:w="709"/>
          </w:tcPr>
          <w:p>
            <w:r/>
            <w:r>
              <w:rPr>
                <w:sz w:val="18"/>
              </w:rPr>
              <w:t>691</w:t>
            </w:r>
          </w:p>
        </w:tc>
        <w:tc>
          <w:tcPr>
            <w:tcW w:type="dxa" w:w="3242"/>
          </w:tcPr>
          <w:p>
            <w:r/>
            <w:r>
              <w:rPr>
                <w:sz w:val="18"/>
              </w:rPr>
              <w:t>Mepolizumab</w:t>
            </w:r>
          </w:p>
        </w:tc>
        <w:tc>
          <w:tcPr>
            <w:tcW w:type="dxa" w:w="3242"/>
          </w:tcPr>
          <w:p>
            <w:r/>
            <w:r>
              <w:rPr>
                <w:sz w:val="18"/>
              </w:rPr>
              <w:t>7 de 19</w:t>
            </w:r>
          </w:p>
        </w:tc>
      </w:tr>
      <w:tr>
        <w:tc>
          <w:tcPr>
            <w:tcW w:type="dxa" w:w="2446"/>
          </w:tcPr>
          <w:p>
            <w:r/>
            <w:r>
              <w:rPr>
                <w:sz w:val="18"/>
              </w:rPr>
              <w:t>BOREAS</w:t>
            </w:r>
          </w:p>
        </w:tc>
        <w:tc>
          <w:tcPr>
            <w:tcW w:type="dxa" w:w="709"/>
          </w:tcPr>
          <w:p>
            <w:r/>
            <w:r>
              <w:rPr>
                <w:sz w:val="18"/>
              </w:rPr>
              <w:t>682</w:t>
            </w:r>
          </w:p>
        </w:tc>
        <w:tc>
          <w:tcPr>
            <w:tcW w:type="dxa" w:w="3242"/>
          </w:tcPr>
          <w:p>
            <w:r/>
            <w:r>
              <w:rPr>
                <w:sz w:val="18"/>
              </w:rPr>
              <w:t>Dupilumab</w:t>
            </w:r>
          </w:p>
        </w:tc>
        <w:tc>
          <w:tcPr>
            <w:tcW w:type="dxa" w:w="3242"/>
          </w:tcPr>
          <w:p>
            <w:r/>
            <w:r>
              <w:rPr>
                <w:sz w:val="18"/>
              </w:rPr>
              <w:t>3, incluido el presidente</w:t>
            </w:r>
          </w:p>
        </w:tc>
      </w:tr>
      <w:tr>
        <w:tc>
          <w:tcPr>
            <w:tcW w:type="dxa" w:w="2446"/>
          </w:tcPr>
          <w:p>
            <w:r/>
            <w:r>
              <w:rPr>
                <w:sz w:val="18"/>
              </w:rPr>
              <w:t>METREX/METREO</w:t>
            </w:r>
          </w:p>
        </w:tc>
        <w:tc>
          <w:tcPr>
            <w:tcW w:type="dxa" w:w="709"/>
          </w:tcPr>
          <w:p>
            <w:r/>
            <w:r>
              <w:rPr>
                <w:sz w:val="18"/>
              </w:rPr>
              <w:t>690</w:t>
            </w:r>
          </w:p>
        </w:tc>
        <w:tc>
          <w:tcPr>
            <w:tcW w:type="dxa" w:w="3242"/>
          </w:tcPr>
          <w:p>
            <w:r/>
            <w:r>
              <w:rPr>
                <w:sz w:val="18"/>
              </w:rPr>
              <w:t>Mepolizumab</w:t>
            </w:r>
          </w:p>
        </w:tc>
        <w:tc>
          <w:tcPr>
            <w:tcW w:type="dxa" w:w="3242"/>
          </w:tcPr>
          <w:p>
            <w:r/>
            <w:r>
              <w:rPr>
                <w:sz w:val="18"/>
              </w:rPr>
              <w:t>2</w:t>
            </w:r>
          </w:p>
        </w:tc>
      </w:tr>
      <w:tr>
        <w:tc>
          <w:tcPr>
            <w:tcW w:type="dxa" w:w="2446"/>
          </w:tcPr>
          <w:p>
            <w:r/>
            <w:r>
              <w:rPr>
                <w:sz w:val="18"/>
              </w:rPr>
              <w:t>ENHANCE</w:t>
            </w:r>
          </w:p>
        </w:tc>
        <w:tc>
          <w:tcPr>
            <w:tcW w:type="dxa" w:w="709"/>
          </w:tcPr>
          <w:p>
            <w:r/>
            <w:r>
              <w:rPr>
                <w:sz w:val="18"/>
              </w:rPr>
              <w:t>1605</w:t>
            </w:r>
          </w:p>
        </w:tc>
        <w:tc>
          <w:tcPr>
            <w:tcW w:type="dxa" w:w="3242"/>
          </w:tcPr>
          <w:p>
            <w:r/>
            <w:r>
              <w:rPr>
                <w:sz w:val="18"/>
              </w:rPr>
              <w:t>Ensifentrina</w:t>
            </w:r>
          </w:p>
        </w:tc>
        <w:tc>
          <w:tcPr>
            <w:tcW w:type="dxa" w:w="3242"/>
          </w:tcPr>
          <w:p>
            <w:r/>
            <w:r>
              <w:rPr>
                <w:sz w:val="18"/>
              </w:rPr>
              <w:t>Primer autor</w:t>
            </w:r>
          </w:p>
        </w:tc>
      </w:tr>
      <w:tr>
        <w:tc>
          <w:tcPr>
            <w:tcW w:type="dxa" w:w="2446"/>
          </w:tcPr>
          <w:p>
            <w:r/>
            <w:r>
              <w:rPr>
                <w:sz w:val="18"/>
              </w:rPr>
              <w:t>AReSVi-006</w:t>
            </w:r>
          </w:p>
        </w:tc>
        <w:tc>
          <w:tcPr>
            <w:tcW w:type="dxa" w:w="709"/>
          </w:tcPr>
          <w:p>
            <w:r/>
            <w:r>
              <w:rPr>
                <w:sz w:val="18"/>
              </w:rPr>
              <w:t>659</w:t>
            </w:r>
          </w:p>
        </w:tc>
        <w:tc>
          <w:tcPr>
            <w:tcW w:type="dxa" w:w="3242"/>
          </w:tcPr>
          <w:p>
            <w:r/>
            <w:r>
              <w:rPr>
                <w:sz w:val="18"/>
              </w:rPr>
              <w:t>Vacuna del VRS</w:t>
            </w:r>
          </w:p>
        </w:tc>
        <w:tc>
          <w:tcPr>
            <w:tcW w:type="dxa" w:w="3242"/>
          </w:tcPr>
          <w:p>
            <w:r/>
            <w:r>
              <w:rPr>
                <w:sz w:val="18"/>
              </w:rPr>
              <w:t>Primer autor</w:t>
            </w:r>
          </w:p>
        </w:tc>
      </w:tr>
    </w:tbl>
    <w:p/>
    <w:p>
      <w:r>
        <w:t>Son precisamente las intervenciones nuevas que la guía incorpora, varias de ellas con afirmaciones de nivel A.</w:t>
      </w:r>
    </w:p>
    <w:p>
      <w:pPr>
        <w:pStyle w:val="ListBullet2"/>
      </w:pPr>
      <w:r>
        <w:rPr>
          <w:b/>
        </w:rPr>
        <w:t>Autoría global:</w:t>
      </w:r>
      <w:r>
        <w:t xml:space="preserve"> según esummary, alrededor del 22 % (366/1696) de las referencias con PMID tienen como autor a algún miembro actual del comité, y el 28 % (46/163) de las publicadas desde 2024. Es una cifra aproximada por posibles homónimos.</w:t>
      </w:r>
    </w:p>
    <w:p>
      <w:pPr>
        <w:pStyle w:val="ListBullet2"/>
      </w:pPr>
      <w:r>
        <w:t>La autoría no implica sesgo, pero exige gestión explícita.</w:t>
      </w:r>
    </w:p>
    <w:p>
      <w:pPr>
        <w:pStyle w:val="ListBullet"/>
      </w:pPr>
      <w:r>
        <w:rPr>
          <w:b/>
        </w:rPr>
        <w:t>Evidencia/justificación:</w:t>
      </w:r>
    </w:p>
    <w:p>
      <w:pPr>
        <w:pStyle w:val="ListBullet2"/>
      </w:pPr>
      <w:r>
        <w:t>IOM, estándar 1 (transparencia, incluida la financiación).</w:t>
      </w:r>
    </w:p>
    <w:p>
      <w:pPr>
        <w:pStyle w:val="ListBullet2"/>
      </w:pPr>
      <w:r>
        <w:t>IOM, estándar 2: declaración y gestión de los conflictos; minoría de miembros con conflictos; presidente sin conflictos.</w:t>
      </w:r>
    </w:p>
    <w:p>
      <w:pPr>
        <w:pStyle w:val="ListBullet2"/>
      </w:pPr>
      <w:r>
        <w:t>RIGHT, ítems 18-19.</w:t>
      </w:r>
    </w:p>
    <w:p>
      <w:pPr>
        <w:pStyle w:val="ListBullet2"/>
      </w:pPr>
      <w:r>
        <w:t>AGREE II, ítem 22 (independencia del financiador) e ítem 23 (conflictos registrados y abordados).</w:t>
      </w:r>
    </w:p>
    <w:p>
      <w:pPr>
        <w:pStyle w:val="ListBullet2"/>
      </w:pPr>
      <w:r>
        <w:t>Principios G-I-N 2015.</w:t>
      </w:r>
    </w:p>
    <w:p>
      <w:pPr>
        <w:pStyle w:val="ListBullet"/>
      </w:pPr>
      <w:r>
        <w:rPr>
          <w:b/>
        </w:rPr>
        <w:t>Recomendación:</w:t>
      </w:r>
    </w:p>
    <w:p>
      <w:pPr>
        <w:pStyle w:val="ListBullet2"/>
      </w:pPr>
      <w:r>
        <w:t>Añadir una sección de financiación y una política de conflictos de interés en el propio documento.</w:t>
      </w:r>
    </w:p>
    <w:p>
      <w:pPr>
        <w:pStyle w:val="ListBullet2"/>
      </w:pPr>
      <w:r>
        <w:t>Recusar de la votación de cada recomendación a los autores, investigadores o consultores del producto afectado.</w:t>
      </w:r>
    </w:p>
    <w:p>
      <w:pPr>
        <w:pStyle w:val="ListBullet2"/>
      </w:pPr>
      <w:r>
        <w:t>Publicar una matriz de conflictos por recomendación.</w:t>
      </w:r>
    </w:p>
    <w:p>
      <w:pPr>
        <w:pStyle w:val="ListBullet2"/>
      </w:pPr>
      <w:r>
        <w:t>Nombrar un copresidente metodológico sin conflictos.</w:t>
      </w:r>
    </w:p>
    <w:p>
      <w:pPr>
        <w:pStyle w:val="ListBullet"/>
      </w:pPr>
      <w:r>
        <w:rPr>
          <w:b/>
        </w:rPr>
        <w:t>Confianza:</w:t>
      </w:r>
      <w:r>
        <w:t xml:space="preserve"> 4</w:t>
      </w:r>
    </w:p>
    <w:p>
      <w:pPr>
        <w:pStyle w:val="Heading4"/>
      </w:pPr>
      <w:r>
        <w:t>EPI-01 · Errores de cita sistemáticos en el capítulo 1 (desplazamiento de numeración)</w:t>
      </w:r>
    </w:p>
    <w:p>
      <w:r>
        <w:rPr>
          <w:i/>
        </w:rPr>
        <w:t xml:space="preserve">Severidad final: </w:t>
      </w:r>
      <w:r>
        <w:rPr>
          <w:i/>
          <w:color w:val="ED7D31"/>
        </w:rPr>
        <w:t>🟠</w:t>
      </w:r>
      <w:r>
        <w:rPr>
          <w:i/>
        </w:rPr>
        <w:t xml:space="preserve"> ALTA · Tema T23: Integridad de citas y referencias</w:t>
      </w:r>
    </w:p>
    <w:p>
      <w:pPr>
        <w:pStyle w:val="IntenseQuote"/>
      </w:pPr>
      <w:r>
        <w:rPr>
          <w:b/>
        </w:rPr>
        <w:t>Verificación independiente (CONFIRMADO):</w:t>
      </w:r>
      <w:r>
        <w:t xml:space="preserve"> Retirar la 164. La cifra del 11 % procede de McGeachie (163). | Dejar solo la 220. | Sustituir la 49. | Citar la OMS Global Health Estimates o la WHO Mortality Database. | Citar la ref. 119 y, si se desea, Smith BM, JAMA 2020. | Sustituir. | Retirar la 164; parece un patrón repetido de la ref. 164 «intrusa».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17-30 / impr. 6-19 — capítulo 1 (factores de riesgo, carga, patogénesis, fisiopatología y taxonomía); en contraste con el Highlight xiii (PDF 5 / impr. iv)</w:t>
      </w:r>
    </w:p>
    <w:p>
      <w:pPr>
        <w:pStyle w:val="ListBullet"/>
      </w:pPr>
      <w:r>
        <w:rPr>
          <w:b/>
        </w:rPr>
        <w:t>Cita:</w:t>
      </w:r>
      <w:r>
        <w:t xml:space="preserve"> «11% of children with asthma had lung function impairment consistent with the spirometric classification of COPD by early adulthood.(163-165)»; Highlight xiii: «References have been checked and updated throughout the document.»</w:t>
      </w:r>
    </w:p>
    <w:p>
      <w:pPr>
        <w:pStyle w:val="ListBullet"/>
      </w:pPr>
      <w:r>
        <w:rPr>
          <w:b/>
        </w:rPr>
        <w:t>Problema:</w:t>
      </w:r>
      <w:r>
        <w:t xml:space="preserve"> Muchas llamadas remiten a referencias que no sostienen la afirmación. El patrón (bloques contiguos desplazados, una misma referencia «intrusa» repetida) apunta a un fallo de renumeración al reestructurar el informe. Ejemplos comprobados en la lista de referencias:</w:t>
      </w:r>
    </w:p>
    <w:tbl>
      <w:tblPr>
        <w:tblStyle w:val="TableGrid"/>
        <w:tblW w:type="auto" w:w="0"/>
        <w:tblLayout w:type="fixed"/>
        <w:tblLook w:firstColumn="1" w:firstRow="1" w:lastColumn="0" w:lastRow="0" w:noHBand="0" w:noVBand="1" w:val="04A0"/>
      </w:tblPr>
      <w:tblGrid>
        <w:gridCol w:w="3756"/>
        <w:gridCol w:w="1134"/>
        <w:gridCol w:w="4748"/>
      </w:tblGrid>
      <w:tr>
        <w:trPr>
          <w:tblHeader w:val="true"/>
        </w:trPr>
        <w:tc>
          <w:tcPr>
            <w:tcW w:type="dxa" w:w="3756"/>
            <w:shd w:val="clear" w:color="auto" w:fill="D9E2F3"/>
          </w:tcPr>
          <w:p>
            <w:r/>
            <w:r>
              <w:rPr>
                <w:b/>
                <w:sz w:val="18"/>
              </w:rPr>
              <w:t>Afirmación (PDF/impr.)</w:t>
            </w:r>
          </w:p>
        </w:tc>
        <w:tc>
          <w:tcPr>
            <w:tcW w:type="dxa" w:w="1134"/>
            <w:shd w:val="clear" w:color="auto" w:fill="D9E2F3"/>
          </w:tcPr>
          <w:p>
            <w:r/>
            <w:r>
              <w:rPr>
                <w:b/>
                <w:sz w:val="18"/>
              </w:rPr>
              <w:t>Ref. citada</w:t>
            </w:r>
          </w:p>
        </w:tc>
        <w:tc>
          <w:tcPr>
            <w:tcW w:type="dxa" w:w="4748"/>
            <w:shd w:val="clear" w:color="auto" w:fill="D9E2F3"/>
          </w:tcPr>
          <w:p>
            <w:r/>
            <w:r>
              <w:rPr>
                <w:b/>
                <w:sz w:val="18"/>
              </w:rPr>
              <w:t>Contenido real de la ref.</w:t>
            </w:r>
          </w:p>
        </w:tc>
      </w:tr>
      <w:tr>
        <w:tc>
          <w:tcPr>
            <w:tcW w:type="dxa" w:w="3756"/>
          </w:tcPr>
          <w:p>
            <w:r/>
            <w:r>
              <w:rPr>
                <w:sz w:val="18"/>
              </w:rPr>
              <w:t>Asma infantil→EPOC (25/14); tapones de moco→mortalidad (26/15); VIH→metilación (26/15)</w:t>
            </w:r>
          </w:p>
        </w:tc>
        <w:tc>
          <w:tcPr>
            <w:tcW w:type="dxa" w:w="1134"/>
          </w:tcPr>
          <w:p>
            <w:r/>
            <w:r>
              <w:rPr>
                <w:b/>
                <w:sz w:val="18"/>
              </w:rPr>
              <w:t>164</w:t>
            </w:r>
          </w:p>
        </w:tc>
        <w:tc>
          <w:tcPr>
            <w:tcW w:type="dxa" w:w="4748"/>
          </w:tcPr>
          <w:p>
            <w:r/>
            <w:r>
              <w:rPr>
                <w:sz w:val="18"/>
              </w:rPr>
              <w:t xml:space="preserve">Silva 2025, </w:t>
            </w:r>
            <w:r>
              <w:rPr>
                <w:i/>
                <w:sz w:val="18"/>
              </w:rPr>
              <w:t>apps de smartphone para actividad física</w:t>
            </w:r>
            <w:r>
              <w:rPr>
                <w:sz w:val="18"/>
              </w:rPr>
              <w:t>, Pulmonology</w:t>
            </w:r>
          </w:p>
        </w:tc>
      </w:tr>
      <w:tr>
        <w:tc>
          <w:tcPr>
            <w:tcW w:type="dxa" w:w="3756"/>
          </w:tcPr>
          <w:p>
            <w:r/>
            <w:r>
              <w:rPr>
                <w:sz w:val="18"/>
              </w:rPr>
              <w:t>VIH «probably due to methylation disruptions» (26/15)</w:t>
            </w:r>
          </w:p>
        </w:tc>
        <w:tc>
          <w:tcPr>
            <w:tcW w:type="dxa" w:w="1134"/>
          </w:tcPr>
          <w:p>
            <w:r/>
            <w:r>
              <w:rPr>
                <w:b/>
                <w:sz w:val="18"/>
              </w:rPr>
              <w:t>221</w:t>
            </w:r>
          </w:p>
        </w:tc>
        <w:tc>
          <w:tcPr>
            <w:tcW w:type="dxa" w:w="4748"/>
          </w:tcPr>
          <w:p>
            <w:r/>
            <w:r>
              <w:rPr>
                <w:sz w:val="18"/>
              </w:rPr>
              <w:t>Lee 2022, déficit de subclases IgG y mortalidad hospitalaria</w:t>
            </w:r>
          </w:p>
        </w:tc>
      </w:tr>
      <w:tr>
        <w:tc>
          <w:tcPr>
            <w:tcW w:type="dxa" w:w="3756"/>
          </w:tcPr>
          <w:p>
            <w:r/>
            <w:r>
              <w:rPr>
                <w:sz w:val="18"/>
              </w:rPr>
              <w:t>Contaminación→exacerbaciones/mortalidad (17/6)</w:t>
            </w:r>
          </w:p>
        </w:tc>
        <w:tc>
          <w:tcPr>
            <w:tcW w:type="dxa" w:w="1134"/>
          </w:tcPr>
          <w:p>
            <w:r/>
            <w:r>
              <w:rPr>
                <w:b/>
                <w:sz w:val="18"/>
              </w:rPr>
              <w:t>49</w:t>
            </w:r>
            <w:r>
              <w:rPr>
                <w:sz w:val="18"/>
              </w:rPr>
              <w:t xml:space="preserve"> (dentro de 48-50)</w:t>
            </w:r>
          </w:p>
        </w:tc>
        <w:tc>
          <w:tcPr>
            <w:tcW w:type="dxa" w:w="4748"/>
          </w:tcPr>
          <w:p>
            <w:r/>
            <w:r>
              <w:rPr>
                <w:sz w:val="18"/>
              </w:rPr>
              <w:t>Regan 2024, ecuaciones espirométricas por raza</w:t>
            </w:r>
          </w:p>
        </w:tc>
      </w:tr>
      <w:tr>
        <w:tc>
          <w:tcPr>
            <w:tcW w:type="dxa" w:w="3756"/>
          </w:tcPr>
          <w:p>
            <w:r/>
            <w:r>
              <w:rPr>
                <w:sz w:val="18"/>
              </w:rPr>
              <w:t>GETomics «requires further investigation» (22/11)</w:t>
            </w:r>
          </w:p>
        </w:tc>
        <w:tc>
          <w:tcPr>
            <w:tcW w:type="dxa" w:w="1134"/>
          </w:tcPr>
          <w:p>
            <w:r/>
            <w:r>
              <w:rPr>
                <w:b/>
                <w:sz w:val="18"/>
              </w:rPr>
              <w:t>107</w:t>
            </w:r>
          </w:p>
        </w:tc>
        <w:tc>
          <w:tcPr>
            <w:tcW w:type="dxa" w:w="4748"/>
          </w:tcPr>
          <w:p>
            <w:r/>
            <w:r>
              <w:rPr>
                <w:sz w:val="18"/>
              </w:rPr>
              <w:t>Cohorte AIREPOC (contaminación y exacerbaciones)</w:t>
            </w:r>
          </w:p>
        </w:tc>
      </w:tr>
      <w:tr>
        <w:tc>
          <w:tcPr>
            <w:tcW w:type="dxa" w:w="3756"/>
          </w:tcPr>
          <w:p>
            <w:r/>
            <w:r>
              <w:rPr>
                <w:sz w:val="18"/>
              </w:rPr>
              <w:t>Definición de disanapsis (24/13)</w:t>
            </w:r>
          </w:p>
        </w:tc>
        <w:tc>
          <w:tcPr>
            <w:tcW w:type="dxa" w:w="1134"/>
          </w:tcPr>
          <w:p>
            <w:r/>
            <w:r>
              <w:rPr>
                <w:b/>
                <w:sz w:val="18"/>
              </w:rPr>
              <w:t>132, 133</w:t>
            </w:r>
          </w:p>
        </w:tc>
        <w:tc>
          <w:tcPr>
            <w:tcW w:type="dxa" w:w="4748"/>
          </w:tcPr>
          <w:p>
            <w:r/>
            <w:r>
              <w:rPr>
                <w:sz w:val="18"/>
              </w:rPr>
              <w:t>Barker 1991 (peso al nacer) y Todisco 1993 (prematuridad leve)</w:t>
            </w:r>
          </w:p>
        </w:tc>
      </w:tr>
      <w:tr>
        <w:tc>
          <w:tcPr>
            <w:tcW w:type="dxa" w:w="3756"/>
          </w:tcPr>
          <w:p>
            <w:r/>
            <w:r>
              <w:rPr>
                <w:sz w:val="18"/>
              </w:rPr>
              <w:t>«Childhood disadvantage factors» (22/11)</w:t>
            </w:r>
          </w:p>
        </w:tc>
        <w:tc>
          <w:tcPr>
            <w:tcW w:type="dxa" w:w="1134"/>
          </w:tcPr>
          <w:p>
            <w:r/>
            <w:r>
              <w:rPr>
                <w:b/>
                <w:sz w:val="18"/>
              </w:rPr>
              <w:t>119-126</w:t>
            </w:r>
          </w:p>
        </w:tc>
        <w:tc>
          <w:tcPr>
            <w:tcW w:type="dxa" w:w="4748"/>
          </w:tcPr>
          <w:p>
            <w:r/>
            <w:r>
              <w:rPr>
                <w:sz w:val="18"/>
              </w:rPr>
              <w:t>Incluye Green 1974 y Martin (disanapsis), Ito &amp; Barnes 2009 (envejecimiento) y Rawlins 2009 (células Clara en ratón)</w:t>
            </w:r>
          </w:p>
        </w:tc>
      </w:tr>
      <w:tr>
        <w:tc>
          <w:tcPr>
            <w:tcW w:type="dxa" w:w="3756"/>
          </w:tcPr>
          <w:p>
            <w:r/>
            <w:r>
              <w:rPr>
                <w:sz w:val="18"/>
              </w:rPr>
              <w:t>Oxidantes generados por humo/células inflamatorias (28/17)</w:t>
            </w:r>
          </w:p>
        </w:tc>
        <w:tc>
          <w:tcPr>
            <w:tcW w:type="dxa" w:w="1134"/>
          </w:tcPr>
          <w:p>
            <w:r/>
            <w:r>
              <w:rPr>
                <w:b/>
                <w:sz w:val="18"/>
              </w:rPr>
              <w:t>215</w:t>
            </w:r>
          </w:p>
        </w:tc>
        <w:tc>
          <w:tcPr>
            <w:tcW w:type="dxa" w:w="4748"/>
          </w:tcPr>
          <w:p>
            <w:r/>
            <w:r>
              <w:rPr>
                <w:sz w:val="18"/>
              </w:rPr>
              <w:t>PLATINO, tuberculosis y obstrucción</w:t>
            </w:r>
          </w:p>
        </w:tc>
      </w:tr>
      <w:tr>
        <w:tc>
          <w:tcPr>
            <w:tcW w:type="dxa" w:w="3756"/>
          </w:tcPr>
          <w:p>
            <w:r/>
            <w:r>
              <w:rPr>
                <w:sz w:val="18"/>
              </w:rPr>
              <w:t>Hiperinsuflación→función cardiaca (30/19)</w:t>
            </w:r>
          </w:p>
        </w:tc>
        <w:tc>
          <w:tcPr>
            <w:tcW w:type="dxa" w:w="1134"/>
          </w:tcPr>
          <w:p>
            <w:r/>
            <w:r>
              <w:rPr>
                <w:b/>
                <w:sz w:val="18"/>
              </w:rPr>
              <w:t>289</w:t>
            </w:r>
          </w:p>
        </w:tc>
        <w:tc>
          <w:tcPr>
            <w:tcW w:type="dxa" w:w="4748"/>
          </w:tcPr>
          <w:p>
            <w:r/>
            <w:r>
              <w:rPr>
                <w:sz w:val="18"/>
              </w:rPr>
              <w:t>Parker 2005, recuperación de exacerbaciones</w:t>
            </w:r>
          </w:p>
        </w:tc>
      </w:tr>
      <w:tr>
        <w:tc>
          <w:tcPr>
            <w:tcW w:type="dxa" w:w="3756"/>
          </w:tcPr>
          <w:p>
            <w:r/>
            <w:r>
              <w:rPr>
                <w:sz w:val="18"/>
              </w:rPr>
              <w:t>Depresión del impulso ventilatorio por sedantes (29/18)</w:t>
            </w:r>
          </w:p>
        </w:tc>
        <w:tc>
          <w:tcPr>
            <w:tcW w:type="dxa" w:w="1134"/>
          </w:tcPr>
          <w:p>
            <w:r/>
            <w:r>
              <w:rPr>
                <w:b/>
                <w:sz w:val="18"/>
              </w:rPr>
              <w:t>280</w:t>
            </w:r>
          </w:p>
        </w:tc>
        <w:tc>
          <w:tcPr>
            <w:tcW w:type="dxa" w:w="4748"/>
          </w:tcPr>
          <w:p>
            <w:r/>
            <w:r>
              <w:rPr>
                <w:sz w:val="18"/>
              </w:rPr>
              <w:t>Elbehairy 2015, intercambio de gases en EPOC leve</w:t>
            </w:r>
          </w:p>
        </w:tc>
      </w:tr>
      <w:tr>
        <w:tc>
          <w:tcPr>
            <w:tcW w:type="dxa" w:w="3756"/>
          </w:tcPr>
          <w:p>
            <w:r/>
            <w:r>
              <w:rPr>
                <w:sz w:val="18"/>
              </w:rPr>
              <w:t>«The WHO publishes mortality statistics…» (21/10)</w:t>
            </w:r>
          </w:p>
        </w:tc>
        <w:tc>
          <w:tcPr>
            <w:tcW w:type="dxa" w:w="1134"/>
          </w:tcPr>
          <w:p>
            <w:r/>
            <w:r>
              <w:rPr>
                <w:b/>
                <w:sz w:val="18"/>
              </w:rPr>
              <w:t>91</w:t>
            </w:r>
          </w:p>
        </w:tc>
        <w:tc>
          <w:tcPr>
            <w:tcW w:type="dxa" w:w="4748"/>
          </w:tcPr>
          <w:p>
            <w:r/>
            <w:r>
              <w:rPr>
                <w:sz w:val="18"/>
              </w:rPr>
              <w:t>Web de EVIPNet (redes de políticas informadas por evidencia)</w:t>
            </w:r>
          </w:p>
        </w:tc>
      </w:tr>
      <w:tr>
        <w:tc>
          <w:tcPr>
            <w:tcW w:type="dxa" w:w="3756"/>
          </w:tcPr>
          <w:p>
            <w:r/>
            <w:r>
              <w:rPr>
                <w:sz w:val="18"/>
              </w:rPr>
              <w:t>Infradiagnóstico→precisión de la mortalidad (21/10)</w:t>
            </w:r>
          </w:p>
        </w:tc>
        <w:tc>
          <w:tcPr>
            <w:tcW w:type="dxa" w:w="1134"/>
          </w:tcPr>
          <w:p>
            <w:r/>
            <w:r>
              <w:rPr>
                <w:b/>
                <w:sz w:val="18"/>
              </w:rPr>
              <w:t>92</w:t>
            </w:r>
          </w:p>
        </w:tc>
        <w:tc>
          <w:tcPr>
            <w:tcW w:type="dxa" w:w="4748"/>
          </w:tcPr>
          <w:p>
            <w:r/>
            <w:r>
              <w:rPr>
                <w:sz w:val="18"/>
              </w:rPr>
              <w:t>PURE, diferencias regionales en función pulmonar</w:t>
            </w:r>
          </w:p>
        </w:tc>
      </w:tr>
      <w:tr>
        <w:tc>
          <w:tcPr>
            <w:tcW w:type="dxa" w:w="3756"/>
          </w:tcPr>
          <w:p>
            <w:r/>
            <w:r>
              <w:rPr>
                <w:sz w:val="18"/>
              </w:rPr>
              <w:t>Origen del término pre-EPOC (25/14)</w:t>
            </w:r>
          </w:p>
        </w:tc>
        <w:tc>
          <w:tcPr>
            <w:tcW w:type="dxa" w:w="1134"/>
          </w:tcPr>
          <w:p>
            <w:r/>
            <w:r>
              <w:rPr>
                <w:b/>
                <w:sz w:val="18"/>
              </w:rPr>
              <w:t>146</w:t>
            </w:r>
          </w:p>
        </w:tc>
        <w:tc>
          <w:tcPr>
            <w:tcW w:type="dxa" w:w="4748"/>
          </w:tcPr>
          <w:p>
            <w:r/>
            <w:r>
              <w:rPr>
                <w:sz w:val="18"/>
              </w:rPr>
              <w:t>Çolak 2024, «susceptible young adults» (el origen es Han 2021, ref 147)</w:t>
            </w:r>
          </w:p>
        </w:tc>
      </w:tr>
      <w:tr>
        <w:tc>
          <w:tcPr>
            <w:tcW w:type="dxa" w:w="3756"/>
          </w:tcPr>
          <w:p>
            <w:r/>
            <w:r>
              <w:rPr>
                <w:sz w:val="18"/>
              </w:rPr>
              <w:t>Taxonomía/etiotipos (30/19)</w:t>
            </w:r>
          </w:p>
        </w:tc>
        <w:tc>
          <w:tcPr>
            <w:tcW w:type="dxa" w:w="1134"/>
          </w:tcPr>
          <w:p>
            <w:r/>
            <w:r>
              <w:rPr>
                <w:b/>
                <w:sz w:val="18"/>
              </w:rPr>
              <w:t>295</w:t>
            </w:r>
          </w:p>
        </w:tc>
        <w:tc>
          <w:tcPr>
            <w:tcW w:type="dxa" w:w="4748"/>
          </w:tcPr>
          <w:p>
            <w:r/>
            <w:r>
              <w:rPr>
                <w:sz w:val="18"/>
              </w:rPr>
              <w:t>«Dharmage S, Agusti A. Personal communication. 2022»</w:t>
            </w:r>
          </w:p>
        </w:tc>
      </w:tr>
      <w:tr>
        <w:tc>
          <w:tcPr>
            <w:tcW w:type="dxa" w:w="3756"/>
          </w:tcPr>
          <w:p>
            <w:r/>
            <w:r>
              <w:rPr>
                <w:sz w:val="18"/>
              </w:rPr>
              <w:t>Eosinófilos/ILC2 en patobiología</w:t>
            </w:r>
          </w:p>
        </w:tc>
        <w:tc>
          <w:tcPr>
            <w:tcW w:type="dxa" w:w="1134"/>
          </w:tcPr>
          <w:p>
            <w:r/>
            <w:r>
              <w:rPr>
                <w:b/>
                <w:sz w:val="18"/>
              </w:rPr>
              <w:t>239</w:t>
            </w:r>
          </w:p>
        </w:tc>
        <w:tc>
          <w:tcPr>
            <w:tcW w:type="dxa" w:w="4748"/>
          </w:tcPr>
          <w:p>
            <w:r/>
            <w:r>
              <w:rPr>
                <w:sz w:val="18"/>
              </w:rPr>
              <w:t>Guía de bolsillo GINA-GOLD 2017 sobre ACOS (concepto abandonado)</w:t>
            </w:r>
          </w:p>
        </w:tc>
      </w:tr>
      <w:tr>
        <w:tc>
          <w:tcPr>
            <w:tcW w:type="dxa" w:w="3756"/>
          </w:tcPr>
          <w:p>
            <w:r/>
            <w:r>
              <w:rPr>
                <w:sz w:val="18"/>
              </w:rPr>
              <w:t>Proyección de 5,4 M muertes en 2060 (21/10)</w:t>
            </w:r>
          </w:p>
        </w:tc>
        <w:tc>
          <w:tcPr>
            <w:tcW w:type="dxa" w:w="1134"/>
          </w:tcPr>
          <w:p>
            <w:r/>
            <w:r>
              <w:rPr>
                <w:b/>
                <w:sz w:val="18"/>
              </w:rPr>
              <w:t>90</w:t>
            </w:r>
          </w:p>
        </w:tc>
        <w:tc>
          <w:tcPr>
            <w:tcW w:type="dxa" w:w="4748"/>
          </w:tcPr>
          <w:p>
            <w:r/>
            <w:r>
              <w:rPr>
                <w:sz w:val="18"/>
              </w:rPr>
              <w:t>Blog colinmathers.com, atribuido a «World Health Organization»</w:t>
            </w:r>
          </w:p>
        </w:tc>
      </w:tr>
    </w:tbl>
    <w:p/>
    <w:p>
      <w:r>
        <w:t xml:space="preserve">Además, la frase sobre la revisión sistemática de prevalencia por sexo y subregiones GBD (PDF 27 / impr. 16) </w:t>
      </w:r>
      <w:r>
        <w:rPr>
          <w:b/>
        </w:rPr>
        <w:t>no tiene cita</w:t>
      </w:r>
      <w:r>
        <w:t>.</w:t>
      </w:r>
    </w:p>
    <w:p>
      <w:pPr>
        <w:pStyle w:val="ListBullet"/>
      </w:pPr>
      <w:r>
        <w:rPr>
          <w:b/>
        </w:rPr>
        <w:t>Evidencia/justificación:</w:t>
      </w:r>
      <w:r>
        <w:t xml:space="preserve"> La comprobación se hizo directamente sobre la lista numerada (PDF 175-248). En varios casos la referencia correcta está a 1-3 posiciones (p. ej., Green 1974 = ref 119 se cita bien en la frase siguiente, pero la definición remite a 132-133). En otros casos la cita correcta convive con la errónea: ref 190 (Diaz, JAMA 2023, tapones de moco) y ref 220 (Hernández Cordero, Thorax 2021, metilación en VIH) son pertinentes.</w:t>
      </w:r>
    </w:p>
    <w:p>
      <w:pPr>
        <w:pStyle w:val="ListBullet"/>
      </w:pPr>
      <w:r>
        <w:rPr>
          <w:b/>
        </w:rPr>
        <w:t>Recomendación:</w:t>
      </w:r>
    </w:p>
    <w:p>
      <w:pPr>
        <w:pStyle w:val="ListBullet2"/>
      </w:pPr>
      <w:r>
        <w:t>Hacer una auditoría completa y automatizada de las llamadas del cap. 1, idealmente de todo el informe, contrastando la afirmación con el título y el resumen de cada referencia.</w:t>
      </w:r>
    </w:p>
    <w:p>
      <w:pPr>
        <w:pStyle w:val="ListBullet2"/>
      </w:pPr>
      <w:r>
        <w:t>Sustituir la «comunicación personal» por Celli 2022 (ref 7) y Stolz 2022 (ref 296), que son las fuentes que declara la propia Figure 1.3.</w:t>
      </w:r>
    </w:p>
    <w:p>
      <w:pPr>
        <w:pStyle w:val="ListBullet2"/>
      </w:pPr>
      <w:r>
        <w:t>Atribuir correctamente la ref 90 a su autor y no a la OMS.</w:t>
      </w:r>
    </w:p>
    <w:p>
      <w:pPr>
        <w:pStyle w:val="ListBullet2"/>
      </w:pPr>
      <w:r>
        <w:t>Retirar el Highlight xiii hasta completar la verificación o matizarlo.</w:t>
      </w:r>
    </w:p>
    <w:p>
      <w:pPr>
        <w:pStyle w:val="ListBullet"/>
      </w:pPr>
      <w:r>
        <w:rPr>
          <w:b/>
        </w:rPr>
        <w:t>Confianza:</w:t>
      </w:r>
      <w:r>
        <w:t xml:space="preserve"> 5/5</w:t>
      </w:r>
    </w:p>
    <w:p>
      <w:pPr>
        <w:pStyle w:val="Heading4"/>
      </w:pPr>
      <w:r>
        <w:t>EQ-09 · El dato de depresión por sexo está mal representado y contradice las referencias citadas</w:t>
      </w:r>
    </w:p>
    <w:p>
      <w:r>
        <w:rPr>
          <w:i/>
        </w:rPr>
        <w:t xml:space="preserve">Severidad final: </w:t>
      </w:r>
      <w:r>
        <w:rPr>
          <w:i/>
          <w:color w:val="ED7D31"/>
        </w:rPr>
        <w:t>🟠</w:t>
      </w:r>
      <w:r>
        <w:rPr>
          <w:i/>
        </w:rPr>
        <w:t xml:space="preserve"> ALTA · Tema T24: Cifras epidemiológicas y datos mal transcritos</w:t>
      </w:r>
    </w:p>
    <w:p>
      <w:pPr>
        <w:pStyle w:val="IntenseQuote"/>
      </w:pPr>
      <w:r>
        <w:rPr>
          <w:b/>
        </w:rPr>
        <w:t>Verificación independiente (CONFIRMADO):</w:t>
      </w:r>
      <w:r>
        <w:t xml:space="preserve"> Confirmado: - la afirmación «more common in men» contradice la ref. 327; - «all approximately 34%» es falso para la ansiedad sola (20 %); - el 61/39 parece la composición por sexo de un subgrupo pequeño (depresión sola ≈5 % de 734, es decir, ≈37 personas), no una prevalencia. No pude verificarlo en el texto completo, que es de pago. Corrección: «La depresión es más prevalente en mujeres con EPOC (ECLIPSE); ≈1 de cada…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133 / impr. 122 — "Anxiety and depression".</w:t>
      </w:r>
    </w:p>
    <w:p>
      <w:pPr>
        <w:pStyle w:val="ListBullet"/>
      </w:pPr>
      <w:r>
        <w:rPr>
          <w:b/>
        </w:rPr>
        <w:t>Cita:</w:t>
      </w:r>
      <w:r>
        <w:t xml:space="preserve"> "The prevalence of anxiety alone and combined anxiety and depression is similar in men and women with COPD (all approximately 34%), whereas depression alone is more common in men than women (61% versus 39%)."</w:t>
      </w:r>
    </w:p>
    <w:p>
      <w:pPr>
        <w:pStyle w:val="ListBullet"/>
      </w:pPr>
      <w:r>
        <w:rPr>
          <w:b/>
        </w:rPr>
        <w:t>Problema:</w:t>
      </w:r>
    </w:p>
    <w:p>
      <w:pPr>
        <w:pStyle w:val="ListBullet2"/>
      </w:pPr>
      <w:r>
        <w:t>El 61 % frente a 39 % no parece una prevalencia de depresión por sexo, sino la composición por sexo de un subgrupo.</w:t>
      </w:r>
    </w:p>
    <w:p>
      <w:pPr>
        <w:pStyle w:val="ListBullet2"/>
      </w:pPr>
      <w:r>
        <w:t>Presentado así, transmite que la depresión es más frecuente en hombres, lo contrario de lo que muestra la literatura sobre EPOC, incluida una de las referencias citadas. Esto puede reducir el cribado de depresión en mujeres.</w:t>
      </w:r>
    </w:p>
    <w:p>
      <w:pPr>
        <w:pStyle w:val="ListBullet2"/>
      </w:pPr>
      <w:r>
        <w:t>La ref. 88 (Chen 2015) trata de comorbilidad cardiovascular y no apoya la frase.</w:t>
      </w:r>
    </w:p>
    <w:p>
      <w:pPr>
        <w:pStyle w:val="ListBullet"/>
      </w:pPr>
      <w:r>
        <w:rPr>
          <w:b/>
        </w:rPr>
        <w:t>Evidencia/justificación:</w:t>
      </w:r>
    </w:p>
    <w:p>
      <w:pPr>
        <w:pStyle w:val="ListBullet2"/>
      </w:pPr>
      <w:r>
        <w:t>Yohannes AM et al. 2022 (ref. 1278, PMID 35427843): ansiedad y depresión combinadas en torno al 34 %, solo ansiedad en torno al 20 % y solo depresión en torno al 5 %. No hay "34 % para todas" ni una prevalencia de 61/39 por sexo.</w:t>
      </w:r>
    </w:p>
    <w:p>
      <w:pPr>
        <w:pStyle w:val="ListBullet2"/>
      </w:pPr>
      <w:r>
        <w:t>Hanania NA et al., ECLIPSE (ref. 327, PMID 20889909): el sexo femenino se identificó como factor asociado a depresión.</w:t>
      </w:r>
    </w:p>
    <w:p>
      <w:pPr>
        <w:pStyle w:val="ListBullet"/>
      </w:pPr>
      <w:r>
        <w:rPr>
          <w:b/>
        </w:rPr>
        <w:t>Recomendación:</w:t>
      </w:r>
      <w:r>
        <w:t xml:space="preserve"> Corregir la frase con los datos reales de las referencias e indicar que el sexo femenino es un factor de riesgo de depresión y ansiedad en la EPOC. Retirar la ref. 88 de esa cita. Recomendar el cribado sistemático de ansiedad y depresión en todas las personas con EPOC, con atención específica a las mujeres.</w:t>
      </w:r>
    </w:p>
    <w:p>
      <w:pPr>
        <w:pStyle w:val="ListBullet"/>
      </w:pPr>
      <w:r>
        <w:rPr>
          <w:b/>
        </w:rPr>
        <w:t>Confianza:</w:t>
      </w:r>
      <w:r>
        <w:t xml:space="preserve"> 4/5</w:t>
      </w:r>
    </w:p>
    <w:p>
      <w:pPr>
        <w:pStyle w:val="Heading4"/>
      </w:pPr>
      <w:r>
        <w:t>EXA-14 · Cifra de reingresos a 30 días ("30-50 %") errónea, sin referencia y contradicha por la propia guía</w:t>
      </w:r>
    </w:p>
    <w:p>
      <w:r>
        <w:rPr>
          <w:i/>
        </w:rPr>
        <w:t xml:space="preserve">Severidad final: </w:t>
      </w:r>
      <w:r>
        <w:rPr>
          <w:i/>
          <w:color w:val="ED7D31"/>
        </w:rPr>
        <w:t>🟠</w:t>
      </w:r>
      <w:r>
        <w:rPr>
          <w:i/>
        </w:rPr>
        <w:t xml:space="preserve"> ALTA · Tema T24: Cifras epidemiológicas y datos mal transcritos</w:t>
      </w:r>
    </w:p>
    <w:p>
      <w:pPr>
        <w:pStyle w:val="IntenseQuote"/>
      </w:pPr>
      <w:r>
        <w:rPr>
          <w:b/>
        </w:rPr>
        <w:t>Verificación independiente (CONFIRMADO):</w:t>
      </w:r>
      <w:r>
        <w:t xml:space="preserve"> Escribir «≈7-20 % a 30 días según el sistema sanitario (hasta ≈1/3 a 1 año)» y citar (1)-(3). El rango del 30-50 % se acerca a las tasas a 1 año, no a 30 días.</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r>
        <w:t xml:space="preserve"> PDF 119 / impr. 108 — "Hospital discharge and follow-up".</w:t>
      </w:r>
    </w:p>
    <w:p>
      <w:pPr>
        <w:pStyle w:val="ListBullet"/>
      </w:pPr>
      <w:r>
        <w:rPr>
          <w:b/>
        </w:rPr>
        <w:t>Cita:</w:t>
      </w:r>
      <w:r>
        <w:t xml:space="preserve"> "Readmissions occur in 30%-50% of patients within 30 days of discharge after hospitalization for COPD exacerbation".</w:t>
      </w:r>
    </w:p>
    <w:p>
      <w:pPr>
        <w:pStyle w:val="ListBullet"/>
      </w:pPr>
      <w:r>
        <w:rPr>
          <w:b/>
        </w:rPr>
        <w:t>Problema:</w:t>
      </w:r>
    </w:p>
    <w:p>
      <w:pPr>
        <w:pStyle w:val="ListBullet2"/>
      </w:pPr>
      <w:r>
        <w:t>La frase no lleva referencia y sobrestima de 3 a 5 veces la tasa real.</w:t>
      </w:r>
    </w:p>
    <w:p>
      <w:pPr>
        <w:pStyle w:val="ListBullet2"/>
      </w:pPr>
      <w:r>
        <w:t>Contradice dos referencias que GOLD cita:</w:t>
      </w:r>
    </w:p>
    <w:p>
      <w:pPr>
        <w:pStyle w:val="ListBullet2"/>
      </w:pPr>
      <w:r>
        <w:t>El metaanálisis con datos individuales de Waeijen-Smit 2024 (ref. 991, citado en PDF 111; PMID 38410700): reingreso del 7,1 % a 30 días, 12,6 % a 90 días y 32,1 % a 1 año.</w:t>
      </w:r>
    </w:p>
    <w:p>
      <w:pPr>
        <w:pStyle w:val="ListBullet2"/>
      </w:pPr>
      <w:r>
        <w:t>Ruan 2023 (citado como ref. 1286 en el cap. 5; PMID 36528962): 11 % a 30 días y 37 % a 1 año.</w:t>
      </w:r>
    </w:p>
    <w:p>
      <w:pPr>
        <w:pStyle w:val="ListBullet2"/>
      </w:pPr>
      <w:r>
        <w:t>La cifra del 30-50 % corresponde aproximadamente al reingreso a 1 año.</w:t>
      </w:r>
    </w:p>
    <w:p>
      <w:pPr>
        <w:pStyle w:val="ListBullet2"/>
      </w:pPr>
      <w:r>
        <w:t>Este dato, en la primera línea de la sección de alta, distorsiona la planificación de recursos y la evaluación de programas de calidad.</w:t>
      </w:r>
    </w:p>
    <w:p>
      <w:pPr>
        <w:pStyle w:val="ListBullet"/>
      </w:pPr>
      <w:r>
        <w:rPr>
          <w:b/>
        </w:rPr>
        <w:t>Evidencia/justificación:</w:t>
      </w:r>
      <w:r>
        <w:t xml:space="preserve"> Refs. 991 y 1286 de la propia guía, verificadas en PubMed.</w:t>
      </w:r>
    </w:p>
    <w:p>
      <w:pPr>
        <w:pStyle w:val="ListBullet"/>
      </w:pPr>
      <w:r>
        <w:rPr>
          <w:b/>
        </w:rPr>
        <w:t>Recomendación:</w:t>
      </w:r>
      <w:r>
        <w:t xml:space="preserve"> Sustituir por "≈7-11 % a 30 días y ≈30-40 % al año (refs. 991, 1286)".</w:t>
      </w:r>
    </w:p>
    <w:p>
      <w:pPr>
        <w:pStyle w:val="ListBullet"/>
      </w:pPr>
      <w:r>
        <w:rPr>
          <w:b/>
        </w:rPr>
        <w:t>Confianza:</w:t>
      </w:r>
      <w:r>
        <w:t xml:space="preserve"> 5/5</w:t>
      </w:r>
    </w:p>
    <w:p>
      <w:pPr>
        <w:pStyle w:val="Heading4"/>
      </w:pPr>
      <w:r>
        <w:t>EQ-01 · La espirometría se presenta como "barata y disponible en cualquier entorno", en contradicción con el propio documento</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37 / impr. 26 — "Spirometry". Contrasta con PDF 13 / impr. 2 (Prefacio) y PDF 21 / impr. 10.</w:t>
      </w:r>
    </w:p>
    <w:p>
      <w:pPr>
        <w:pStyle w:val="ListBullet"/>
      </w:pPr>
      <w:r>
        <w:rPr>
          <w:b/>
        </w:rPr>
        <w:t>Cita:</w:t>
      </w:r>
      <w:r>
        <w:t xml:space="preserve"> "It is a noninvasive, reproducible, cheap, and readily available test. Good quality spirometric measurement is possible in any healthcare setting" (PDF 37). En cambio: "diagnostic spirometry services are not widely available" (PDF 13).</w:t>
      </w:r>
    </w:p>
    <w:p>
      <w:pPr>
        <w:pStyle w:val="ListBullet"/>
      </w:pPr>
      <w:r>
        <w:rPr>
          <w:b/>
        </w:rPr>
        <w:t>Problema:</w:t>
      </w:r>
      <w:r>
        <w:t xml:space="preserve"> El capítulo 2 presenta la espirometría como barata, disponible y realizable con calidad en cualquier entorno. El prefacio y el capítulo 1 reconocen que no está ampliamente disponible. Esta contradicción oculta una barrera estructural central para el diagnóstico en AP y en LMIC: coste del equipo, formación, control de calidad, calibración y ecuaciones de referencia. Además, legitima que las recomendaciones no ofrezcan alternativas.</w:t>
      </w:r>
    </w:p>
    <w:p>
      <w:pPr>
        <w:pStyle w:val="ListBullet"/>
      </w:pPr>
      <w:r>
        <w:rPr>
          <w:b/>
        </w:rPr>
        <w:t>Evidencia/justificación:</w:t>
      </w:r>
      <w:r>
        <w:t xml:space="preserve"> Las encuestas de capacidad de los países en enfermedades no transmisibles de la OMS (NCD Country Capacity Survey; informe de 2023, iris.who.int/handle/10665/381204) documentan brechas importantes en la disponibilidad de espirometría y medidores de flujo espiratorio máximo (PEF) en la AP pública de países de ingresos bajos. Ese es el motivo por el que WHO PEN (2020) basa su protocolo respiratorio en el PEF. El propio GOLD estima que hasta el 70 % de los casos de EPOC están sin diagnosticar.</w:t>
      </w:r>
    </w:p>
    <w:p>
      <w:pPr>
        <w:pStyle w:val="ListBullet"/>
      </w:pPr>
      <w:r>
        <w:rPr>
          <w:b/>
        </w:rPr>
        <w:t>Recomendación:</w:t>
      </w:r>
      <w:r>
        <w:t xml:space="preserve"> Sustituir la frase por una formulación honesta, por ejemplo: "es la prueba de referencia; su disponibilidad y calidad varían mucho entre sistemas sanitarios". Añadir requisitos mínimos de calidad para AP y una referencia cruzada a una vía alternativa para entornos sin espirometría (EQ-03).</w:t>
      </w:r>
    </w:p>
    <w:p>
      <w:pPr>
        <w:pStyle w:val="ListBullet"/>
      </w:pPr>
      <w:r>
        <w:rPr>
          <w:b/>
        </w:rPr>
        <w:t>Confianza:</w:t>
      </w:r>
      <w:r>
        <w:t xml:space="preserve"> 5/5</w:t>
      </w:r>
    </w:p>
    <w:p>
      <w:pPr>
        <w:pStyle w:val="Heading4"/>
      </w:pPr>
      <w:r>
        <w:t>EQ-03 · No hay una vía diagnóstica operativa para entornos sin espirometría</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43 / impr. 32 — "Case-finding / screening".</w:t>
      </w:r>
    </w:p>
    <w:p>
      <w:pPr>
        <w:pStyle w:val="ListBullet"/>
      </w:pPr>
      <w:r>
        <w:rPr>
          <w:b/>
        </w:rPr>
        <w:t>Cita:</w:t>
      </w:r>
      <w:r>
        <w:t xml:space="preserve"> "When routine spirometry is not available, home measurement of PEF combined with validated patient questionnaires could be used to support or refute a possible diagnosis of COPD."</w:t>
      </w:r>
    </w:p>
    <w:p>
      <w:pPr>
        <w:pStyle w:val="ListBullet"/>
      </w:pPr>
      <w:r>
        <w:rPr>
          <w:b/>
        </w:rPr>
        <w:t>Problema:</w:t>
      </w:r>
      <w:r>
        <w:t xml:space="preserve"> Esta es la única orientación para la mayoría de los centros de AP del mundo, y no es operativa:</w:t>
      </w:r>
    </w:p>
    <w:p>
      <w:pPr>
        <w:pStyle w:val="ListBullet2"/>
      </w:pPr>
      <w:r>
        <w:t>No define umbrales, número de mediciones ni combinación de herramientas.</w:t>
      </w:r>
    </w:p>
    <w:p>
      <w:pPr>
        <w:pStyle w:val="ListBullet2"/>
      </w:pPr>
      <w:r>
        <w:t>No aclara cómo etiquetar y tratar provisionalmente a la persona (por ejemplo, "EPOC probable").</w:t>
      </w:r>
    </w:p>
    <w:p>
      <w:pPr>
        <w:pStyle w:val="ListBullet2"/>
      </w:pPr>
      <w:r>
        <w:t>No dice cuándo y a dónde derivar.</w:t>
      </w:r>
    </w:p>
    <w:p>
      <w:pPr>
        <w:pStyle w:val="ListBullet2"/>
      </w:pPr>
      <w:r>
        <w:t>No integra el diagnóstico diferencial con asma y TB, que es crítico en LMIC.</w:t>
      </w:r>
    </w:p>
    <w:p>
      <w:pPr>
        <w:pStyle w:val="ListBullet"/>
      </w:pPr>
      <w:r>
        <w:rPr>
          <w:b/>
        </w:rPr>
        <w:t>Evidencia/justificación:</w:t>
      </w:r>
    </w:p>
    <w:p>
      <w:pPr>
        <w:pStyle w:val="ListBullet2"/>
      </w:pPr>
      <w:r>
        <w:t>WHO PEN (2020) ofrece un protocolo de AP basado en anamnesis y PEF para asma y EPOC.</w:t>
      </w:r>
    </w:p>
    <w:p>
      <w:pPr>
        <w:pStyle w:val="ListBullet2"/>
      </w:pPr>
      <w:r>
        <w:t>Siddharthan et al., JAMA 2022, PMID 35015039, evaluó cuestionarios (COPD-PS, CAPTURE) y PEF en Nepal, Perú y Uganda. Es precisamente la evidencia de LMIC que GOLD cita como ref. 377, pero con otro propósito (ver EQ-04).</w:t>
      </w:r>
    </w:p>
    <w:p>
      <w:pPr>
        <w:pStyle w:val="ListBullet2"/>
      </w:pPr>
      <w:r>
        <w:t>GINA dispone de orientaciones específicas para contextos con recursos limitados.</w:t>
      </w:r>
    </w:p>
    <w:p>
      <w:pPr>
        <w:pStyle w:val="ListBullet"/>
      </w:pPr>
      <w:r>
        <w:rPr>
          <w:b/>
        </w:rPr>
        <w:t>Recomendación:</w:t>
      </w:r>
      <w:r>
        <w:t xml:space="preserve"> Añadir un recuadro o figura "Diagnóstico de EPOC donde no hay espirometría" que incluya:</w:t>
      </w:r>
    </w:p>
    <w:p>
      <w:pPr>
        <w:pStyle w:val="ListBullet2"/>
      </w:pPr>
      <w:r>
        <w:t>Criterios clínicos y de exposición.</w:t>
      </w:r>
    </w:p>
    <w:p>
      <w:pPr>
        <w:pStyle w:val="ListBullet2"/>
      </w:pPr>
      <w:r>
        <w:t>Instrumento validado en LMIC (por ejemplo, CAPTURE + PEF) con su rendimiento.</w:t>
      </w:r>
    </w:p>
    <w:p>
      <w:pPr>
        <w:pStyle w:val="ListBullet2"/>
      </w:pPr>
      <w:r>
        <w:t>Etiqueta provisional de "EPOC probable", con tratamiento broncodilatador inicial con fármacos de la LME.</w:t>
      </w:r>
    </w:p>
    <w:p>
      <w:pPr>
        <w:pStyle w:val="ListBullet2"/>
      </w:pPr>
      <w:r>
        <w:t>Exclusión de TB.</w:t>
      </w:r>
    </w:p>
    <w:p>
      <w:pPr>
        <w:pStyle w:val="ListBullet2"/>
      </w:pPr>
      <w:r>
        <w:t>Criterios de derivación para confirmar cuando sea posible.</w:t>
      </w:r>
    </w:p>
    <w:p>
      <w:pPr>
        <w:pStyle w:val="ListBullet2"/>
      </w:pPr>
      <w:r>
        <w:t>Alineación con WHO PEN.</w:t>
      </w:r>
    </w:p>
    <w:p>
      <w:pPr>
        <w:pStyle w:val="ListBullet"/>
      </w:pPr>
      <w:r>
        <w:rPr>
          <w:b/>
        </w:rPr>
        <w:t>Confianza:</w:t>
      </w:r>
      <w:r>
        <w:t xml:space="preserve"> 4/5</w:t>
      </w:r>
    </w:p>
    <w:p>
      <w:pPr>
        <w:pStyle w:val="Heading4"/>
      </w:pPr>
      <w:r>
        <w:t>EQ-05 · No hay escalón terapéutico de bajo coste ni alineación con la Lista de Medicamentos Esenciales de la OMS</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 / Sesgo-Equidad</w:t>
      </w:r>
    </w:p>
    <w:p>
      <w:pPr>
        <w:pStyle w:val="ListBullet"/>
      </w:pPr>
      <w:r>
        <w:rPr>
          <w:b/>
        </w:rPr>
        <w:t>Severidad:</w:t>
      </w:r>
      <w:r>
        <w:t xml:space="preserve"> ALTA</w:t>
      </w:r>
    </w:p>
    <w:p>
      <w:pPr>
        <w:pStyle w:val="ListBullet"/>
      </w:pPr>
      <w:r>
        <w:rPr>
          <w:b/>
        </w:rPr>
        <w:t>Ubicación:</w:t>
      </w:r>
      <w:r>
        <w:t xml:space="preserve"> PDF 75 / impr. 64 — tratamiento inicial (grupos A, B y E). También PDF 72-73 / impr. 61-62 (figura 3.8).</w:t>
      </w:r>
    </w:p>
    <w:p>
      <w:pPr>
        <w:pStyle w:val="ListBullet"/>
      </w:pPr>
      <w:r>
        <w:rPr>
          <w:b/>
        </w:rPr>
        <w:t>Cita:</w:t>
      </w:r>
      <w:r>
        <w:t xml:space="preserve"> "If available and affordable a long-acting bronchodilator is the preferred choice…"; "providing there are no issues regarding availability, cost and side-effects LABA+LAMA is the recommended initial pharmacological choice."</w:t>
      </w:r>
    </w:p>
    <w:p>
      <w:pPr>
        <w:pStyle w:val="ListBullet"/>
      </w:pPr>
      <w:r>
        <w:rPr>
          <w:b/>
        </w:rPr>
        <w:t>Problema:</w:t>
      </w:r>
      <w:r>
        <w:t xml:space="preserve"> GOLD reconoce la barrera del coste con un simple condicional ("if available and affordable"), pero no dice qué hacer cuando la condición no se cumple, que es la situación habitual en buena parte de los LMIC. En el documento no aparece "Essential Medicines" salvo en el título de dos referencias. Tampoco hay orientación sobre:</w:t>
      </w:r>
    </w:p>
    <w:p>
      <w:pPr>
        <w:pStyle w:val="ListBullet2"/>
      </w:pPr>
      <w:r>
        <w:t>el uso de SAMA/SABA regulares (ipratropio, salbutamol) como opción mínima;</w:t>
      </w:r>
    </w:p>
    <w:p>
      <w:pPr>
        <w:pStyle w:val="ListBullet2"/>
      </w:pPr>
      <w:r>
        <w:t>la combinación de monocomponentes genéricos en lugar de inhaladores combinados de marca;</w:t>
      </w:r>
    </w:p>
    <w:p>
      <w:pPr>
        <w:pStyle w:val="ListBullet2"/>
      </w:pPr>
      <w:r>
        <w:t>el uso de budesonida-formoterol (presente en la LME) cuando está indicado un ICS;</w:t>
      </w:r>
    </w:p>
    <w:p>
      <w:pPr>
        <w:pStyle w:val="ListBullet2"/>
      </w:pPr>
      <w:r>
        <w:t>las cámaras espaciadoras de bajo coste. Para quien no puede usar otros dispositivos, solo se propone el nebulizador, que requiere electricidad y mantenimiento.</w:t>
      </w:r>
    </w:p>
    <w:p>
      <w:pPr>
        <w:pStyle w:val="ListBullet"/>
      </w:pPr>
      <w:r>
        <w:rPr>
          <w:b/>
        </w:rPr>
        <w:t>Evidencia/justificación:</w:t>
      </w:r>
    </w:p>
    <w:p>
      <w:pPr>
        <w:pStyle w:val="ListBullet2"/>
      </w:pPr>
      <w:r>
        <w:t>La LME 2023 de la OMS (23.ª lista) incluye salbutamol, ipratropio, budesonida y budesonida-formoterol, y añadió tiotropio. Que sepamos, no incluye combinaciones LABA+LAMA ni terapia triple.</w:t>
      </w:r>
    </w:p>
    <w:p>
      <w:pPr>
        <w:pStyle w:val="ListBullet2"/>
      </w:pPr>
      <w:r>
        <w:t>Stolbrink et al. (ref. 102, citada en PDF 21) documenta la escasa disponibilidad y asequibilidad de los inhaladores en LMIC.</w:t>
      </w:r>
    </w:p>
    <w:p>
      <w:pPr>
        <w:pStyle w:val="ListBullet2"/>
      </w:pPr>
      <w:r>
        <w:t>Las cámaras espaciadoras caseras de botella de plástico mostraron una eficacia equivalente en niños con asma aguda (Zar HJ et al., Lancet 1999;354:979-82, PMID 10501359). La evidencia en adultos con EPOC es limitada.</w:t>
      </w:r>
    </w:p>
    <w:p>
      <w:pPr>
        <w:pStyle w:val="ListBullet"/>
      </w:pPr>
      <w:r>
        <w:rPr>
          <w:b/>
        </w:rPr>
        <w:t>Recomendación:</w:t>
      </w:r>
      <w:r>
        <w:t xml:space="preserve"> Añadir una tabla de tratamiento por niveles de recursos (esencial / ampliado / óptimo):</w:t>
      </w:r>
    </w:p>
    <w:p>
      <w:pPr>
        <w:pStyle w:val="ListBullet2"/>
      </w:pPr>
      <w:r>
        <w:rPr>
          <w:b/>
        </w:rPr>
        <w:t>Esencial:</w:t>
      </w:r>
      <w:r>
        <w:t xml:space="preserve"> SABA o SAMA a demanda o pautados, tiotropio de la LME, budesonida-formoterol si hay asma o exacerbaciones con eosinófilos elevados, cámara espaciadora (comercial o casera), además de vacunación, cesación tabáquica y rehabilitación comunitaria.</w:t>
      </w:r>
    </w:p>
    <w:p>
      <w:pPr>
        <w:pStyle w:val="ListBullet2"/>
      </w:pPr>
      <w:r>
        <w:t>Marcar en las figuras 3.8, 3.9 y A3.1 qué fármacos están en la LME.</w:t>
      </w:r>
    </w:p>
    <w:p>
      <w:pPr>
        <w:pStyle w:val="ListBullet2"/>
      </w:pPr>
      <w:r>
        <w:t>Promover que GOLD presente solicitudes formales de inclusión en la LME.</w:t>
      </w:r>
    </w:p>
    <w:p>
      <w:pPr>
        <w:pStyle w:val="ListBullet"/>
      </w:pPr>
      <w:r>
        <w:rPr>
          <w:b/>
        </w:rPr>
        <w:t>Confianza:</w:t>
      </w:r>
      <w:r>
        <w:t xml:space="preserve"> 4/5</w:t>
      </w:r>
    </w:p>
    <w:p>
      <w:pPr>
        <w:pStyle w:val="Heading4"/>
      </w:pPr>
      <w:r>
        <w:t>EQ-08 · Sexo y género: se omite el sesgo diagnóstico en mujeres y no se relacionan biomasa y mujeres en LMIC</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 / Sesgo-Equidad</w:t>
      </w:r>
    </w:p>
    <w:p>
      <w:pPr>
        <w:pStyle w:val="ListBullet"/>
      </w:pPr>
      <w:r>
        <w:rPr>
          <w:b/>
        </w:rPr>
        <w:t>Severidad:</w:t>
      </w:r>
      <w:r>
        <w:t xml:space="preserve"> ALTA</w:t>
      </w:r>
    </w:p>
    <w:p>
      <w:pPr>
        <w:pStyle w:val="ListBullet"/>
      </w:pPr>
      <w:r>
        <w:rPr>
          <w:b/>
        </w:rPr>
        <w:t>Ubicación:</w:t>
      </w:r>
      <w:r>
        <w:t xml:space="preserve"> PDF 27 / impr. 16 — "Sex". Contrasta con PDF 19 / impr. 8 y PDF 20 / impr. 9.</w:t>
      </w:r>
    </w:p>
    <w:p>
      <w:pPr>
        <w:pStyle w:val="ListBullet"/>
      </w:pPr>
      <w:r>
        <w:rPr>
          <w:b/>
        </w:rPr>
        <w:t>Cita:</w:t>
      </w:r>
      <w:r>
        <w:t xml:space="preserve"> "later data from developed countries has shown that the prevalence of COPD is almost equal in males and females, probably reflecting the changing patterns of tobacco smoking.(222)"</w:t>
      </w:r>
    </w:p>
    <w:p>
      <w:pPr>
        <w:pStyle w:val="ListBullet"/>
      </w:pPr>
      <w:r>
        <w:rPr>
          <w:b/>
        </w:rPr>
        <w:t>Problema:</w:t>
      </w:r>
    </w:p>
    <w:p>
      <w:pPr>
        <w:pStyle w:val="ListNumber"/>
        <w:numPr>
          <w:ilvl w:val="0"/>
          <w:numId w:val="25"/>
        </w:numPr>
      </w:pPr>
      <w:r>
        <w:rPr>
          <w:b/>
        </w:rPr>
        <w:t>Sesgo diagnóstico ausente.</w:t>
      </w:r>
      <w:r>
        <w:t xml:space="preserve"> La sección no menciona el sesgo diagnóstico de género bien documentado: ante el mismo cuadro clínico, a las mujeres se les diagnostica EPOC con menos frecuencia y más tarde, y se les hace menos espirometría. Es una causa modificable de infradiagnóstico y de inequidad.</w:t>
      </w:r>
    </w:p>
    <w:p>
      <w:pPr>
        <w:pStyle w:val="ListNumber"/>
        <w:numPr>
          <w:ilvl w:val="0"/>
          <w:numId w:val="25"/>
        </w:numPr>
      </w:pPr>
      <w:r>
        <w:rPr>
          <w:b/>
        </w:rPr>
        <w:t>Perspectiva solo de HIC.</w:t>
      </w:r>
      <w:r>
        <w:t xml:space="preserve"> Explica la igualación de la prevalencia únicamente por el tabaquismo en "developed countries". No vincula la mayor exposición de las mujeres a la biomasa doméstica en LMIC con su riesgo de EPOC, aunque la ref. 30 (Sana 2018, metaanálisis sobre biomasa) está en la bibliografía.</w:t>
      </w:r>
    </w:p>
    <w:p>
      <w:pPr>
        <w:pStyle w:val="ListNumber"/>
        <w:numPr>
          <w:ilvl w:val="0"/>
          <w:numId w:val="25"/>
        </w:numPr>
      </w:pPr>
      <w:r>
        <w:rPr>
          <w:b/>
        </w:rPr>
        <w:t>Datos no conciliados.</w:t>
      </w:r>
      <w:r>
        <w:t xml:space="preserve"> La prevalencia en hombres es más del doble que en mujeres (14,1 % frente a 6,5 %; PDF 19) y es mayor "in men compared to women" (PDF 20). El texto habla de prevalencias casi iguales (PDF 27) y se proyecta un aumento mayor en mujeres (PDF 19). Las cifras no se reconcilian entre sí.</w:t>
      </w:r>
    </w:p>
    <w:p>
      <w:pPr>
        <w:pStyle w:val="ListNumber"/>
        <w:numPr>
          <w:ilvl w:val="0"/>
          <w:numId w:val="25"/>
        </w:numPr>
      </w:pPr>
      <w:r>
        <w:rPr>
          <w:b/>
        </w:rPr>
        <w:t>Fuente débil.</w:t>
      </w:r>
      <w:r>
        <w:t xml:space="preserve"> La afirmación se apoya en una encuesta telefónica sin espirometría (ref. 222, Landis 2014).</w:t>
      </w:r>
    </w:p>
    <w:p>
      <w:pPr>
        <w:pStyle w:val="ListBullet"/>
      </w:pPr>
      <w:r>
        <w:rPr>
          <w:b/>
        </w:rPr>
        <w:t>Evidencia/justificación:</w:t>
      </w:r>
    </w:p>
    <w:p>
      <w:pPr>
        <w:pStyle w:val="ListBullet2"/>
      </w:pPr>
      <w:r>
        <w:t>Chapman KR, Tashkin DP, Pye DJ. Chest 2001;119:1691-5, PMID 11399692. Con casos clínicos idénticos, el diagnóstico de EPOC fue significativamente más frecuente en hombres; la disponibilidad de espirometría redujo el sesgo.</w:t>
      </w:r>
    </w:p>
    <w:p>
      <w:pPr>
        <w:pStyle w:val="ListBullet2"/>
      </w:pPr>
      <w:r>
        <w:t>Sana A et al. (ref. 30): asociación entre biomasa y EPOC, especialmente en mujeres.</w:t>
      </w:r>
    </w:p>
    <w:p>
      <w:pPr>
        <w:pStyle w:val="ListBullet"/>
      </w:pPr>
      <w:r>
        <w:rPr>
          <w:b/>
        </w:rPr>
        <w:t>Recomendación:</w:t>
      </w:r>
    </w:p>
    <w:p>
      <w:pPr>
        <w:pStyle w:val="ListBullet2"/>
      </w:pPr>
      <w:r>
        <w:t>Reescribir la sección como "Sexo y género", con datos globales y no solo de HIC.</w:t>
      </w:r>
    </w:p>
    <w:p>
      <w:pPr>
        <w:pStyle w:val="ListBullet2"/>
      </w:pPr>
      <w:r>
        <w:t>Incluir el sesgo diagnóstico, con la recomendación explícita de hacer espirometría con el mismo umbral clínico en mujeres.</w:t>
      </w:r>
    </w:p>
    <w:p>
      <w:pPr>
        <w:pStyle w:val="ListBullet2"/>
      </w:pPr>
      <w:r>
        <w:t>Incorporar la biomasa como exposición de género.</w:t>
      </w:r>
    </w:p>
    <w:p>
      <w:pPr>
        <w:pStyle w:val="ListBullet2"/>
      </w:pPr>
      <w:r>
        <w:t>Aplicar las directrices SAGER: desagregar por sexo los resultados clave de eficacia y seguridad cuando existan.</w:t>
      </w:r>
    </w:p>
    <w:p>
      <w:pPr>
        <w:pStyle w:val="ListBullet"/>
      </w:pPr>
      <w:r>
        <w:rPr>
          <w:b/>
        </w:rPr>
        <w:t>Confianza:</w:t>
      </w:r>
      <w:r>
        <w:t xml:space="preserve"> 4/5</w:t>
      </w:r>
    </w:p>
    <w:p>
      <w:pPr>
        <w:pStyle w:val="Heading4"/>
      </w:pPr>
      <w:r>
        <w:t>EQ-20 · Sostenibilidad de los inhaladores: no se menciona la transición a propelentes de bajo PCG y la única fuente tiene conflicto de interés</w:t>
      </w:r>
    </w:p>
    <w:p>
      <w:r>
        <w:rPr>
          <w:i/>
        </w:rPr>
        <w:t xml:space="preserve">Severidad final: </w:t>
      </w:r>
      <w:r>
        <w:rPr>
          <w:i/>
          <w:color w:val="ED7D31"/>
        </w:rPr>
        <w:t>🟠</w:t>
      </w:r>
      <w:r>
        <w:rPr>
          <w:i/>
        </w:rPr>
        <w:t xml:space="preserve"> ALTA · Tema T26: Sostenibilidad ambiental de los inhaladores</w:t>
      </w:r>
    </w:p>
    <w:p>
      <w:pPr>
        <w:pStyle w:val="ListBullet"/>
      </w:pPr>
      <w:r>
        <w:rPr>
          <w:b/>
        </w:rPr>
        <w:t>Tipo:</w:t>
      </w:r>
      <w:r>
        <w:t xml:space="preserve"> Desactualización / Omisión</w:t>
      </w:r>
    </w:p>
    <w:p>
      <w:pPr>
        <w:pStyle w:val="ListBullet"/>
      </w:pPr>
      <w:r>
        <w:rPr>
          <w:b/>
        </w:rPr>
        <w:t>Severidad:</w:t>
      </w:r>
      <w:r>
        <w:t xml:space="preserve"> ALTA</w:t>
      </w:r>
    </w:p>
    <w:p>
      <w:pPr>
        <w:pStyle w:val="ListBullet"/>
      </w:pPr>
      <w:r>
        <w:rPr>
          <w:b/>
        </w:rPr>
        <w:t>Ubicación:</w:t>
      </w:r>
    </w:p>
    <w:p>
      <w:pPr>
        <w:pStyle w:val="ListBullet2"/>
      </w:pPr>
      <w:r>
        <w:t>PDF 68 / impr. 57 (clima).</w:t>
      </w:r>
    </w:p>
    <w:p>
      <w:pPr>
        <w:pStyle w:val="ListBullet2"/>
      </w:pPr>
      <w:r>
        <w:t>PDF 81 / impr. 70 (dispositivos).</w:t>
      </w:r>
    </w:p>
    <w:p>
      <w:pPr>
        <w:pStyle w:val="ListBullet2"/>
      </w:pPr>
      <w:r>
        <w:t>PDF 83 / impr. 72 (figura 3.14).</w:t>
      </w:r>
    </w:p>
    <w:p>
      <w:pPr>
        <w:pStyle w:val="ListBullet"/>
      </w:pPr>
      <w:r>
        <w:rPr>
          <w:b/>
        </w:rPr>
        <w:t>Cita:</w:t>
      </w:r>
      <w:r>
        <w:t xml:space="preserve"> "Selection and correct use and disposal of inhalers by patients can have important implications for global warming and climate change." (PDF 68)</w:t>
      </w:r>
    </w:p>
    <w:p>
      <w:pPr>
        <w:pStyle w:val="ListBullet"/>
      </w:pPr>
      <w:r>
        <w:rPr>
          <w:b/>
        </w:rPr>
        <w:t>Problema:</w:t>
      </w:r>
    </w:p>
    <w:p>
      <w:pPr>
        <w:pStyle w:val="ListBullet2"/>
      </w:pPr>
      <w:r>
        <w:t>El texto sobre la huella de carbono es genérico y se apoya en una única referencia (ref. 702, Pernigotti 2021, con cuatro coautores de Chiesi).</w:t>
      </w:r>
    </w:p>
    <w:p>
      <w:pPr>
        <w:pStyle w:val="ListBullet2"/>
      </w:pPr>
      <w:r>
        <w:t>No se mencionan los hechos regulatorios y tecnológicos de 2024-2025:</w:t>
      </w:r>
    </w:p>
    <w:p>
      <w:pPr>
        <w:pStyle w:val="ListBullet2"/>
      </w:pPr>
      <w:r>
        <w:t>el Reglamento (UE) 2024/573 sobre gases fluorados y la reducción progresiva de los HFC según la Enmienda de Kigali;</w:t>
      </w:r>
    </w:p>
    <w:p>
      <w:pPr>
        <w:pStyle w:val="ListBullet2"/>
      </w:pPr>
      <w:r>
        <w:t>los propelentes de bajo PCG: HFA-152a (PCG ≈ 120-140) y HFO-1234ze (PCG &lt; 1), frente a HFA-134a (≈ 1.300-1.430) y HFA-227ea (≈ 3.200-3.350);</w:t>
      </w:r>
    </w:p>
    <w:p>
      <w:pPr>
        <w:pStyle w:val="ListBullet2"/>
      </w:pPr>
      <w:r>
        <w:t>la aprobación por la MHRA en 2025 de la formulación de budesonida/glicopirronio/formoterol con HFO-1234ze, con opinión positiva posterior de la EMA, y otras formulaciones con HFA-152a presentadas a los reguladores.</w:t>
      </w:r>
    </w:p>
    <w:p>
      <w:pPr>
        <w:pStyle w:val="ListBullet2"/>
      </w:pPr>
      <w:r>
        <w:t>La figura 3.14 (principios para elegir el dispositivo) no incluye el impacto ambiental entre sus criterios.</w:t>
      </w:r>
    </w:p>
    <w:p>
      <w:pPr>
        <w:pStyle w:val="ListBullet2"/>
      </w:pPr>
      <w:r>
        <w:t>No hay orientación práctica: preferir DPI o SMI cuando sean clínicamente adecuados y la persona pueda usarlos, preferir pMDI de bajo PCG cuando existan, evitar el uso excesivo de SABA en pMDI, y la devolución y el reciclaje.</w:t>
      </w:r>
    </w:p>
    <w:p>
      <w:pPr>
        <w:pStyle w:val="ListBullet"/>
      </w:pPr>
      <w:r>
        <w:rPr>
          <w:b/>
        </w:rPr>
        <w:t>Evidencia/justificación:</w:t>
      </w:r>
      <w:r>
        <w:t xml:space="preserve"> Comunicados regulatorios de MHRA y EMA (2025) verificados en búsqueda web y Reglamento (UE) 2024/573. Los pMDI con HFC son la principal fuente de emisiones atribuibles a la atención respiratoria en varios sistemas (NHS). </w:t>
      </w:r>
      <w:r>
        <w:rPr>
          <w:i/>
        </w:rPr>
        <w:t>Punto debatible:</w:t>
      </w:r>
      <w:r>
        <w:t xml:space="preserve"> los calendarios exactos de comercialización varían según el país.</w:t>
      </w:r>
    </w:p>
    <w:p>
      <w:pPr>
        <w:pStyle w:val="ListBullet"/>
      </w:pPr>
      <w:r>
        <w:rPr>
          <w:b/>
        </w:rPr>
        <w:t>Recomendación:</w:t>
      </w:r>
    </w:p>
    <w:p>
      <w:pPr>
        <w:pStyle w:val="ListBullet2"/>
      </w:pPr>
      <w:r>
        <w:t>Añadir una subsección "Inhaladores y sostenibilidad" con la transición a propelentes de bajo PCG.</w:t>
      </w:r>
    </w:p>
    <w:p>
      <w:pPr>
        <w:pStyle w:val="ListBullet2"/>
      </w:pPr>
      <w:r>
        <w:t>Añadir "impacto ambiental" como criterio en la figura 3.14, subordinado a la eficacia y a la capacidad de uso.</w:t>
      </w:r>
    </w:p>
    <w:p>
      <w:pPr>
        <w:pStyle w:val="ListBullet2"/>
      </w:pPr>
      <w:r>
        <w:t>Ampliar las referencias con fuentes independientes.</w:t>
      </w:r>
    </w:p>
    <w:p>
      <w:pPr>
        <w:pStyle w:val="ListBullet2"/>
      </w:pPr>
      <w:r>
        <w:t>Advertir del riesgo de que los nuevos propelentes encarezcan los inhaladores en LMIC.</w:t>
      </w:r>
    </w:p>
    <w:p>
      <w:pPr>
        <w:pStyle w:val="ListBullet"/>
      </w:pPr>
      <w:r>
        <w:rPr>
          <w:b/>
        </w:rPr>
        <w:t>Confianza:</w:t>
      </w:r>
      <w:r>
        <w:t xml:space="preserve"> 4/5</w:t>
      </w:r>
    </w:p>
    <w:p>
      <w:pPr>
        <w:pStyle w:val="Heading4"/>
      </w:pPr>
      <w:r>
        <w:t>REH-16 · Autogestión: señales de daño infravaloradas y planes de acción sin salvaguardas</w:t>
      </w:r>
    </w:p>
    <w:p>
      <w:r>
        <w:rPr>
          <w:i/>
        </w:rPr>
        <w:t xml:space="preserve">Severidad final: </w:t>
      </w:r>
      <w:r>
        <w:rPr>
          <w:i/>
          <w:color w:val="ED7D31"/>
        </w:rPr>
        <w:t>🟠</w:t>
      </w:r>
      <w:r>
        <w:rPr>
          <w:i/>
        </w:rPr>
        <w:t xml:space="preserve"> ALTA · Tema T28: Rehabilitación, autogestión y algoritmos no farmacológicos</w:t>
      </w:r>
    </w:p>
    <w:p>
      <w:pPr>
        <w:pStyle w:val="ListBullet"/>
      </w:pPr>
      <w:r>
        <w:rPr>
          <w:b/>
        </w:rPr>
        <w:t>Tipo:</w:t>
      </w:r>
      <w:r>
        <w:t xml:space="preserve"> Evidencia mal representada / Omisión</w:t>
      </w:r>
    </w:p>
    <w:p>
      <w:pPr>
        <w:pStyle w:val="ListBullet"/>
      </w:pPr>
      <w:r>
        <w:rPr>
          <w:b/>
        </w:rPr>
        <w:t>Severidad:</w:t>
      </w:r>
      <w:r>
        <w:t xml:space="preserve"> ALTA</w:t>
      </w:r>
    </w:p>
    <w:p>
      <w:pPr>
        <w:pStyle w:val="ListBullet"/>
      </w:pPr>
      <w:r>
        <w:rPr>
          <w:b/>
        </w:rPr>
        <w:t>Ubicación:</w:t>
      </w:r>
      <w:r>
        <w:t xml:space="preserve"> PDF 169 / impr. 158 — Apéndice 4, «Self-management»; Figura A4.1 (PDF 172); Figura 3.16 (PDF 85 / impr. 74).</w:t>
      </w:r>
    </w:p>
    <w:p>
      <w:pPr>
        <w:pStyle w:val="ListBullet"/>
      </w:pPr>
      <w:r>
        <w:rPr>
          <w:b/>
        </w:rPr>
        <w:t>Cita:</w:t>
      </w:r>
      <w:r>
        <w:t xml:space="preserve"> «This strengthens the view that self-management interventions are unlikely to cause harm. There had previously been concerns that health benefits… could be counterbalanced by increased mortality.(1675,1676)». Figura A4.1: «Self-management intervention… decreases hospitalizations and emergency department visits (Evidence B)».</w:t>
      </w:r>
    </w:p>
    <w:p>
      <w:pPr>
        <w:pStyle w:val="ListBullet"/>
      </w:pPr>
      <w:r>
        <w:rPr>
          <w:b/>
        </w:rPr>
        <w:t>Problema:</w:t>
      </w:r>
    </w:p>
    <w:p>
      <w:pPr>
        <w:pStyle w:val="ListBullet2"/>
      </w:pPr>
      <w:r>
        <w:t>El ensayo de Fan 2012 (ref. 1675) se reduce a «concerns», sin decir que fue un ECA detenido precozmente por exceso de mortalidad.</w:t>
      </w:r>
    </w:p>
    <w:p>
      <w:pPr>
        <w:pStyle w:val="ListBullet2"/>
      </w:pPr>
      <w:r>
        <w:t>La conclusión «unlikely to cause harm» se repite dos veces.</w:t>
      </w:r>
    </w:p>
    <w:p>
      <w:pPr>
        <w:pStyle w:val="ListBullet2"/>
      </w:pPr>
      <w:r>
        <w:t>El ECA BREATHE (Aboumatar 2019), en pacientes recién dados de alta, mostró casi el doble de eventos agudos, y esa advertencia no aparece en la Figura A4.1 ni en la Figura 3.16.</w:t>
      </w:r>
    </w:p>
    <w:p>
      <w:pPr>
        <w:pStyle w:val="ListBullet2"/>
      </w:pPr>
      <w:r>
        <w:t>La Figura 3.16 recomienda planes de acción escritos sin ninguno de sus componentes de seguridad:</w:t>
      </w:r>
    </w:p>
    <w:p>
      <w:pPr>
        <w:pStyle w:val="ListBullet2"/>
      </w:pPr>
      <w:r>
        <w:t>contacto con un profesional (</w:t>
      </w:r>
      <w:r>
        <w:rPr>
          <w:i/>
        </w:rPr>
        <w:t>case manager</w:t>
      </w:r>
      <w:r>
        <w:t>) al activar el plan;</w:t>
      </w:r>
    </w:p>
    <w:p>
      <w:pPr>
        <w:pStyle w:val="ListBullet2"/>
      </w:pPr>
      <w:r>
        <w:t>criterios de alarma por comorbilidad cardiaca;</w:t>
      </w:r>
    </w:p>
    <w:p>
      <w:pPr>
        <w:pStyle w:val="ListBullet2"/>
      </w:pPr>
      <w:r>
        <w:t>seguimiento del uso de corticoides o antibióticos de reserva;</w:t>
      </w:r>
    </w:p>
    <w:p>
      <w:pPr>
        <w:pStyle w:val="ListBullet2"/>
      </w:pPr>
      <w:r>
        <w:t>mayor precaución en pacientes frágiles o recién dados de alta.</w:t>
      </w:r>
    </w:p>
    <w:p>
      <w:pPr>
        <w:pStyle w:val="ListBullet"/>
      </w:pPr>
      <w:r>
        <w:rPr>
          <w:b/>
        </w:rPr>
        <w:t>Evidencia/justificación:</w:t>
      </w:r>
    </w:p>
    <w:p>
      <w:pPr>
        <w:pStyle w:val="ListBullet2"/>
      </w:pPr>
      <w:r>
        <w:t>Fan VS et al., Ann Intern Med 2012;156:673-683 (doi:10.7326/0003-4819-156-10-201205150-00003): ensayo VA detenido por mayor mortalidad en el grupo de intervención (28 frente a 10 muertes).</w:t>
      </w:r>
    </w:p>
    <w:p>
      <w:pPr>
        <w:pStyle w:val="ListBullet2"/>
      </w:pPr>
      <w:r>
        <w:t>Aboumatar H et al., JAMA 2019;322:1371-1380 (doi:10.1001/jama.2019.11982).</w:t>
      </w:r>
    </w:p>
    <w:p>
      <w:pPr>
        <w:pStyle w:val="ListBullet2"/>
      </w:pPr>
      <w:r>
        <w:t>Lenferink A et al., Cochrane 2017;CD011682: los planes de acción reducen los ingresos, con una señal de mayor mortalidad respiratoria de interpretación incierta.</w:t>
      </w:r>
    </w:p>
    <w:p>
      <w:pPr>
        <w:pStyle w:val="ListBullet2"/>
      </w:pPr>
      <w:r>
        <w:t>Schrijver J et al., Cochrane 2022 (ref. 1437): sin exceso de mortalidad.</w:t>
      </w:r>
    </w:p>
    <w:p>
      <w:pPr>
        <w:pStyle w:val="ListBullet"/>
      </w:pPr>
      <w:r>
        <w:rPr>
          <w:b/>
        </w:rPr>
        <w:t>Recomendación:</w:t>
      </w:r>
      <w:r>
        <w:t xml:space="preserve"> Describir con precisión Fan 2012 y BREATHE. Matizar la Figura A4.1 («…cuando se acompaña de contacto estructurado con un profesional; precaución tras el alta reciente y en la multimorbilidad cardiaca») y añadir a la Figura 3.16 los elementos mínimos de seguridad del plan de acción (contacto con un profesional al activarlo, síntomas de alarma, revisión del uso de la medicación de reserva).</w:t>
      </w:r>
    </w:p>
    <w:p>
      <w:pPr>
        <w:pStyle w:val="ListBullet"/>
      </w:pPr>
      <w:r>
        <w:rPr>
          <w:b/>
        </w:rPr>
        <w:t>Confianza:</w:t>
      </w:r>
      <w:r>
        <w:t xml:space="preserve"> 4/5</w:t>
      </w:r>
    </w:p>
    <w:p>
      <w:pPr>
        <w:pStyle w:val="Heading3"/>
      </w:pPr>
      <w:r>
        <w:rPr>
          <w:color w:val="FFC000"/>
        </w:rPr>
        <w:t>🟡</w:t>
      </w:r>
      <w:r>
        <w:t xml:space="preserve"> Hallazgos de severidad media (162)</w:t>
      </w:r>
    </w:p>
    <w:p>
      <w:pPr>
        <w:pStyle w:val="Heading4"/>
      </w:pPr>
      <w:r>
        <w:t>REH-07 · Figura 3.18: titulación a SaO2 ≥ 90 % sin advertencia sobre retención de CO2</w:t>
      </w:r>
    </w:p>
    <w:p>
      <w:r>
        <w:rPr>
          <w:i/>
        </w:rPr>
        <w:t xml:space="preserve">Severidad final: </w:t>
      </w:r>
      <w:r>
        <w:rPr>
          <w:i/>
          <w:color w:val="FFC000"/>
        </w:rPr>
        <w:t>🟡</w:t>
      </w:r>
      <w:r>
        <w:rPr>
          <w:i/>
        </w:rPr>
        <w:t xml:space="preserve"> MEDIA · Tema T01: Oxigenoterapia en la exacerbación y umbrales de SpO2</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89 / impr. 78 — Figura 3.18; PDF 88 / impr. 77 — texto de reevaluación.</w:t>
      </w:r>
    </w:p>
    <w:p>
      <w:pPr>
        <w:pStyle w:val="ListBullet"/>
      </w:pPr>
      <w:r>
        <w:rPr>
          <w:b/>
        </w:rPr>
        <w:t>Cita:</w:t>
      </w:r>
      <w:r>
        <w:t xml:space="preserve"> «Prescribe supplemental oxygen and titrate to keep SaO2 ≥ 90%».</w:t>
      </w:r>
    </w:p>
    <w:p>
      <w:pPr>
        <w:pStyle w:val="ListBullet"/>
      </w:pPr>
      <w:r>
        <w:rPr>
          <w:b/>
        </w:rPr>
        <w:t>Problema:</w:t>
      </w:r>
      <w:r>
        <w:t xml:space="preserve"> El algoritmo no indica cómo titular (en reposo, durante el sueño o con esfuerzo), ni que en pacientes hipercápnicos debe comprobarse la PaCO2 y el pH tras la titulación. Tampoco remite a la VMNI cuando la oxigenoterapia empeora la hipercapnia. Falta, por último, el objetivo de PaO2 (≥ 60 mmHg / 8 kPa) habitual en otras guías.</w:t>
      </w:r>
    </w:p>
    <w:p>
      <w:pPr>
        <w:pStyle w:val="ListBullet"/>
      </w:pPr>
      <w:r>
        <w:rPr>
          <w:b/>
        </w:rPr>
        <w:t>Evidencia/justificación:</w:t>
      </w:r>
      <w:r>
        <w:t xml:space="preserve"> Hardinge 2015 (BTS): objetivo PaO2 ≥ 8 kPa y SpO2 ≥ 90 % en reposo, con gasometría tras la titulación; si aumenta la PaCO2 con acidosis, valorar VMNI. En el cap. 4 (manejo agudo) GOLD sí usa el objetivo de 88-92 %, lo que hace aún más necesaria la advertencia en el ámbito crónico.</w:t>
      </w:r>
    </w:p>
    <w:p>
      <w:pPr>
        <w:pStyle w:val="ListBullet"/>
      </w:pPr>
      <w:r>
        <w:rPr>
          <w:b/>
        </w:rPr>
        <w:t>Recomendación:</w:t>
      </w:r>
      <w:r>
        <w:t xml:space="preserve"> Añadir a la Figura 3.18 una casilla: «titular en reposo con gasometría de control (PaO2 ≥ 60 mmHg sin aumento de PaCO2 &gt; 1 kPa ni acidosis); si hay hipercapnia progresiva, valorar VMNI domiciliaria (véase soporte ventilatorio)». Mencionar la titulación nocturna y de esfuerzo.</w:t>
      </w:r>
    </w:p>
    <w:p>
      <w:pPr>
        <w:pStyle w:val="ListBullet"/>
      </w:pPr>
      <w:r>
        <w:rPr>
          <w:b/>
        </w:rPr>
        <w:t>Confianza:</w:t>
      </w:r>
      <w:r>
        <w:t xml:space="preserve"> 4/5</w:t>
      </w:r>
    </w:p>
    <w:p>
      <w:pPr>
        <w:pStyle w:val="Heading4"/>
      </w:pPr>
      <w:r>
        <w:t>EXA-16 · Distribución de gravedad en las cohortes de validación de Roma mal resumida</w:t>
      </w:r>
    </w:p>
    <w:p>
      <w:r>
        <w:rPr>
          <w:i/>
        </w:rPr>
        <w:t xml:space="preserve">Severidad final: </w:t>
      </w:r>
      <w:r>
        <w:rPr>
          <w:i/>
          <w:color w:val="FFC000"/>
        </w:rPr>
        <w:t>🟡</w:t>
      </w:r>
      <w:r>
        <w:rPr>
          <w:i/>
        </w:rPr>
        <w:t xml:space="preserve"> MEDIA · Tema T02: Clasificación de gravedad de la exacerbación (Roma) y sistemas incompatibles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105-106 / impr. 94-95.</w:t>
      </w:r>
    </w:p>
    <w:p>
      <w:pPr>
        <w:pStyle w:val="ListBullet"/>
      </w:pPr>
      <w:r>
        <w:rPr>
          <w:b/>
        </w:rPr>
        <w:t>Cita:</w:t>
      </w:r>
      <w:r>
        <w:t xml:space="preserve"> "15-30% of people admitted for a COPD exacerbation classify as having a mild event… Around 50%… a moderate episode and close to 10% a severe episode.(933-936)".</w:t>
      </w:r>
    </w:p>
    <w:p>
      <w:pPr>
        <w:pStyle w:val="ListBullet"/>
      </w:pPr>
      <w:r>
        <w:rPr>
          <w:b/>
        </w:rPr>
        <w:t>Problema:</w:t>
      </w:r>
      <w:r>
        <w:t xml:space="preserve"> Las cohortes citadas (refs. 933-937) muestran porcentajes de leves, moderadas y graves que no cuadran con el resumen de GOLD:</w:t>
      </w:r>
    </w:p>
    <w:tbl>
      <w:tblPr>
        <w:tblStyle w:val="TableGrid"/>
        <w:tblW w:type="auto" w:w="0"/>
        <w:tblLayout w:type="fixed"/>
        <w:tblLook w:firstColumn="1" w:firstRow="1" w:lastColumn="0" w:lastRow="0" w:noHBand="0" w:noVBand="1" w:val="04A0"/>
      </w:tblPr>
      <w:tblGrid>
        <w:gridCol w:w="1389"/>
        <w:gridCol w:w="935"/>
        <w:gridCol w:w="1162"/>
        <w:gridCol w:w="935"/>
      </w:tblGrid>
      <w:tr>
        <w:trPr>
          <w:tblHeader w:val="true"/>
        </w:trPr>
        <w:tc>
          <w:tcPr>
            <w:tcW w:type="dxa" w:w="1389"/>
            <w:shd w:val="clear" w:color="auto" w:fill="D9E2F3"/>
          </w:tcPr>
          <w:p>
            <w:r/>
            <w:r>
              <w:rPr>
                <w:b/>
                <w:sz w:val="18"/>
              </w:rPr>
              <w:t>Cohorte</w:t>
            </w:r>
          </w:p>
        </w:tc>
        <w:tc>
          <w:tcPr>
            <w:tcW w:type="dxa" w:w="935"/>
            <w:shd w:val="clear" w:color="auto" w:fill="D9E2F3"/>
          </w:tcPr>
          <w:p>
            <w:r/>
            <w:r>
              <w:rPr>
                <w:b/>
                <w:sz w:val="18"/>
              </w:rPr>
              <w:t>Leve</w:t>
            </w:r>
          </w:p>
        </w:tc>
        <w:tc>
          <w:tcPr>
            <w:tcW w:type="dxa" w:w="1162"/>
            <w:shd w:val="clear" w:color="auto" w:fill="D9E2F3"/>
          </w:tcPr>
          <w:p>
            <w:r/>
            <w:r>
              <w:rPr>
                <w:b/>
                <w:sz w:val="18"/>
              </w:rPr>
              <w:t>Moderada</w:t>
            </w:r>
          </w:p>
        </w:tc>
        <w:tc>
          <w:tcPr>
            <w:tcW w:type="dxa" w:w="935"/>
            <w:shd w:val="clear" w:color="auto" w:fill="D9E2F3"/>
          </w:tcPr>
          <w:p>
            <w:r/>
            <w:r>
              <w:rPr>
                <w:b/>
                <w:sz w:val="18"/>
              </w:rPr>
              <w:t>Grave</w:t>
            </w:r>
          </w:p>
        </w:tc>
      </w:tr>
      <w:tr>
        <w:tc>
          <w:tcPr>
            <w:tcW w:type="dxa" w:w="1389"/>
          </w:tcPr>
          <w:p>
            <w:r/>
            <w:r>
              <w:rPr>
                <w:sz w:val="18"/>
              </w:rPr>
              <w:t>Reumkens</w:t>
            </w:r>
          </w:p>
        </w:tc>
        <w:tc>
          <w:tcPr>
            <w:tcW w:type="dxa" w:w="935"/>
          </w:tcPr>
          <w:p>
            <w:r/>
            <w:r>
              <w:rPr>
                <w:sz w:val="18"/>
              </w:rPr>
              <w:t>14,3 %</w:t>
            </w:r>
          </w:p>
        </w:tc>
        <w:tc>
          <w:tcPr>
            <w:tcW w:type="dxa" w:w="1162"/>
          </w:tcPr>
          <w:p>
            <w:r/>
            <w:r>
              <w:rPr>
                <w:sz w:val="18"/>
              </w:rPr>
              <w:t>56,0 %</w:t>
            </w:r>
          </w:p>
        </w:tc>
        <w:tc>
          <w:tcPr>
            <w:tcW w:type="dxa" w:w="935"/>
          </w:tcPr>
          <w:p>
            <w:r/>
            <w:r>
              <w:rPr>
                <w:sz w:val="18"/>
              </w:rPr>
              <w:t>29,7 %</w:t>
            </w:r>
          </w:p>
        </w:tc>
      </w:tr>
      <w:tr>
        <w:tc>
          <w:tcPr>
            <w:tcW w:type="dxa" w:w="1389"/>
          </w:tcPr>
          <w:p>
            <w:r/>
            <w:r>
              <w:rPr>
                <w:sz w:val="18"/>
              </w:rPr>
              <w:t>Cometa</w:t>
            </w:r>
          </w:p>
        </w:tc>
        <w:tc>
          <w:tcPr>
            <w:tcW w:type="dxa" w:w="935"/>
          </w:tcPr>
          <w:p>
            <w:r/>
            <w:r>
              <w:rPr>
                <w:sz w:val="18"/>
              </w:rPr>
              <w:t>18,5 %</w:t>
            </w:r>
          </w:p>
        </w:tc>
        <w:tc>
          <w:tcPr>
            <w:tcW w:type="dxa" w:w="1162"/>
          </w:tcPr>
          <w:p>
            <w:r/>
            <w:r>
              <w:rPr>
                <w:sz w:val="18"/>
              </w:rPr>
              <w:t>50,5 %</w:t>
            </w:r>
          </w:p>
        </w:tc>
        <w:tc>
          <w:tcPr>
            <w:tcW w:type="dxa" w:w="935"/>
          </w:tcPr>
          <w:p>
            <w:r/>
            <w:r>
              <w:rPr>
                <w:sz w:val="18"/>
              </w:rPr>
              <w:t>31 %</w:t>
            </w:r>
          </w:p>
        </w:tc>
      </w:tr>
      <w:tr>
        <w:tc>
          <w:tcPr>
            <w:tcW w:type="dxa" w:w="1389"/>
          </w:tcPr>
          <w:p>
            <w:r/>
            <w:r>
              <w:rPr>
                <w:sz w:val="18"/>
              </w:rPr>
              <w:t>Crisafulli</w:t>
            </w:r>
          </w:p>
        </w:tc>
        <w:tc>
          <w:tcPr>
            <w:tcW w:type="dxa" w:w="935"/>
          </w:tcPr>
          <w:p>
            <w:r/>
            <w:r>
              <w:rPr>
                <w:sz w:val="18"/>
              </w:rPr>
              <w:t>39 %</w:t>
            </w:r>
          </w:p>
        </w:tc>
        <w:tc>
          <w:tcPr>
            <w:tcW w:type="dxa" w:w="1162"/>
          </w:tcPr>
          <w:p>
            <w:r/>
            <w:r>
              <w:rPr>
                <w:sz w:val="18"/>
              </w:rPr>
              <w:t>31 %</w:t>
            </w:r>
          </w:p>
        </w:tc>
        <w:tc>
          <w:tcPr>
            <w:tcW w:type="dxa" w:w="935"/>
          </w:tcPr>
          <w:p>
            <w:r/>
            <w:r>
              <w:rPr>
                <w:sz w:val="18"/>
              </w:rPr>
              <w:t>30 %</w:t>
            </w:r>
          </w:p>
        </w:tc>
      </w:tr>
      <w:tr>
        <w:tc>
          <w:tcPr>
            <w:tcW w:type="dxa" w:w="1389"/>
          </w:tcPr>
          <w:p>
            <w:r/>
            <w:r>
              <w:rPr>
                <w:sz w:val="18"/>
              </w:rPr>
              <w:t>Zeng</w:t>
            </w:r>
          </w:p>
        </w:tc>
        <w:tc>
          <w:tcPr>
            <w:tcW w:type="dxa" w:w="935"/>
          </w:tcPr>
          <w:p>
            <w:r/>
            <w:r>
              <w:rPr>
                <w:sz w:val="18"/>
              </w:rPr>
              <w:t>41,9 %</w:t>
            </w:r>
          </w:p>
        </w:tc>
        <w:tc>
          <w:tcPr>
            <w:tcW w:type="dxa" w:w="1162"/>
          </w:tcPr>
          <w:p>
            <w:r/>
            <w:r>
              <w:rPr>
                <w:sz w:val="18"/>
              </w:rPr>
              <w:t>40,3 %</w:t>
            </w:r>
          </w:p>
        </w:tc>
        <w:tc>
          <w:tcPr>
            <w:tcW w:type="dxa" w:w="935"/>
          </w:tcPr>
          <w:p>
            <w:r/>
            <w:r>
              <w:rPr>
                <w:sz w:val="18"/>
              </w:rPr>
              <w:t>17,8 %</w:t>
            </w:r>
          </w:p>
        </w:tc>
      </w:tr>
      <w:tr>
        <w:tc>
          <w:tcPr>
            <w:tcW w:type="dxa" w:w="1389"/>
          </w:tcPr>
          <w:p>
            <w:r/>
            <w:r>
              <w:rPr>
                <w:sz w:val="18"/>
              </w:rPr>
              <w:t>Lee</w:t>
            </w:r>
          </w:p>
        </w:tc>
        <w:tc>
          <w:tcPr>
            <w:tcW w:type="dxa" w:w="935"/>
          </w:tcPr>
          <w:p>
            <w:r/>
            <w:r>
              <w:rPr>
                <w:sz w:val="18"/>
              </w:rPr>
              <w:t>30,9 %</w:t>
            </w:r>
          </w:p>
        </w:tc>
        <w:tc>
          <w:tcPr>
            <w:tcW w:type="dxa" w:w="1162"/>
          </w:tcPr>
          <w:p>
            <w:r/>
            <w:r>
              <w:rPr>
                <w:sz w:val="18"/>
              </w:rPr>
              <w:t>58,6 %</w:t>
            </w:r>
          </w:p>
        </w:tc>
        <w:tc>
          <w:tcPr>
            <w:tcW w:type="dxa" w:w="935"/>
          </w:tcPr>
          <w:p>
            <w:r/>
            <w:r>
              <w:rPr>
                <w:sz w:val="18"/>
              </w:rPr>
              <w:t>10,4 %</w:t>
            </w:r>
          </w:p>
        </w:tc>
      </w:tr>
    </w:tbl>
    <w:p/>
    <w:p>
      <w:pPr>
        <w:pStyle w:val="ListBullet2"/>
      </w:pPr>
      <w:r>
        <w:t>El "≈10 %" de graves solo se cumple en una cohorte; en las otras cuatro, los graves son el 18-31 %.</w:t>
      </w:r>
    </w:p>
    <w:p>
      <w:pPr>
        <w:pStyle w:val="ListBullet2"/>
      </w:pPr>
      <w:r>
        <w:t>Los leves llegan al 42 %.</w:t>
      </w:r>
    </w:p>
    <w:p>
      <w:pPr>
        <w:pStyle w:val="ListBullet2"/>
      </w:pPr>
      <w:r>
        <w:t>Infravalorar la proporción de graves puede inducir a infradotar unidades de cuidados respiratorios intermedios.</w:t>
      </w:r>
    </w:p>
    <w:p>
      <w:pPr>
        <w:pStyle w:val="ListBullet"/>
      </w:pPr>
      <w:r>
        <w:rPr>
          <w:b/>
        </w:rPr>
        <w:t>Evidencia/justificación:</w:t>
      </w:r>
      <w:r>
        <w:t xml:space="preserve"> Resúmenes y resultados de las refs. 933-937, verificados.</w:t>
      </w:r>
    </w:p>
    <w:p>
      <w:pPr>
        <w:pStyle w:val="ListBullet"/>
      </w:pPr>
      <w:r>
        <w:rPr>
          <w:b/>
        </w:rPr>
        <w:t>Recomendación:</w:t>
      </w:r>
      <w:r>
        <w:t xml:space="preserve"> "Entre los hospitalizados, el 14-42 % son leves, el 31-59 % moderados y el 10-31 % graves según Roma (refs. 933-937)".</w:t>
      </w:r>
    </w:p>
    <w:p>
      <w:pPr>
        <w:pStyle w:val="ListBullet"/>
      </w:pPr>
      <w:r>
        <w:rPr>
          <w:b/>
        </w:rPr>
        <w:t>Confianza:</w:t>
      </w:r>
      <w:r>
        <w:t xml:space="preserve"> 5/5</w:t>
      </w:r>
    </w:p>
    <w:p>
      <w:pPr>
        <w:pStyle w:val="Heading4"/>
      </w:pPr>
      <w:r>
        <w:t>DX-13 · Cribado de cáncer de pulmón con TC: criterios inconsistentes y redacción errónea</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Incongruencia entre capítulos / Editorial</w:t>
      </w:r>
    </w:p>
    <w:p>
      <w:pPr>
        <w:pStyle w:val="ListBullet"/>
      </w:pPr>
      <w:r>
        <w:rPr>
          <w:b/>
        </w:rPr>
        <w:t>Severidad:</w:t>
      </w:r>
      <w:r>
        <w:t xml:space="preserve"> MEDIA</w:t>
      </w:r>
    </w:p>
    <w:p>
      <w:pPr>
        <w:pStyle w:val="ListBullet"/>
      </w:pPr>
      <w:r>
        <w:rPr>
          <w:b/>
        </w:rPr>
        <w:t>Ubicación:</w:t>
      </w:r>
      <w:r>
        <w:t xml:space="preserve"> PDF 47 / impr. 36; PDF 57 / impr. 46; Fig. 2.14 (PDF 59 / impr. 48); cap. 5, PDF 130-131 / impr. 119-120</w:t>
      </w:r>
    </w:p>
    <w:p>
      <w:pPr>
        <w:pStyle w:val="ListBullet"/>
      </w:pPr>
      <w:r>
        <w:rPr>
          <w:b/>
        </w:rPr>
        <w:t>Cita:</w:t>
      </w:r>
      <w:r>
        <w:t xml:space="preserve"> PDF 47: «Annual LDCT… recommended by the USPSTF… aged 50 to 80 years with a ≥ 20 pack-year smoking history». PDF 57: «The American Cancer Society now suggests individuals aged 50-80 with 20 pack years smoking history regardless of years since quitting should be considered for lung cancer with CT imaging».</w:t>
      </w:r>
    </w:p>
    <w:p>
      <w:pPr>
        <w:pStyle w:val="ListBullet"/>
      </w:pPr>
      <w:r>
        <w:rPr>
          <w:b/>
        </w:rPr>
        <w:t>Problema:</w:t>
      </w:r>
    </w:p>
    <w:p>
      <w:pPr>
        <w:pStyle w:val="ListBullet2"/>
      </w:pPr>
      <w:r>
        <w:rPr>
          <w:b/>
        </w:rPr>
        <w:t>Criterio USPSTF incompleto.</w:t>
      </w:r>
      <w:r>
        <w:t xml:space="preserve"> En PDF 47 falta el requisito «fumador actual o abandono &lt;15 años», que el cap. 5 sí recoge.</w:t>
      </w:r>
    </w:p>
    <w:p>
      <w:pPr>
        <w:pStyle w:val="ListBullet2"/>
      </w:pPr>
      <w:r>
        <w:rPr>
          <w:b/>
        </w:rPr>
        <w:t>Criterio ACS sin reconciliar.</w:t>
      </w:r>
      <w:r>
        <w:t xml:space="preserve"> En PDF 57 se presenta el criterio ACS 2023 («regardless of years since quitting»), sin cita y sin conciliarlo con el de la USPSTF ni con el cap. 5.</w:t>
      </w:r>
    </w:p>
    <w:p>
      <w:pPr>
        <w:pStyle w:val="ListBullet2"/>
      </w:pPr>
      <w:r>
        <w:rPr>
          <w:b/>
        </w:rPr>
        <w:t>Errata de sentido.</w:t>
      </w:r>
      <w:r>
        <w:t xml:space="preserve"> «considered for lung cancer with CT imaging» omite «screening».</w:t>
      </w:r>
    </w:p>
    <w:p>
      <w:pPr>
        <w:pStyle w:val="ListBullet2"/>
      </w:pPr>
      <w:r>
        <w:rPr>
          <w:b/>
        </w:rPr>
        <w:t>Fig. 2.14.</w:t>
      </w:r>
      <w:r>
        <w:t xml:space="preserve"> Remite a «recommendations for the general population» sin precisar cuáles. La fila de reducción de volumen omite los requisitos de TC más determinantes para las válvulas (integridad cisural/ausencia de ventilación colateral), aunque el texto de PDF 57 sí los menciona.</w:t>
      </w:r>
    </w:p>
    <w:p>
      <w:pPr>
        <w:pStyle w:val="ListBullet"/>
      </w:pPr>
      <w:r>
        <w:rPr>
          <w:b/>
        </w:rPr>
        <w:t>Evidencia/justificación:</w:t>
      </w:r>
    </w:p>
    <w:p>
      <w:pPr>
        <w:pStyle w:val="ListBullet2"/>
      </w:pPr>
      <w:r>
        <w:t>USPSTF 2021: Krist AH et al. JAMA 2021;325:962-970 (50-80 años, ≥20 paquetes-año, fumador actual o abandono en los últimos 15 años).</w:t>
      </w:r>
    </w:p>
    <w:p>
      <w:pPr>
        <w:pStyle w:val="ListBullet2"/>
      </w:pPr>
      <w:r>
        <w:t>ACS 2023: Wolf AMD et al. CA Cancer J Clin 2024;74:50-81 (elimina el criterio de años desde el abandono).</w:t>
      </w:r>
    </w:p>
    <w:p>
      <w:pPr>
        <w:pStyle w:val="ListBullet"/>
      </w:pPr>
      <w:r>
        <w:rPr>
          <w:b/>
        </w:rPr>
        <w:t>Recomendación:</w:t>
      </w:r>
    </w:p>
    <w:p>
      <w:pPr>
        <w:pStyle w:val="ListBullet2"/>
      </w:pPr>
      <w:r>
        <w:t>Presentar ambos criterios en una sola frase con sus referencias e indicar que prevalecen las normas nacionales.</w:t>
      </w:r>
    </w:p>
    <w:p>
      <w:pPr>
        <w:pStyle w:val="ListBullet2"/>
      </w:pPr>
      <w:r>
        <w:t>Corregir la errata («lung cancer screening with low-dose CT»).</w:t>
      </w:r>
    </w:p>
    <w:p>
      <w:pPr>
        <w:pStyle w:val="ListBullet2"/>
      </w:pPr>
      <w:r>
        <w:t>Añadir a la Fig. 2.14 «fisuras íntegras/sin ventilación colateral (TC cuantitativa ± Chartis)».</w:t>
      </w:r>
    </w:p>
    <w:p>
      <w:pPr>
        <w:pStyle w:val="ListBullet"/>
      </w:pPr>
      <w:r>
        <w:rPr>
          <w:b/>
        </w:rPr>
        <w:t>Confianza:</w:t>
      </w:r>
      <w:r>
        <w:t xml:space="preserve"> 4/5</w:t>
      </w:r>
    </w:p>
    <w:p>
      <w:pPr>
        <w:pStyle w:val="Heading4"/>
      </w:pPr>
      <w:r>
        <w:t>MUL-09 · Cáncer de pulmón: cifras de GLOBOCAN 2012, comparación incorrecta y «supervivencia» como desenlace</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130 / impr. 119 — Lung cancer</w:t>
      </w:r>
    </w:p>
    <w:p>
      <w:pPr>
        <w:pStyle w:val="ListBullet"/>
      </w:pPr>
      <w:r>
        <w:rPr>
          <w:b/>
        </w:rPr>
        <w:t>Cita:</w:t>
      </w:r>
      <w:r>
        <w:t xml:space="preserve"> "more deaths from lung cancer than from colon, breast and prostate cancer combined, causing an estimated 1.6 million deaths worldwide each year.(1196)" / "Several studies involving the use of low-dose chest CT screening have shown improved survival."</w:t>
      </w:r>
    </w:p>
    <w:p>
      <w:pPr>
        <w:pStyle w:val="ListBullet"/>
      </w:pPr>
      <w:r>
        <w:rPr>
          <w:b/>
        </w:rPr>
        <w:t>Problema:</w:t>
      </w:r>
    </w:p>
    <w:p>
      <w:pPr>
        <w:pStyle w:val="ListBullet2"/>
      </w:pPr>
      <w:r>
        <w:t>La ref. 1196 es GLOBOCAN 2012 (Ferlay, Int J Cancer 2015).</w:t>
      </w:r>
    </w:p>
    <w:p>
      <w:pPr>
        <w:pStyle w:val="ListBullet2"/>
      </w:pPr>
      <w:r>
        <w:t>Con los datos actuales, la comparación es falsa en el ámbito mundial.</w:t>
      </w:r>
    </w:p>
    <w:p>
      <w:pPr>
        <w:pStyle w:val="ListBullet2"/>
      </w:pPr>
      <w:r>
        <w:t xml:space="preserve">El beneficio demostrado del cribado es la </w:t>
      </w:r>
      <w:r>
        <w:rPr>
          <w:b/>
        </w:rPr>
        <w:t>reducción de la mortalidad por cáncer de pulmón</w:t>
      </w:r>
      <w:r>
        <w:t>. La «supervivencia» está sesgada por adelanto diagnóstico y sobrediagnóstico. Una de las refs. (1210, I-ELCAP) es un estudio de supervivencia sin grupo de control.</w:t>
      </w:r>
    </w:p>
    <w:p>
      <w:pPr>
        <w:pStyle w:val="ListBullet"/>
      </w:pPr>
      <w:r>
        <w:rPr>
          <w:b/>
        </w:rPr>
        <w:t>Evidencia/justificación:</w:t>
      </w:r>
    </w:p>
    <w:p>
      <w:pPr>
        <w:pStyle w:val="ListBullet2"/>
      </w:pPr>
      <w:r>
        <w:t>GLOBOCAN 2022 (Bray F, CA Cancer J Clin 2024;74:229; doi:10.3322/caac.21834): cáncer de pulmón, unos 1,8 millones de muertes (18,7 %); colorrectal, unas 0,90 M; mama, unas 0,67 M; próstata, unas 0,40 M. La suma de esos tres (≈1,97 M) supera las muertes por cáncer de pulmón.</w:t>
      </w:r>
    </w:p>
    <w:p>
      <w:pPr>
        <w:pStyle w:val="ListBullet2"/>
      </w:pPr>
      <w:r>
        <w:t>NLST: −20 % de mortalidad por cáncer de pulmón (NEJM 2011;365:395).</w:t>
      </w:r>
    </w:p>
    <w:p>
      <w:pPr>
        <w:pStyle w:val="ListBullet2"/>
      </w:pPr>
      <w:r>
        <w:t>NELSON: −24 % en varones a 10 años (de Koning, NEJM 2020;382:503).</w:t>
      </w:r>
    </w:p>
    <w:p>
      <w:pPr>
        <w:pStyle w:val="ListBullet"/>
      </w:pPr>
      <w:r>
        <w:rPr>
          <w:b/>
        </w:rPr>
        <w:t>Recomendación:</w:t>
      </w:r>
      <w:r>
        <w:t xml:space="preserve"> Actualizar a GLOBOCAN 2022, eliminar la comparación y escribir «reducción de la mortalidad por cáncer de pulmón (NLST, NELSON)».</w:t>
      </w:r>
    </w:p>
    <w:p>
      <w:pPr>
        <w:pStyle w:val="ListBullet"/>
      </w:pPr>
      <w:r>
        <w:rPr>
          <w:b/>
        </w:rPr>
        <w:t>Confianza:</w:t>
      </w:r>
      <w:r>
        <w:t xml:space="preserve"> 4/5</w:t>
      </w:r>
    </w:p>
    <w:p>
      <w:pPr>
        <w:pStyle w:val="Heading4"/>
      </w:pPr>
      <w:r>
        <w:t>MUL-10 · Cribado con LDCT: criterios incoherentes entre el punto clave, la Fig. 5.4, el texto y el cap. 2</w:t>
      </w:r>
    </w:p>
    <w:p>
      <w:r>
        <w:rPr>
          <w:i/>
        </w:rPr>
        <w:t xml:space="preserve">Severidad final: </w:t>
      </w:r>
      <w:r>
        <w:rPr>
          <w:i/>
          <w:color w:val="FFC000"/>
        </w:rPr>
        <w:t>🟡</w:t>
      </w:r>
      <w:r>
        <w:rPr>
          <w:i/>
        </w:rPr>
        <w:t xml:space="preserve"> MEDIA · Tema T03: Cribado de cáncer de pulmón</w:t>
      </w:r>
    </w:p>
    <w:p>
      <w:pPr>
        <w:pStyle w:val="IntenseQuote"/>
      </w:pPr>
      <w:r>
        <w:rPr>
          <w:b/>
        </w:rPr>
        <w:t>Verificación independiente (CONFIRMADO PARCIAL):</w:t>
      </w:r>
      <w:r>
        <w:t xml:space="preserve"> Confirmado: - se citan dos criterios distintos (ACS en el cap. 2, USPSTF en el cap. 5) sin conciliarlos; - la Fig 5.4 mantiene los umbrales del NLST (&gt;55 años, &gt;30 paquetes-año) junto a criterios vigentes más amplios. Exagerado: - La Fig 5.4 se titula «Common Risk Factors for the Development of Lung Cancer». Es una lista de factores de riesgo, no de criterios de elegibilidad, así que no «contradice» a la USPSTF como …</w:t>
      </w:r>
    </w:p>
    <w:p>
      <w:pPr>
        <w:pStyle w:val="IntenseQuote"/>
      </w:pPr>
      <w:r>
        <w:rPr>
          <w:b/>
        </w:rPr>
        <w:t>Severidad ajustada en la consolidación:</w:t>
      </w:r>
      <w:r>
        <w:t xml:space="preserve"> ALTA → MEDIA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123 / impr. 112 (punto clave); PDF 130-131 / impr. 119-120 (texto y Fig. 5.4); contraste con el cap. 2, PDF 57 / impr. 46</w:t>
      </w:r>
    </w:p>
    <w:p>
      <w:pPr>
        <w:pStyle w:val="ListBullet"/>
      </w:pPr>
      <w:r>
        <w:rPr>
          <w:b/>
        </w:rPr>
        <w:t>Cita:</w:t>
      </w:r>
      <w:r>
        <w:t xml:space="preserve"> Punto clave: "An annual LDCT scan is recommended for lung cancer screening in patients with a smoking history". Fig. 5.4: "Age &gt; 55 years · Smoking history &gt; 30 pack years · … BMI &lt; 25 kg/m²". Texto: "harms of screening seem to outweigh the possible benefit…(1218)"</w:t>
      </w:r>
    </w:p>
    <w:p>
      <w:pPr>
        <w:pStyle w:val="ListBullet"/>
      </w:pPr>
      <w:r>
        <w:rPr>
          <w:b/>
        </w:rPr>
        <w:t>Problema:</w:t>
      </w:r>
    </w:p>
    <w:p>
      <w:pPr>
        <w:pStyle w:val="ListBullet2"/>
      </w:pPr>
      <w:r>
        <w:t xml:space="preserve">El punto clave sugiere cribar a </w:t>
      </w:r>
      <w:r>
        <w:rPr>
          <w:i/>
        </w:rPr>
        <w:t>cualquier</w:t>
      </w:r>
      <w:r>
        <w:t xml:space="preserve"> paciente con antecedente tabáquico, sin criterios de edad, carga tabáquica, tiempo desde el abandono ni esperanza de vida.</w:t>
      </w:r>
    </w:p>
    <w:p>
      <w:pPr>
        <w:pStyle w:val="ListBullet2"/>
      </w:pPr>
      <w:r>
        <w:t>La Fig. 5.4 usa umbrales antiguos (NLST: &gt;55 años, &gt;30 paquetes-año) que contradicen la USPSTF 2021 descrita debajo (50-80 años, ≥20 paquetes-año, abandono ≤15 años).</w:t>
      </w:r>
    </w:p>
    <w:p>
      <w:pPr>
        <w:pStyle w:val="ListBullet2"/>
      </w:pPr>
      <w:r>
        <w:t>El cap. 2 (PDF 57) cita la ACS 2023 («regardless of years since quitting»), mientras que el cap. 5 aplica la regla de los 15 años de la USPSTF. No se explica la diferencia.</w:t>
      </w:r>
    </w:p>
    <w:p>
      <w:pPr>
        <w:pStyle w:val="ListBullet2"/>
      </w:pPr>
      <w:r>
        <w:t>La afirmación sobre el balance riesgo/beneficio en nunca fumadores se apoya solo en una web de los CDC (ref. 1218). El punto clave, en cambio, lo justifica por «lack of evidence».</w:t>
      </w:r>
    </w:p>
    <w:p>
      <w:pPr>
        <w:pStyle w:val="ListBullet"/>
      </w:pPr>
      <w:r>
        <w:rPr>
          <w:b/>
        </w:rPr>
        <w:t>Evidencia/justificación:</w:t>
      </w:r>
    </w:p>
    <w:p>
      <w:pPr>
        <w:pStyle w:val="ListBullet2"/>
      </w:pPr>
      <w:r>
        <w:t>USPSTF 2021: Krist AH, JAMA 2021;325:962.</w:t>
      </w:r>
    </w:p>
    <w:p>
      <w:pPr>
        <w:pStyle w:val="ListBullet2"/>
      </w:pPr>
      <w:r>
        <w:t>ACS 2023: Wolf AMD, CA Cancer J Clin 2024;74:50.</w:t>
      </w:r>
    </w:p>
    <w:p>
      <w:pPr>
        <w:pStyle w:val="ListBullet2"/>
      </w:pPr>
      <w:r>
        <w:t>En nunca fumadores asiáticos con factores de riesgo (TALENT, Taiwán: Chang GC, Lancet Respir Med 2024) la tasa de detección fue relevante. La evidencia es emergente y regional; es un punto debatible.</w:t>
      </w:r>
    </w:p>
    <w:p>
      <w:pPr>
        <w:pStyle w:val="ListBullet"/>
      </w:pPr>
      <w:r>
        <w:rPr>
          <w:b/>
        </w:rPr>
        <w:t>Recomendación:</w:t>
      </w:r>
    </w:p>
    <w:p>
      <w:pPr>
        <w:pStyle w:val="ListBullet2"/>
      </w:pPr>
      <w:r>
        <w:t>Unificar en el punto clave: «LDCT anual en personas con EPOC que cumplan los criterios vigentes (USPSTF 2021 / ACS 2023 / programas nacionales), candidatas a tratamiento curativo y tras decisión compartida».</w:t>
      </w:r>
    </w:p>
    <w:p>
      <w:pPr>
        <w:pStyle w:val="ListBullet2"/>
      </w:pPr>
      <w:r>
        <w:t>Rotular la Fig. 5.4 como «factores de riesgo» sin umbrales numéricos antiguos, o con los vigentes.</w:t>
      </w:r>
    </w:p>
    <w:p>
      <w:pPr>
        <w:pStyle w:val="ListBullet2"/>
      </w:pPr>
      <w:r>
        <w:t>Armonizar el texto con el cap. 2.</w:t>
      </w:r>
    </w:p>
    <w:p>
      <w:pPr>
        <w:pStyle w:val="ListBullet2"/>
      </w:pPr>
      <w:r>
        <w:t>Formular lo relativo a los nunca fumadores como «evidencia insuficiente fuera de programas específicos».</w:t>
      </w:r>
    </w:p>
    <w:p>
      <w:pPr>
        <w:pStyle w:val="ListBullet"/>
      </w:pPr>
      <w:r>
        <w:rPr>
          <w:b/>
        </w:rPr>
        <w:t>Confianza:</w:t>
      </w:r>
      <w:r>
        <w:t xml:space="preserve"> 5/5</w:t>
      </w:r>
    </w:p>
    <w:p>
      <w:pPr>
        <w:pStyle w:val="Heading4"/>
      </w:pPr>
      <w:r>
        <w:t>MUL-25 · Figs. 5.5 y 5.6: pruebas y periodicidades no alineadas con el texto</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140-141 / impr. 129-130 — Figs. 5.5 y 5.6; texto en PDF 128, 134 y 137</w:t>
      </w:r>
    </w:p>
    <w:p>
      <w:pPr>
        <w:pStyle w:val="ListBullet"/>
      </w:pPr>
      <w:r>
        <w:rPr>
          <w:b/>
        </w:rPr>
        <w:t>Cita:</w:t>
      </w:r>
      <w:r>
        <w:t xml:space="preserve"> Fig. 5.6: "Yearly · Electrocardiogram · NTproBNP" / "Every 3-5 years · Glucose &amp; HbA1c · Creatinine · GFR"; texto: "Measurement of hemoglobin A1c and fasting blood glucose for patients who have not had these tests in more than a year"</w:t>
      </w:r>
    </w:p>
    <w:p>
      <w:pPr>
        <w:pStyle w:val="ListBullet"/>
      </w:pPr>
      <w:r>
        <w:rPr>
          <w:b/>
        </w:rPr>
        <w:t>Problema:</w:t>
      </w:r>
    </w:p>
    <w:p>
      <w:pPr>
        <w:pStyle w:val="ListBullet2"/>
      </w:pPr>
      <w:r>
        <w:rPr>
          <w:b/>
        </w:rPr>
        <w:t>ECG y NT-proBNP:</w:t>
      </w:r>
      <w:r>
        <w:t xml:space="preserve"> las figuras los proponen </w:t>
      </w:r>
      <w:r>
        <w:rPr>
          <w:i/>
        </w:rPr>
        <w:t>anuales</w:t>
      </w:r>
      <w:r>
        <w:t xml:space="preserve"> en </w:t>
      </w:r>
      <w:r>
        <w:rPr>
          <w:i/>
        </w:rPr>
        <w:t>todos</w:t>
      </w:r>
      <w:r>
        <w:t xml:space="preserve"> los pacientes. El texto los reserva para el diagnóstico, cambios de síntomas o sospecha de IC, y reconoce el bajo VPP de los péptidos natriuréticos en la EPOC (PDF 127).</w:t>
      </w:r>
    </w:p>
    <w:p>
      <w:pPr>
        <w:pStyle w:val="ListBullet2"/>
      </w:pPr>
      <w:r>
        <w:rPr>
          <w:b/>
        </w:rPr>
        <w:t>Hs-troponina:</w:t>
      </w:r>
      <w:r>
        <w:t xml:space="preserve"> el texto la «recomienda» y no aparece en las figuras.</w:t>
      </w:r>
    </w:p>
    <w:p>
      <w:pPr>
        <w:pStyle w:val="ListBullet2"/>
      </w:pPr>
      <w:r>
        <w:rPr>
          <w:b/>
        </w:rPr>
        <w:t>HbA1c:</w:t>
      </w:r>
      <w:r>
        <w:t xml:space="preserve"> cada 3-5 años en la figura frente a un umbral de «más de un año» en el texto.</w:t>
      </w:r>
    </w:p>
    <w:p>
      <w:pPr>
        <w:pStyle w:val="ListBullet2"/>
      </w:pPr>
      <w:r>
        <w:rPr>
          <w:b/>
        </w:rPr>
        <w:t>Otras omisiones y asimetrías:</w:t>
      </w:r>
    </w:p>
    <w:p>
      <w:pPr>
        <w:pStyle w:val="ListBullet2"/>
      </w:pPr>
      <w:r>
        <w:t>no figuran el hemograma (Fig. 5.6), el perfil lipídico, la PA, el uACR ni la EAP;</w:t>
      </w:r>
    </w:p>
    <w:p>
      <w:pPr>
        <w:pStyle w:val="ListBullet2"/>
      </w:pPr>
      <w:r>
        <w:t>el GAD-2 se repite cada 3-5 años y el PHQ-2 cada año, sin justificación;</w:t>
      </w:r>
    </w:p>
    <w:p>
      <w:pPr>
        <w:pStyle w:val="ListBullet2"/>
      </w:pPr>
      <w:r>
        <w:t>el MMSE está en la Fig. 5.5 pero no en la 5.6;</w:t>
      </w:r>
    </w:p>
    <w:p>
      <w:pPr>
        <w:pStyle w:val="ListBullet2"/>
      </w:pPr>
      <w:r>
        <w:t>SARC-F aparece en la lista de abreviaturas de la Fig. 5.6 pero no en la figura.</w:t>
      </w:r>
    </w:p>
    <w:p>
      <w:pPr>
        <w:pStyle w:val="ListBullet"/>
      </w:pPr>
      <w:r>
        <w:rPr>
          <w:b/>
        </w:rPr>
        <w:t>Evidencia/justificación:</w:t>
      </w:r>
      <w:r>
        <w:t xml:space="preserve"> Contraste directo entre las figuras y el texto del propio capítulo. ADA 2025: HbA1c al menos 2 veces al año en diabéticos y cribado cada 3 años si es normal. KDIGO 2024: FG y uACR al menos anuales si hay riesgo.</w:t>
      </w:r>
    </w:p>
    <w:p>
      <w:pPr>
        <w:pStyle w:val="ListBullet"/>
      </w:pPr>
      <w:r>
        <w:rPr>
          <w:b/>
        </w:rPr>
        <w:t>Recomendación:</w:t>
      </w:r>
    </w:p>
    <w:p>
      <w:pPr>
        <w:pStyle w:val="ListBullet2"/>
      </w:pPr>
      <w:r>
        <w:t>Revisar las figuras para que reflejen el texto.</w:t>
      </w:r>
    </w:p>
    <w:p>
      <w:pPr>
        <w:pStyle w:val="ListBullet2"/>
      </w:pPr>
      <w:r>
        <w:t>Diferenciar el cribado del seguimiento de una enfermedad conocida.</w:t>
      </w:r>
    </w:p>
    <w:p>
      <w:pPr>
        <w:pStyle w:val="ListBullet2"/>
      </w:pPr>
      <w:r>
        <w:t>Añadir lípidos, PA, uACR y hemograma.</w:t>
      </w:r>
    </w:p>
    <w:p>
      <w:pPr>
        <w:pStyle w:val="ListBullet2"/>
      </w:pPr>
      <w:r>
        <w:t>Justificar las periodicidades o retirarlas.</w:t>
      </w:r>
    </w:p>
    <w:p>
      <w:pPr>
        <w:pStyle w:val="ListBullet"/>
      </w:pPr>
      <w:r>
        <w:rPr>
          <w:b/>
        </w:rPr>
        <w:t>Confianza:</w:t>
      </w:r>
      <w:r>
        <w:t xml:space="preserve"> 5/5</w:t>
      </w:r>
    </w:p>
    <w:p>
      <w:pPr>
        <w:pStyle w:val="Heading4"/>
      </w:pPr>
      <w:r>
        <w:t>REH-03 · Cap. 4: ventana de inicio de la RR distinta de las guías y referencias que no respaldan la afirmación</w:t>
      </w:r>
    </w:p>
    <w:p>
      <w:r>
        <w:rPr>
          <w:i/>
        </w:rPr>
        <w:t xml:space="preserve">Severidad final: </w:t>
      </w:r>
      <w:r>
        <w:rPr>
          <w:i/>
          <w:color w:val="FFC000"/>
        </w:rPr>
        <w:t>🟡</w:t>
      </w:r>
      <w:r>
        <w:rPr>
          <w:i/>
        </w:rPr>
        <w:t xml:space="preserve"> MEDIA · Tema T05: Rehabilitación iniciada en el ingreso y mortalidad</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120 / impr. 109 — cap. 4, texto bajo la Figura 4.10; Figura A4.1 (PDF 172).</w:t>
      </w:r>
    </w:p>
    <w:p>
      <w:pPr>
        <w:pStyle w:val="ListBullet"/>
      </w:pPr>
      <w:r>
        <w:rPr>
          <w:b/>
        </w:rPr>
        <w:t>Cita:</w:t>
      </w:r>
      <w:r>
        <w:t xml:space="preserve"> «Early rehabilitation post hospital discharge (i.e., &lt; 4 weeks) is associated with improved quality of life… and improved survival,(1108) although the evidence regarding these two outcomes is heterogeneous.(1109,1110)»</w:t>
      </w:r>
    </w:p>
    <w:p>
      <w:pPr>
        <w:pStyle w:val="ListBullet"/>
      </w:pPr>
      <w:r>
        <w:rPr>
          <w:b/>
        </w:rPr>
        <w:t>Problema:</w:t>
      </w:r>
      <w:r>
        <w:t xml:space="preserve"> La ref. 1108 (Stergiopoulos 2024) trata de telemonitorización y reingresos en insuficiencia cardiaca/EPOC. La ref. 1109 (Jordan 2015) es una evaluación de tecnología sanitaria sobre autogestión con apoyo, y la ref. 1110 (Gavish 2015) trata del seguimiento por neumólogo. Ninguna estudia la RR precoz. Las ventanas temporales tampoco coinciden: «&lt; 4 weeks» (cap. 4), «≤ 4 weeks from prior hospitalization» (Figura A4.1) y «during or ≤ 4 weeks» (Figura 3.19), frente a las 3 semanas que recomiendan ATS 2023 y ERS/ATS 2017.</w:t>
      </w:r>
    </w:p>
    <w:p>
      <w:pPr>
        <w:pStyle w:val="ListBullet"/>
      </w:pPr>
      <w:r>
        <w:rPr>
          <w:b/>
        </w:rPr>
        <w:t>Evidencia/justificación:</w:t>
      </w:r>
      <w:r>
        <w:t xml:space="preserve"> Referencias comprobadas en la lista (PDF 175-248). Guías ATS 2023 (ref. 736) y ERS/ATS 2017 (véase REH-01). Las referencias correctas ya están en el propio documento: 779, 781, 782, 1723 y 1724.</w:t>
      </w:r>
    </w:p>
    <w:p>
      <w:pPr>
        <w:pStyle w:val="ListBullet"/>
      </w:pPr>
      <w:r>
        <w:rPr>
          <w:b/>
        </w:rPr>
        <w:t>Recomendación:</w:t>
      </w:r>
      <w:r>
        <w:t xml:space="preserve"> Sustituir 1108-1110 por 779/781/1723 (calidad de vida, capacidad de ejercicio, reingresos) y 782/1724 (supervivencia, observacional). Unificar la ventana («en las 3-4 semanas posteriores al alta, idealmente ≤ 3 semanas») en cap. 3, cap. 4, Figura 3.19, Figura 4.10 y Figura A4.1.</w:t>
      </w:r>
    </w:p>
    <w:p>
      <w:pPr>
        <w:pStyle w:val="ListBullet"/>
      </w:pPr>
      <w:r>
        <w:rPr>
          <w:b/>
        </w:rPr>
        <w:t>Confianza:</w:t>
      </w:r>
      <w:r>
        <w:t xml:space="preserve"> 5/5</w:t>
      </w:r>
    </w:p>
    <w:p>
      <w:pPr>
        <w:pStyle w:val="Heading4"/>
      </w:pPr>
      <w:r>
        <w:t>INT-14 · Trasplante: registro de 2018, referencia al LAS ya sustituido en EE. UU. y complicaciones citadas con un editorial de 1990</w:t>
      </w:r>
    </w:p>
    <w:p>
      <w:r>
        <w:rPr>
          <w:i/>
        </w:rPr>
        <w:t xml:space="preserve">Severidad final: </w:t>
      </w:r>
      <w:r>
        <w:rPr>
          <w:i/>
          <w:color w:val="FFC000"/>
        </w:rPr>
        <w:t>🟡</w:t>
      </w:r>
      <w:r>
        <w:rPr>
          <w:i/>
        </w:rPr>
        <w:t xml:space="preserve"> MEDIA · Tema T06: Trasplante pulmonar</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102 / impr. 91 — «Lung transplantation»</w:t>
      </w:r>
    </w:p>
    <w:p>
      <w:pPr>
        <w:pStyle w:val="ListBullet"/>
      </w:pPr>
      <w:r>
        <w:rPr>
          <w:b/>
        </w:rPr>
        <w:t>Cita:</w:t>
      </w:r>
      <w:r>
        <w:t xml:space="preserve"> "Since implementation of the LAS scoring system" / "The most frequent complications in patients with COPD after lung transplantation are acute rejection, bronchiolitis obliterans, opportunistic infections and lymphoproliferative disease.(921)"</w:t>
      </w:r>
    </w:p>
    <w:p>
      <w:pPr>
        <w:pStyle w:val="ListBullet"/>
      </w:pPr>
      <w:r>
        <w:rPr>
          <w:b/>
        </w:rPr>
        <w:t>Problema:</w:t>
      </w:r>
    </w:p>
    <w:p>
      <w:pPr>
        <w:pStyle w:val="ListBullet2"/>
      </w:pPr>
      <w:r>
        <w:rPr>
          <w:b/>
        </w:rPr>
        <w:t>Cifras de 2018.</w:t>
      </w:r>
      <w:r>
        <w:t xml:space="preserve"> «&gt; 1.000/año», «30,6 %» y la mediana de supervivencia de 5,9 años salen del informe ISHLT de 2018 (ref. 907).</w:t>
      </w:r>
    </w:p>
    <w:p>
      <w:pPr>
        <w:pStyle w:val="ListBullet2"/>
      </w:pPr>
      <w:r>
        <w:rPr>
          <w:b/>
        </w:rPr>
        <w:t>LAS ya sustituido.</w:t>
      </w:r>
      <w:r>
        <w:t xml:space="preserve"> En EE. UU., la OPTN reemplazó el LAS por el </w:t>
      </w:r>
      <w:r>
        <w:rPr>
          <w:b/>
        </w:rPr>
        <w:t>Composite Allocation Score</w:t>
      </w:r>
      <w:r>
        <w:t xml:space="preserve"> (marzo de 2023, «continuous distribution»).</w:t>
      </w:r>
    </w:p>
    <w:p>
      <w:pPr>
        <w:pStyle w:val="ListBullet2"/>
      </w:pPr>
      <w:r>
        <w:rPr>
          <w:b/>
        </w:rPr>
        <w:t>Complicaciones con fuente y terminología obsoletas.</w:t>
      </w:r>
      <w:r>
        <w:t xml:space="preserve"> Se citan con un editorial del </w:t>
      </w:r>
      <w:r>
        <w:rPr>
          <w:i/>
        </w:rPr>
        <w:t>NEJM</w:t>
      </w:r>
      <w:r>
        <w:t xml:space="preserve"> de 1990 y no usan la nomenclatura vigente: </w:t>
      </w:r>
      <w:r>
        <w:rPr>
          <w:b/>
        </w:rPr>
        <w:t>CLAD</w:t>
      </w:r>
      <w:r>
        <w:t xml:space="preserve"> (fenotipos BOS/RAS, ISHLT 2019) y disfunción primaria del injerto.</w:t>
      </w:r>
    </w:p>
    <w:p>
      <w:pPr>
        <w:pStyle w:val="ListBullet2"/>
      </w:pPr>
      <w:r>
        <w:rPr>
          <w:b/>
        </w:rPr>
        <w:t>Faltan complicaciones relevantes:</w:t>
      </w:r>
      <w:r>
        <w:t xml:space="preserve"> enfermedad renal crónica por anticalcineurínicos, neoplasias cutáneas, cáncer de pulmón en el pulmón nativo tras trasplante unipulmonar e hiperinsuflación del pulmón nativo.</w:t>
      </w:r>
    </w:p>
    <w:p>
      <w:pPr>
        <w:pStyle w:val="ListBullet"/>
      </w:pPr>
      <w:r>
        <w:rPr>
          <w:b/>
        </w:rPr>
        <w:t>Evidencia/justificación:</w:t>
      </w:r>
    </w:p>
    <w:p>
      <w:pPr>
        <w:pStyle w:val="ListBullet2"/>
      </w:pPr>
      <w:r>
        <w:t xml:space="preserve">Verleden GM et al., </w:t>
      </w:r>
      <w:r>
        <w:rPr>
          <w:i/>
        </w:rPr>
        <w:t>JHLT</w:t>
      </w:r>
      <w:r>
        <w:t xml:space="preserve"> 2019;38:493-503 (consenso CLAD).</w:t>
      </w:r>
    </w:p>
    <w:p>
      <w:pPr>
        <w:pStyle w:val="ListBullet2"/>
      </w:pPr>
      <w:r>
        <w:t>OPTN/UNOS, implantación del CAS pulmonar el 9-mar-2023.</w:t>
      </w:r>
    </w:p>
    <w:p>
      <w:pPr>
        <w:pStyle w:val="ListBullet2"/>
      </w:pPr>
      <w:r>
        <w:t>Leard 2021 (véase INT-01).</w:t>
      </w:r>
    </w:p>
    <w:p>
      <w:pPr>
        <w:pStyle w:val="ListBullet"/>
      </w:pPr>
      <w:r>
        <w:rPr>
          <w:b/>
        </w:rPr>
        <w:t>Recomendación:</w:t>
      </w:r>
    </w:p>
    <w:p>
      <w:pPr>
        <w:pStyle w:val="ListBullet2"/>
      </w:pPr>
      <w:r>
        <w:t>Actualizar las cifras con el registro ISHLT/OPTN más reciente.</w:t>
      </w:r>
    </w:p>
    <w:p>
      <w:pPr>
        <w:pStyle w:val="ListBullet2"/>
      </w:pPr>
      <w:r>
        <w:t>Sustituir «LAS» por «sistemas de asignación (LAS/CAS en EE. UU.; varían por país)».</w:t>
      </w:r>
    </w:p>
    <w:p>
      <w:pPr>
        <w:pStyle w:val="ListBullet2"/>
      </w:pPr>
      <w:r>
        <w:t>Reescribir las complicaciones según la terminología CLAD/PGD y añadir el seguimiento oncológico del pulmón nativo.</w:t>
      </w:r>
    </w:p>
    <w:p>
      <w:pPr>
        <w:pStyle w:val="ListBullet"/>
      </w:pPr>
      <w:r>
        <w:rPr>
          <w:b/>
        </w:rPr>
        <w:t>Confianza:</w:t>
      </w:r>
      <w:r>
        <w:t xml:space="preserve"> 4/5</w:t>
      </w:r>
    </w:p>
    <w:p>
      <w:pPr>
        <w:pStyle w:val="Heading4"/>
      </w:pPr>
      <w:r>
        <w:t>COH-08 · La Fig. A3.2 contradice el tratamiento inicial del grupo 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Incoherencia apéndice-capítulo</w:t>
      </w:r>
    </w:p>
    <w:p>
      <w:pPr>
        <w:pStyle w:val="ListBullet"/>
      </w:pPr>
      <w:r>
        <w:rPr>
          <w:b/>
        </w:rPr>
        <w:t>Severidad:</w:t>
      </w:r>
      <w:r>
        <w:t xml:space="preserve"> MEDIA</w:t>
      </w:r>
    </w:p>
    <w:p>
      <w:pPr>
        <w:pStyle w:val="ListBullet"/>
      </w:pPr>
      <w:r>
        <w:rPr>
          <w:b/>
        </w:rPr>
        <w:t>Ubicación:</w:t>
      </w:r>
      <w:r>
        <w:t xml:space="preserve"> Fig A3.2 (PDF 157 / impr. 146) frente a Fig 3.8 (PDF 73 / impr. 62) y el texto de PDF 75 / impr. 64</w:t>
      </w:r>
    </w:p>
    <w:p>
      <w:pPr>
        <w:pStyle w:val="ListBullet"/>
      </w:pPr>
      <w:r>
        <w:rPr>
          <w:b/>
        </w:rPr>
        <w:t>Cita:</w:t>
      </w:r>
      <w:r>
        <w:t xml:space="preserve"> "When initiating treatment with long acting bronchodilators the preferred choice is a combination of a LABA and a LAMA."</w:t>
      </w:r>
    </w:p>
    <w:p>
      <w:pPr>
        <w:pStyle w:val="ListBullet"/>
      </w:pPr>
      <w:r>
        <w:rPr>
          <w:b/>
        </w:rPr>
        <w:t>Problema:</w:t>
      </w:r>
      <w:r>
        <w:t xml:space="preserve"> el grupo A inicia con un solo broncodilatador. Leída literalmente, la viñeta (que además lleva "Evidence A") recomienda doble broncodilatación para todos los pacientes.</w:t>
      </w:r>
    </w:p>
    <w:p>
      <w:pPr>
        <w:pStyle w:val="ListBullet"/>
      </w:pPr>
      <w:r>
        <w:rPr>
          <w:b/>
        </w:rPr>
        <w:t>Evidencia/justificación:</w:t>
      </w:r>
      <w:r>
        <w:t xml:space="preserve"> Fig 3.8, algoritmo inicial de los grupos A, B y E.</w:t>
      </w:r>
    </w:p>
    <w:p>
      <w:pPr>
        <w:pStyle w:val="ListBullet"/>
      </w:pPr>
      <w:r>
        <w:rPr>
          <w:b/>
        </w:rPr>
        <w:t>Recomendación:</w:t>
      </w:r>
      <w:r>
        <w:t xml:space="preserve"> acotar a "patients in groups B and E" o "symptomatic patients".</w:t>
      </w:r>
    </w:p>
    <w:p>
      <w:pPr>
        <w:pStyle w:val="ListBullet"/>
      </w:pPr>
      <w:r>
        <w:rPr>
          <w:b/>
        </w:rPr>
        <w:t>Confianza:</w:t>
      </w:r>
      <w:r>
        <w:t xml:space="preserve"> 5</w:t>
      </w:r>
    </w:p>
    <w:p>
      <w:pPr>
        <w:pStyle w:val="Heading4"/>
      </w:pPr>
      <w:r>
        <w:t>COH-09 · Herramienta ABE: combinaciones discordantes de mMRC/CAAT sin regla, y Highlights que no remiten a la figura correcta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de definición / referencia cruzada</w:t>
      </w:r>
    </w:p>
    <w:p>
      <w:pPr>
        <w:pStyle w:val="ListBullet"/>
      </w:pPr>
      <w:r>
        <w:rPr>
          <w:b/>
        </w:rPr>
        <w:t>Severidad:</w:t>
      </w:r>
      <w:r>
        <w:t xml:space="preserve"> MEDIA</w:t>
      </w:r>
    </w:p>
    <w:p>
      <w:pPr>
        <w:pStyle w:val="ListBullet"/>
      </w:pPr>
      <w:r>
        <w:rPr>
          <w:b/>
        </w:rPr>
        <w:t>Ubicación:</w:t>
      </w:r>
      <w:r>
        <w:t xml:space="preserve"> Fig 2.13 (PDF 54 / impr. 43); Fig 3.8 (PDF 73 / impr. 62); PDF 75 / impr. 64; Highlights iv (PDF 5)</w:t>
      </w:r>
    </w:p>
    <w:p>
      <w:pPr>
        <w:pStyle w:val="ListBullet"/>
      </w:pPr>
      <w:r>
        <w:rPr>
          <w:b/>
        </w:rPr>
        <w:t>Cita:</w:t>
      </w:r>
      <w:r>
        <w:t xml:space="preserve"> Highlights iv: "…increases the risk of subsequent events (Figure 3.7, 3.8 and 3.9)".</w:t>
      </w:r>
    </w:p>
    <w:p>
      <w:pPr>
        <w:pStyle w:val="ListBullet"/>
      </w:pPr>
      <w:r>
        <w:rPr>
          <w:b/>
        </w:rPr>
        <w:t>Problema:</w:t>
      </w:r>
    </w:p>
    <w:p>
      <w:pPr>
        <w:pStyle w:val="ListBullet2"/>
      </w:pPr>
      <w:r>
        <w:t>Las casillas "mMRC 0-1, CAAT™ &lt; 10" y "mMRC ≥ 2, CAAT™ ≥ 10" no clasifican, por ejemplo, a un paciente con mMRC ≥2 y CAAT &lt;10, y la coma no indica si se exige uno o ambos criterios.</w:t>
      </w:r>
    </w:p>
    <w:p>
      <w:pPr>
        <w:pStyle w:val="ListBullet2"/>
      </w:pPr>
      <w:r>
        <w:t>El grupo E pasa a incluir una exacerbación moderada, pero la evidencia que se cita para el grupo B (EMAX) incluyó pacientes con una exacerbación moderada previa. Se extrapola sin explicarlo.</w:t>
      </w:r>
    </w:p>
    <w:p>
      <w:pPr>
        <w:pStyle w:val="ListBullet2"/>
      </w:pPr>
      <w:r>
        <w:t>Highlights iv sitúa el cambio de criterios en las Fig 3.7-3.9, cuando la herramienta ABE es la Fig 2.13.</w:t>
      </w:r>
    </w:p>
    <w:p>
      <w:pPr>
        <w:pStyle w:val="ListBullet"/>
      </w:pPr>
      <w:r>
        <w:rPr>
          <w:b/>
        </w:rPr>
        <w:t>Evidencia/justificación:</w:t>
      </w:r>
      <w:r>
        <w:t xml:space="preserve"> lectura de las figuras y de PDF 75 (descripción de EMAX).</w:t>
      </w:r>
    </w:p>
    <w:p>
      <w:pPr>
        <w:pStyle w:val="ListBullet"/>
      </w:pPr>
      <w:r>
        <w:rPr>
          <w:b/>
        </w:rPr>
        <w:t>Recomendación:</w:t>
      </w:r>
    </w:p>
    <w:p>
      <w:pPr>
        <w:pStyle w:val="ListBullet2"/>
      </w:pPr>
      <w:r>
        <w:t>Sustituir la coma por "o" (o "y/o") y declarar qué escala prevalece si son discordantes.</w:t>
      </w:r>
    </w:p>
    <w:p>
      <w:pPr>
        <w:pStyle w:val="ListBullet2"/>
      </w:pPr>
      <w:r>
        <w:t>Citar la Fig 2.13 en Highlights iv.</w:t>
      </w:r>
    </w:p>
    <w:p>
      <w:pPr>
        <w:pStyle w:val="ListBullet2"/>
      </w:pPr>
      <w:r>
        <w:t>Comentar la extrapolación de EMAX.</w:t>
      </w:r>
    </w:p>
    <w:p>
      <w:pPr>
        <w:pStyle w:val="ListBullet"/>
      </w:pPr>
      <w:r>
        <w:rPr>
          <w:b/>
        </w:rPr>
        <w:t>Confianza:</w:t>
      </w:r>
      <w:r>
        <w:t xml:space="preserve"> 4</w:t>
      </w:r>
    </w:p>
    <w:p>
      <w:pPr>
        <w:pStyle w:val="Heading4"/>
      </w:pPr>
      <w:r>
        <w:t>COH-10 · Mensajes opuestos sobre el valor de los eosinófilos para predecir exacerbaciones</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Contradicción intercapítulos</w:t>
      </w:r>
    </w:p>
    <w:p>
      <w:pPr>
        <w:pStyle w:val="ListBullet"/>
      </w:pPr>
      <w:r>
        <w:rPr>
          <w:b/>
        </w:rPr>
        <w:t>Severidad:</w:t>
      </w:r>
      <w:r>
        <w:t xml:space="preserve"> MEDIA</w:t>
      </w:r>
    </w:p>
    <w:p>
      <w:pPr>
        <w:pStyle w:val="ListBullet"/>
      </w:pPr>
      <w:r>
        <w:rPr>
          <w:b/>
        </w:rPr>
        <w:t>Ubicación:</w:t>
      </w:r>
      <w:r>
        <w:t xml:space="preserve"> PDF 51 / impr. 40 y PDF 111 / impr. 100 (texto idéntico) frente a PDF 60 / impr. 49</w:t>
      </w:r>
    </w:p>
    <w:p>
      <w:pPr>
        <w:pStyle w:val="ListBullet"/>
      </w:pPr>
      <w:r>
        <w:rPr>
          <w:b/>
        </w:rPr>
        <w:t>Cita:</w:t>
      </w:r>
    </w:p>
    <w:p>
      <w:pPr>
        <w:pStyle w:val="ListBullet2"/>
      </w:pPr>
      <w:r>
        <w:t>PDF 51 y 111: "There is insufficient evidence to recommend that blood eosinophils should be used to predict future exacerbation risk on an individual basis".</w:t>
      </w:r>
    </w:p>
    <w:p>
      <w:pPr>
        <w:pStyle w:val="ListBullet2"/>
      </w:pPr>
      <w:r>
        <w:t>PDF 60: "high circulating eosinophil levels (a biomarker) identify patients with COPD who are at risk of exacerbations (a treatable trait)".</w:t>
      </w:r>
    </w:p>
    <w:p>
      <w:pPr>
        <w:pStyle w:val="ListBullet"/>
      </w:pPr>
      <w:r>
        <w:rPr>
          <w:b/>
        </w:rPr>
        <w:t>Problema:</w:t>
      </w:r>
      <w:r>
        <w:t xml:space="preserve"> la guía niega y afirma a la vez el valor pronóstico individual de los eosinófilos. En el resto del documento se usan para predecir la </w:t>
      </w:r>
      <w:r>
        <w:rPr>
          <w:i/>
        </w:rPr>
        <w:t>respuesta</w:t>
      </w:r>
      <w:r>
        <w:t xml:space="preserve"> a los ICS, no el riesgo.</w:t>
      </w:r>
    </w:p>
    <w:p>
      <w:pPr>
        <w:pStyle w:val="ListBullet"/>
      </w:pPr>
      <w:r>
        <w:rPr>
          <w:b/>
        </w:rPr>
        <w:t>Evidencia/justificación:</w:t>
      </w:r>
      <w:r>
        <w:t xml:space="preserve"> coherente con PDF 161 / impr. 150 (eosinófilos como predictores de la respuesta a ICS).</w:t>
      </w:r>
    </w:p>
    <w:p>
      <w:pPr>
        <w:pStyle w:val="ListBullet"/>
      </w:pPr>
      <w:r>
        <w:rPr>
          <w:b/>
        </w:rPr>
        <w:t>Recomendación:</w:t>
      </w:r>
    </w:p>
    <w:p>
      <w:pPr>
        <w:pStyle w:val="ListBullet2"/>
      </w:pPr>
      <w:r>
        <w:t>Reformular PDF 60: "…identify patients more likely to benefit from ICS".</w:t>
      </w:r>
    </w:p>
    <w:p>
      <w:pPr>
        <w:pStyle w:val="ListBullet2"/>
      </w:pPr>
      <w:r>
        <w:t>Sustituir el duplicado de PDF 111 por una remisión al cap. 2.</w:t>
      </w:r>
    </w:p>
    <w:p>
      <w:pPr>
        <w:pStyle w:val="ListBullet"/>
      </w:pPr>
      <w:r>
        <w:rPr>
          <w:b/>
        </w:rPr>
        <w:t>Confianza:</w:t>
      </w:r>
      <w:r>
        <w:t xml:space="preserve"> 4</w:t>
      </w:r>
    </w:p>
    <w:p>
      <w:pPr>
        <w:pStyle w:val="Heading4"/>
      </w:pPr>
      <w:r>
        <w:t>DX-14 · Umbrales de síntomas: mMRC ≥2 y CAAT ≥10 tratados como intercambiables pese a su discordancia reconocida; afirmación histórica inexacta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Error factual menor</w:t>
      </w:r>
    </w:p>
    <w:p>
      <w:pPr>
        <w:pStyle w:val="ListBullet"/>
      </w:pPr>
      <w:r>
        <w:rPr>
          <w:b/>
        </w:rPr>
        <w:t>Severidad:</w:t>
      </w:r>
      <w:r>
        <w:t xml:space="preserve"> MEDIA</w:t>
      </w:r>
    </w:p>
    <w:p>
      <w:pPr>
        <w:pStyle w:val="ListBullet"/>
      </w:pPr>
      <w:r>
        <w:rPr>
          <w:b/>
        </w:rPr>
        <w:t>Ubicación:</w:t>
      </w:r>
      <w:r>
        <w:t xml:space="preserve"> PDF 51 / impr. 40; Fig. 2.13 (PDF 54 / impr. 43); Fig. 3.8 (PDF 73 / impr. 62); PDF 48 / impr. 37</w:t>
      </w:r>
    </w:p>
    <w:p>
      <w:pPr>
        <w:pStyle w:val="ListBullet"/>
      </w:pPr>
      <w:r>
        <w:rPr>
          <w:b/>
        </w:rPr>
        <w:t>Cita:</w:t>
      </w:r>
      <w:r>
        <w:t xml:space="preserve"> «The great majority of patients with an SGRQ of ≥ 25 will have an mMRC of ≥ 1… an mMRC of ≥ 2 is still included as a threshold…» / «The mMRC scale was the first questionnaire developed to measure breathlessness».</w:t>
      </w:r>
    </w:p>
    <w:p>
      <w:pPr>
        <w:pStyle w:val="ListBullet"/>
      </w:pPr>
      <w:r>
        <w:rPr>
          <w:b/>
        </w:rPr>
        <w:t>Problema:</w:t>
      </w:r>
    </w:p>
    <w:p>
      <w:pPr>
        <w:pStyle w:val="ListBullet2"/>
      </w:pPr>
      <w:r>
        <w:rPr>
          <w:b/>
        </w:rPr>
        <w:t>Umbrales no equivalentes.</w:t>
      </w:r>
      <w:r>
        <w:t xml:space="preserve"> El propio texto reconoce que el equivalente de SGRQ ≥25 sería mMRC ≥1, y aun así la Fig. 2.13 usa «mMRC ≥2 o CAAT ≥10» como equivalentes. Con mMRC 0-1 y CAAT ≥10 (situación frecuente) el paciente cae en A o en B según el instrumento usado, lo que cambia el tratamiento inicial («A bronchodilator» frente a «LABA+LAMA», Fig. 3.8), y no se dice cuál prevalece.</w:t>
      </w:r>
    </w:p>
    <w:p>
      <w:pPr>
        <w:pStyle w:val="ListBullet2"/>
      </w:pPr>
      <w:r>
        <w:rPr>
          <w:b/>
        </w:rPr>
        <w:t>Afirmación histórica inexacta.</w:t>
      </w:r>
      <w:r>
        <w:t xml:space="preserve"> La escala MRC original (Fletcher, 1959-1960) es anterior a la mMRC, y existieron otros instrumentos de disnea previos.</w:t>
      </w:r>
    </w:p>
    <w:p>
      <w:pPr>
        <w:pStyle w:val="ListBullet"/>
      </w:pPr>
      <w:r>
        <w:rPr>
          <w:b/>
        </w:rPr>
        <w:t>Evidencia/justificación:</w:t>
      </w:r>
    </w:p>
    <w:p>
      <w:pPr>
        <w:pStyle w:val="ListBullet2"/>
      </w:pPr>
      <w:r>
        <w:t>Jones PW et al. ERJ 2013;42:647-654 (ref. 439): discordancia mMRC/CAT en la clasificación GOLD.</w:t>
      </w:r>
    </w:p>
    <w:p>
      <w:pPr>
        <w:pStyle w:val="ListBullet2"/>
      </w:pPr>
      <w:r>
        <w:t>Fletcher CM et al. BMJ 1959;2:257-266.</w:t>
      </w:r>
    </w:p>
    <w:p>
      <w:pPr>
        <w:pStyle w:val="ListBullet"/>
      </w:pPr>
      <w:r>
        <w:rPr>
          <w:b/>
        </w:rPr>
        <w:t>Recomendación:</w:t>
      </w:r>
    </w:p>
    <w:p>
      <w:pPr>
        <w:pStyle w:val="ListBullet2"/>
      </w:pPr>
      <w:r>
        <w:t>Indicar que, si hay discordancia, debe primar el instrumento integral (CAAT), coherente con «the use of a comprehensive symptom assessment is recommended».</w:t>
      </w:r>
    </w:p>
    <w:p>
      <w:pPr>
        <w:pStyle w:val="ListBullet2"/>
      </w:pPr>
      <w:r>
        <w:t>Corregir: «la escala MRC (y su versión modificada) fue uno de los primeros instrumentos…».</w:t>
      </w:r>
    </w:p>
    <w:p>
      <w:pPr>
        <w:pStyle w:val="ListBullet"/>
      </w:pPr>
      <w:r>
        <w:rPr>
          <w:b/>
        </w:rPr>
        <w:t>Confianza:</w:t>
      </w:r>
      <w:r>
        <w:t xml:space="preserve"> 4/5</w:t>
      </w:r>
    </w:p>
    <w:p>
      <w:pPr>
        <w:pStyle w:val="Heading4"/>
      </w:pPr>
      <w:r>
        <w:t>DX-16 · Eosinófilos: mensajes contradictorios sobre su valor pronóstico y omisión de los biológicos</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51 / impr. 40; PDF 59-60 / impr. 48-49 (biomarcadores y rasgos tratables); cap. 3, PDF 76 / impr. 65; Figs. 3.9-3.11 (PDF 74, 78 y 79)</w:t>
      </w:r>
    </w:p>
    <w:p>
      <w:pPr>
        <w:pStyle w:val="ListBullet"/>
      </w:pPr>
      <w:r>
        <w:rPr>
          <w:b/>
        </w:rPr>
        <w:t>Cita:</w:t>
      </w:r>
      <w:r>
        <w:t xml:space="preserve"> PDF 51: «There is insufficient evidence to recommend that blood eosinophils should be used to predict future exacerbation risk on an individual basis». PDF 60: «high circulating eosinophil levels (a biomarker) identify patients with COPD who are at risk of exacerbations (a treatable trait)…».</w:t>
      </w:r>
    </w:p>
    <w:p>
      <w:pPr>
        <w:pStyle w:val="ListBullet"/>
      </w:pPr>
      <w:r>
        <w:rPr>
          <w:b/>
        </w:rPr>
        <w:t>Problema:</w:t>
      </w:r>
    </w:p>
    <w:p>
      <w:pPr>
        <w:pStyle w:val="ListBullet2"/>
      </w:pPr>
      <w:r>
        <w:rPr>
          <w:b/>
        </w:rPr>
        <w:t>Contradicción sobre el pronóstico.</w:t>
      </w:r>
      <w:r>
        <w:t xml:space="preserve"> La sección de rasgos tratables atribuye a los eosinófilos un valor pronóstico individual que el apartado específico niega. El cap. 3 (PDF 76) incluye además los eosinófilos al revisar el riesgo de exacerbación.</w:t>
      </w:r>
    </w:p>
    <w:p>
      <w:pPr>
        <w:pStyle w:val="ListBullet2"/>
      </w:pPr>
      <w:r>
        <w:rPr>
          <w:b/>
        </w:rPr>
        <w:t>Omisión de los biológicos.</w:t>
      </w:r>
      <w:r>
        <w:t xml:space="preserve"> La sección de biomarcadores dice que los eosinófilos solo guían los ICS. Omite que la Fig. 3.9 y la Fig. 3.11 los usan para indicar biológicos anti-IL-4Rα/IL-5 (≥300 células/µL), con remisión a las Figs. 3.8-3.10 pero no a la 3.11.</w:t>
      </w:r>
    </w:p>
    <w:p>
      <w:pPr>
        <w:pStyle w:val="ListBullet2"/>
      </w:pPr>
      <w:r>
        <w:rPr>
          <w:b/>
        </w:rPr>
        <w:t>Medición sin protocolo.</w:t>
      </w:r>
      <w:r>
        <w:t xml:space="preserve"> No se especifica cómo medir: número de determinaciones, situación clínica estable, efecto de los corticoides orales o ICS, ni valores absolutos frente a porcentaje.</w:t>
      </w:r>
    </w:p>
    <w:p>
      <w:pPr>
        <w:pStyle w:val="ListBullet"/>
      </w:pPr>
      <w:r>
        <w:rPr>
          <w:b/>
        </w:rPr>
        <w:t>Evidencia/justificación:</w:t>
      </w:r>
    </w:p>
    <w:p>
      <w:pPr>
        <w:pStyle w:val="ListBullet2"/>
      </w:pPr>
      <w:r>
        <w:t>Bhatt SP et al. NEJM 2023;389:205-214 (BOREAS) y NEJM 2024 (NOTUS): dupilumab, eosinófilos ≥300.</w:t>
      </w:r>
    </w:p>
    <w:p>
      <w:pPr>
        <w:pStyle w:val="ListBullet2"/>
      </w:pPr>
      <w:r>
        <w:t>Refs. 453-461 del propio informe.</w:t>
      </w:r>
    </w:p>
    <w:p>
      <w:pPr>
        <w:pStyle w:val="ListBullet"/>
      </w:pPr>
      <w:r>
        <w:rPr>
          <w:b/>
        </w:rPr>
        <w:t>Recomendación:</w:t>
      </w:r>
    </w:p>
    <w:p>
      <w:pPr>
        <w:pStyle w:val="ListBullet2"/>
      </w:pPr>
      <w:r>
        <w:t>Reformular PDF 60: «los eosinófilos elevados identifican a pacientes con exacerbaciones en quienes los ICS (y, en casos seleccionados, los biológicos) son más eficaces».</w:t>
      </w:r>
    </w:p>
    <w:p>
      <w:pPr>
        <w:pStyle w:val="ListBullet2"/>
      </w:pPr>
      <w:r>
        <w:t>Añadir la Fig. 3.11 a las remisiones.</w:t>
      </w:r>
    </w:p>
    <w:p>
      <w:pPr>
        <w:pStyle w:val="ListBullet2"/>
      </w:pPr>
      <w:r>
        <w:t>Incluir una nota práctica de medición: en fase estable, sin corticoides sistémicos recientes, repetir si el valor está cerca del umbral.</w:t>
      </w:r>
    </w:p>
    <w:p>
      <w:pPr>
        <w:pStyle w:val="ListBullet"/>
      </w:pPr>
      <w:r>
        <w:rPr>
          <w:b/>
        </w:rPr>
        <w:t>Confianza:</w:t>
      </w:r>
      <w:r>
        <w:t xml:space="preserve"> 4/5</w:t>
      </w:r>
    </w:p>
    <w:p>
      <w:pPr>
        <w:pStyle w:val="Heading4"/>
      </w:pPr>
      <w:r>
        <w:t>FARM-13 · Retirada de ICS: criterios divergentes y "no response" sin definir</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Incongruencia interna</w:t>
      </w:r>
    </w:p>
    <w:p>
      <w:pPr>
        <w:pStyle w:val="ListBullet"/>
      </w:pPr>
      <w:r>
        <w:rPr>
          <w:b/>
        </w:rPr>
        <w:t>Severidad:</w:t>
      </w:r>
      <w:r>
        <w:t xml:space="preserve"> MEDIA</w:t>
      </w:r>
    </w:p>
    <w:p>
      <w:pPr>
        <w:pStyle w:val="ListBullet"/>
      </w:pPr>
      <w:r>
        <w:rPr>
          <w:b/>
        </w:rPr>
        <w:t>Ubicación:</w:t>
      </w:r>
      <w:r>
        <w:t xml:space="preserve"> PDF 77 / impr. 66 (texto); PDF 74 / impr. 63 (nota de la Fig 3.9); PDF 78 / impr. 67 (Fig 3.10)</w:t>
      </w:r>
    </w:p>
    <w:p>
      <w:pPr>
        <w:pStyle w:val="ListBullet"/>
      </w:pPr>
      <w:r>
        <w:rPr>
          <w:b/>
        </w:rPr>
        <w:t>Cita:</w:t>
      </w:r>
    </w:p>
    <w:p>
      <w:pPr>
        <w:pStyle w:val="ListBullet2"/>
      </w:pPr>
      <w:r>
        <w:t>Texto: "should not have the ICS component withdrawn unless the ICS was started inappropriately, there has been no response to ICS or they experience significant side-effects or severe or recurrent pneumonia".</w:t>
      </w:r>
    </w:p>
    <w:p>
      <w:pPr>
        <w:pStyle w:val="ListBullet2"/>
      </w:pPr>
      <w:r>
        <w:t>Fig 3.9: "Consider de-escalation of ICS if pneumonia or other considerable side-effects".</w:t>
      </w:r>
    </w:p>
    <w:p>
      <w:pPr>
        <w:pStyle w:val="ListBullet"/>
      </w:pPr>
      <w:r>
        <w:rPr>
          <w:b/>
        </w:rPr>
        <w:t>Problema:</w:t>
      </w:r>
    </w:p>
    <w:p>
      <w:pPr>
        <w:pStyle w:val="ListBullet2"/>
      </w:pPr>
      <w:r>
        <w:t>La figura invita a retirar el ICS tras cualquier neumonía; el texto exige que sea grave o recurrente, y la Fig 3.10 habla de "repeated pneumonia events".</w:t>
      </w:r>
    </w:p>
    <w:p>
      <w:pPr>
        <w:pStyle w:val="ListBullet2"/>
      </w:pPr>
      <w:r>
        <w:t>"No response to ICS" no tiene definición operativa: no se fijan periodo de observación ni número de exacerbaciones.</w:t>
      </w:r>
    </w:p>
    <w:p>
      <w:pPr>
        <w:pStyle w:val="ListBullet2"/>
      </w:pPr>
      <w:r>
        <w:t>Tampoco se indica cómo retirarlo (de forma escalonada o brusca) ni que se mantengan los dos broncodilatadores. Ambos aspectos son relevantes según WISDOM (Magnussen H et al., NEJM 2014;371:1285-94) y SUNSET (Chapman KR et al., AJRCCM 2018;198:329-339; ref 692/693).</w:t>
      </w:r>
    </w:p>
    <w:p>
      <w:pPr>
        <w:pStyle w:val="ListBullet2"/>
      </w:pPr>
      <w:r>
        <w:t>La Fig 3.10 se titula "Factors… when initiating ICS" y advierte que la retirada es distinta, pero no existe una figura equivalente para la retirada.</w:t>
      </w:r>
    </w:p>
    <w:p>
      <w:pPr>
        <w:pStyle w:val="ListBullet"/>
      </w:pPr>
      <w:r>
        <w:rPr>
          <w:b/>
        </w:rPr>
        <w:t>Evidencia/justificación:</w:t>
      </w:r>
      <w:r>
        <w:t xml:space="preserve"> en SUNSET y WISDOM, el riesgo de exacerbación tras la retirada se concentra en pacientes con eos ≥300; en el resto, la retirada a LABA+LAMA fue segura.</w:t>
      </w:r>
    </w:p>
    <w:p>
      <w:pPr>
        <w:pStyle w:val="ListBullet"/>
      </w:pPr>
      <w:r>
        <w:rPr>
          <w:b/>
        </w:rPr>
        <w:t>Recomendación:</w:t>
      </w:r>
    </w:p>
    <w:p>
      <w:pPr>
        <w:pStyle w:val="ListBullet2"/>
      </w:pPr>
      <w:r>
        <w:t>Unificar el criterio de neumonía ("neumonía grave o recurrente").</w:t>
      </w:r>
    </w:p>
    <w:p>
      <w:pPr>
        <w:pStyle w:val="ListBullet2"/>
      </w:pPr>
      <w:r>
        <w:t>Definir "ausencia de respuesta", p. ej., ≥1 exacerbación moderada/grave tras ≥6-12 meses de triple terapia con buena adherencia y técnica, y eos &lt;100.</w:t>
      </w:r>
    </w:p>
    <w:p>
      <w:pPr>
        <w:pStyle w:val="ListBullet2"/>
      </w:pPr>
      <w:r>
        <w:t>Añadir una minifigura de retirada: mantener LABA+LAMA, vigilar 3-6 meses y evitar retirar con eos ≥300.</w:t>
      </w:r>
    </w:p>
    <w:p>
      <w:pPr>
        <w:pStyle w:val="ListBullet"/>
      </w:pPr>
      <w:r>
        <w:rPr>
          <w:b/>
        </w:rPr>
        <w:t>Confianza:</w:t>
      </w:r>
      <w:r>
        <w:t xml:space="preserve"> 4/5</w:t>
      </w:r>
    </w:p>
    <w:p>
      <w:pPr>
        <w:pStyle w:val="Heading4"/>
      </w:pPr>
      <w:r>
        <w:t>FARM-16 · "Disease activity": concepto nuevo sin definición operativa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Evidencia mal representada</w:t>
      </w:r>
    </w:p>
    <w:p>
      <w:pPr>
        <w:pStyle w:val="ListBullet"/>
      </w:pPr>
      <w:r>
        <w:rPr>
          <w:b/>
        </w:rPr>
        <w:t>Severidad:</w:t>
      </w:r>
      <w:r>
        <w:t xml:space="preserve"> MEDIA</w:t>
      </w:r>
    </w:p>
    <w:p>
      <w:pPr>
        <w:pStyle w:val="ListBullet"/>
      </w:pPr>
      <w:r>
        <w:rPr>
          <w:b/>
        </w:rPr>
        <w:t>Ubicación:</w:t>
      </w:r>
      <w:r>
        <w:t xml:space="preserve"> PDF 62-64 / impr. 51-53 (Disease activity); PDF 63 (Fig 3.2); PDF 74 / impr. 63; Highlights (PDF 5)</w:t>
      </w:r>
    </w:p>
    <w:p>
      <w:pPr>
        <w:pStyle w:val="ListBullet"/>
      </w:pPr>
      <w:r>
        <w:rPr>
          <w:b/>
        </w:rPr>
        <w:t>Cita:</w:t>
      </w:r>
    </w:p>
    <w:p>
      <w:pPr>
        <w:pStyle w:val="ListBullet2"/>
      </w:pPr>
      <w:r>
        <w:t>"Pharmacological treatment with anti-inflammatory drugs can reduce disease activity and therefore potentially prevent organ damage in COPD".</w:t>
      </w:r>
    </w:p>
    <w:p>
      <w:pPr>
        <w:pStyle w:val="ListBullet2"/>
      </w:pPr>
      <w:r>
        <w:t>"disease control… symptoms below a threshold value.(557)"</w:t>
      </w:r>
    </w:p>
    <w:p>
      <w:pPr>
        <w:pStyle w:val="ListBullet"/>
      </w:pPr>
      <w:r>
        <w:rPr>
          <w:b/>
        </w:rPr>
        <w:t>Problema:</w:t>
      </w:r>
    </w:p>
    <w:p>
      <w:pPr>
        <w:pStyle w:val="ListNumber"/>
        <w:numPr>
          <w:ilvl w:val="0"/>
          <w:numId w:val="26"/>
        </w:numPr>
      </w:pPr>
      <w:r>
        <w:rPr>
          <w:b/>
        </w:rPr>
        <w:t>Falta una definición operativa:</w:t>
      </w:r>
      <w:r>
        <w:t xml:space="preserve"> no se fija la ventana temporal (6 o 12 meses), el umbral de "accelerated loss" de FEV1 (mL/año) ni el "threshold value" de síntomas (¿CAAT &lt;10?, ¿mMRC &lt;2?).</w:t>
      </w:r>
    </w:p>
    <w:p>
      <w:pPr>
        <w:pStyle w:val="ListNumber"/>
        <w:numPr>
          <w:ilvl w:val="0"/>
          <w:numId w:val="26"/>
        </w:numPr>
      </w:pPr>
      <w:r>
        <w:rPr>
          <w:b/>
        </w:rPr>
        <w:t>El seguimiento propuesto no basta:</w:t>
      </w:r>
      <w:r>
        <w:t xml:space="preserve"> la espirometría anual (PDF 74) no es suficiente para detectar una pérdida acelerada, dada la variabilidad intraindividual. En ECLIPSE hicieron falta ≥3 años de mediciones seriadas para estimar pendientes individuales.</w:t>
      </w:r>
    </w:p>
    <w:p>
      <w:pPr>
        <w:pStyle w:val="ListNumber"/>
        <w:numPr>
          <w:ilvl w:val="0"/>
          <w:numId w:val="26"/>
        </w:numPr>
      </w:pPr>
      <w:r>
        <w:rPr>
          <w:b/>
        </w:rPr>
        <w:t>Se mezclan planos conceptuales:</w:t>
      </w:r>
      <w:r>
        <w:t xml:space="preserve"> procesos biológicos ("biological pathways") con indicadores clínicos. Además, se atribuye a la reducción de volumen pulmonar una reducción de la "disease activity", cuando su efecto es mecánico.</w:t>
      </w:r>
    </w:p>
    <w:p>
      <w:pPr>
        <w:pStyle w:val="ListNumber"/>
        <w:numPr>
          <w:ilvl w:val="0"/>
          <w:numId w:val="26"/>
        </w:numPr>
      </w:pPr>
      <w:r>
        <w:rPr>
          <w:b/>
        </w:rPr>
        <w:t>Falta evidencia de modificación estructural:</w:t>
      </w:r>
      <w:r>
        <w:t xml:space="preserve"> ningún antiinflamatorio ha demostrado prevenir el daño estructural o la progresión del enfisema en la EPOC (ISOLDE, EUROSCOP, TORCH post hoc).</w:t>
      </w:r>
    </w:p>
    <w:p>
      <w:pPr>
        <w:pStyle w:val="ListBullet"/>
      </w:pPr>
      <w:r>
        <w:rPr>
          <w:b/>
        </w:rPr>
        <w:t>Evidencia/justificación:</w:t>
      </w:r>
      <w:r>
        <w:t xml:space="preserve"> Vestbo J et al., NEJM 2011;365:1184-92 (ECLIPSE: heterogeneidad del declive del FEV1 y necesidad de mediciones repetidas).</w:t>
      </w:r>
    </w:p>
    <w:p>
      <w:pPr>
        <w:pStyle w:val="ListBullet"/>
      </w:pPr>
      <w:r>
        <w:rPr>
          <w:b/>
        </w:rPr>
        <w:t>Recomendación:</w:t>
      </w:r>
      <w:r>
        <w:t xml:space="preserve"> definir "baja actividad", "estabilidad" y "control" con criterios medibles. Ejemplo:</w:t>
      </w:r>
    </w:p>
    <w:p>
      <w:pPr>
        <w:pStyle w:val="ListBullet2"/>
      </w:pPr>
      <w:r>
        <w:t>0 exacerbaciones moderadas o graves en 12 meses.</w:t>
      </w:r>
    </w:p>
    <w:p>
      <w:pPr>
        <w:pStyle w:val="ListBullet2"/>
      </w:pPr>
      <w:r>
        <w:t>Ausencia de empeoramiento del CAAT ≥2 puntos (diferencia mínima clínicamente importante).</w:t>
      </w:r>
    </w:p>
    <w:p>
      <w:pPr>
        <w:pStyle w:val="ListBullet2"/>
      </w:pPr>
      <w:r>
        <w:t>Declive del FEV1 &lt;40 mL/año estimado con ≥3 espirometrías.</w:t>
      </w:r>
    </w:p>
    <w:p>
      <w:pPr>
        <w:pStyle w:val="ListBullet2"/>
      </w:pPr>
      <w:r>
        <w:t>Para "control", además, CAAT &lt;10 o mMRC &lt;2.</w:t>
      </w:r>
    </w:p>
    <w:p>
      <w:pPr>
        <w:pStyle w:val="ListBullet2"/>
      </w:pPr>
      <w:r>
        <w:t>Rebajar "prevent organ damage" a hipótesis.</w:t>
      </w:r>
    </w:p>
    <w:p>
      <w:pPr>
        <w:pStyle w:val="ListBullet"/>
      </w:pPr>
      <w:r>
        <w:rPr>
          <w:b/>
        </w:rPr>
        <w:t>Confianza:</w:t>
      </w:r>
      <w:r>
        <w:t xml:space="preserve"> 4/5</w:t>
      </w:r>
    </w:p>
    <w:p>
      <w:pPr>
        <w:pStyle w:val="Heading4"/>
      </w:pPr>
      <w:r>
        <w:t>FARM-17 · Rehabilitación pulmonar "in severe patients" en la revisión del seguimiento</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74 / impr. 63 vs PDF 61 / impr. 50 (key points) y PDF 85 / impr. 74</w:t>
      </w:r>
    </w:p>
    <w:p>
      <w:pPr>
        <w:pStyle w:val="ListBullet"/>
      </w:pPr>
      <w:r>
        <w:rPr>
          <w:b/>
        </w:rPr>
        <w:t>Cita:</w:t>
      </w:r>
      <w:r>
        <w:t xml:space="preserve"> "Physical activity should be encouraged and referral for pulmonary rehabilitation considered in severe patients."</w:t>
      </w:r>
    </w:p>
    <w:p>
      <w:pPr>
        <w:pStyle w:val="ListBullet"/>
      </w:pPr>
      <w:r>
        <w:rPr>
          <w:b/>
        </w:rPr>
        <w:t>Problema:</w:t>
      </w:r>
      <w:r>
        <w:t xml:space="preserve"> restringe la derivación a los pacientes "graves", en contradicción con:</w:t>
      </w:r>
    </w:p>
    <w:p>
      <w:pPr>
        <w:pStyle w:val="ListBullet2"/>
      </w:pPr>
      <w:r>
        <w:t>Key points: beneficio "across all grades of COPD severity".</w:t>
      </w:r>
    </w:p>
    <w:p>
      <w:pPr>
        <w:pStyle w:val="ListBullet2"/>
      </w:pPr>
      <w:r>
        <w:t>PDF 85: indicada en los grupos B y E.</w:t>
      </w:r>
    </w:p>
    <w:p>
      <w:pPr>
        <w:pStyle w:val="ListBullet2"/>
      </w:pPr>
      <w:r>
        <w:t>La Fig 3.9, que propone "implement or escalate non-pharmacological treatment(s)" ante disnea persistente.</w:t>
      </w:r>
    </w:p>
    <w:p>
      <w:r>
        <w:t>Esta restricción favorece la infrautilización de una intervención con evidencia A.</w:t>
      </w:r>
    </w:p>
    <w:p>
      <w:pPr>
        <w:pStyle w:val="ListBullet"/>
      </w:pPr>
      <w:r>
        <w:rPr>
          <w:b/>
        </w:rPr>
        <w:t>Evidencia/justificación:</w:t>
      </w:r>
      <w:r>
        <w:t xml:space="preserve"> propio documento (PDF 61 y 85); Cochrane McCarthy 2015 (CD003793).</w:t>
      </w:r>
    </w:p>
    <w:p>
      <w:pPr>
        <w:pStyle w:val="ListBullet"/>
      </w:pPr>
      <w:r>
        <w:rPr>
          <w:b/>
        </w:rPr>
        <w:t>Recomendación:</w:t>
      </w:r>
      <w:r>
        <w:t xml:space="preserve"> "considerar la derivación a rehabilitación en todo paciente con disnea relevante (grupo B) o tras una exacerbación (grupo E), con independencia del FEV1".</w:t>
      </w:r>
    </w:p>
    <w:p>
      <w:pPr>
        <w:pStyle w:val="ListBullet"/>
      </w:pPr>
      <w:r>
        <w:rPr>
          <w:b/>
        </w:rPr>
        <w:t>Confianza:</w:t>
      </w:r>
      <w:r>
        <w:t xml:space="preserve"> 5/5</w:t>
      </w:r>
    </w:p>
    <w:p>
      <w:pPr>
        <w:pStyle w:val="Heading4"/>
      </w:pPr>
      <w:r>
        <w:t>FARM-20 · Fig A3.1: nombres, presentaciones y omisiones con posible impacto en la prescripción</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Error factual / Omisión</w:t>
      </w:r>
    </w:p>
    <w:p>
      <w:pPr>
        <w:pStyle w:val="ListBullet"/>
      </w:pPr>
      <w:r>
        <w:rPr>
          <w:b/>
        </w:rPr>
        <w:t>Severidad:</w:t>
      </w:r>
      <w:r>
        <w:t xml:space="preserve"> MEDIA</w:t>
      </w:r>
    </w:p>
    <w:p>
      <w:pPr>
        <w:pStyle w:val="ListBullet"/>
      </w:pPr>
      <w:r>
        <w:rPr>
          <w:b/>
        </w:rPr>
        <w:t>Ubicación:</w:t>
      </w:r>
      <w:r>
        <w:t xml:space="preserve"> PDF 156 / impr. 145 (Fig A3.1, "Maintenance Medications in COPD"); remitida desde el cap. 3 (PDF 78, 81)</w:t>
      </w:r>
    </w:p>
    <w:p>
      <w:pPr>
        <w:pStyle w:val="ListBullet"/>
      </w:pPr>
      <w:r>
        <w:rPr>
          <w:b/>
        </w:rPr>
        <w:t>Cita:</w:t>
      </w:r>
      <w:r>
        <w:t xml:space="preserve"> "Fluticasone/umeclidinium/vilanterol"; "Formoterol/mometasone — MDI"; "Glycopyrronium bromide… solution".</w:t>
      </w:r>
    </w:p>
    <w:p>
      <w:pPr>
        <w:pStyle w:val="ListBullet"/>
      </w:pPr>
      <w:r>
        <w:rPr>
          <w:b/>
        </w:rPr>
        <w:t>Problema:</w:t>
      </w:r>
    </w:p>
    <w:p>
      <w:pPr>
        <w:pStyle w:val="ListBullet2"/>
      </w:pPr>
      <w:r>
        <w:rPr>
          <w:b/>
        </w:rPr>
        <w:t>Nomenclatura:</w:t>
      </w:r>
      <w:r>
        <w:t xml:space="preserve"> "Fluticasone" en la triple terapia sin "furoate", cuando en la misma tabla sí se distingue "fluticasone propionate" o "furoate" en LABA+ICS. Puede confundirse con el propionato, que tiene otra dosis.</w:t>
      </w:r>
    </w:p>
    <w:p>
      <w:pPr>
        <w:pStyle w:val="ListBullet2"/>
      </w:pPr>
      <w:r>
        <w:rPr>
          <w:b/>
        </w:rPr>
        <w:t>Indicaciones:</w:t>
      </w:r>
      <w:r>
        <w:t xml:space="preserve"> formoterol/mometasona aparece entre los fármacos de EPOC aunque, en la mayoría de jurisdicciones (FDA, EMA), solo está autorizado para asma.</w:t>
      </w:r>
    </w:p>
    <w:p>
      <w:pPr>
        <w:pStyle w:val="ListBullet2"/>
      </w:pPr>
      <w:r>
        <w:rPr>
          <w:b/>
        </w:rPr>
        <w:t>Presentaciones:</w:t>
      </w:r>
      <w:r>
        <w:t xml:space="preserve"> el glicopirronio en "solution" (oral o inyectable) no tiene uso en EPOC. A fenoterol/ipratropio le falta la presentación MDI. No figura formoterol MDI.</w:t>
      </w:r>
    </w:p>
    <w:p>
      <w:pPr>
        <w:pStyle w:val="ListBullet2"/>
      </w:pPr>
      <w:r>
        <w:rPr>
          <w:b/>
        </w:rPr>
        <w:t>Ausencia de los macrólidos de mantenimiento</w:t>
      </w:r>
      <w:r>
        <w:t xml:space="preserve"> (azitromicina y eritromicina), a pesar de estar en las Figs 3.9 y 4.11.</w:t>
      </w:r>
    </w:p>
    <w:p>
      <w:pPr>
        <w:pStyle w:val="ListBullet2"/>
      </w:pPr>
      <w:r>
        <w:rPr>
          <w:b/>
        </w:rPr>
        <w:t>Sin dosis:</w:t>
      </w:r>
      <w:r>
        <w:t xml:space="preserve"> p. ej., roflumilast 500 µg/día con posible inicio a 250 µg durante 4 semanas.</w:t>
      </w:r>
    </w:p>
    <w:p>
      <w:pPr>
        <w:pStyle w:val="ListBullet"/>
      </w:pPr>
      <w:r>
        <w:rPr>
          <w:b/>
        </w:rPr>
        <w:t>Evidencia/justificación:</w:t>
      </w:r>
    </w:p>
    <w:p>
      <w:pPr>
        <w:pStyle w:val="ListBullet2"/>
      </w:pPr>
      <w:r>
        <w:t xml:space="preserve">Fichas técnicas FDA/EMA (Trelegy Ellipta: fluticasone </w:t>
      </w:r>
      <w:r>
        <w:rPr>
          <w:i/>
        </w:rPr>
        <w:t>furoate</w:t>
      </w:r>
      <w:r>
        <w:t>; Dulera/Zenhale: indicación de asma).</w:t>
      </w:r>
    </w:p>
    <w:p>
      <w:pPr>
        <w:pStyle w:val="ListBullet2"/>
      </w:pPr>
      <w:r>
        <w:t>Ficha técnica de Daxas (pauta de inicio con 250 µg).</w:t>
      </w:r>
    </w:p>
    <w:p>
      <w:pPr>
        <w:pStyle w:val="ListBullet"/>
      </w:pPr>
      <w:r>
        <w:rPr>
          <w:b/>
        </w:rPr>
        <w:t>Recomendación:</w:t>
      </w:r>
    </w:p>
    <w:p>
      <w:pPr>
        <w:pStyle w:val="ListBullet2"/>
      </w:pPr>
      <w:r>
        <w:t>Nombrar los ICS por su sal o éster en toda la tabla.</w:t>
      </w:r>
    </w:p>
    <w:p>
      <w:pPr>
        <w:pStyle w:val="ListBullet2"/>
      </w:pPr>
      <w:r>
        <w:t>Retirar o marcar las combinaciones sin indicación en EPOC y las formulaciones no respiratorias.</w:t>
      </w:r>
    </w:p>
    <w:p>
      <w:pPr>
        <w:pStyle w:val="ListBullet2"/>
      </w:pPr>
      <w:r>
        <w:t>Añadir los macrólidos y una columna de dosis habituales.</w:t>
      </w:r>
    </w:p>
    <w:p>
      <w:pPr>
        <w:pStyle w:val="ListBullet"/>
      </w:pPr>
      <w:r>
        <w:rPr>
          <w:b/>
        </w:rPr>
        <w:t>Confianza:</w:t>
      </w:r>
      <w:r>
        <w:t xml:space="preserve"> 4/5</w:t>
      </w:r>
    </w:p>
    <w:p>
      <w:pPr>
        <w:pStyle w:val="Heading4"/>
      </w:pPr>
      <w:r>
        <w:t>NOV-07 · Escalada desde monoterapia: la Fig. 3.9 permite pasar directamente a triple si eos ≥300, el texto no</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p>
    <w:p>
      <w:pPr>
        <w:pStyle w:val="ListBullet2"/>
      </w:pPr>
      <w:r>
        <w:t>PDF 74 / impr. 63 — Fig. 3.9, rama de exacerbaciones.</w:t>
      </w:r>
    </w:p>
    <w:p>
      <w:pPr>
        <w:pStyle w:val="ListBullet2"/>
      </w:pPr>
      <w:r>
        <w:t>PDF 77 / impr. 66 — texto.</w:t>
      </w:r>
    </w:p>
    <w:p>
      <w:pPr>
        <w:pStyle w:val="ListBullet"/>
      </w:pPr>
      <w:r>
        <w:rPr>
          <w:b/>
        </w:rPr>
        <w:t>Cita:</w:t>
      </w:r>
      <w:r>
        <w:t xml:space="preserve"> Texto: "For patients who have an exacerbation on bronchodilator monotherapy, escalation to LABA+LAMA is recommended." Figura: flecha "LABA or LAMA → if blood eos ≥ 300 → LABA + LAMA + ICS".</w:t>
      </w:r>
    </w:p>
    <w:p>
      <w:pPr>
        <w:pStyle w:val="ListBullet"/>
      </w:pPr>
      <w:r>
        <w:rPr>
          <w:b/>
        </w:rPr>
        <w:t>Problema:</w:t>
      </w:r>
      <w:r>
        <w:t xml:space="preserve"> La figura ofrece dos caminos desde la monoterapia según los eosinófilos: &lt;300 lleva a LABA+LAMA y ≥300 lleva a la triple. El texto solo menciona LABA+LAMA. Además, la Fig. 3.9 utiliza el umbral de 300 para este paso, mientras el texto adyacente usa 100 para añadir ICS desde LABA+LAMA. Con esta ambigüedad, un clínico que siga el texto no consideraría ICS en un paciente con eos ≥300 que sufre exacerbaciones con monoterapia.</w:t>
      </w:r>
    </w:p>
    <w:p>
      <w:pPr>
        <w:pStyle w:val="ListBullet"/>
      </w:pPr>
      <w:r>
        <w:rPr>
          <w:b/>
        </w:rPr>
        <w:t>Evidencia/justificación:</w:t>
      </w:r>
      <w:r>
        <w:t xml:space="preserve"> Coherencia interna con la recomendación de tratamiento inicial del grupo E con eos ≥300 (PDF 76) y con IMPACT/ETHOS, donde el beneficio de ICS crece con los eosinófilos (ref. 467).</w:t>
      </w:r>
    </w:p>
    <w:p>
      <w:pPr>
        <w:pStyle w:val="ListBullet"/>
      </w:pPr>
      <w:r>
        <w:rPr>
          <w:b/>
        </w:rPr>
        <w:t>Recomendación:</w:t>
      </w:r>
      <w:r>
        <w:t xml:space="preserve"> Añadir al texto: "si eos ≥300 células/µL, considerar escalar directamente a LABA+LAMA+ICS".</w:t>
      </w:r>
    </w:p>
    <w:p>
      <w:pPr>
        <w:pStyle w:val="ListBullet"/>
      </w:pPr>
      <w:r>
        <w:rPr>
          <w:b/>
        </w:rPr>
        <w:t>Confianza:</w:t>
      </w:r>
      <w:r>
        <w:t xml:space="preserve"> 4/5</w:t>
      </w:r>
    </w:p>
    <w:p>
      <w:pPr>
        <w:pStyle w:val="Heading4"/>
      </w:pPr>
      <w:r>
        <w:t>NOV-14 · Roflumilast: criterios inconsistentes entre figura y texto, y posicionamiento según eosinófilos discutible</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 / Evidencia mal representada (el punto 2 es un punto debatible)</w:t>
      </w:r>
    </w:p>
    <w:p>
      <w:pPr>
        <w:pStyle w:val="ListBullet"/>
      </w:pPr>
      <w:r>
        <w:rPr>
          <w:b/>
        </w:rPr>
        <w:t>Severidad:</w:t>
      </w:r>
      <w:r>
        <w:t xml:space="preserve"> MEDIA</w:t>
      </w:r>
    </w:p>
    <w:p>
      <w:pPr>
        <w:pStyle w:val="ListBullet"/>
      </w:pPr>
      <w:r>
        <w:rPr>
          <w:b/>
        </w:rPr>
        <w:t>Ubicación:</w:t>
      </w:r>
    </w:p>
    <w:p>
      <w:pPr>
        <w:pStyle w:val="ListBullet2"/>
      </w:pPr>
      <w:r>
        <w:t>PDF 74 / impr. 63 — Fig. 3.9.</w:t>
      </w:r>
    </w:p>
    <w:p>
      <w:pPr>
        <w:pStyle w:val="ListBullet2"/>
      </w:pPr>
      <w:r>
        <w:t>PDF 77 / impr. 66 — texto.</w:t>
      </w:r>
    </w:p>
    <w:p>
      <w:pPr>
        <w:pStyle w:val="ListBullet2"/>
      </w:pPr>
      <w:r>
        <w:t>PDF 162 / impr. 151 — Apéndice 3.</w:t>
      </w:r>
    </w:p>
    <w:p>
      <w:pPr>
        <w:pStyle w:val="ListBullet"/>
      </w:pPr>
      <w:r>
        <w:rPr>
          <w:b/>
        </w:rPr>
        <w:t>Cita:</w:t>
      </w:r>
      <w:r>
        <w:t xml:space="preserve"> Fig. 3.9: "Roflumilast if FEV1 &lt; 50% &amp; chronic bronchitis"; texto: "…symptoms of chronic bronchitis and history of a prior exacerbation resulting in hospitalization, consider adding roflumilast" / "…history of prior severe exacerbation"</w:t>
      </w:r>
    </w:p>
    <w:p>
      <w:pPr>
        <w:pStyle w:val="ListBullet"/>
      </w:pPr>
      <w:r>
        <w:rPr>
          <w:b/>
        </w:rPr>
        <w:t>Problema:</w:t>
      </w:r>
    </w:p>
    <w:p>
      <w:pPr>
        <w:pStyle w:val="ListNumber"/>
        <w:numPr>
          <w:ilvl w:val="0"/>
          <w:numId w:val="27"/>
        </w:numPr>
      </w:pPr>
      <w:r>
        <w:rPr>
          <w:b/>
        </w:rPr>
        <w:t>Criterio de exacerbación:</w:t>
      </w:r>
      <w:r>
        <w:t xml:space="preserve"> la figura omite el antecedente de exacerbación grave u hospitalización, que el texto exige. Además, el texto usa dos redacciones distintas en dos viñetas consecutivas ("resulting in hospitalization" y "severe exacerbation").</w:t>
      </w:r>
    </w:p>
    <w:p>
      <w:pPr>
        <w:pStyle w:val="ListNumber"/>
        <w:numPr>
          <w:ilvl w:val="0"/>
          <w:numId w:val="27"/>
        </w:numPr>
      </w:pPr>
      <w:r>
        <w:rPr>
          <w:b/>
        </w:rPr>
        <w:t>Eosinófilos (punto debatible):</w:t>
      </w:r>
      <w:r>
        <w:t xml:space="preserve"> el algoritmo ofrece roflumilast sobre todo en la rama de eos &lt;100. Un análisis combinado de REACT y RE²SPOND mostró que el beneficio se concentraba en pacientes con eos ≥150 y era nulo con &lt;150. GOLD no lo menciona.</w:t>
      </w:r>
    </w:p>
    <w:p>
      <w:pPr>
        <w:pStyle w:val="ListNumber"/>
        <w:numPr>
          <w:ilvl w:val="0"/>
          <w:numId w:val="27"/>
        </w:numPr>
      </w:pPr>
      <w:r>
        <w:rPr>
          <w:b/>
        </w:rPr>
        <w:t>RE²SPOND:</w:t>
      </w:r>
      <w:r>
        <w:t xml:space="preserve"> la ref. 688 (RE²SPOND) no alcanzó su objetivo primario y se cita como apoyo sin matiz.</w:t>
      </w:r>
    </w:p>
    <w:p>
      <w:pPr>
        <w:pStyle w:val="ListBullet"/>
      </w:pPr>
      <w:r>
        <w:rPr>
          <w:b/>
        </w:rPr>
        <w:t>Evidencia/justificación:</w:t>
      </w:r>
    </w:p>
    <w:p>
      <w:pPr>
        <w:pStyle w:val="ListBullet2"/>
      </w:pPr>
      <w:r>
        <w:t>Martinez FJ et al., "Determinants of response to roflumilast in severe COPD", AJRCCM 2018;198:1268-78.</w:t>
      </w:r>
    </w:p>
    <w:p>
      <w:pPr>
        <w:pStyle w:val="ListBullet2"/>
      </w:pPr>
      <w:r>
        <w:t>REACT: Martinez, Lancet 2015 (ref. 687).</w:t>
      </w:r>
    </w:p>
    <w:p>
      <w:pPr>
        <w:pStyle w:val="ListBullet2"/>
      </w:pPr>
      <w:r>
        <w:t>RE²SPOND: Martinez, AJRCCM 2016 (ref. 688).</w:t>
      </w:r>
    </w:p>
    <w:p>
      <w:pPr>
        <w:pStyle w:val="ListBullet"/>
      </w:pPr>
      <w:r>
        <w:rPr>
          <w:b/>
        </w:rPr>
        <w:t>Recomendación:</w:t>
      </w:r>
    </w:p>
    <w:p>
      <w:pPr>
        <w:pStyle w:val="ListBullet2"/>
      </w:pPr>
      <w:r>
        <w:t>Unificar el criterio ("FEV1 &lt;50 %, bronquitis crónica y ≥1 hospitalización por exacerbación en el año previo") en la figura y en ambas viñetas.</w:t>
      </w:r>
    </w:p>
    <w:p>
      <w:pPr>
        <w:pStyle w:val="ListBullet2"/>
      </w:pPr>
      <w:r>
        <w:t>Añadir una nota sobre la menor respuesta con eosinófilos bajos y la naturaleza post hoc de esa observación.</w:t>
      </w:r>
    </w:p>
    <w:p>
      <w:pPr>
        <w:pStyle w:val="ListBullet"/>
      </w:pPr>
      <w:r>
        <w:rPr>
          <w:b/>
        </w:rPr>
        <w:t>Confianza:</w:t>
      </w:r>
      <w:r>
        <w:t xml:space="preserve"> 3/5</w:t>
      </w:r>
    </w:p>
    <w:p>
      <w:pPr>
        <w:pStyle w:val="Heading4"/>
      </w:pPr>
      <w:r>
        <w:t>INT-11 · Reducción de mortalidad con triple terapia: presentada como un hecho y con criterios de inclusión mal descritos</w:t>
      </w:r>
    </w:p>
    <w:p>
      <w:r>
        <w:rPr>
          <w:i/>
        </w:rPr>
        <w:t xml:space="preserve">Severidad final: </w:t>
      </w:r>
      <w:r>
        <w:rPr>
          <w:i/>
          <w:color w:val="FFC000"/>
        </w:rPr>
        <w:t>🟡</w:t>
      </w:r>
      <w:r>
        <w:rPr>
          <w:i/>
        </w:rPr>
        <w:t xml:space="preserve"> MEDIA · Tema T08: Terapia triple y mortalidad</w:t>
      </w:r>
    </w:p>
    <w:p>
      <w:pPr>
        <w:pStyle w:val="IntenseQuote"/>
      </w:pPr>
      <w:r>
        <w:rPr>
          <w:b/>
        </w:rPr>
        <w:t>Verificación independiente (CONFIRMADO PARCIAL):</w:t>
      </w:r>
      <w:r>
        <w:t xml:space="preserve"> 1. Presentar el efecto sobre la mortalidad como señal procedente de objetivos secundarios o análisis adicionales, no como efecto establecido. 2. En la Fig. 3.19, especificar "BGF 320 µg vs LAMA/LABA" y "vs ICS/LABA no significativo", y añadir que BGF 160 no fue significativo. 3. Mencionar el debate sobre la retirada de ICS. 4. Corregir los criterios de inclusión.</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92 / impr. 81 — «Pharmacological therapy»; PDF 91 / impr. 80 — Fig. 3.19; PDF 162 / impr. 151 — Apéndice 3</w:t>
      </w:r>
    </w:p>
    <w:p>
      <w:pPr>
        <w:pStyle w:val="ListBullet"/>
      </w:pPr>
      <w:r>
        <w:rPr>
          <w:b/>
        </w:rPr>
        <w:t>Cita:</w:t>
      </w:r>
      <w:r>
        <w:t xml:space="preserve"> "fixed-dose inhaled triple combinations (LABA+LAMA+ICS) reduce all-cause mortality compared to dual inhaled LABD therapy" / "enriched for symptomatic patients (CAAT™ ≥ 10) with a history of frequent (≥ 2 moderate exacerbations) and/or severe exacerbations"</w:t>
      </w:r>
    </w:p>
    <w:p>
      <w:pPr>
        <w:pStyle w:val="ListBullet"/>
      </w:pPr>
      <w:r>
        <w:rPr>
          <w:b/>
        </w:rPr>
        <w:t>Problema:</w:t>
      </w:r>
    </w:p>
    <w:p>
      <w:pPr>
        <w:pStyle w:val="ListNumber"/>
        <w:numPr>
          <w:ilvl w:val="0"/>
          <w:numId w:val="28"/>
        </w:numPr>
      </w:pPr>
      <w:r>
        <w:rPr>
          <w:b/>
        </w:rPr>
        <w:t>La mortalidad fue un desenlace secundario</w:t>
      </w:r>
      <w:r>
        <w:t xml:space="preserve"> con análisis adicionales de estado vital, no el primario. En ETHOS el efecto solo fue significativo con </w:t>
      </w:r>
      <w:r>
        <w:rPr>
          <w:b/>
        </w:rPr>
        <w:t>budesonida 320 µg</w:t>
      </w:r>
      <w:r>
        <w:t xml:space="preserve"> (HR 0,51); con 160 µg no lo fue (HR ≈ 0,79, IC 0,52-1,20), y la figura y el texto no lo dicen. En IMPACT, el efecto se observó frente a UMEC/VI, no frente a FF/VI, y existe el debate sobre el efecto de la retirada de ICS en los primeros meses.</w:t>
      </w:r>
    </w:p>
    <w:p>
      <w:pPr>
        <w:pStyle w:val="ListNumber"/>
        <w:numPr>
          <w:ilvl w:val="0"/>
          <w:numId w:val="28"/>
        </w:numPr>
      </w:pPr>
      <w:r>
        <w:rPr>
          <w:b/>
        </w:rPr>
        <w:t>Los criterios de inclusión están mal descritos.</w:t>
      </w:r>
      <w:r>
        <w:t xml:space="preserve"> IMPACT y ETHOS también admitían pacientes con FEV1 &lt; 50 % y una sola exacerbación moderada.</w:t>
      </w:r>
    </w:p>
    <w:p>
      <w:pPr>
        <w:pStyle w:val="ListNumber"/>
        <w:numPr>
          <w:ilvl w:val="0"/>
          <w:numId w:val="28"/>
        </w:numPr>
      </w:pPr>
      <w:r>
        <w:rPr>
          <w:b/>
        </w:rPr>
        <w:t>Tono distinto entre secciones.</w:t>
      </w:r>
      <w:r>
        <w:t xml:space="preserve"> El Apéndice 3 habla de «non-significant trend» en un análisis agrupado y de «new evidence on mortality reduction».</w:t>
      </w:r>
    </w:p>
    <w:p>
      <w:pPr>
        <w:pStyle w:val="ListNumber"/>
        <w:numPr>
          <w:ilvl w:val="0"/>
          <w:numId w:val="28"/>
        </w:numPr>
      </w:pPr>
      <w:r>
        <w:rPr>
          <w:b/>
        </w:rPr>
        <w:t>Citas distintas.</w:t>
      </w:r>
      <w:r>
        <w:t xml:space="preserve"> El texto cita los artículos primarios (refs. 467/492), mientras que la Fig. 3.19 usa los reanálisis (Lipson 2020; Martinez 2021) sin que estos figuren en las referencias del texto.</w:t>
      </w:r>
    </w:p>
    <w:p>
      <w:pPr>
        <w:pStyle w:val="ListBullet"/>
      </w:pPr>
      <w:r>
        <w:rPr>
          <w:b/>
        </w:rPr>
        <w:t>Evidencia/justificación:</w:t>
      </w:r>
    </w:p>
    <w:p>
      <w:pPr>
        <w:pStyle w:val="ListBullet2"/>
      </w:pPr>
      <w:r>
        <w:t xml:space="preserve">Lipson DA et al., </w:t>
      </w:r>
      <w:r>
        <w:rPr>
          <w:i/>
        </w:rPr>
        <w:t>AJRCCM</w:t>
      </w:r>
      <w:r>
        <w:t xml:space="preserve"> 2020;201:1508-16.</w:t>
      </w:r>
    </w:p>
    <w:p>
      <w:pPr>
        <w:pStyle w:val="ListBullet2"/>
      </w:pPr>
      <w:r>
        <w:t xml:space="preserve">Martinez FJ et al., </w:t>
      </w:r>
      <w:r>
        <w:rPr>
          <w:i/>
        </w:rPr>
        <w:t>AJRCCM</w:t>
      </w:r>
      <w:r>
        <w:t xml:space="preserve"> 2021;203:553-64.</w:t>
      </w:r>
    </w:p>
    <w:p>
      <w:pPr>
        <w:pStyle w:val="ListBullet2"/>
      </w:pPr>
      <w:r>
        <w:t xml:space="preserve">Suissa S, Ariel A, </w:t>
      </w:r>
      <w:r>
        <w:rPr>
          <w:i/>
        </w:rPr>
        <w:t>Eur Respir J</w:t>
      </w:r>
      <w:r>
        <w:t xml:space="preserve"> 2018;52:1801848, sobre el sesgo por retirada de ICS (conf. 4 en la paginación).</w:t>
      </w:r>
    </w:p>
    <w:p>
      <w:pPr>
        <w:pStyle w:val="ListBullet"/>
      </w:pPr>
      <w:r>
        <w:rPr>
          <w:b/>
        </w:rPr>
        <w:t>Recomendación:</w:t>
      </w:r>
    </w:p>
    <w:p>
      <w:pPr>
        <w:pStyle w:val="ListBullet2"/>
      </w:pPr>
      <w:r>
        <w:t>Reformular: «Análisis prespecificados de desenlaces secundarios de IMPACT y ETHOS (solo con budesonida 320 µg) mostraron menor mortalidad por cualquier causa con triple terapia frente a LAMA+LABA».</w:t>
      </w:r>
    </w:p>
    <w:p>
      <w:pPr>
        <w:pStyle w:val="ListBullet2"/>
      </w:pPr>
      <w:r>
        <w:t>Corregir los criterios de inclusión, citar los reanálisis en el texto y armonizarlo con el Apéndice 3.</w:t>
      </w:r>
    </w:p>
    <w:p>
      <w:pPr>
        <w:pStyle w:val="ListBullet"/>
      </w:pPr>
      <w:r>
        <w:rPr>
          <w:b/>
        </w:rPr>
        <w:t>Confianza:</w:t>
      </w:r>
      <w:r>
        <w:t xml:space="preserve"> 4/5</w:t>
      </w:r>
    </w:p>
    <w:p>
      <w:pPr>
        <w:pStyle w:val="Heading4"/>
      </w:pPr>
      <w:r>
        <w:t>NOV-17 · Terapia triple tras hospitalización: afirmación causal apoyada en estudios observacionales y un póster</w:t>
      </w:r>
    </w:p>
    <w:p>
      <w:r>
        <w:rPr>
          <w:i/>
        </w:rPr>
        <w:t xml:space="preserve">Severidad final: </w:t>
      </w:r>
      <w:r>
        <w:rPr>
          <w:i/>
          <w:color w:val="FFC000"/>
        </w:rPr>
        <w:t>🟡</w:t>
      </w:r>
      <w:r>
        <w:rPr>
          <w:i/>
        </w:rPr>
        <w:t xml:space="preserve"> MEDIA · Tema T08: Terapia triple y mortalidad</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121 / impr. 110 — cap. 4, "Prevention of further exacerbations".</w:t>
      </w:r>
    </w:p>
    <w:p>
      <w:pPr>
        <w:pStyle w:val="ListBullet"/>
      </w:pPr>
      <w:r>
        <w:rPr>
          <w:b/>
        </w:rPr>
        <w:t>Cita:</w:t>
      </w:r>
      <w:r>
        <w:t xml:space="preserve"> "The use of a LABA+LAMA+ICS fixed combination following hospitalization showed a significant reduction in first moderate or severe COPD exacerbation and in the rate of re-hospitalizations.(1103,1104,1117)"</w:t>
      </w:r>
    </w:p>
    <w:p>
      <w:pPr>
        <w:pStyle w:val="ListBullet"/>
      </w:pPr>
      <w:r>
        <w:rPr>
          <w:b/>
        </w:rPr>
        <w:t>Problema:</w:t>
      </w:r>
    </w:p>
    <w:p>
      <w:pPr>
        <w:pStyle w:val="ListBullet2"/>
      </w:pPr>
      <w:r>
        <w:t>Las referencias son estudios retrospectivos de bases de datos de reclamaciones (Mannino 2022; EROS, Strange 2023) y un póster de congreso (ref. 1117), con riesgo de sesgo de indicación y de tiempo inmortal.</w:t>
      </w:r>
    </w:p>
    <w:p>
      <w:pPr>
        <w:pStyle w:val="ListBullet2"/>
      </w:pPr>
      <w:r>
        <w:t>La redacción ("showed a significant reduction") no lo indica y sugiere un efecto causal.</w:t>
      </w:r>
    </w:p>
    <w:p>
      <w:pPr>
        <w:pStyle w:val="ListBullet2"/>
      </w:pPr>
      <w:r>
        <w:t>La ref. 1116 (Drummond 2008, metaanálisis de ICS en EPOC estable) se cita en el mismo bloque como apoyo de la prevención tras exacerbación.</w:t>
      </w:r>
    </w:p>
    <w:p>
      <w:pPr>
        <w:pStyle w:val="ListBullet2"/>
      </w:pPr>
      <w:r>
        <w:t>No hay ECA de inicio de terapia triple tras el alta.</w:t>
      </w:r>
    </w:p>
    <w:p>
      <w:pPr>
        <w:pStyle w:val="ListBullet"/>
      </w:pPr>
      <w:r>
        <w:rPr>
          <w:b/>
        </w:rPr>
        <w:t>Evidencia/justificación:</w:t>
      </w:r>
      <w:r>
        <w:t xml:space="preserve"> GOLD, refs. 1103, 1104, 1116 y 1117 (comprobadas en la lista de referencias).</w:t>
      </w:r>
    </w:p>
    <w:p>
      <w:pPr>
        <w:pStyle w:val="ListBullet"/>
      </w:pPr>
      <w:r>
        <w:rPr>
          <w:b/>
        </w:rPr>
        <w:t>Recomendación:</w:t>
      </w:r>
      <w:r>
        <w:t xml:space="preserve"> Reformular como "estudios observacionales sugieren…" con Evidencia C. Indicar que la decisión debe seguir el algoritmo de la Fig. 3.9 (eosinófilos, tratamiento previo) y no un inicio sistemático de triple al alta.</w:t>
      </w:r>
    </w:p>
    <w:p>
      <w:pPr>
        <w:pStyle w:val="ListBullet"/>
      </w:pPr>
      <w:r>
        <w:rPr>
          <w:b/>
        </w:rPr>
        <w:t>Confianza:</w:t>
      </w:r>
      <w:r>
        <w:t xml:space="preserve"> 4/5</w:t>
      </w:r>
    </w:p>
    <w:p>
      <w:pPr>
        <w:pStyle w:val="Heading4"/>
      </w:pPr>
      <w:r>
        <w:t>FARM-14 · Fig 3.11 (biológicos): datos mal etiquetados y contradicción con el Apéndice 3</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 / Incongruencia interna</w:t>
      </w:r>
    </w:p>
    <w:p>
      <w:pPr>
        <w:pStyle w:val="ListBullet"/>
      </w:pPr>
      <w:r>
        <w:rPr>
          <w:b/>
        </w:rPr>
        <w:t>Severidad:</w:t>
      </w:r>
      <w:r>
        <w:t xml:space="preserve"> MEDIA</w:t>
      </w:r>
    </w:p>
    <w:p>
      <w:pPr>
        <w:pStyle w:val="ListBullet"/>
      </w:pPr>
      <w:r>
        <w:rPr>
          <w:b/>
        </w:rPr>
        <w:t>Ubicación:</w:t>
      </w:r>
      <w:r>
        <w:t xml:space="preserve"> PDF 79 / impr. 68 (Fig 3.11) vs PDF 163 / impr. 152 (Apéndice 3)</w:t>
      </w:r>
    </w:p>
    <w:p>
      <w:pPr>
        <w:pStyle w:val="ListBullet"/>
      </w:pPr>
      <w:r>
        <w:rPr>
          <w:b/>
        </w:rPr>
        <w:t>Cita:</w:t>
      </w:r>
    </w:p>
    <w:p>
      <w:pPr>
        <w:pStyle w:val="ListBullet2"/>
      </w:pPr>
      <w:r>
        <w:t>Fig 3.11: "d: at 52 weeks"; BOREAS "83mL; P &lt; 0.001 (95% CI: 42, 125)"; "a: all studies recruited patients… while receiving inhaled triple therapy".</w:t>
      </w:r>
    </w:p>
    <w:p>
      <w:pPr>
        <w:pStyle w:val="ListBullet2"/>
      </w:pPr>
      <w:r>
        <w:t>Apéndice: "Across three phase III… trials… blood eosinophil count of ≥ 300 cells/μL who received mepolizumab".</w:t>
      </w:r>
    </w:p>
    <w:p>
      <w:pPr>
        <w:pStyle w:val="ListBullet"/>
      </w:pPr>
      <w:r>
        <w:rPr>
          <w:b/>
        </w:rPr>
        <w:t>Problema:</w:t>
      </w:r>
    </w:p>
    <w:p>
      <w:pPr>
        <w:pStyle w:val="ListBullet2"/>
      </w:pPr>
      <w:r>
        <w:t xml:space="preserve">El dato de BOREAS (83 mL, IC 42-125) corresponde a la </w:t>
      </w:r>
      <w:r>
        <w:rPr>
          <w:b/>
        </w:rPr>
        <w:t>semana 12</w:t>
      </w:r>
      <w:r>
        <w:t>, que es el criterio secundario clave, no a la semana 52. En NOTUS, en cambio, la figura muestra el de la semana 52 (62 mL; 11-113). Así, la misma columna mezcla dos momentos temporales.</w:t>
      </w:r>
    </w:p>
    <w:p>
      <w:pPr>
        <w:pStyle w:val="ListBullet2"/>
      </w:pPr>
      <w:r>
        <w:t>METREX figura con "n=836" (población total), pero el RR 0,82 (P=0,04) es de la subpoblación eosinofílica (~462). La nota "c" lo sugiere, pero no da el n.</w:t>
      </w:r>
    </w:p>
    <w:p>
      <w:pPr>
        <w:pStyle w:val="ListBullet2"/>
      </w:pPr>
      <w:r>
        <w:t>La nota "a" ("triple therapy") es inexacta para BOREAS/NOTUS, que admitían LABA+LAMA si el ICS estaba contraindicado.</w:t>
      </w:r>
    </w:p>
    <w:p>
      <w:pPr>
        <w:pStyle w:val="ListBullet2"/>
      </w:pPr>
      <w:r>
        <w:t>El Apéndice dice que los tres ensayos de mepolizumab exigían eos ≥300, mientras que la Fig 3.11 recoge correctamente ≥150 en el cribado o ≥300 el año previo (METREO/METREX), y ≥300 más ≥150 (MATINEE).</w:t>
      </w:r>
    </w:p>
    <w:p>
      <w:pPr>
        <w:pStyle w:val="ListBullet"/>
      </w:pPr>
      <w:r>
        <w:rPr>
          <w:b/>
        </w:rPr>
        <w:t>Evidencia/justificación:</w:t>
      </w:r>
    </w:p>
    <w:p>
      <w:pPr>
        <w:pStyle w:val="ListBullet2"/>
      </w:pPr>
      <w:r>
        <w:t>Bhatt SP et al., NEJM 2023;389:205-214 (BOREAS): diferencia en FEV1 pre-BD de 83 mL en la semana 12.</w:t>
      </w:r>
    </w:p>
    <w:p>
      <w:pPr>
        <w:pStyle w:val="ListBullet2"/>
      </w:pPr>
      <w:r>
        <w:t>Bhatt SP et al., NEJM 2024;390:2274-83 (NOTUS): 82 mL en la semana 12 y 62 mL en la semana 52.</w:t>
      </w:r>
    </w:p>
    <w:p>
      <w:pPr>
        <w:pStyle w:val="ListBullet2"/>
      </w:pPr>
      <w:r>
        <w:t>Pavord ID et al., NEJM 2017;377:1613-29.</w:t>
      </w:r>
    </w:p>
    <w:p>
      <w:pPr>
        <w:pStyle w:val="ListBullet2"/>
      </w:pPr>
      <w:r>
        <w:t>Sciurba FC et al., NEJM 2025;392:1710-20.</w:t>
      </w:r>
    </w:p>
    <w:p>
      <w:pPr>
        <w:pStyle w:val="ListBullet"/>
      </w:pPr>
      <w:r>
        <w:rPr>
          <w:b/>
        </w:rPr>
        <w:t>Recomendación:</w:t>
      </w:r>
    </w:p>
    <w:p>
      <w:pPr>
        <w:pStyle w:val="ListBullet2"/>
      </w:pPr>
      <w:r>
        <w:t>Mostrar el FEV1 en el mismo punto temporal para todos los ensayos, o señalar cada uno.</w:t>
      </w:r>
    </w:p>
    <w:p>
      <w:pPr>
        <w:pStyle w:val="ListBullet2"/>
      </w:pPr>
      <w:r>
        <w:t>Indicar el n de la subpoblación de METREX.</w:t>
      </w:r>
    </w:p>
    <w:p>
      <w:pPr>
        <w:pStyle w:val="ListBullet2"/>
      </w:pPr>
      <w:r>
        <w:t>Corregir la nota "a" y el texto del Apéndice sobre los criterios de eosinófilos.</w:t>
      </w:r>
    </w:p>
    <w:p>
      <w:pPr>
        <w:pStyle w:val="ListBullet"/>
      </w:pPr>
      <w:r>
        <w:rPr>
          <w:b/>
        </w:rPr>
        <w:t>Confianza:</w:t>
      </w:r>
      <w:r>
        <w:t xml:space="preserve"> 4/5</w:t>
      </w:r>
    </w:p>
    <w:p>
      <w:pPr>
        <w:pStyle w:val="Heading4"/>
      </w:pPr>
      <w:r>
        <w:t>FARM-15 · Ensifentrina tras LABA+LAMA: extrapolación sin ensayos en esa población</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1. En la Fig. 3.9 y en el texto, indicar que no hay datos de ensayos aleatorizados con LABA+LAMA de base. 2. Posicionarla como opción basada en extrapolación (evidencia D o "consenso"), o como alternativa al segundo broncodilatador cuando este no se tolera. 3. Añadir "if available" en la figura.</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74 / impr. 63 (Fig 3.9); PDF 77 / impr. 66 (texto); PDF 163 / impr. 152 (Apéndice 3)</w:t>
      </w:r>
    </w:p>
    <w:p>
      <w:pPr>
        <w:pStyle w:val="ListBullet"/>
      </w:pPr>
      <w:r>
        <w:rPr>
          <w:b/>
        </w:rPr>
        <w:t>Cita:</w:t>
      </w:r>
    </w:p>
    <w:p>
      <w:pPr>
        <w:pStyle w:val="ListBullet2"/>
      </w:pPr>
      <w:r>
        <w:t>Fig 3.9: "Consider adding ensifentrine" (tras LABA+LAMA en la rama de disnea).</w:t>
      </w:r>
    </w:p>
    <w:p>
      <w:pPr>
        <w:pStyle w:val="ListBullet2"/>
      </w:pPr>
      <w:r>
        <w:t>Apéndice: "the studies were not designed to assess the impact of ensifentrine on top of LABA+LAMA or LABA+LAMA+ICS".</w:t>
      </w:r>
    </w:p>
    <w:p>
      <w:pPr>
        <w:pStyle w:val="ListBullet"/>
      </w:pPr>
      <w:r>
        <w:rPr>
          <w:b/>
        </w:rPr>
        <w:t>Problema:</w:t>
      </w:r>
    </w:p>
    <w:p>
      <w:pPr>
        <w:pStyle w:val="ListBullet2"/>
      </w:pPr>
      <w:r>
        <w:t>El algoritmo sitúa la ensifentrina exactamente en el escenario donde no hay evidencia. En ENHANCE-1/2, el tratamiento de base permitido era LAMA o LABA, con o sin ICS, pero no LABA+LAMA.</w:t>
      </w:r>
    </w:p>
    <w:p>
      <w:pPr>
        <w:pStyle w:val="ListBullet2"/>
      </w:pPr>
      <w:r>
        <w:t>El texto dice "if available"; la figura, no.</w:t>
      </w:r>
    </w:p>
    <w:p>
      <w:pPr>
        <w:pStyle w:val="ListBullet2"/>
      </w:pPr>
      <w:r>
        <w:t>Nebulizada dos veces al día, conlleva una carga terapéutica y un coste que no se mencionan.</w:t>
      </w:r>
    </w:p>
    <w:p>
      <w:pPr>
        <w:pStyle w:val="ListBullet"/>
      </w:pPr>
      <w:r>
        <w:rPr>
          <w:b/>
        </w:rPr>
        <w:t>Evidencia/justificación:</w:t>
      </w:r>
      <w:r>
        <w:t xml:space="preserve"> Anzueto A et al., AJRCCM 2023;208:406-416 (ENHANCE-1/2).</w:t>
      </w:r>
    </w:p>
    <w:p>
      <w:pPr>
        <w:pStyle w:val="ListBullet"/>
      </w:pPr>
      <w:r>
        <w:rPr>
          <w:b/>
        </w:rPr>
        <w:t>Recomendación:</w:t>
      </w:r>
    </w:p>
    <w:p>
      <w:pPr>
        <w:pStyle w:val="ListBullet2"/>
      </w:pPr>
      <w:r>
        <w:t>Marcar en la figura "evidencia indirecta; no estudiada sobre LABA+LAMA; disponible solo en EE.UU." y añadir "if available".</w:t>
      </w:r>
    </w:p>
    <w:p>
      <w:pPr>
        <w:pStyle w:val="ListBullet2"/>
      </w:pPr>
      <w:r>
        <w:t>Valorar alternativas con evidencia en ese escenario: rehabilitación y revisión de técnica y adherencia.</w:t>
      </w:r>
    </w:p>
    <w:p>
      <w:pPr>
        <w:pStyle w:val="ListBullet"/>
      </w:pPr>
      <w:r>
        <w:rPr>
          <w:b/>
        </w:rPr>
        <w:t>Confianza:</w:t>
      </w:r>
      <w:r>
        <w:t xml:space="preserve"> 5/5</w:t>
      </w:r>
    </w:p>
    <w:p>
      <w:pPr>
        <w:pStyle w:val="Heading4"/>
      </w:pPr>
      <w:r>
        <w:t>MET-12 · Fig 3.11: el dato de FEV1 de BOREAS no corresponde a la semana 52 que indica la figura</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Fig 3.11 (PDF 79 / impr. 68)</w:t>
      </w:r>
    </w:p>
    <w:p>
      <w:pPr>
        <w:pStyle w:val="ListBullet"/>
      </w:pPr>
      <w:r>
        <w:rPr>
          <w:b/>
        </w:rPr>
        <w:t>Cita:</w:t>
      </w:r>
      <w:r>
        <w:t xml:space="preserve"> «Lung function improvement (pre-BD FEV1)d» … «83mL; P &lt; 0.001 (95% CI: 42, 125)» … «d: at 52 weeks»</w:t>
      </w:r>
    </w:p>
    <w:p>
      <w:pPr>
        <w:pStyle w:val="ListBullet"/>
      </w:pPr>
      <w:r>
        <w:rPr>
          <w:b/>
        </w:rPr>
        <w:t>Problema:</w:t>
      </w:r>
    </w:p>
    <w:p>
      <w:pPr>
        <w:pStyle w:val="ListBullet2"/>
      </w:pPr>
      <w:r>
        <w:t>El abstract de BOREAS (PMID 37272521) sitúa la diferencia de 83 ml (IC 95 %: 42-125) en la semana 12 («sustained through week 52»).</w:t>
      </w:r>
    </w:p>
    <w:p>
      <w:pPr>
        <w:pStyle w:val="ListBullet2"/>
      </w:pPr>
      <w:r>
        <w:t>En cambio, el dato de NOTUS (62 ml; IC 95 %: 11-113) sí es de la semana 52; su semana 12 fue de 82 ml.</w:t>
      </w:r>
    </w:p>
    <w:p>
      <w:pPr>
        <w:pStyle w:val="ListBullet2"/>
      </w:pPr>
      <w:r>
        <w:t>La columna compara así puntos temporales distintos bajo una nota común, lo que sobrestima el efecto de BOREAS a un año frente a NOTUS.</w:t>
      </w:r>
    </w:p>
    <w:p>
      <w:pPr>
        <w:pStyle w:val="ListBullet"/>
      </w:pPr>
      <w:r>
        <w:rPr>
          <w:b/>
        </w:rPr>
        <w:t>Evidencia/justificación:</w:t>
      </w:r>
      <w:r>
        <w:t xml:space="preserve"> Abstracts de PubMed de BOREAS y NOTUS (ref 681, PMID 38767614).</w:t>
      </w:r>
    </w:p>
    <w:p>
      <w:pPr>
        <w:pStyle w:val="ListBullet"/>
      </w:pPr>
      <w:r>
        <w:rPr>
          <w:b/>
        </w:rPr>
        <w:t>Recomendación:</w:t>
      </w:r>
      <w:r>
        <w:t xml:space="preserve"> Dar ambos ensayos en la semana 52, o indicar el punto temporal de cada celda.</w:t>
      </w:r>
    </w:p>
    <w:p>
      <w:pPr>
        <w:pStyle w:val="ListBullet"/>
      </w:pPr>
      <w:r>
        <w:rPr>
          <w:b/>
        </w:rPr>
        <w:t>Confianza:</w:t>
      </w:r>
      <w:r>
        <w:t xml:space="preserve"> 4</w:t>
      </w:r>
    </w:p>
    <w:p>
      <w:pPr>
        <w:pStyle w:val="Heading4"/>
      </w:pPr>
      <w:r>
        <w:t>NOV-02 · Nivel de evidencia "A" para mepolizumab y para la calidad de vida con dupilumab no se ajusta a la definición de GOLD</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 PARCIAL):</w:t>
      </w:r>
      <w:r>
        <w:t xml:space="preserve"> Dupilumab, calidad de vida: bajar a nivel B. Mepolizumab: el nivel A es defendible para "reduce exacerbaciones" solo con MATINEE como ensayo único de calidad. "With and without chronic bronchitis" procede de subgrupos, lo que corresponde a un nivel B.</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p>
    <w:p>
      <w:pPr>
        <w:pStyle w:val="ListBullet2"/>
      </w:pPr>
      <w:r>
        <w:t>PDF 160 / impr. 149 — Fig. A3.3, bloque "Biologics".</w:t>
      </w:r>
    </w:p>
    <w:p>
      <w:pPr>
        <w:pStyle w:val="ListBullet2"/>
      </w:pPr>
      <w:r>
        <w:t>PDF 163 / impr. 152 — texto sobre dupilumab.</w:t>
      </w:r>
    </w:p>
    <w:p>
      <w:pPr>
        <w:pStyle w:val="ListBullet2"/>
      </w:pPr>
      <w:r>
        <w:t>PDF 14 — Tabla A (niveles de evidencia).</w:t>
      </w:r>
    </w:p>
    <w:p>
      <w:pPr>
        <w:pStyle w:val="ListBullet"/>
      </w:pPr>
      <w:r>
        <w:rPr>
          <w:b/>
        </w:rPr>
        <w:t>Cita:</w:t>
      </w:r>
      <w:r>
        <w:t xml:space="preserve"> "Mepolizumab reduces exacerbations in patients with and without chronic bronchitis (Evidence A)"; "Dupilumab reduces exacerbations, improves lung function and quality of life in patients with chronic bronchitis (Evidence A)"</w:t>
      </w:r>
    </w:p>
    <w:p>
      <w:pPr>
        <w:pStyle w:val="ListBullet"/>
      </w:pPr>
      <w:r>
        <w:rPr>
          <w:b/>
        </w:rPr>
        <w:t>Problema:</w:t>
      </w:r>
    </w:p>
    <w:p>
      <w:pPr>
        <w:pStyle w:val="ListBullet2"/>
      </w:pPr>
      <w:r>
        <w:rPr>
          <w:b/>
        </w:rPr>
        <w:t>Mepolizumab:</w:t>
      </w:r>
      <w:r>
        <w:t xml:space="preserve"> la Tabla A reserva el nivel A para ensayos que aportan un patrón consistente de resultados. En mepolizumab, 1 de 3 ensayos fase III fue negativo y otro solo fue positivo en un estrato, lo que corresponde mejor a un nivel B ("resultados algo inconsistentes" o pocos ensayos).</w:t>
      </w:r>
    </w:p>
    <w:p>
      <w:pPr>
        <w:pStyle w:val="ListBullet2"/>
      </w:pPr>
      <w:r>
        <w:rPr>
          <w:b/>
        </w:rPr>
        <w:t>Dupilumab:</w:t>
      </w:r>
    </w:p>
    <w:p>
      <w:pPr>
        <w:pStyle w:val="ListBullet2"/>
      </w:pPr>
      <w:r>
        <w:rPr>
          <w:b/>
        </w:rPr>
        <w:t>BOREAS:</w:t>
      </w:r>
      <w:r>
        <w:t xml:space="preserve"> la mejora de calidad de vida fue estadísticamente significativa (SGRQ −3,4), pero inferior a la diferencia mínima clínicamente importante (4 unidades).</w:t>
      </w:r>
    </w:p>
    <w:p>
      <w:pPr>
        <w:pStyle w:val="ListBullet2"/>
      </w:pPr>
      <w:r>
        <w:rPr>
          <w:b/>
        </w:rPr>
        <w:t>NOTUS:</w:t>
      </w:r>
      <w:r>
        <w:t xml:space="preserve"> el SGRQ no se contrastó por la jerarquía (la Fig. 3.11 lo reconoce en la nota "e").</w:t>
      </w:r>
    </w:p>
    <w:p>
      <w:pPr>
        <w:pStyle w:val="ListBullet2"/>
      </w:pPr>
      <w:r>
        <w:rPr>
          <w:b/>
        </w:rPr>
        <w:t>Apéndice 3:</w:t>
      </w:r>
      <w:r>
        <w:t xml:space="preserve"> aun así, el texto afirma "improved health status" para ambos ensayos.</w:t>
      </w:r>
    </w:p>
    <w:p>
      <w:pPr>
        <w:pStyle w:val="ListBullet2"/>
      </w:pPr>
      <w:r>
        <w:rPr>
          <w:b/>
        </w:rPr>
        <w:t>Población:</w:t>
      </w:r>
      <w:r>
        <w:t xml:space="preserve"> la Fig. A3.3 dice "moderate to severe COPD", pero los ensayos de mepolizumab incluyeron FEV1 &gt;20 %, es decir, enfermedad muy grave, como recoge el propio texto ("GOLD 2-4").</w:t>
      </w:r>
    </w:p>
    <w:p>
      <w:pPr>
        <w:pStyle w:val="ListBullet"/>
      </w:pPr>
      <w:r>
        <w:rPr>
          <w:b/>
        </w:rPr>
        <w:t>Evidencia/justificación:</w:t>
      </w:r>
    </w:p>
    <w:p>
      <w:pPr>
        <w:pStyle w:val="ListBullet2"/>
      </w:pPr>
      <w:r>
        <w:t>BOREAS: Bhatt SP et al., NEJM 2023;389:205-14 (PMID 37272521).</w:t>
      </w:r>
    </w:p>
    <w:p>
      <w:pPr>
        <w:pStyle w:val="ListBullet2"/>
      </w:pPr>
      <w:r>
        <w:t>NOTUS: Bhatt SP et al., NEJM 2024;390:2274-83 (PMID 38767614).</w:t>
      </w:r>
    </w:p>
    <w:p>
      <w:pPr>
        <w:pStyle w:val="ListBullet2"/>
      </w:pPr>
      <w:r>
        <w:t>METREX/METREO y MATINEE: ver NOV-01.</w:t>
      </w:r>
    </w:p>
    <w:p>
      <w:pPr>
        <w:pStyle w:val="ListBullet2"/>
      </w:pPr>
      <w:r>
        <w:t>Diferencia mínima clínicamente importante del SGRQ: 4 unidades (Jones, COPD 2005).</w:t>
      </w:r>
    </w:p>
    <w:p>
      <w:pPr>
        <w:pStyle w:val="ListBullet"/>
      </w:pPr>
      <w:r>
        <w:rPr>
          <w:b/>
        </w:rPr>
        <w:t>Recomendación:</w:t>
      </w:r>
    </w:p>
    <w:p>
      <w:pPr>
        <w:pStyle w:val="ListBullet2"/>
      </w:pPr>
      <w:r>
        <w:t>Mepolizumab: reclasificar a Evidencia B, o mantener A solo para la población MATINEE, especificando "eos ≥300 en el cribado".</w:t>
      </w:r>
    </w:p>
    <w:p>
      <w:pPr>
        <w:pStyle w:val="ListBullet2"/>
      </w:pPr>
      <w:r>
        <w:t>Dupilumab: separar los resultados, con exacerbaciones y FEV1 como Evidencia A y la calidad de vida como Evidencia B ("mejora estadísticamente significativa por debajo de la diferencia mínima clínicamente importante en un ensayo, no contrastada en el otro").</w:t>
      </w:r>
    </w:p>
    <w:p>
      <w:pPr>
        <w:pStyle w:val="ListBullet2"/>
      </w:pPr>
      <w:r>
        <w:t>Población: sustituir "moderate to severe" por los rangos de FEV1 de los ensayos.</w:t>
      </w:r>
    </w:p>
    <w:p>
      <w:pPr>
        <w:pStyle w:val="ListBullet"/>
      </w:pPr>
      <w:r>
        <w:rPr>
          <w:b/>
        </w:rPr>
        <w:t>Confianza:</w:t>
      </w:r>
      <w:r>
        <w:t xml:space="preserve"> 4/5</w:t>
      </w:r>
    </w:p>
    <w:p>
      <w:pPr>
        <w:pStyle w:val="Heading4"/>
      </w:pPr>
      <w:r>
        <w:t>NOV-03 · Fig. 3.11: datos de METREX y de FEV1 de BOREAS no corresponden a las poblaciones o momentos indicados</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79 / impr. 68 — Fig. 3.11, "Evidence Supporting Use of Biologics in the Treatment of COPD".</w:t>
      </w:r>
    </w:p>
    <w:p>
      <w:pPr>
        <w:pStyle w:val="ListBullet"/>
      </w:pPr>
      <w:r>
        <w:rPr>
          <w:b/>
        </w:rPr>
        <w:t>Cita:</w:t>
      </w:r>
      <w:r>
        <w:t xml:space="preserve"> "METREX (n=836) … RR 0.82; P = 0.04"; BOREAS "83mL; P &lt; 0.001 (95% CI: 42, 125)"; nota d: "at 52 weeks"</w:t>
      </w:r>
    </w:p>
    <w:p>
      <w:pPr>
        <w:pStyle w:val="ListBullet"/>
      </w:pPr>
      <w:r>
        <w:rPr>
          <w:b/>
        </w:rPr>
        <w:t>Problema:</w:t>
      </w:r>
    </w:p>
    <w:p>
      <w:pPr>
        <w:pStyle w:val="ListBullet2"/>
      </w:pPr>
      <w:r>
        <w:rPr>
          <w:b/>
        </w:rPr>
        <w:t>METREX:</w:t>
      </w:r>
      <w:r>
        <w:t xml:space="preserve"> la fila combina el tamaño muestral de la población mITT completa (n=836) con el RR del estrato eosinofílico (n=462). Para la población completa no hubo efecto (RR ≈0,98). La nota "c" ("pre-defined eosinophilic population") aparece en la columna de criterios, por lo que el lector asocia el RR 0,82 a los 836 pacientes.</w:t>
      </w:r>
    </w:p>
    <w:p>
      <w:pPr>
        <w:pStyle w:val="ListBullet2"/>
      </w:pPr>
      <w:r>
        <w:rPr>
          <w:b/>
        </w:rPr>
        <w:t>METREO:</w:t>
      </w:r>
      <w:r>
        <w:t xml:space="preserve"> n=674 incluye tres brazos (placebo, 100 mg y 300 mg), mientras que el RR 0,80 es solo 100 mg frente a placebo.</w:t>
      </w:r>
    </w:p>
    <w:p>
      <w:pPr>
        <w:pStyle w:val="ListBullet2"/>
      </w:pPr>
      <w:r>
        <w:rPr>
          <w:b/>
        </w:rPr>
        <w:t>BOREAS:</w:t>
      </w:r>
      <w:r>
        <w:t xml:space="preserve"> la nota "d" indica que el FEV1 corresponde a la semana 52. Sin embargo, la cifra de BOREAS (83 mL, IC 42-125) es la del análisis de la semana 12 publicado en el resumen. Para NOTUS sí se muestra la semana 52 (62 mL, IC 11-113; en la semana 12 fueron 82 mL). Se comparan, por tanto, momentos distintos.</w:t>
      </w:r>
    </w:p>
    <w:p>
      <w:pPr>
        <w:pStyle w:val="ListBullet"/>
      </w:pPr>
      <w:r>
        <w:rPr>
          <w:b/>
        </w:rPr>
        <w:t>Evidencia/justificación:</w:t>
      </w:r>
    </w:p>
    <w:p>
      <w:pPr>
        <w:pStyle w:val="ListBullet2"/>
      </w:pPr>
      <w:r>
        <w:t>Pavord 2017 (PMID 28893134): estrato eosinofílico de METREX, n=462.</w:t>
      </w:r>
    </w:p>
    <w:p>
      <w:pPr>
        <w:pStyle w:val="ListBullet2"/>
      </w:pPr>
      <w:r>
        <w:t>Bhatt 2023 (BOREAS): diferencia de 83 mL (IC 42-125) en la semana 12, "sustained through week 52".</w:t>
      </w:r>
    </w:p>
    <w:p>
      <w:pPr>
        <w:pStyle w:val="ListBullet2"/>
      </w:pPr>
      <w:r>
        <w:t>Bhatt 2024 (NOTUS): 82 mL en la semana 12 y 62 mL en la semana 52.</w:t>
      </w:r>
    </w:p>
    <w:p>
      <w:pPr>
        <w:pStyle w:val="ListBullet"/>
      </w:pPr>
      <w:r>
        <w:rPr>
          <w:b/>
        </w:rPr>
        <w:t>Recomendación:</w:t>
      </w:r>
    </w:p>
    <w:p>
      <w:pPr>
        <w:pStyle w:val="ListBullet2"/>
      </w:pPr>
      <w:r>
        <w:t>METREX: "n=462 (estrato eos ≥150)", o añadir una fila con la población global (RR 0,98, NS).</w:t>
      </w:r>
    </w:p>
    <w:p>
      <w:pPr>
        <w:pStyle w:val="ListBullet2"/>
      </w:pPr>
      <w:r>
        <w:t>METREO: indicar n por brazo.</w:t>
      </w:r>
    </w:p>
    <w:p>
      <w:pPr>
        <w:pStyle w:val="ListBullet2"/>
      </w:pPr>
      <w:r>
        <w:t>FEV1: homogeneizar el momento temporal (dos columnas, semana 12 y semana 52) o corregir la nota "d".</w:t>
      </w:r>
    </w:p>
    <w:p>
      <w:pPr>
        <w:pStyle w:val="ListBullet"/>
      </w:pPr>
      <w:r>
        <w:rPr>
          <w:b/>
        </w:rPr>
        <w:t>Confianza:</w:t>
      </w:r>
      <w:r>
        <w:t xml:space="preserve"> 4/5</w:t>
      </w:r>
    </w:p>
    <w:p>
      <w:pPr>
        <w:pStyle w:val="Heading4"/>
      </w:pPr>
      <w:r>
        <w:t>NOV-09 · Ensifentrina: referencias erróneas, mecanismo impreciso y disponibilidad desactualizada</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Error factual / Desactualización</w:t>
      </w:r>
    </w:p>
    <w:p>
      <w:pPr>
        <w:pStyle w:val="ListBullet"/>
      </w:pPr>
      <w:r>
        <w:rPr>
          <w:b/>
        </w:rPr>
        <w:t>Severidad:</w:t>
      </w:r>
      <w:r>
        <w:t xml:space="preserve"> MEDIA</w:t>
      </w:r>
    </w:p>
    <w:p>
      <w:pPr>
        <w:pStyle w:val="ListBullet"/>
      </w:pPr>
      <w:r>
        <w:rPr>
          <w:b/>
        </w:rPr>
        <w:t>Ubicación:</w:t>
      </w:r>
    </w:p>
    <w:p>
      <w:pPr>
        <w:pStyle w:val="ListBullet2"/>
      </w:pPr>
      <w:r>
        <w:t>PDF 163 / impr. 152 — Apéndice 3, "Phosphodiesterase-3 and -4 inhibitors".</w:t>
      </w:r>
    </w:p>
    <w:p>
      <w:pPr>
        <w:pStyle w:val="ListBullet2"/>
      </w:pPr>
      <w:r>
        <w:t>PDF 76-77 — cap. 3.</w:t>
      </w:r>
    </w:p>
    <w:p>
      <w:pPr>
        <w:pStyle w:val="ListBullet"/>
      </w:pPr>
      <w:r>
        <w:rPr>
          <w:b/>
        </w:rPr>
        <w:t>Cita:</w:t>
      </w:r>
      <w:r>
        <w:t xml:space="preserve"> "PDE3 inhibition, through modulation of cyclic guanosine monophosphate levels, causes smooth muscle relaxation"; "…in our treatment algorithm.(453,681-683)"; "Ensifentrine is currently only available in the US."</w:t>
      </w:r>
    </w:p>
    <w:p>
      <w:pPr>
        <w:pStyle w:val="ListBullet"/>
      </w:pPr>
      <w:r>
        <w:rPr>
          <w:b/>
        </w:rPr>
        <w:t>Problema:</w:t>
      </w:r>
    </w:p>
    <w:p>
      <w:pPr>
        <w:pStyle w:val="ListNumber"/>
        <w:numPr>
          <w:ilvl w:val="0"/>
          <w:numId w:val="29"/>
        </w:numPr>
      </w:pPr>
      <w:r>
        <w:rPr>
          <w:b/>
        </w:rPr>
        <w:t>Mecanismo:</w:t>
      </w:r>
      <w:r>
        <w:t xml:space="preserve"> la inhibición de PDE3 en el músculo liso bronquial actúa sobre todo aumentando el AMPc. La PDE3 hidroliza AMPc y GMPc, pero la relajación se atribuye al AMPc, que es el mismo mediador citado para la PDE4 en la página anterior.</w:t>
      </w:r>
    </w:p>
    <w:p>
      <w:pPr>
        <w:pStyle w:val="ListNumber"/>
        <w:numPr>
          <w:ilvl w:val="0"/>
          <w:numId w:val="29"/>
        </w:numPr>
      </w:pPr>
      <w:r>
        <w:rPr>
          <w:b/>
        </w:rPr>
        <w:t>Citas:</w:t>
      </w:r>
      <w:r>
        <w:t xml:space="preserve"> el bloque sobre ensifentrina cita las refs. 681-683, que son NOTUS, BOREAS (dupilumab) y una revisión sobre EPOC eosinofílica (Fieldes 2021), y la 453, una revisión de GOLD sobre eosinófilos. Ninguna trata de ensifentrina.</w:t>
      </w:r>
    </w:p>
    <w:p>
      <w:pPr>
        <w:pStyle w:val="ListNumber"/>
        <w:numPr>
          <w:ilvl w:val="0"/>
          <w:numId w:val="29"/>
        </w:numPr>
      </w:pPr>
      <w:r>
        <w:rPr>
          <w:b/>
        </w:rPr>
        <w:t>Seguridad:</w:t>
      </w:r>
      <w:r>
        <w:t xml:space="preserve"> la afirmación de seguridad cita la ref. 1606 (Singh, Drugs 2021), anterior a ENHANCE.</w:t>
      </w:r>
    </w:p>
    <w:p>
      <w:pPr>
        <w:pStyle w:val="ListNumber"/>
        <w:numPr>
          <w:ilvl w:val="0"/>
          <w:numId w:val="29"/>
        </w:numPr>
      </w:pPr>
      <w:r>
        <w:rPr>
          <w:b/>
        </w:rPr>
        <w:t>Disponibilidad:</w:t>
      </w:r>
    </w:p>
    <w:p>
      <w:pPr>
        <w:pStyle w:val="ListBullet2"/>
      </w:pPr>
      <w:r>
        <w:t>La afirmación "solo en EE. UU." estaba desactualizada en diciembre de 2025: hubo aprobación en Macao (2025, Nuance Pharma) y acceso temprano en Hainan y el Área de la Gran Bahía.</w:t>
      </w:r>
    </w:p>
    <w:p>
      <w:pPr>
        <w:pStyle w:val="ListBullet2"/>
      </w:pPr>
      <w:r>
        <w:t>La solicitud de comercialización en China (NMPA) está en curso: aceptada en enero de 2026, después del corte.</w:t>
      </w:r>
    </w:p>
    <w:p>
      <w:pPr>
        <w:pStyle w:val="ListBullet2"/>
      </w:pPr>
      <w:r>
        <w:t>Merck &amp; Co. adquirió Verona Pharma en octubre de 2025.</w:t>
      </w:r>
    </w:p>
    <w:p>
      <w:pPr>
        <w:pStyle w:val="ListBullet"/>
      </w:pPr>
      <w:r>
        <w:rPr>
          <w:b/>
        </w:rPr>
        <w:t>Evidencia/justificación:</w:t>
      </w:r>
    </w:p>
    <w:p>
      <w:pPr>
        <w:pStyle w:val="ListBullet2"/>
      </w:pPr>
      <w:r>
        <w:t>Revisión farmacológica: Anzueto 2023, introducción (PMID 37364283).</w:t>
      </w:r>
    </w:p>
    <w:p>
      <w:pPr>
        <w:pStyle w:val="ListBullet2"/>
      </w:pPr>
      <w:r>
        <w:t>Lista de referencias de GOLD: 453, 681, 682 y 683.</w:t>
      </w:r>
    </w:p>
    <w:p>
      <w:pPr>
        <w:pStyle w:val="ListBullet2"/>
      </w:pPr>
      <w:r>
        <w:t>Comunicados de Nuance Pharma (2025) y de Merck/Verona (julio-octubre de 2025).</w:t>
      </w:r>
    </w:p>
    <w:p>
      <w:pPr>
        <w:pStyle w:val="ListBullet"/>
      </w:pPr>
      <w:r>
        <w:rPr>
          <w:b/>
        </w:rPr>
        <w:t>Recomendación:</w:t>
      </w:r>
    </w:p>
    <w:p>
      <w:pPr>
        <w:pStyle w:val="ListBullet2"/>
      </w:pPr>
      <w:r>
        <w:t>Corregir el mecanismo a "AMPc".</w:t>
      </w:r>
    </w:p>
    <w:p>
      <w:pPr>
        <w:pStyle w:val="ListBullet2"/>
      </w:pPr>
      <w:r>
        <w:t>Sustituir las citas por la 1605 (ENHANCE) más la evidencia de fase II (estudios combinados con tiotropio).</w:t>
      </w:r>
    </w:p>
    <w:p>
      <w:pPr>
        <w:pStyle w:val="ListBullet2"/>
      </w:pPr>
      <w:r>
        <w:t>Citar los datos de seguridad de ENHANCE.</w:t>
      </w:r>
    </w:p>
    <w:p>
      <w:pPr>
        <w:pStyle w:val="ListBullet2"/>
      </w:pPr>
      <w:r>
        <w:t>Redactar la disponibilidad con fecha: "aprobada por la FDA (junio de 2024); disponibilidad limitada fuera de EE. UU. a dic-2025".</w:t>
      </w:r>
    </w:p>
    <w:p>
      <w:pPr>
        <w:pStyle w:val="ListBullet"/>
      </w:pPr>
      <w:r>
        <w:rPr>
          <w:b/>
        </w:rPr>
        <w:t>Confianza:</w:t>
      </w:r>
      <w:r>
        <w:t xml:space="preserve"> 4/5</w:t>
      </w:r>
    </w:p>
    <w:p>
      <w:pPr>
        <w:pStyle w:val="Heading4"/>
      </w:pPr>
      <w:r>
        <w:t>NOV-11 · Estado regulatorio de biológicos y ensifentrina no explicitado; discrepancias con las fichas técnicas</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p>
    <w:p>
      <w:pPr>
        <w:pStyle w:val="ListBullet2"/>
      </w:pPr>
      <w:r>
        <w:t>PDF 74 — Fig. 3.9, nota "b".</w:t>
      </w:r>
    </w:p>
    <w:p>
      <w:pPr>
        <w:pStyle w:val="ListBullet2"/>
      </w:pPr>
      <w:r>
        <w:t>PDF 79 — Fig. 3.11.</w:t>
      </w:r>
    </w:p>
    <w:p>
      <w:pPr>
        <w:pStyle w:val="ListBullet2"/>
      </w:pPr>
      <w:r>
        <w:t>PDF 163 — Apéndice 3.</w:t>
      </w:r>
    </w:p>
    <w:p>
      <w:pPr>
        <w:pStyle w:val="ListBullet"/>
      </w:pPr>
      <w:r>
        <w:rPr>
          <w:b/>
        </w:rPr>
        <w:t>Cita:</w:t>
      </w:r>
      <w:r>
        <w:t xml:space="preserve"> "Listed in order of approval in the US."</w:t>
      </w:r>
    </w:p>
    <w:p>
      <w:pPr>
        <w:pStyle w:val="ListBullet"/>
      </w:pPr>
      <w:r>
        <w:rPr>
          <w:b/>
        </w:rPr>
        <w:t>Problema:</w:t>
      </w:r>
      <w:r>
        <w:t xml:space="preserve"> La guía solo alude implícitamente a la regulación. No informa de:</w:t>
      </w:r>
    </w:p>
    <w:p>
      <w:pPr>
        <w:pStyle w:val="ListBullet2"/>
      </w:pPr>
      <w:r>
        <w:rPr>
          <w:b/>
        </w:rPr>
        <w:t>Dupilumab:</w:t>
      </w:r>
      <w:r>
        <w:t xml:space="preserve"> aprobación por la Comisión Europea (julio de 2024) y por la FDA (27-sep-2024).</w:t>
      </w:r>
    </w:p>
    <w:p>
      <w:pPr>
        <w:pStyle w:val="ListBullet2"/>
      </w:pPr>
      <w:r>
        <w:rPr>
          <w:b/>
        </w:rPr>
        <w:t>Mepolizumab:</w:t>
      </w:r>
    </w:p>
    <w:p>
      <w:pPr>
        <w:pStyle w:val="ListBullet2"/>
      </w:pPr>
      <w:r>
        <w:t>Aprobación por la FDA el 22-may-2025, con una indicación sin umbral fijo de eosinófilos ("eosinophilic phenotype"). El promotor comunica elegibilidad desde eos ≥150.</w:t>
      </w:r>
    </w:p>
    <w:p>
      <w:pPr>
        <w:pStyle w:val="ListBullet2"/>
      </w:pPr>
      <w:r>
        <w:t>Opinión positiva del CHMP en diciembre de 2025; la aprobación en la UE se produjo después del corte.</w:t>
      </w:r>
    </w:p>
    <w:p>
      <w:pPr>
        <w:pStyle w:val="ListBullet2"/>
      </w:pPr>
      <w:r>
        <w:rPr>
          <w:b/>
        </w:rPr>
        <w:t>Ensifentrina:</w:t>
      </w:r>
      <w:r>
        <w:t xml:space="preserve"> aprobación por la FDA el 26-jun-2024.</w:t>
      </w:r>
    </w:p>
    <w:p>
      <w:r>
        <w:t>Los criterios de GOLD son más restrictivos que las fichas técnicas de la FDA, lo cual es legítimo, pero no se explica:</w:t>
      </w:r>
    </w:p>
    <w:p>
      <w:pPr>
        <w:pStyle w:val="ListBullet2"/>
      </w:pPr>
      <w:r>
        <w:rPr>
          <w:b/>
        </w:rPr>
        <w:t>Dupilumab:</w:t>
      </w:r>
      <w:r>
        <w:t xml:space="preserve"> GOLD lo limita a "chronic bronchitis", mientras la ficha de la FDA no exige bronquitis crónica.</w:t>
      </w:r>
    </w:p>
    <w:p>
      <w:pPr>
        <w:pStyle w:val="ListBullet2"/>
      </w:pPr>
      <w:r>
        <w:rPr>
          <w:b/>
        </w:rPr>
        <w:t>Mepolizumab:</w:t>
      </w:r>
      <w:r>
        <w:t xml:space="preserve"> GOLD exige eos ≥300, mientras la ficha de la FDA no fija umbral.</w:t>
      </w:r>
    </w:p>
    <w:p>
      <w:pPr>
        <w:pStyle w:val="ListBullet2"/>
      </w:pPr>
      <w:r>
        <w:rPr>
          <w:b/>
        </w:rPr>
        <w:t>Consecuencias:</w:t>
      </w:r>
      <w:r>
        <w:t xml:space="preserve"> la discrepancia puede confundir al prescriptor y a los pagadores, y dificulta la adaptación a cada país.</w:t>
      </w:r>
    </w:p>
    <w:p>
      <w:pPr>
        <w:pStyle w:val="ListBullet"/>
      </w:pPr>
      <w:r>
        <w:rPr>
          <w:b/>
        </w:rPr>
        <w:t>Evidencia/justificación:</w:t>
      </w:r>
    </w:p>
    <w:p>
      <w:pPr>
        <w:pStyle w:val="ListBullet2"/>
      </w:pPr>
      <w:r>
        <w:t>Ficha técnica de la FDA de Dupixent (sep-2024): "add-on maintenance treatment of adult patients with inadequately controlled COPD and an eosinophilic phenotype".</w:t>
      </w:r>
    </w:p>
    <w:p>
      <w:pPr>
        <w:pStyle w:val="ListBullet2"/>
      </w:pPr>
      <w:r>
        <w:t>Ficha técnica de la UE (EPAR Dupixent, jul-2024).</w:t>
      </w:r>
    </w:p>
    <w:p>
      <w:pPr>
        <w:pStyle w:val="ListBullet2"/>
      </w:pPr>
      <w:r>
        <w:t>Comunicado de GSK del 22-may-2025 (Nucala, EPOC).</w:t>
      </w:r>
    </w:p>
    <w:p>
      <w:pPr>
        <w:pStyle w:val="ListBullet2"/>
      </w:pPr>
      <w:r>
        <w:t>Comunicado de Verona Pharma del 26-jun-2024 (Ohtuvayre).</w:t>
      </w:r>
    </w:p>
    <w:p>
      <w:pPr>
        <w:pStyle w:val="ListBullet"/>
      </w:pPr>
      <w:r>
        <w:rPr>
          <w:b/>
        </w:rPr>
        <w:t>Recomendación:</w:t>
      </w:r>
      <w:r>
        <w:t xml:space="preserve"> Añadir una tabla de estado regulatorio con fecha de corte que recoja:</w:t>
      </w:r>
    </w:p>
    <w:p>
      <w:pPr>
        <w:pStyle w:val="ListBullet2"/>
      </w:pPr>
      <w:r>
        <w:t>FDA y EMA, población autorizada y criterios de eosinófilos de la ficha técnica frente a los de los ensayos.</w:t>
      </w:r>
    </w:p>
    <w:p>
      <w:pPr>
        <w:pStyle w:val="ListBullet2"/>
      </w:pPr>
      <w:r>
        <w:t>Diferencias con la recomendación de GOLD y su justificación (p. ej., ≥300 porque es el criterio de MATINEE, BOREAS y NOTUS).</w:t>
      </w:r>
    </w:p>
    <w:p>
      <w:pPr>
        <w:pStyle w:val="ListBullet"/>
      </w:pPr>
      <w:r>
        <w:rPr>
          <w:b/>
        </w:rPr>
        <w:t>Confianza:</w:t>
      </w:r>
      <w:r>
        <w:t xml:space="preserve"> 4/5</w:t>
      </w:r>
    </w:p>
    <w:p>
      <w:pPr>
        <w:pStyle w:val="Heading4"/>
      </w:pPr>
      <w:r>
        <w:t>NOV-12 · Omisión de ensayos recientes negativos o mixtos de biológicos y alarminas</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p>
    <w:p>
      <w:pPr>
        <w:pStyle w:val="ListBullet2"/>
      </w:pPr>
      <w:r>
        <w:t>PDF 164 / impr. 153 — Apéndice 3 (benralizumab).</w:t>
      </w:r>
    </w:p>
    <w:p>
      <w:pPr>
        <w:pStyle w:val="ListBullet2"/>
      </w:pPr>
      <w:r>
        <w:t>PDF 79 — Fig. 3.11.</w:t>
      </w:r>
    </w:p>
    <w:p>
      <w:pPr>
        <w:pStyle w:val="ListBullet2"/>
      </w:pPr>
      <w:r>
        <w:t>Ausencia en todo el documento: tezepelumab, itepekimab, tozorakimab y astegolimab no aparecen en el texto.</w:t>
      </w:r>
    </w:p>
    <w:p>
      <w:pPr>
        <w:pStyle w:val="ListBullet"/>
      </w:pPr>
      <w:r>
        <w:rPr>
          <w:b/>
        </w:rPr>
        <w:t>Cita:</w:t>
      </w:r>
      <w:r>
        <w:t xml:space="preserve"> "found that add-on benralizumab was not associated with a lower annualized rate of COPD exacerbations.(1607)"</w:t>
      </w:r>
    </w:p>
    <w:p>
      <w:pPr>
        <w:pStyle w:val="ListBullet"/>
      </w:pPr>
      <w:r>
        <w:rPr>
          <w:b/>
        </w:rPr>
        <w:t>Problema:</w:t>
      </w:r>
      <w:r>
        <w:t xml:space="preserve"> La guía solo recoge los ensayos positivos más recientes y GALATHEA/TERRANOVA (2019). Omite:</w:t>
      </w:r>
    </w:p>
    <w:p>
      <w:pPr>
        <w:pStyle w:val="ListBullet2"/>
      </w:pPr>
      <w:r>
        <w:rPr>
          <w:b/>
        </w:rPr>
        <w:t>Benralizumab:</w:t>
      </w:r>
      <w:r>
        <w:t xml:space="preserve"> el criterio de eosinófilos ≥220 de GALATHEA/TERRANOVA y el ensayo RESOLUTE (eos ≥300, con tratamiento triple), que no alcanzó su objetivo primario (comunicado de AstraZeneca, sep-2025). RESOLUTE es relevante porque demuestra que un fenotipo eosinofílico ≥300 no garantiza el beneficio de cualquier anti-IL-5.</w:t>
      </w:r>
    </w:p>
    <w:p>
      <w:pPr>
        <w:pStyle w:val="ListBullet2"/>
      </w:pPr>
      <w:r>
        <w:rPr>
          <w:b/>
        </w:rPr>
        <w:t>Tezepelumab, COURSE (fase IIa):</w:t>
      </w:r>
      <w:r>
        <w:t xml:space="preserve"> no alcanzó el objetivo primario (−17 %, NS). Hubo una señal en eos ≥150 (−37 %) (Singh D et al., Lancet Respir Med 2025).</w:t>
      </w:r>
    </w:p>
    <w:p>
      <w:pPr>
        <w:pStyle w:val="ListBullet2"/>
      </w:pPr>
      <w:r>
        <w:rPr>
          <w:b/>
        </w:rPr>
        <w:t>Itepekimab, AERIFY-1/2 (anti-IL-33):</w:t>
      </w:r>
      <w:r>
        <w:t xml:space="preserve"> AERIFY-1 fue positivo (−27 %) y AERIFY-2 no significativo (Sanofi/Regeneron, 30-may-2025).</w:t>
      </w:r>
    </w:p>
    <w:p>
      <w:pPr>
        <w:pStyle w:val="ListBullet2"/>
      </w:pPr>
      <w:r>
        <w:rPr>
          <w:b/>
        </w:rPr>
        <w:t>Astegolimab (anti-ST2):</w:t>
      </w:r>
      <w:r>
        <w:t xml:space="preserve"> ALIENTO (fase IIb) mostró −15,4 % (significativo) y ARNASA (fase III) −14,5 % (NS) (Roche, jul-2025).</w:t>
      </w:r>
    </w:p>
    <w:p>
      <w:pPr>
        <w:pStyle w:val="ListBullet2"/>
      </w:pPr>
      <w:r>
        <w:rPr>
          <w:b/>
        </w:rPr>
        <w:t>Tozorakimab (anti-IL-33):</w:t>
      </w:r>
      <w:r>
        <w:t xml:space="preserve"> los resultados de OBERON/TITANIA se comunicaron después de la fecha de la guía, por lo que su omisión no es un error, pero conviene señalarlo como pendiente.</w:t>
      </w:r>
    </w:p>
    <w:p>
      <w:r>
        <w:t>Omitir estos resultados sesga la percepción hacia una eficacia homogénea de los biológicos, y en particular de las alarminas, en poblaciones con eosinófilos bajos.</w:t>
      </w:r>
    </w:p>
    <w:p>
      <w:pPr>
        <w:pStyle w:val="ListBullet"/>
      </w:pPr>
      <w:r>
        <w:rPr>
          <w:b/>
        </w:rPr>
        <w:t>Evidencia/justificación:</w:t>
      </w:r>
      <w:r>
        <w:t xml:space="preserve"> Fuentes citadas en el Problema. Ninguno de estos ensayos ni la vía IL-33/ST2/TSLP se mencionan en el documento (comprobado mediante búsqueda en gold_full.txt).</w:t>
      </w:r>
    </w:p>
    <w:p>
      <w:pPr>
        <w:pStyle w:val="ListBullet"/>
      </w:pPr>
      <w:r>
        <w:rPr>
          <w:b/>
        </w:rPr>
        <w:t>Recomendación:</w:t>
      </w:r>
    </w:p>
    <w:p>
      <w:pPr>
        <w:pStyle w:val="ListBullet2"/>
      </w:pPr>
      <w:r>
        <w:t>Añadir al Apéndice 3 un subapartado "Biológicos en investigación (a dic-2025)" con resultados positivos y negativos.</w:t>
      </w:r>
    </w:p>
    <w:p>
      <w:pPr>
        <w:pStyle w:val="ListBullet2"/>
      </w:pPr>
      <w:r>
        <w:t>Ampliar la Fig. 3.11 o crear una tabla con los ensayos negativos (METREO, GALATHEA, TERRANOVA, RESOLUTE, AERIFY-2 y ARNASA) para reflejar la heterogeneidad del efecto.</w:t>
      </w:r>
    </w:p>
    <w:p>
      <w:pPr>
        <w:pStyle w:val="ListBullet2"/>
      </w:pPr>
      <w:r>
        <w:t>Indicar el criterio de eos ≥220 en GALATHEA/TERRANOVA.</w:t>
      </w:r>
    </w:p>
    <w:p>
      <w:pPr>
        <w:pStyle w:val="ListBullet"/>
      </w:pPr>
      <w:r>
        <w:rPr>
          <w:b/>
        </w:rPr>
        <w:t>Confianza:</w:t>
      </w:r>
      <w:r>
        <w:t xml:space="preserve"> 4/5 (resultados de RESOLUTE, AERIFY y ARNASA verificados en comunicados del promotor; publicaciones completas pendientes)</w:t>
      </w:r>
    </w:p>
    <w:p>
      <w:pPr>
        <w:pStyle w:val="Heading4"/>
      </w:pPr>
      <w:r>
        <w:t>COH-07 · Soporte ventilatorio: HFNT como "primer modo" frente a NIV como "modo inicial", y límites gasométricos con operadores dispares</w:t>
      </w:r>
    </w:p>
    <w:p>
      <w:r>
        <w:rPr>
          <w:i/>
        </w:rPr>
        <w:t xml:space="preserve">Severidad final: </w:t>
      </w:r>
      <w:r>
        <w:rPr>
          <w:i/>
          <w:color w:val="FFC000"/>
        </w:rPr>
        <w:t>🟡</w:t>
      </w:r>
      <w:r>
        <w:rPr>
          <w:i/>
        </w:rPr>
        <w:t xml:space="preserve"> MEDIA · Tema T10: Soporte ventilatorio en la exacerbación (HFNT, VNI, VMI)</w:t>
      </w:r>
    </w:p>
    <w:p>
      <w:pPr>
        <w:pStyle w:val="IntenseQuote"/>
      </w:pPr>
      <w:r>
        <w:rPr>
          <w:b/>
        </w:rPr>
        <w:t>Verificación independiente (CONFIRMADO):</w:t>
      </w:r>
      <w:r>
        <w:t xml:space="preserve"> La contradicción se atenúa porque la figura se refiere a insuficiencia hipoxémica, pero sigue resultando confusa.</w:t>
      </w:r>
    </w:p>
    <w:p>
      <w:pPr>
        <w:pStyle w:val="ListBullet"/>
      </w:pPr>
      <w:r>
        <w:rPr>
          <w:b/>
        </w:rPr>
        <w:t>Tipo:</w:t>
      </w:r>
      <w:r>
        <w:t xml:space="preserve"> Incoherencia figura-texto</w:t>
      </w:r>
    </w:p>
    <w:p>
      <w:pPr>
        <w:pStyle w:val="ListBullet"/>
      </w:pPr>
      <w:r>
        <w:rPr>
          <w:b/>
        </w:rPr>
        <w:t>Severidad:</w:t>
      </w:r>
      <w:r>
        <w:t xml:space="preserve"> MEDIA</w:t>
      </w:r>
    </w:p>
    <w:p>
      <w:pPr>
        <w:pStyle w:val="ListBullet"/>
      </w:pPr>
      <w:r>
        <w:rPr>
          <w:b/>
        </w:rPr>
        <w:t>Ubicación:</w:t>
      </w:r>
      <w:r>
        <w:t xml:space="preserve"> Fig 4.6 (PDF 113 / impr. 102); PDF 118 / impr. 107; key points en PDF 103 / impr. 92; Fig 4.7-4.8 (PDF 117-118); PDF 105 / impr. 94</w:t>
      </w:r>
    </w:p>
    <w:p>
      <w:pPr>
        <w:pStyle w:val="ListBullet"/>
      </w:pPr>
      <w:r>
        <w:rPr>
          <w:b/>
        </w:rPr>
        <w:t>Cita:</w:t>
      </w:r>
    </w:p>
    <w:p>
      <w:pPr>
        <w:pStyle w:val="ListBullet2"/>
      </w:pPr>
      <w:r>
        <w:t>Fig 4.6: "High flow oxygen (HFNT) is the first mode of ventilation used in COPD patients with acute hypoxemic respiratory failure".</w:t>
      </w:r>
    </w:p>
    <w:p>
      <w:pPr>
        <w:pStyle w:val="ListBullet2"/>
      </w:pPr>
      <w:r>
        <w:t>Texto: "NIV is the initial mode of ventilation to treat acute respiratory failure in patients hospitalized for acute exacerbations of COPD".</w:t>
      </w:r>
    </w:p>
    <w:p>
      <w:pPr>
        <w:pStyle w:val="ListBullet"/>
      </w:pPr>
      <w:r>
        <w:rPr>
          <w:b/>
        </w:rPr>
        <w:t>Problema:</w:t>
      </w:r>
    </w:p>
    <w:p>
      <w:pPr>
        <w:pStyle w:val="ListBullet2"/>
      </w:pPr>
      <w:r>
        <w:t>El texto no distingue entre fallo hipoxémico e hipercápnico.</w:t>
      </w:r>
    </w:p>
    <w:p>
      <w:pPr>
        <w:pStyle w:val="ListBullet2"/>
      </w:pPr>
      <w:r>
        <w:t>La Fig 4.8 incluye "Persistent hypoxemia despite supplemental oxygen" como indicación de NIV, lo que se solapa con la HFNT de la Fig 4.7.</w:t>
      </w:r>
    </w:p>
    <w:p>
      <w:pPr>
        <w:pStyle w:val="ListBullet2"/>
      </w:pPr>
      <w:r>
        <w:t>Los key points de PDF 103 atribuyen "improve survival" también a los "high flow oxygen systems", un efecto que el texto solo documenta para la NIV.</w:t>
      </w:r>
    </w:p>
    <w:p>
      <w:pPr>
        <w:pStyle w:val="ListBullet2"/>
      </w:pPr>
      <w:r>
        <w:t>Los operadores de los umbrales no coinciden:</w:t>
      </w:r>
    </w:p>
    <w:p>
      <w:pPr>
        <w:pStyle w:val="ListBullet2"/>
      </w:pPr>
      <w:r>
        <w:t>NIV con "PaCO2 ≥ 6.0 kPa or 45 mmHg and pH ≤ 7.35" (Fig 4.8);</w:t>
      </w:r>
    </w:p>
    <w:p>
      <w:pPr>
        <w:pStyle w:val="ListBullet2"/>
      </w:pPr>
      <w:r>
        <w:t>"&gt;45" y "&lt;7.35" en la Fig 4.2;</w:t>
      </w:r>
    </w:p>
    <w:p>
      <w:pPr>
        <w:pStyle w:val="ListBullet2"/>
      </w:pPr>
      <w:r>
        <w:t>"pH ≤ 7.25" para el fallo ventilatorio (PDF 105).</w:t>
      </w:r>
    </w:p>
    <w:p>
      <w:pPr>
        <w:pStyle w:val="ListBullet2"/>
      </w:pPr>
      <w:r>
        <w:t>Llamar "ventilation" a la HFNT es impreciso.</w:t>
      </w:r>
    </w:p>
    <w:p>
      <w:pPr>
        <w:pStyle w:val="ListBullet"/>
      </w:pPr>
      <w:r>
        <w:rPr>
          <w:b/>
        </w:rPr>
        <w:t>Evidencia/justificación:</w:t>
      </w:r>
      <w:r>
        <w:t xml:space="preserve"> lectura de las Fig 4.6-4.8 frente al texto de PDF 116-118.</w:t>
      </w:r>
    </w:p>
    <w:p>
      <w:pPr>
        <w:pStyle w:val="ListBullet"/>
      </w:pPr>
      <w:r>
        <w:rPr>
          <w:b/>
        </w:rPr>
        <w:t>Recomendación:</w:t>
      </w:r>
    </w:p>
    <w:p>
      <w:pPr>
        <w:pStyle w:val="ListBullet2"/>
      </w:pPr>
      <w:r>
        <w:t>Adoptar una formulación única: NIV de primera línea en el fallo hipercápnico/acidótico; HFNT en el hipoxémico sin acidosis o con intolerancia a la NIV.</w:t>
      </w:r>
    </w:p>
    <w:p>
      <w:pPr>
        <w:pStyle w:val="ListBullet2"/>
      </w:pPr>
      <w:r>
        <w:t>Retirar "improve survival" para la HFNT.</w:t>
      </w:r>
    </w:p>
    <w:p>
      <w:pPr>
        <w:pStyle w:val="ListBullet2"/>
      </w:pPr>
      <w:r>
        <w:t>Unificar los operadores (&gt; / ≥).</w:t>
      </w:r>
    </w:p>
    <w:p>
      <w:pPr>
        <w:pStyle w:val="ListBullet"/>
      </w:pPr>
      <w:r>
        <w:rPr>
          <w:b/>
        </w:rPr>
        <w:t>Confianza:</w:t>
      </w:r>
      <w:r>
        <w:t xml:space="preserve"> 4</w:t>
      </w:r>
    </w:p>
    <w:p>
      <w:pPr>
        <w:pStyle w:val="Heading4"/>
      </w:pPr>
      <w:r>
        <w:t>EXA-18 · Sección HFNT: referencias mal asignadas, resultados intercambiados y descripción errónea de ensayos</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117-118 / impr. 106-107.</w:t>
      </w:r>
    </w:p>
    <w:p>
      <w:pPr>
        <w:pStyle w:val="ListBullet"/>
      </w:pPr>
      <w:r>
        <w:rPr>
          <w:b/>
        </w:rPr>
        <w:t>Cita:</w:t>
      </w:r>
    </w:p>
    <w:p>
      <w:pPr>
        <w:pStyle w:val="ListBullet2"/>
      </w:pPr>
      <w:r>
        <w:t>"the rates of post-extubation respiratory failure and reintubation were high at 22% and 27%, respectively".</w:t>
      </w:r>
    </w:p>
    <w:p>
      <w:pPr>
        <w:pStyle w:val="ListBullet2"/>
      </w:pPr>
      <w:r>
        <w:t>"post-extubation HFNT with NIV was again non-inferior to HFNT alone… (1082)".</w:t>
      </w:r>
    </w:p>
    <w:p>
      <w:pPr>
        <w:pStyle w:val="ListBullet"/>
      </w:pPr>
      <w:r>
        <w:rPr>
          <w:b/>
        </w:rPr>
        <w:t>Problema:</w:t>
      </w:r>
    </w:p>
    <w:p>
      <w:pPr>
        <w:pStyle w:val="ListBullet2"/>
      </w:pPr>
      <w:r>
        <w:rPr>
          <w:b/>
        </w:rPr>
        <w:t>Hernández 2016 (ref. 1082; JAMA 2016;316:1565-74):</w:t>
      </w:r>
    </w:p>
    <w:p>
      <w:pPr>
        <w:pStyle w:val="ListBullet2"/>
      </w:pPr>
      <w:r>
        <w:t>En el brazo de HFNT, la reintubación fue del 22,8 % y la insuficiencia respiratoria post-extubación del 26,9 %; GOLD intercambia ambas cifras.</w:t>
      </w:r>
    </w:p>
    <w:p>
      <w:pPr>
        <w:pStyle w:val="ListBullet2"/>
      </w:pPr>
      <w:r>
        <w:t>Ese ensayo comparó HFNT frente a VNI, no "HFNT con VNI frente a HFNT sola". Esta última comparación es la de Thille 2019 (ref. 1083), que demostró superioridad y no no inferioridad.</w:t>
      </w:r>
    </w:p>
    <w:p>
      <w:pPr>
        <w:pStyle w:val="ListBullet2"/>
      </w:pPr>
      <w:r>
        <w:rPr>
          <w:b/>
        </w:rPr>
        <w:t>Ref. 1077 (Cortegiani):</w:t>
      </w:r>
      <w:r>
        <w:t xml:space="preserve"> es el protocolo publicado en Trials (2019), pero se cita dos veces por sus resultados. Los resultados están en Crit Care 2020;24:692 (PMID 33317579).</w:t>
      </w:r>
    </w:p>
    <w:p>
      <w:pPr>
        <w:pStyle w:val="ListBullet2"/>
      </w:pPr>
      <w:r>
        <w:rPr>
          <w:b/>
        </w:rPr>
        <w:t>Ref. 1078 (Tan 2020):</w:t>
      </w:r>
      <w:r>
        <w:t xml:space="preserve"> es un estudio post-extubación, pero aparece en el párrafo de primera línea.</w:t>
      </w:r>
    </w:p>
    <w:p>
      <w:pPr>
        <w:pStyle w:val="ListBullet2"/>
      </w:pPr>
      <w:r>
        <w:rPr>
          <w:b/>
        </w:rPr>
        <w:t>Ref. 1081:</w:t>
      </w:r>
      <w:r>
        <w:t xml:space="preserve"> se cita para post-extubación cuando es un estudio de primera línea en urgencias.</w:t>
      </w:r>
    </w:p>
    <w:p>
      <w:pPr>
        <w:pStyle w:val="ListBullet2"/>
      </w:pPr>
      <w:r>
        <w:rPr>
          <w:b/>
        </w:rPr>
        <w:t>Ref. 1074 (Li 2020):</w:t>
      </w:r>
      <w:r>
        <w:t xml:space="preserve"> incluyó pacientes con hipercapnia compensada, pero se describe como "hospitalized hypoxemic exacerbations".</w:t>
      </w:r>
    </w:p>
    <w:p>
      <w:pPr>
        <w:pStyle w:val="ListBullet2"/>
      </w:pPr>
      <w:r>
        <w:rPr>
          <w:b/>
        </w:rPr>
        <w:t>Errata:</w:t>
      </w:r>
      <w:r>
        <w:t xml:space="preserve"> "cardon dioxide".</w:t>
      </w:r>
    </w:p>
    <w:p>
      <w:pPr>
        <w:pStyle w:val="ListBullet"/>
      </w:pPr>
      <w:r>
        <w:rPr>
          <w:b/>
        </w:rPr>
        <w:t>Evidencia/justificación:</w:t>
      </w:r>
      <w:r>
        <w:t xml:space="preserve"> Verificación de las referencias en PubMed (PMID 27706464; Thille AW et al., JAMA 2019;322:1465-75; PMID 33317579).</w:t>
      </w:r>
    </w:p>
    <w:p>
      <w:pPr>
        <w:pStyle w:val="ListBullet"/>
      </w:pPr>
      <w:r>
        <w:rPr>
          <w:b/>
        </w:rPr>
        <w:t>Recomendación:</w:t>
      </w:r>
    </w:p>
    <w:p>
      <w:pPr>
        <w:pStyle w:val="ListBullet2"/>
      </w:pPr>
      <w:r>
        <w:t>Corregir las cifras y las referencias.</w:t>
      </w:r>
    </w:p>
    <w:p>
      <w:pPr>
        <w:pStyle w:val="ListBullet2"/>
      </w:pPr>
      <w:r>
        <w:t>Describir Thille 2019 como el ensayo HFNT+VNI frente a HFNT (superioridad de la combinación).</w:t>
      </w:r>
    </w:p>
    <w:p>
      <w:pPr>
        <w:pStyle w:val="ListBullet2"/>
      </w:pPr>
      <w:r>
        <w:t>Citar los resultados publicados de Cortegiani 2020.</w:t>
      </w:r>
    </w:p>
    <w:p>
      <w:pPr>
        <w:pStyle w:val="ListBullet"/>
      </w:pPr>
      <w:r>
        <w:rPr>
          <w:b/>
        </w:rPr>
        <w:t>Confianza:</w:t>
      </w:r>
      <w:r>
        <w:t xml:space="preserve"> 4/5</w:t>
      </w:r>
    </w:p>
    <w:p>
      <w:pPr>
        <w:pStyle w:val="Heading4"/>
      </w:pPr>
      <w:r>
        <w:t>EXA-19 · Indicaciones de VNI (Fig. 4.8): incluye la hipoxemia aislada y omite el contexto de tratamiento médico óptimo y las contraindicaciones</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Evidencia mal representada / Omisión</w:t>
      </w:r>
    </w:p>
    <w:p>
      <w:pPr>
        <w:pStyle w:val="ListBullet"/>
      </w:pPr>
      <w:r>
        <w:rPr>
          <w:b/>
        </w:rPr>
        <w:t>Severidad:</w:t>
      </w:r>
      <w:r>
        <w:t xml:space="preserve"> MEDIA</w:t>
      </w:r>
    </w:p>
    <w:p>
      <w:pPr>
        <w:pStyle w:val="ListBullet"/>
      </w:pPr>
      <w:r>
        <w:rPr>
          <w:b/>
        </w:rPr>
        <w:t>Ubicación:</w:t>
      </w:r>
      <w:r>
        <w:t xml:space="preserve"> PDF 118 / impr. 107 — Fig. 4.8 y texto ("The indications for NIV(1092)").</w:t>
      </w:r>
    </w:p>
    <w:p>
      <w:pPr>
        <w:pStyle w:val="ListBullet"/>
      </w:pPr>
      <w:r>
        <w:rPr>
          <w:b/>
        </w:rPr>
        <w:t>Cita:</w:t>
      </w:r>
      <w:r>
        <w:t xml:space="preserve"> "Persistent hypoxemia despite supplemental oxygen therapy" (Fig. 4.8).</w:t>
      </w:r>
    </w:p>
    <w:p>
      <w:pPr>
        <w:pStyle w:val="ListBullet"/>
      </w:pPr>
      <w:r>
        <w:rPr>
          <w:b/>
        </w:rPr>
        <w:t>Problema:</w:t>
      </w:r>
    </w:p>
    <w:p>
      <w:pPr>
        <w:pStyle w:val="ListBullet2"/>
      </w:pPr>
      <w:r>
        <w:rPr>
          <w:b/>
        </w:rPr>
        <w:t>Hipoxemia aislada.</w:t>
      </w:r>
      <w:r>
        <w:t xml:space="preserve"> La Fig. 4.8 recoge la hipoxemia persistente como indicación de VNI. La guía ERS/ATS 2017 no hace ninguna recomendación sobre la VNI en la insuficiencia hipoxémica de novo, y en la EPOC la indicación con evidencia es la acidosis hipercápnica (pH ≤7,35 y PaCO2 &gt;45).</w:t>
      </w:r>
    </w:p>
    <w:p>
      <w:pPr>
        <w:pStyle w:val="ListBullet2"/>
      </w:pPr>
      <w:r>
        <w:rPr>
          <w:b/>
        </w:rPr>
        <w:t>Fuente.</w:t>
      </w:r>
      <w:r>
        <w:t xml:space="preserve"> La ref. 1092 que sustenta las indicaciones es un consenso de 1999 sobre VNI crónica.</w:t>
      </w:r>
    </w:p>
    <w:p>
      <w:pPr>
        <w:pStyle w:val="ListBullet2"/>
      </w:pPr>
      <w:r>
        <w:rPr>
          <w:b/>
        </w:rPr>
        <w:t>Contexto omitido:</w:t>
      </w:r>
    </w:p>
    <w:p>
      <w:pPr>
        <w:pStyle w:val="ListBullet2"/>
      </w:pPr>
      <w:r>
        <w:t>que la acidosis persista tras el tratamiento médico óptimo (BTS/ICS 2016);</w:t>
      </w:r>
    </w:p>
    <w:p>
      <w:pPr>
        <w:pStyle w:val="ListBullet2"/>
      </w:pPr>
      <w:r>
        <w:t>la ubicación y el umbral de escalada para pH &lt;7,25 (UCI/UCRI, con intubación disponible);</w:t>
      </w:r>
    </w:p>
    <w:p>
      <w:pPr>
        <w:pStyle w:val="ListBullet2"/>
      </w:pPr>
      <w:r>
        <w:t>las contraindicaciones, que solo se mencionan indirectamente ("unless absolutely contraindicated").</w:t>
      </w:r>
    </w:p>
    <w:p>
      <w:pPr>
        <w:pStyle w:val="ListBullet"/>
      </w:pPr>
      <w:r>
        <w:rPr>
          <w:b/>
        </w:rPr>
        <w:t>Evidencia/justificación:</w:t>
      </w:r>
    </w:p>
    <w:p>
      <w:pPr>
        <w:pStyle w:val="ListBullet2"/>
      </w:pPr>
      <w:r>
        <w:t>Rochwerg B et al., Eur Respir J 2017;50:1602426.</w:t>
      </w:r>
    </w:p>
    <w:p>
      <w:pPr>
        <w:pStyle w:val="ListBullet2"/>
      </w:pPr>
      <w:r>
        <w:t>Davidson AC et al., Thorax 2016;71 Suppl 2:ii1-35.</w:t>
      </w:r>
    </w:p>
    <w:p>
      <w:pPr>
        <w:pStyle w:val="ListBullet"/>
      </w:pPr>
      <w:r>
        <w:rPr>
          <w:b/>
        </w:rPr>
        <w:t>Recomendación:</w:t>
      </w:r>
      <w:r>
        <w:t xml:space="preserve"> Reescribir la Fig. 4.8:</w:t>
      </w:r>
    </w:p>
    <w:p>
      <w:pPr>
        <w:pStyle w:val="ListBullet2"/>
      </w:pPr>
      <w:r>
        <w:t>Acidosis respiratoria (pH ≤7,35 y PaCO2 &gt;45) persistente tras el tratamiento médico inicial.</w:t>
      </w:r>
    </w:p>
    <w:p>
      <w:pPr>
        <w:pStyle w:val="ListBullet2"/>
      </w:pPr>
      <w:r>
        <w:t>Disnea grave con signos de fatiga muscular.</w:t>
      </w:r>
    </w:p>
    <w:p>
      <w:pPr>
        <w:pStyle w:val="ListBullet2"/>
      </w:pPr>
      <w:r>
        <w:t>Hipoxemia persistente solo si se acompaña de hipercapnia o fatiga.</w:t>
      </w:r>
    </w:p>
    <w:p>
      <w:r>
        <w:t>Añadir además las contraindicaciones, el lugar de aplicación según el pH y un plan de escalada documentado desde el inicio.</w:t>
      </w:r>
    </w:p>
    <w:p>
      <w:pPr>
        <w:pStyle w:val="ListBullet"/>
      </w:pPr>
      <w:r>
        <w:rPr>
          <w:b/>
        </w:rPr>
        <w:t>Confianza:</w:t>
      </w:r>
      <w:r>
        <w:t xml:space="preserve"> 4/5</w:t>
      </w:r>
    </w:p>
    <w:p>
      <w:pPr>
        <w:pStyle w:val="Heading4"/>
      </w:pPr>
      <w:r>
        <w:t>REH-15 · HFNT domiciliaria: incoherencia entre cap. 3 y cap. 4 y referencia mal asignada</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90 / impr. 79 — cap. 3; PDF 117-118 / impr. 106-107 — cap. 4, «High-flow nasal therapy»; Figura 3.17.</w:t>
      </w:r>
    </w:p>
    <w:p>
      <w:pPr>
        <w:pStyle w:val="ListBullet"/>
      </w:pPr>
      <w:r>
        <w:rPr>
          <w:b/>
        </w:rPr>
        <w:t>Cita:</w:t>
      </w:r>
      <w:r>
        <w:t xml:space="preserve"> Cap. 3: «in patients with chronic hypercapnic respiratory failure long-term treatment with HFNT may reduce acute exacerbations and improve SGRQ scores… its effect on mortality and hospitalizations is uncertain.(774,775)». Cap. 4: «Chronic use of home HFNT in addition to LTOT… However, there was no impact on mortality, together with inconsistent effects on quality of life».</w:t>
      </w:r>
    </w:p>
    <w:p>
      <w:pPr>
        <w:pStyle w:val="ListBullet"/>
      </w:pPr>
      <w:r>
        <w:rPr>
          <w:b/>
        </w:rPr>
        <w:t>Problema:</w:t>
      </w:r>
    </w:p>
    <w:p>
      <w:pPr>
        <w:pStyle w:val="ListBullet2"/>
      </w:pPr>
      <w:r>
        <w:rPr>
          <w:b/>
        </w:rPr>
        <w:t>Población:</w:t>
      </w:r>
      <w:r>
        <w:t xml:space="preserve"> el cap. 3 habla de pacientes hipercápnicos; el cap. 4 de pacientes en LTOT, hipoxémicos o hipercápnicos.</w:t>
      </w:r>
    </w:p>
    <w:p>
      <w:pPr>
        <w:pStyle w:val="ListBullet2"/>
      </w:pPr>
      <w:r>
        <w:rPr>
          <w:b/>
        </w:rPr>
        <w:t>Mortalidad:</w:t>
      </w:r>
      <w:r>
        <w:t xml:space="preserve"> «incierta» en el cap. 3 frente a «sin impacto» en el cap. 4.</w:t>
      </w:r>
    </w:p>
    <w:p>
      <w:pPr>
        <w:pStyle w:val="ListBullet2"/>
      </w:pPr>
      <w:r>
        <w:rPr>
          <w:b/>
        </w:rPr>
        <w:t>Calidad de vida:</w:t>
      </w:r>
      <w:r>
        <w:t xml:space="preserve"> mejora del SGRQ en el cap. 3 frente a efectos «inconsistentes» en el cap. 4.</w:t>
      </w:r>
    </w:p>
    <w:p>
      <w:pPr>
        <w:pStyle w:val="ListBullet2"/>
      </w:pPr>
      <w:r>
        <w:rPr>
          <w:b/>
        </w:rPr>
        <w:t>Referencia errónea:</w:t>
      </w:r>
      <w:r>
        <w:t xml:space="preserve"> la ref. 775 (Fu 2020) estudia HFNC </w:t>
      </w:r>
      <w:r>
        <w:rPr>
          <w:b/>
        </w:rPr>
        <w:t>durante la RR</w:t>
      </w:r>
      <w:r>
        <w:t>, no el tratamiento domiciliario a largo plazo.</w:t>
      </w:r>
    </w:p>
    <w:p>
      <w:pPr>
        <w:pStyle w:val="ListBullet2"/>
      </w:pPr>
      <w:r>
        <w:t>No hay referencia cruzada entre capítulos, la HFNT no figura en la Figura 3.17 y no se dice a quién considerarla (p. ej., intolerancia a la VMNI).</w:t>
      </w:r>
    </w:p>
    <w:p>
      <w:pPr>
        <w:pStyle w:val="ListBullet"/>
      </w:pPr>
      <w:r>
        <w:rPr>
          <w:b/>
        </w:rPr>
        <w:t>Evidencia/justificación:</w:t>
      </w:r>
    </w:p>
    <w:p>
      <w:pPr>
        <w:pStyle w:val="ListBullet2"/>
      </w:pPr>
      <w:r>
        <w:t>Nagata K et al., Am J Respir Crit Care Med 2022;206:1326-1335 (pacientes hipercápnicos; menos exacerbaciones moderadas o graves).</w:t>
      </w:r>
    </w:p>
    <w:p>
      <w:pPr>
        <w:pStyle w:val="ListBullet2"/>
      </w:pPr>
      <w:r>
        <w:t>Storgaard LH et al., Int J Chron Obstruct Pulmon Dis 2018;13:1195-1205 (pacientes hipoxémicos en LTOT).</w:t>
      </w:r>
    </w:p>
    <w:p>
      <w:pPr>
        <w:pStyle w:val="ListBullet2"/>
      </w:pPr>
      <w:r>
        <w:t>Pitre T et al., Respir Care 2024 (ref. 774).</w:t>
      </w:r>
    </w:p>
    <w:p>
      <w:pPr>
        <w:pStyle w:val="ListBullet"/>
      </w:pPr>
      <w:r>
        <w:rPr>
          <w:b/>
        </w:rPr>
        <w:t>Recomendación:</w:t>
      </w:r>
      <w:r>
        <w:t xml:space="preserve"> Unificar el mensaje en el cap. 3 («la HFNT domiciliaria, añadida a la LTOT, reduce las exacerbaciones en pacientes seleccionados, sin efecto demostrado en la mortalidad; puede considerarse si no se tolera la VMNI; hay ensayos en curso») con referencia cruzada al cap. 4. Sustituir la ref. 775 por 1085-1087 y añadir una viñeta en la Figura 3.17 (Evidencia B).</w:t>
      </w:r>
    </w:p>
    <w:p>
      <w:pPr>
        <w:pStyle w:val="ListBullet"/>
      </w:pPr>
      <w:r>
        <w:rPr>
          <w:b/>
        </w:rPr>
        <w:t>Confianza:</w:t>
      </w:r>
      <w:r>
        <w:t xml:space="preserve"> 4/5</w:t>
      </w:r>
    </w:p>
    <w:p>
      <w:pPr>
        <w:pStyle w:val="Heading4"/>
      </w:pPr>
      <w:r>
        <w:t>COH-11 · Antibióticos y corticoides en la exacerbación: la duración y las indicaciones no coinciden entre key points, figuras y texto</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103 / impr. 92; Fig 4.5-4.6 (PDF 113 / impr. 102); PDF 114-116 / impr. 103-105</w:t>
      </w:r>
    </w:p>
    <w:p>
      <w:pPr>
        <w:pStyle w:val="ListBullet"/>
      </w:pPr>
      <w:r>
        <w:rPr>
          <w:b/>
        </w:rPr>
        <w:t>Cita:</w:t>
      </w:r>
    </w:p>
    <w:p>
      <w:pPr>
        <w:pStyle w:val="ListBullet2"/>
      </w:pPr>
      <w:r>
        <w:t>PDF 116: "The recommended length of antibiotic therapy is 5-7 days.(1060) We recommend a duration of ≤ 5 days of antibiotic treatment for outpatient treatment".</w:t>
      </w:r>
    </w:p>
    <w:p>
      <w:pPr>
        <w:pStyle w:val="ListBullet2"/>
      </w:pPr>
      <w:r>
        <w:t>PDF 103: "Antibiotics are recommended for a total of 5 days".</w:t>
      </w:r>
    </w:p>
    <w:p>
      <w:pPr>
        <w:pStyle w:val="ListBullet"/>
      </w:pPr>
      <w:r>
        <w:rPr>
          <w:b/>
        </w:rPr>
        <w:t>Problema:</w:t>
      </w:r>
    </w:p>
    <w:p>
      <w:pPr>
        <w:pStyle w:val="ListBullet2"/>
      </w:pPr>
      <w:r>
        <w:rPr>
          <w:b/>
        </w:rPr>
        <w:t>Duración de los antibióticos:</w:t>
      </w:r>
      <w:r>
        <w:t xml:space="preserve"> tres versiones (5 días; 5-7 días; ≤5 días en ambulatorios).</w:t>
      </w:r>
    </w:p>
    <w:p>
      <w:pPr>
        <w:pStyle w:val="ListBullet2"/>
      </w:pPr>
      <w:r>
        <w:rPr>
          <w:b/>
        </w:rPr>
        <w:t>Indicaciones de los antibióticos:</w:t>
      </w:r>
      <w:r>
        <w:t xml:space="preserve"> cuatro listas distintas.</w:t>
      </w:r>
    </w:p>
    <w:p>
      <w:pPr>
        <w:pStyle w:val="ListBullet2"/>
      </w:pPr>
      <w:r>
        <w:t>Key points: "purulent sputum, prior history of lung infections, etc." ("prior history of lung infections" no aparece en el texto).</w:t>
      </w:r>
    </w:p>
    <w:p>
      <w:pPr>
        <w:pStyle w:val="ListBullet2"/>
      </w:pPr>
      <w:r>
        <w:t>Fig 4.5: "purulent oral secretions".</w:t>
      </w:r>
    </w:p>
    <w:p>
      <w:pPr>
        <w:pStyle w:val="ListBullet2"/>
      </w:pPr>
      <w:r>
        <w:t>Fig 4.6: "prior positive sputum bacteria culture, or requiring mechanical ventilation".</w:t>
      </w:r>
    </w:p>
    <w:p>
      <w:pPr>
        <w:pStyle w:val="ListBullet2"/>
      </w:pPr>
      <w:r>
        <w:t>Texto (PDF 115): "Have these at least two of these symptoms: increase in dyspnea, fever, sputum volume, and sputum purulence". Incluye la fiebre, que no es un criterio de Anthonisen, y la frase es agramatical.</w:t>
      </w:r>
    </w:p>
    <w:p>
      <w:pPr>
        <w:pStyle w:val="ListBullet2"/>
      </w:pPr>
      <w:r>
        <w:rPr>
          <w:b/>
        </w:rPr>
        <w:t>Corticoides:</w:t>
      </w:r>
      <w:r>
        <w:t xml:space="preserve"> "up to 5 days" (PDF 103) frente a "Duration of therapy 5 days" (Fig 4.6). Además, PDF 114 describe un ensayo con </w:t>
      </w:r>
      <w:r>
        <w:rPr>
          <w:i/>
        </w:rPr>
        <w:t>prednisolone</w:t>
      </w:r>
      <w:r>
        <w:t xml:space="preserve"> y concluye que "prednisone could be safely avoided".</w:t>
      </w:r>
    </w:p>
    <w:p>
      <w:pPr>
        <w:pStyle w:val="ListBullet"/>
      </w:pPr>
      <w:r>
        <w:rPr>
          <w:b/>
        </w:rPr>
        <w:t>Evidencia/justificación:</w:t>
      </w:r>
      <w:r>
        <w:t xml:space="preserve"> contraste literal de PDF 103, 113, 114, 115 y 116.</w:t>
      </w:r>
    </w:p>
    <w:p>
      <w:pPr>
        <w:pStyle w:val="ListBullet"/>
      </w:pPr>
      <w:r>
        <w:rPr>
          <w:b/>
        </w:rPr>
        <w:t>Recomendación:</w:t>
      </w:r>
      <w:r>
        <w:t xml:space="preserve"> fijar una única duración y una única lista de indicaciones (purulencia más otro criterio cardinal, ventilación mecánica o cultivo previo positivo) y repetirlas idénticas en key points, figuras y texto.</w:t>
      </w:r>
    </w:p>
    <w:p>
      <w:pPr>
        <w:pStyle w:val="ListBullet"/>
      </w:pPr>
      <w:r>
        <w:rPr>
          <w:b/>
        </w:rPr>
        <w:t>Confianza:</w:t>
      </w:r>
      <w:r>
        <w:t xml:space="preserve"> 5</w:t>
      </w:r>
    </w:p>
    <w:p>
      <w:pPr>
        <w:pStyle w:val="Heading4"/>
      </w:pPr>
      <w:r>
        <w:t>DX-17 · Riesgo cardiovascular: troponina/BNP «rutinarios» en exacerbaciones no recogidos en el cap. 4; omisión de la señal de daño de BLOCK-COPD</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Incongruencia entre capítulos / Omisión</w:t>
      </w:r>
    </w:p>
    <w:p>
      <w:pPr>
        <w:pStyle w:val="ListBullet"/>
      </w:pPr>
      <w:r>
        <w:rPr>
          <w:b/>
        </w:rPr>
        <w:t>Severidad:</w:t>
      </w:r>
      <w:r>
        <w:t xml:space="preserve"> MEDIA</w:t>
      </w:r>
    </w:p>
    <w:p>
      <w:pPr>
        <w:pStyle w:val="ListBullet"/>
      </w:pPr>
      <w:r>
        <w:rPr>
          <w:b/>
        </w:rPr>
        <w:t>Ubicación:</w:t>
      </w:r>
      <w:r>
        <w:t xml:space="preserve"> PDF 53 / impr. 42. Cotejado con el cap. 4 (PDF 103-122: Fig. 4.2, PDF 107; Figs. 4.5/4.6, PDF 113), el cap. 5 (PDF 127 / impr. 116) y el apéndice 3 (PDF 164 / impr. 153).</w:t>
      </w:r>
    </w:p>
    <w:p>
      <w:pPr>
        <w:pStyle w:val="ListBullet"/>
      </w:pPr>
      <w:r>
        <w:rPr>
          <w:b/>
        </w:rPr>
        <w:t>Cita:</w:t>
      </w:r>
      <w:r>
        <w:t xml:space="preserve"> «It may be advisable to measure routinely during exacerbations markers of CVD, such as troponin and brain-natriuretic peptides.(480,481) The evidence supporting this proposal is still weak…» / «β-blockers and statins… did not show any benefit in clinically stable patients».</w:t>
      </w:r>
    </w:p>
    <w:p>
      <w:pPr>
        <w:pStyle w:val="ListBullet"/>
      </w:pPr>
      <w:r>
        <w:rPr>
          <w:b/>
        </w:rPr>
        <w:t>Problema:</w:t>
      </w:r>
    </w:p>
    <w:p>
      <w:pPr>
        <w:pStyle w:val="ListBullet2"/>
      </w:pPr>
      <w:r>
        <w:rPr>
          <w:b/>
        </w:rPr>
        <w:t>Biomarcadores cardiacos.</w:t>
      </w:r>
      <w:r>
        <w:t xml:space="preserve"> El cap. 4 (evaluación y manejo de exacerbaciones) no menciona la troponina ni el BNP/NT-proBNP en ninguna figura o tabla de evaluación hospitalaria. El clínico que consulte el cap. 4 no encontrará esta propuesta.</w:t>
      </w:r>
    </w:p>
    <w:p>
      <w:pPr>
        <w:pStyle w:val="ListBullet2"/>
      </w:pPr>
      <w:r>
        <w:rPr>
          <w:b/>
        </w:rPr>
        <w:t>β-bloqueantes.</w:t>
      </w:r>
      <w:r>
        <w:t xml:space="preserve"> Decir que «no mostraron beneficio» omite que, en BLOCK-COPD, el metoprolol en pacientes sin indicación cardiovascular aumentó las exacerbaciones graves u hospitalizaciones. El apéndice 3 (PDF 164) sí lo menciona.</w:t>
      </w:r>
    </w:p>
    <w:p>
      <w:pPr>
        <w:pStyle w:val="ListBullet"/>
      </w:pPr>
      <w:r>
        <w:rPr>
          <w:b/>
        </w:rPr>
        <w:t>Evidencia/justificación:</w:t>
      </w:r>
    </w:p>
    <w:p>
      <w:pPr>
        <w:pStyle w:val="ListBullet2"/>
      </w:pPr>
      <w:r>
        <w:t>Dransfield MT et al. NEJM 2019;381:2304-2314 (doi:10.1056/NEJMoa1908142).</w:t>
      </w:r>
    </w:p>
    <w:p>
      <w:pPr>
        <w:pStyle w:val="ListBullet2"/>
      </w:pPr>
      <w:r>
        <w:t xml:space="preserve">Grep en </w:t>
      </w:r>
      <w:r>
        <w:rPr>
          <w:rFonts w:ascii="Consolas" w:hAnsi="Consolas"/>
        </w:rPr>
        <w:t>gold_full.txt</w:t>
      </w:r>
      <w:r>
        <w:t>: sin coincidencias de «troponin», «natriuretic» ni «BNP» en el cap. 4 (PDF 103-122).</w:t>
      </w:r>
    </w:p>
    <w:p>
      <w:pPr>
        <w:pStyle w:val="ListBullet"/>
      </w:pPr>
      <w:r>
        <w:rPr>
          <w:b/>
        </w:rPr>
        <w:t>Recomendación:</w:t>
      </w:r>
    </w:p>
    <w:p>
      <w:pPr>
        <w:pStyle w:val="ListBullet2"/>
      </w:pPr>
      <w:r>
        <w:t>Incorporar a la Fig. 4.2 o 4.5 «considerar troponina y NT-proBNP si hay sospecha de evento cardiovascular o de insuficiencia cardiaca».</w:t>
      </w:r>
    </w:p>
    <w:p>
      <w:pPr>
        <w:pStyle w:val="ListBullet2"/>
      </w:pPr>
      <w:r>
        <w:t>Reformular el punto 3: «sin beneficio y con posible aumento de exacerbaciones graves (metoprolol, BLOCK-COPD) cuando no hay indicación cardiovascular».</w:t>
      </w:r>
    </w:p>
    <w:p>
      <w:pPr>
        <w:pStyle w:val="ListBullet"/>
      </w:pPr>
      <w:r>
        <w:rPr>
          <w:b/>
        </w:rPr>
        <w:t>Confianza:</w:t>
      </w:r>
      <w:r>
        <w:t xml:space="preserve"> 4/5</w:t>
      </w:r>
    </w:p>
    <w:p>
      <w:pPr>
        <w:pStyle w:val="Heading4"/>
      </w:pPr>
      <w:r>
        <w:t>EXA-10 · Evidencia sobre procalcitonina mal representada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115 / impr. 104.</w:t>
      </w:r>
    </w:p>
    <w:p>
      <w:pPr>
        <w:pStyle w:val="ListBullet"/>
      </w:pPr>
      <w:r>
        <w:rPr>
          <w:b/>
        </w:rPr>
        <w:t>Cita:</w:t>
      </w:r>
      <w:r>
        <w:t xml:space="preserve"> "was associated with a higher mortality rate… (1054) Based on these conflicting results at this time we cannot recommend the use of procalcitonin-based protocols… (1055)".</w:t>
      </w:r>
    </w:p>
    <w:p>
      <w:pPr>
        <w:pStyle w:val="ListBullet"/>
      </w:pPr>
      <w:r>
        <w:rPr>
          <w:b/>
        </w:rPr>
        <w:t>Problema:</w:t>
      </w:r>
    </w:p>
    <w:p>
      <w:pPr>
        <w:pStyle w:val="ListBullet2"/>
      </w:pPr>
      <w:r>
        <w:rPr>
          <w:b/>
        </w:rPr>
        <w:t>Daubin 2018 (ref. 1054), ensayo en UCI:</w:t>
      </w:r>
    </w:p>
    <w:p>
      <w:pPr>
        <w:pStyle w:val="ListBullet2"/>
      </w:pPr>
      <w:r>
        <w:t>No alcanzó la no inferioridad: mortalidad a 3 meses 20 % frente a 14 %, diferencia ajustada 6,6 %, IC 90 % −0,3 a 13,5.</w:t>
      </w:r>
    </w:p>
    <w:p>
      <w:pPr>
        <w:pStyle w:val="ListBullet2"/>
      </w:pPr>
      <w:r>
        <w:t>La diferencia significativa solo se observó en el subgrupo sin antibiótico basal (31 % frente a 12 %).</w:t>
      </w:r>
    </w:p>
    <w:p>
      <w:pPr>
        <w:pStyle w:val="ListBullet2"/>
      </w:pPr>
      <w:r>
        <w:t>Tampoco redujo la exposición antibiótica.</w:t>
      </w:r>
    </w:p>
    <w:p>
      <w:r>
        <w:t>Afirmar sin matices "higher mortality" sobreinterpreta el resultado.</w:t>
      </w:r>
    </w:p>
    <w:p>
      <w:pPr>
        <w:pStyle w:val="ListBullet2"/>
      </w:pPr>
      <w:r>
        <w:rPr>
          <w:b/>
        </w:rPr>
        <w:t>Sheng 2025 (ref. 1055, Clin Microbiol Infect; PMID 39662822):</w:t>
      </w:r>
      <w:r>
        <w:t xml:space="preserve"> ensayo aleatorizado positivo en 455 hospitalizados. La prescripción antibiótica fue del 38 % frente al 59 %, el éxito terapéutico no fue inferior (97 % frente a 94 %) y no hubo diferencias en estancia, reingreso, ingreso en UCI ni mortalidad. Se cita como apoyo a "cannot recommend", es decir, en sentido opuesto a su resultado.</w:t>
      </w:r>
    </w:p>
    <w:p>
      <w:pPr>
        <w:pStyle w:val="ListBullet"/>
      </w:pPr>
      <w:r>
        <w:rPr>
          <w:b/>
        </w:rPr>
        <w:t>Evidencia/justificación:</w:t>
      </w:r>
      <w:r>
        <w:t xml:space="preserve"> Daubin C et al., Intensive Care Med 2018 (PMID 29663044); Sheng et al., CMI 2025 (PMID 39662822).</w:t>
      </w:r>
    </w:p>
    <w:p>
      <w:pPr>
        <w:pStyle w:val="ListBullet"/>
      </w:pPr>
      <w:r>
        <w:rPr>
          <w:b/>
        </w:rPr>
        <w:t>Recomendación:</w:t>
      </w:r>
      <w:r>
        <w:t xml:space="preserve"> Reescribir el párrafo:</w:t>
      </w:r>
    </w:p>
    <w:p>
      <w:pPr>
        <w:pStyle w:val="ListBullet2"/>
      </w:pPr>
      <w:r>
        <w:t>En el paciente ambulatorio y en el hospitalizado no crítico, los protocolos guiados por PCT reducen el uso de antibióticos sin peores resultados (incluido Sheng 2025).</w:t>
      </w:r>
    </w:p>
    <w:p>
      <w:pPr>
        <w:pStyle w:val="ListBullet2"/>
      </w:pPr>
      <w:r>
        <w:t>En la UCI, no se recomienda la PCT para decidir no iniciar el antibiótico (Daubin 2018, no inferioridad no demostrada).</w:t>
      </w:r>
    </w:p>
    <w:p>
      <w:pPr>
        <w:pStyle w:val="ListBullet"/>
      </w:pPr>
      <w:r>
        <w:rPr>
          <w:b/>
        </w:rPr>
        <w:t>Confianza:</w:t>
      </w:r>
      <w:r>
        <w:t xml:space="preserve"> 5/5</w:t>
      </w:r>
    </w:p>
    <w:p>
      <w:pPr>
        <w:pStyle w:val="Heading4"/>
      </w:pPr>
      <w:r>
        <w:t>EXA-11 · Duración del tratamiento antibiótico: cifras y referencias inconsistentes</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103 (puntos clave), PDF 113 (Fig. 4.6) y PDF 116 / impr. 105.</w:t>
      </w:r>
    </w:p>
    <w:p>
      <w:pPr>
        <w:pStyle w:val="ListBullet"/>
      </w:pPr>
      <w:r>
        <w:rPr>
          <w:b/>
        </w:rPr>
        <w:t>Cita:</w:t>
      </w:r>
    </w:p>
    <w:p>
      <w:pPr>
        <w:pStyle w:val="ListBullet2"/>
      </w:pPr>
      <w:r>
        <w:t>Puntos clave: "Antibiotics are recommended for a total of 5 days".</w:t>
      </w:r>
    </w:p>
    <w:p>
      <w:pPr>
        <w:pStyle w:val="ListBullet2"/>
      </w:pPr>
      <w:r>
        <w:t>Texto: "recommended length of antibiotic therapy is 5-7 days.(1060) We recommend a duration of ≤ 5 days… outpatient… (1054,1059)".</w:t>
      </w:r>
    </w:p>
    <w:p>
      <w:pPr>
        <w:pStyle w:val="ListBullet2"/>
      </w:pPr>
      <w:r>
        <w:t>Fig. 4.6: "5 days (Evidence B)".</w:t>
      </w:r>
    </w:p>
    <w:p>
      <w:pPr>
        <w:pStyle w:val="ListBullet"/>
      </w:pPr>
      <w:r>
        <w:rPr>
          <w:b/>
        </w:rPr>
        <w:t>Problema:</w:t>
      </w:r>
    </w:p>
    <w:p>
      <w:pPr>
        <w:pStyle w:val="ListBullet2"/>
      </w:pPr>
      <w:r>
        <w:t>Hay tres mensajes distintos: 5 días, 5-7 días y ≤5 días.</w:t>
      </w:r>
    </w:p>
    <w:p>
      <w:pPr>
        <w:pStyle w:val="ListBullet2"/>
      </w:pPr>
      <w:r>
        <w:rPr>
          <w:b/>
        </w:rPr>
        <w:t>Ref. 1060:</w:t>
      </w:r>
      <w:r>
        <w:t xml:space="preserve"> un único ensayo de levofloxacino de 2001 en bronquitis crónica.</w:t>
      </w:r>
    </w:p>
    <w:p>
      <w:pPr>
        <w:pStyle w:val="ListBullet2"/>
      </w:pPr>
      <w:r>
        <w:rPr>
          <w:b/>
        </w:rPr>
        <w:t>Ref. 1054:</w:t>
      </w:r>
      <w:r>
        <w:t xml:space="preserve"> el ensayo de procalcitonina en UCI (Daubin), citado para la duración en el paciente ambulatorio.</w:t>
      </w:r>
    </w:p>
    <w:p>
      <w:pPr>
        <w:pStyle w:val="ListBullet2"/>
      </w:pPr>
      <w:r>
        <w:rPr>
          <w:b/>
        </w:rPr>
        <w:t>Pacientes sin pauta.</w:t>
      </w:r>
      <w:r>
        <w:t xml:space="preserve"> No se da una duración para el hospitalizado ni para el ventilado, que son los que más dudas generan.</w:t>
      </w:r>
    </w:p>
    <w:p>
      <w:pPr>
        <w:pStyle w:val="ListBullet"/>
      </w:pPr>
      <w:r>
        <w:rPr>
          <w:b/>
        </w:rPr>
        <w:t>Evidencia/justificación:</w:t>
      </w:r>
    </w:p>
    <w:p>
      <w:pPr>
        <w:pStyle w:val="ListBullet2"/>
      </w:pPr>
      <w:r>
        <w:t>Llor C et al., Pulm Pharmacol Ther 2022 (ref. 1059): los ciclos cortos (≤5 días) son igual de eficaces.</w:t>
      </w:r>
    </w:p>
    <w:p>
      <w:pPr>
        <w:pStyle w:val="ListBullet2"/>
      </w:pPr>
      <w:r>
        <w:t>Woodhead 2011 (Clin Microbiol Infect, Suppl 6).</w:t>
      </w:r>
    </w:p>
    <w:p>
      <w:pPr>
        <w:pStyle w:val="ListBullet"/>
      </w:pPr>
      <w:r>
        <w:rPr>
          <w:b/>
        </w:rPr>
        <w:t>Recomendación:</w:t>
      </w:r>
    </w:p>
    <w:p>
      <w:pPr>
        <w:pStyle w:val="ListBullet2"/>
      </w:pPr>
      <w:r>
        <w:t xml:space="preserve">Unificar en "5 días en general (ampliable a 7 si la respuesta es lenta, en caso de </w:t>
      </w:r>
      <w:r>
        <w:rPr>
          <w:i/>
        </w:rPr>
        <w:t>Pseudomonas</w:t>
      </w:r>
      <w:r>
        <w:t xml:space="preserve"> o en ventilados)".</w:t>
      </w:r>
    </w:p>
    <w:p>
      <w:pPr>
        <w:pStyle w:val="ListBullet2"/>
      </w:pPr>
      <w:r>
        <w:t>Retirar la ref. 1054 de esta frase y sustituir la 1060 por las revisiones sistemáticas.</w:t>
      </w:r>
    </w:p>
    <w:p>
      <w:pPr>
        <w:pStyle w:val="ListBullet"/>
      </w:pPr>
      <w:r>
        <w:rPr>
          <w:b/>
        </w:rPr>
        <w:t>Confianza:</w:t>
      </w:r>
      <w:r>
        <w:t xml:space="preserve"> 5/5</w:t>
      </w:r>
    </w:p>
    <w:p>
      <w:pPr>
        <w:pStyle w:val="Heading4"/>
      </w:pPr>
      <w:r>
        <w:t>EXA-13 · Corticoides sistémicos: referencias mal usadas, eosinófilos sin umbral y evidencia hospitalaria infravalorada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 / Ambigüedad</w:t>
      </w:r>
    </w:p>
    <w:p>
      <w:pPr>
        <w:pStyle w:val="ListBullet"/>
      </w:pPr>
      <w:r>
        <w:rPr>
          <w:b/>
        </w:rPr>
        <w:t>Severidad:</w:t>
      </w:r>
      <w:r>
        <w:t xml:space="preserve"> MEDIA</w:t>
      </w:r>
    </w:p>
    <w:p>
      <w:pPr>
        <w:pStyle w:val="ListBullet"/>
      </w:pPr>
      <w:r>
        <w:rPr>
          <w:b/>
        </w:rPr>
        <w:t>Ubicación:</w:t>
      </w:r>
      <w:r>
        <w:t xml:space="preserve"> PDF 114 / impr. 103; PDF 103; PDF 113 (Fig. 4.5 y 4.6).</w:t>
      </w:r>
    </w:p>
    <w:p>
      <w:pPr>
        <w:pStyle w:val="ListBullet"/>
      </w:pPr>
      <w:r>
        <w:rPr>
          <w:b/>
        </w:rPr>
        <w:t>Cita:</w:t>
      </w:r>
      <w:r>
        <w:t xml:space="preserve"> "Even short bursts of glucocorticoids are associated with subsequent increased risk of pneumonia, sepsis and death(1034)"; "there is a need for further prospective studies in hospitalized patients".</w:t>
      </w:r>
    </w:p>
    <w:p>
      <w:pPr>
        <w:pStyle w:val="ListBullet"/>
      </w:pPr>
      <w:r>
        <w:rPr>
          <w:b/>
        </w:rPr>
        <w:t>Problema:</w:t>
      </w:r>
    </w:p>
    <w:p>
      <w:pPr>
        <w:pStyle w:val="ListBullet2"/>
      </w:pPr>
      <w:r>
        <w:rPr>
          <w:b/>
        </w:rPr>
        <w:t>Ref. 1034 (Waljee, BMJ 2017;357:j1415):</w:t>
      </w:r>
      <w:r>
        <w:t xml:space="preserve"> estudió adultos de 18-64 años de una base de reclamaciones, no específicamente EPOC, y los desenlaces fueron sepsis, tromboembolismo venoso y fractura, no neumonía ni muerte.</w:t>
      </w:r>
    </w:p>
    <w:p>
      <w:pPr>
        <w:pStyle w:val="ListBullet2"/>
      </w:pPr>
      <w:r>
        <w:rPr>
          <w:b/>
        </w:rPr>
        <w:t>Ref. 445 (Hurst, ECLIPSE, susceptibilidad a exacerbaciones):</w:t>
      </w:r>
      <w:r>
        <w:t xml:space="preserve"> se cita para la eficacia de los corticoides según los eosinófilos.</w:t>
      </w:r>
    </w:p>
    <w:p>
      <w:pPr>
        <w:pStyle w:val="ListBullet2"/>
      </w:pPr>
      <w:r>
        <w:rPr>
          <w:b/>
        </w:rPr>
        <w:t>CORTICO-COP (ref. 1035):</w:t>
      </w:r>
      <w:r>
        <w:t xml:space="preserve"> ensayo en pacientes hospitalizados con pauta guiada por eosinófilos ≥0,3×10⁹/L. Se cita y, a la vez, se afirma que faltan estudios en hospitalizados.</w:t>
      </w:r>
    </w:p>
    <w:p>
      <w:pPr>
        <w:pStyle w:val="ListBullet2"/>
      </w:pPr>
      <w:r>
        <w:rPr>
          <w:b/>
        </w:rPr>
        <w:t>STARR2 (ref. 1036; Lancet Respir Med 2024;12:67-77):</w:t>
      </w:r>
      <w:r>
        <w:t xml:space="preserve"> se omiten detalles esenciales:</w:t>
      </w:r>
    </w:p>
    <w:p>
      <w:pPr>
        <w:pStyle w:val="ListBullet2"/>
      </w:pPr>
      <w:r>
        <w:t>umbral de eosinófilos ≥2 %;</w:t>
      </w:r>
    </w:p>
    <w:p>
      <w:pPr>
        <w:pStyle w:val="ListBullet2"/>
      </w:pPr>
      <w:r>
        <w:t>prednisolona 30 mg × 14 días (no 40 mg × 5);</w:t>
      </w:r>
    </w:p>
    <w:p>
      <w:pPr>
        <w:pStyle w:val="ListBullet2"/>
      </w:pPr>
      <w:r>
        <w:t>todos los pacientes recibieron antibiótico;</w:t>
      </w:r>
    </w:p>
    <w:p>
      <w:pPr>
        <w:pStyle w:val="ListBullet2"/>
      </w:pPr>
      <w:r>
        <w:t>muestra pequeña (144 exacerbaciones) y conversión a no inferioridad tras un error de aleatorización.</w:t>
      </w:r>
    </w:p>
    <w:p>
      <w:pPr>
        <w:pStyle w:val="ListBullet2"/>
      </w:pPr>
      <w:r>
        <w:rPr>
          <w:b/>
        </w:rPr>
        <w:t>Pauta.</w:t>
      </w:r>
      <w:r>
        <w:t xml:space="preserve"> Hay mezcla de "prednisolone/prednisone" y ningún umbral de eosinófilos operativo.</w:t>
      </w:r>
    </w:p>
    <w:p>
      <w:pPr>
        <w:pStyle w:val="ListBullet2"/>
      </w:pPr>
      <w:r>
        <w:rPr>
          <w:b/>
        </w:rPr>
        <w:t>Dosis y duración en las figuras.</w:t>
      </w:r>
      <w:r>
        <w:t xml:space="preserve"> La Fig. 4.5 dice "Consider oral corticosteroids" sin dosis. La Fig. 4.6 dice "5 days (Evidence A)" y los puntos clave "up to 5 days".</w:t>
      </w:r>
    </w:p>
    <w:p>
      <w:pPr>
        <w:pStyle w:val="ListBullet2"/>
      </w:pPr>
      <w:r>
        <w:rPr>
          <w:b/>
        </w:rPr>
        <w:t>Benralizumab (ABRA).</w:t>
      </w:r>
      <w:r>
        <w:t xml:space="preserve"> No se menciona el ensayo ABRA (Lancet Respir Med 2025;13:59-68): en exacerbaciones eosinofílicas, el fracaso terapéutico a 90 días fue del 45 % con benralizumab frente al 74 % con prednisolona. Es relevante para la línea de investigación y de dic-2025.</w:t>
      </w:r>
    </w:p>
    <w:p>
      <w:pPr>
        <w:pStyle w:val="ListBullet"/>
      </w:pPr>
      <w:r>
        <w:rPr>
          <w:b/>
        </w:rPr>
        <w:t>Evidencia/justificación:</w:t>
      </w:r>
    </w:p>
    <w:p>
      <w:pPr>
        <w:pStyle w:val="ListBullet2"/>
      </w:pPr>
      <w:r>
        <w:t>REDUCE (Leuppi, JAMA 2013;309:2223-31): prednisona 40 mg × 5 días.</w:t>
      </w:r>
    </w:p>
    <w:p>
      <w:pPr>
        <w:pStyle w:val="ListBullet2"/>
      </w:pPr>
      <w:r>
        <w:t>CORTICO-COP (Sivapalan, Lancet Respir Med 2019;7:699-709).</w:t>
      </w:r>
    </w:p>
    <w:p>
      <w:pPr>
        <w:pStyle w:val="ListBullet2"/>
      </w:pPr>
      <w:r>
        <w:t>STARR2 (PMID 37924830).</w:t>
      </w:r>
    </w:p>
    <w:p>
      <w:pPr>
        <w:pStyle w:val="ListBullet2"/>
      </w:pPr>
      <w:r>
        <w:t>ABRA (PMID 39615502).</w:t>
      </w:r>
    </w:p>
    <w:p>
      <w:pPr>
        <w:pStyle w:val="ListBullet"/>
      </w:pPr>
      <w:r>
        <w:rPr>
          <w:b/>
        </w:rPr>
        <w:t>Recomendación:</w:t>
      </w:r>
    </w:p>
    <w:p>
      <w:pPr>
        <w:pStyle w:val="ListBullet2"/>
      </w:pPr>
      <w:r>
        <w:t>Explicitar "prednisona 40 mg/día (o equivalente) durante 5 días (REDUCE)" en el texto y en la Fig. 4.5.</w:t>
      </w:r>
    </w:p>
    <w:p>
      <w:pPr>
        <w:pStyle w:val="ListBullet2"/>
      </w:pPr>
      <w:r>
        <w:t>Corregir la descripción de Waljee y retirar la ref. 445.</w:t>
      </w:r>
    </w:p>
    <w:p>
      <w:pPr>
        <w:pStyle w:val="ListBullet2"/>
      </w:pPr>
      <w:r>
        <w:t>Resumir CORTICO-COP y STARR2 con sus umbrales y limitaciones, y precisar el umbral de eosinófilos a partir del cual se puede considerar omitir los corticoides.</w:t>
      </w:r>
    </w:p>
    <w:p>
      <w:pPr>
        <w:pStyle w:val="ListBullet"/>
      </w:pPr>
      <w:r>
        <w:rPr>
          <w:b/>
        </w:rPr>
        <w:t>Confianza:</w:t>
      </w:r>
      <w:r>
        <w:t xml:space="preserve"> 4/5</w:t>
      </w:r>
    </w:p>
    <w:p>
      <w:pPr>
        <w:pStyle w:val="Heading4"/>
      </w:pPr>
      <w:r>
        <w:t>EXA-17 · Tromboembolismo pulmonar: prevalencia mal citada, ausencia de algoritmo diagnóstico y profilaxis con mensajes discordantes</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 / Omisión / Incongruencia interna</w:t>
      </w:r>
    </w:p>
    <w:p>
      <w:pPr>
        <w:pStyle w:val="ListBullet"/>
      </w:pPr>
      <w:r>
        <w:rPr>
          <w:b/>
        </w:rPr>
        <w:t>Severidad:</w:t>
      </w:r>
      <w:r>
        <w:t xml:space="preserve"> MEDIA</w:t>
      </w:r>
    </w:p>
    <w:p>
      <w:pPr>
        <w:pStyle w:val="ListBullet"/>
      </w:pPr>
      <w:r>
        <w:rPr>
          <w:b/>
        </w:rPr>
        <w:t>Ubicación:</w:t>
      </w:r>
      <w:r>
        <w:t xml:space="preserve"> PDF 116 / impr. 105; PDF 108 / impr. 97 (Fig. 4.3); PDF 113 (Fig. 4.5).</w:t>
      </w:r>
    </w:p>
    <w:p>
      <w:pPr>
        <w:pStyle w:val="ListBullet"/>
      </w:pPr>
      <w:r>
        <w:rPr>
          <w:b/>
        </w:rPr>
        <w:t>Cita:</w:t>
      </w:r>
      <w:r>
        <w:t xml:space="preserve"> "up to 5.9% were found to have pulmonary embolism.(950,1064,1065) Prophylactic measures for thromboembolism should be instituted".</w:t>
      </w:r>
    </w:p>
    <w:p>
      <w:pPr>
        <w:pStyle w:val="ListBullet"/>
      </w:pPr>
      <w:r>
        <w:rPr>
          <w:b/>
        </w:rPr>
        <w:t>Problema:</w:t>
      </w:r>
    </w:p>
    <w:p>
      <w:pPr>
        <w:pStyle w:val="ListBullet2"/>
      </w:pPr>
      <w:r>
        <w:rPr>
          <w:b/>
        </w:rPr>
        <w:t>"Up to 5.9 %".</w:t>
      </w:r>
      <w:r>
        <w:t xml:space="preserve"> Corresponde al estudio prospectivo PEP (Couturaud, JAMA 2021, ref. 950), pero se cita junto a dos estudios con prevalencias muy superiores:</w:t>
      </w:r>
    </w:p>
    <w:p>
      <w:pPr>
        <w:pStyle w:val="ListBullet2"/>
      </w:pPr>
      <w:r>
        <w:t>Rizkallah 2009 (ref. 1064, metaanálisis): 19,9 % en conjunto y 24,7 % en hospitalizados.</w:t>
      </w:r>
    </w:p>
    <w:p>
      <w:pPr>
        <w:pStyle w:val="ListBullet2"/>
      </w:pPr>
      <w:r>
        <w:t>Gunen 2010 (ref. 1065): TEP en ≈14 %.</w:t>
      </w:r>
    </w:p>
    <w:p>
      <w:r>
        <w:t>"Up to" es, por tanto, incorrecto.</w:t>
      </w:r>
    </w:p>
    <w:p>
      <w:pPr>
        <w:pStyle w:val="ListBullet2"/>
      </w:pPr>
      <w:r>
        <w:rPr>
          <w:b/>
        </w:rPr>
        <w:t>Diagnóstico.</w:t>
      </w:r>
      <w:r>
        <w:t xml:space="preserve"> La Fig. 4.3 sitúa el TEP entre los diagnósticos "Most frequent", pero no propone ninguna estrategia diagnóstica: no menciona escalas de Wells o Ginebra, ni el dímero D ajustado, ni la angio-TC. Esa estrategia es la que se usó precisamente en el estudio PEP.</w:t>
      </w:r>
    </w:p>
    <w:p>
      <w:pPr>
        <w:pStyle w:val="ListBullet2"/>
      </w:pPr>
      <w:r>
        <w:rPr>
          <w:b/>
        </w:rPr>
        <w:t>Profilaxis.</w:t>
      </w:r>
      <w:r>
        <w:t xml:space="preserve"> El texto dice "should be instituted" y la Fig. 4.5 "Consider".</w:t>
      </w:r>
    </w:p>
    <w:p>
      <w:pPr>
        <w:pStyle w:val="ListBullet2"/>
      </w:pPr>
      <w:r>
        <w:rPr>
          <w:b/>
        </w:rPr>
        <w:t>Ref. 1067 (ACCP 2012) desactualizada:</w:t>
      </w:r>
      <w:r>
        <w:t xml:space="preserve"> existe la guía ASH 2018 (Schünemann, Blood Adv 2018;2:3198-225).</w:t>
      </w:r>
    </w:p>
    <w:p>
      <w:pPr>
        <w:pStyle w:val="ListBullet"/>
      </w:pPr>
      <w:r>
        <w:rPr>
          <w:b/>
        </w:rPr>
        <w:t>Evidencia/justificación:</w:t>
      </w:r>
    </w:p>
    <w:p>
      <w:pPr>
        <w:pStyle w:val="ListBullet2"/>
      </w:pPr>
      <w:r>
        <w:t>Couturaud F et al., JAMA 2021;325:59-68.</w:t>
      </w:r>
    </w:p>
    <w:p>
      <w:pPr>
        <w:pStyle w:val="ListBullet2"/>
      </w:pPr>
      <w:r>
        <w:t>Rizkallah J et al., Chest 2009;135:786-93.</w:t>
      </w:r>
    </w:p>
    <w:p>
      <w:pPr>
        <w:pStyle w:val="ListBullet2"/>
      </w:pPr>
      <w:r>
        <w:t>Gunen H et al., Eur Respir J 2010;35:1243-8.</w:t>
      </w:r>
    </w:p>
    <w:p>
      <w:pPr>
        <w:pStyle w:val="ListBullet"/>
      </w:pPr>
      <w:r>
        <w:rPr>
          <w:b/>
        </w:rPr>
        <w:t>Recomendación:</w:t>
      </w:r>
    </w:p>
    <w:p>
      <w:pPr>
        <w:pStyle w:val="ListBullet2"/>
      </w:pPr>
      <w:r>
        <w:t>Reformular: "5,9 % en el único estudio prospectivo con algoritmo sistemático (PEP); 14-25 % en series y metaanálisis previos con mayor sesgo de selección".</w:t>
      </w:r>
    </w:p>
    <w:p>
      <w:pPr>
        <w:pStyle w:val="ListBullet2"/>
      </w:pPr>
      <w:r>
        <w:t>Añadir en la Fig. 4.3 un algoritmo con probabilidad clínica, dímero D y angio-TC.</w:t>
      </w:r>
    </w:p>
    <w:p>
      <w:pPr>
        <w:pStyle w:val="ListBullet2"/>
      </w:pPr>
      <w:r>
        <w:t>Unificar la profilaxis farmacológica en el hospitalizado sin contraindicación como recomendación firme, citando la guía ASH 2018.</w:t>
      </w:r>
    </w:p>
    <w:p>
      <w:pPr>
        <w:pStyle w:val="ListBullet"/>
      </w:pPr>
      <w:r>
        <w:rPr>
          <w:b/>
        </w:rPr>
        <w:t>Confianza:</w:t>
      </w:r>
      <w:r>
        <w:t xml:space="preserve"> 5/5</w:t>
      </w:r>
    </w:p>
    <w:p>
      <w:pPr>
        <w:pStyle w:val="Heading4"/>
      </w:pPr>
      <w:r>
        <w:t>EXA-20 · Broncodilatadores de acción corta: pauta sin dosis, afirmaciones sin soporte y referencia errónea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Ambigüedad/Claridad / Evidencia mal representada</w:t>
      </w:r>
    </w:p>
    <w:p>
      <w:pPr>
        <w:pStyle w:val="ListBullet"/>
      </w:pPr>
      <w:r>
        <w:rPr>
          <w:b/>
        </w:rPr>
        <w:t>Severidad:</w:t>
      </w:r>
      <w:r>
        <w:t xml:space="preserve"> MEDIA</w:t>
      </w:r>
    </w:p>
    <w:p>
      <w:pPr>
        <w:pStyle w:val="ListBullet"/>
      </w:pPr>
      <w:r>
        <w:rPr>
          <w:b/>
        </w:rPr>
        <w:t>Ubicación:</w:t>
      </w:r>
      <w:r>
        <w:t xml:space="preserve"> PDF 114 / impr. 103.</w:t>
      </w:r>
    </w:p>
    <w:p>
      <w:pPr>
        <w:pStyle w:val="ListBullet"/>
      </w:pPr>
      <w:r>
        <w:rPr>
          <w:b/>
        </w:rPr>
        <w:t>Cita:</w:t>
      </w:r>
      <w:r>
        <w:t xml:space="preserve"> "Patients can receive one dose of nebulized medication every hour for 2-3 doses or use a pMDI one or two puffs every one hour for two or three doses".</w:t>
      </w:r>
    </w:p>
    <w:p>
      <w:pPr>
        <w:pStyle w:val="ListBullet"/>
      </w:pPr>
      <w:r>
        <w:rPr>
          <w:b/>
        </w:rPr>
        <w:t>Problema:</w:t>
      </w:r>
    </w:p>
    <w:p>
      <w:pPr>
        <w:pStyle w:val="ListBullet2"/>
      </w:pPr>
      <w:r>
        <w:rPr>
          <w:b/>
        </w:rPr>
        <w:t>Pauta sin dosis.</w:t>
      </w:r>
      <w:r>
        <w:t xml:space="preserve"> No se dan dosis en mg o µg; por ejemplo, salbutamol 2,5-5 mg nebulizado, o 4-8 inhalaciones de 100 µg con cámara (BTS/NICE).</w:t>
      </w:r>
    </w:p>
    <w:p>
      <w:pPr>
        <w:pStyle w:val="ListBullet2"/>
      </w:pPr>
      <w:r>
        <w:rPr>
          <w:b/>
        </w:rPr>
        <w:t>"One or two puffs" cada hora</w:t>
      </w:r>
      <w:r>
        <w:t xml:space="preserve"> es una dosis claramente infraterapéutica en una exacerbación tratada en urgencias.</w:t>
      </w:r>
    </w:p>
    <w:p>
      <w:pPr>
        <w:pStyle w:val="ListBullet2"/>
      </w:pPr>
      <w:r>
        <w:rPr>
          <w:b/>
        </w:rPr>
        <w:t>Afirmaciones sin soporte:</w:t>
      </w:r>
    </w:p>
    <w:p>
      <w:pPr>
        <w:pStyle w:val="ListBullet2"/>
      </w:pPr>
      <w:r>
        <w:t>"do not receive high doses of SABA due to possible side effects" no lleva referencia.</w:t>
      </w:r>
    </w:p>
    <w:p>
      <w:pPr>
        <w:pStyle w:val="ListBullet2"/>
      </w:pPr>
      <w:r>
        <w:t>Que revefenacina tenga un inicio de acción "similar to albuterol" es discutible: es un LAMA de inicio más lento (Punto debatible).</w:t>
      </w:r>
    </w:p>
    <w:p>
      <w:pPr>
        <w:pStyle w:val="ListBullet2"/>
      </w:pPr>
      <w:r>
        <w:rPr>
          <w:b/>
        </w:rPr>
        <w:t>Ref. 565:</w:t>
      </w:r>
      <w:r>
        <w:t xml:space="preserve"> se cita para la comparación nebulizador frente a pMDI, pero es una revisión sobre cesación tabáquica (véase su uso en PDF 64).</w:t>
      </w:r>
    </w:p>
    <w:p>
      <w:pPr>
        <w:pStyle w:val="ListBullet"/>
      </w:pPr>
      <w:r>
        <w:rPr>
          <w:b/>
        </w:rPr>
        <w:t>Evidencia/justificación:</w:t>
      </w:r>
    </w:p>
    <w:p>
      <w:pPr>
        <w:pStyle w:val="ListBullet2"/>
      </w:pPr>
      <w:r>
        <w:t>NICE NG115 (ref. 1013).</w:t>
      </w:r>
    </w:p>
    <w:p>
      <w:pPr>
        <w:pStyle w:val="ListBullet2"/>
      </w:pPr>
      <w:r>
        <w:t>Revisión Cochrane van Geffen 2016 (CD011826): nebulizador frente a pMDI con cámara sin diferencias claras.</w:t>
      </w:r>
    </w:p>
    <w:p>
      <w:pPr>
        <w:pStyle w:val="ListBullet"/>
      </w:pPr>
      <w:r>
        <w:rPr>
          <w:b/>
        </w:rPr>
        <w:t>Recomendación:</w:t>
      </w:r>
    </w:p>
    <w:p>
      <w:pPr>
        <w:pStyle w:val="ListBullet2"/>
      </w:pPr>
      <w:r>
        <w:t>Dar una pauta con dosis (p. ej., salbutamol 2,5-5 mg nebulizado con aire ± ipratropio 0,5 mg, cada 20 min-1 h al inicio, o 4-8 inhalaciones con cámara).</w:t>
      </w:r>
    </w:p>
    <w:p>
      <w:pPr>
        <w:pStyle w:val="ListBullet2"/>
      </w:pPr>
      <w:r>
        <w:t>Referenciar o suprimir la advertencia sobre "high doses".</w:t>
      </w:r>
    </w:p>
    <w:p>
      <w:pPr>
        <w:pStyle w:val="ListBullet2"/>
      </w:pPr>
      <w:r>
        <w:t>Corregir la ref. 565.</w:t>
      </w:r>
    </w:p>
    <w:p>
      <w:pPr>
        <w:pStyle w:val="ListBullet"/>
      </w:pPr>
      <w:r>
        <w:rPr>
          <w:b/>
        </w:rPr>
        <w:t>Confianza:</w:t>
      </w:r>
      <w:r>
        <w:t xml:space="preserve"> 3/5 (Punto debatible en cuanto a la cinética de revefenacina)</w:t>
      </w:r>
    </w:p>
    <w:p>
      <w:pPr>
        <w:pStyle w:val="Heading4"/>
      </w:pPr>
      <w:r>
        <w:t>COH-13 · Criterios de la oxigenoterapia crónica (LTOT) internamente contradictorios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87 / impr. 76; Fig 3.18 (PDF 89 / impr. 78); key points en PDF 61 / impr. 50 y PDF 92 / impr. 81</w:t>
      </w:r>
    </w:p>
    <w:p>
      <w:pPr>
        <w:pStyle w:val="ListBullet"/>
      </w:pPr>
      <w:r>
        <w:rPr>
          <w:b/>
        </w:rPr>
        <w:t>Cita:</w:t>
      </w:r>
    </w:p>
    <w:p>
      <w:pPr>
        <w:pStyle w:val="ListBullet2"/>
      </w:pPr>
      <w:r>
        <w:t>"The long-term administration of oxygen (&gt; 15 hours per day; LTOT) is indicated…"</w:t>
      </w:r>
    </w:p>
    <w:p>
      <w:pPr>
        <w:pStyle w:val="ListBullet2"/>
      </w:pPr>
      <w:r>
        <w:t>Dos párrafos después: "Thus, the recommendation to use oxygen &gt; 15 hours per day is not supported by newer evidence."</w:t>
      </w:r>
    </w:p>
    <w:p>
      <w:pPr>
        <w:pStyle w:val="ListBullet"/>
      </w:pPr>
      <w:r>
        <w:rPr>
          <w:b/>
        </w:rPr>
        <w:t>Problema:</w:t>
      </w:r>
    </w:p>
    <w:p>
      <w:pPr>
        <w:pStyle w:val="ListNumber"/>
        <w:numPr>
          <w:ilvl w:val="0"/>
          <w:numId w:val="30"/>
        </w:numPr>
      </w:pPr>
      <w:r>
        <w:t>La LTOT se define como &gt;15 h/día y a continuación se dice que eso no tiene apoyo. Lo que el ensayo citado (Ekström) mostró es que 24 h no supera a 15 h.</w:t>
      </w:r>
    </w:p>
    <w:p>
      <w:pPr>
        <w:pStyle w:val="ListNumber"/>
        <w:numPr>
          <w:ilvl w:val="0"/>
          <w:numId w:val="30"/>
        </w:numPr>
      </w:pPr>
      <w:r>
        <w:t>El umbral de saturación es "SaO2 at or below 88%" en el texto y "SaO₂ &lt; 88%" en la Fig 3.18.</w:t>
      </w:r>
    </w:p>
    <w:p>
      <w:pPr>
        <w:pStyle w:val="ListNumber"/>
        <w:numPr>
          <w:ilvl w:val="0"/>
          <w:numId w:val="30"/>
        </w:numPr>
      </w:pPr>
      <w:r>
        <w:t>El segundo criterio usa "SaO2 of 88%", un valor que ya cumple el primer criterio, así que es redundante.</w:t>
      </w:r>
    </w:p>
    <w:p>
      <w:pPr>
        <w:pStyle w:val="ListNumber"/>
        <w:numPr>
          <w:ilvl w:val="0"/>
          <w:numId w:val="30"/>
        </w:numPr>
      </w:pPr>
      <w:r>
        <w:t>El rango de PaO2 es "between 55 and 60" en el texto y "&gt;55 but &lt;60" en la figura.</w:t>
      </w:r>
    </w:p>
    <w:p>
      <w:pPr>
        <w:pStyle w:val="ListNumber"/>
        <w:numPr>
          <w:ilvl w:val="0"/>
          <w:numId w:val="30"/>
        </w:numPr>
      </w:pPr>
      <w:r>
        <w:t>Los key points omiten la SaO2 y usan "cor pulmonale/secondary polycythemia", mientras que el texto dice "pulmonary hypertension, peripheral edema… hematocrit &gt; 55%".</w:t>
      </w:r>
    </w:p>
    <w:p>
      <w:pPr>
        <w:pStyle w:val="ListBullet"/>
      </w:pPr>
      <w:r>
        <w:rPr>
          <w:b/>
        </w:rPr>
        <w:t>Evidencia/justificación:</w:t>
      </w:r>
      <w:r>
        <w:t xml:space="preserve"> lectura directa de PDF 61, 87, 89 y 92.</w:t>
      </w:r>
    </w:p>
    <w:p>
      <w:pPr>
        <w:pStyle w:val="ListBullet"/>
      </w:pPr>
      <w:r>
        <w:rPr>
          <w:b/>
        </w:rPr>
        <w:t>Recomendación:</w:t>
      </w:r>
    </w:p>
    <w:p>
      <w:pPr>
        <w:pStyle w:val="ListBullet2"/>
      </w:pPr>
      <w:r>
        <w:t>Armonizar los operadores y los valores, precisando el valor de SaO2 del segundo criterio (p. ej., 89 %).</w:t>
      </w:r>
    </w:p>
    <w:p>
      <w:pPr>
        <w:pStyle w:val="ListBullet2"/>
      </w:pPr>
      <w:r>
        <w:t>Reescribir la frase de Ekström como "24 h no aporta beneficio frente a 15 h".</w:t>
      </w:r>
    </w:p>
    <w:p>
      <w:pPr>
        <w:pStyle w:val="ListBullet"/>
      </w:pPr>
      <w:r>
        <w:rPr>
          <w:b/>
        </w:rPr>
        <w:t>Confianza:</w:t>
      </w:r>
      <w:r>
        <w:t xml:space="preserve"> 5</w:t>
      </w:r>
    </w:p>
    <w:p>
      <w:pPr>
        <w:pStyle w:val="Heading4"/>
      </w:pPr>
      <w:r>
        <w:t>INT-13 · Oxigenoterapia: la Fig. 3.19 y la PDF 92 destacan «≥ 19 h» mientras la PDF 87 (REDOX) rebaja el umbral a 15 h</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91 / impr. 80 (Fig. 3.19) y PDF 92 / impr. 81, frente a PDF 87 / impr. 76</w:t>
      </w:r>
    </w:p>
    <w:p>
      <w:pPr>
        <w:pStyle w:val="ListBullet"/>
      </w:pPr>
      <w:r>
        <w:rPr>
          <w:b/>
        </w:rPr>
        <w:t>Cita:</w:t>
      </w:r>
      <w:r>
        <w:t xml:space="preserve"> Fig. 3.19: "NOTT: ≥ 19 hours of continuous oxygen vs ≤ 13 hours: 50% reduction". PDF 87: "the recommendation to use oxygen &gt; 15 hours per day is not supported by newer evidence."</w:t>
      </w:r>
    </w:p>
    <w:p>
      <w:pPr>
        <w:pStyle w:val="ListBullet"/>
      </w:pPr>
      <w:r>
        <w:rPr>
          <w:b/>
        </w:rPr>
        <w:t>Problema:</w:t>
      </w:r>
    </w:p>
    <w:p>
      <w:pPr>
        <w:pStyle w:val="ListBullet2"/>
      </w:pPr>
      <w:r>
        <w:t>El capítulo da dos mensajes sobre la dosis horaria. La tabla de mortalidad sugiere una relación dosis-respuesta (≥ 19 h), mientras REDOX no encontró beneficio de 24 h frente a 15 h.</w:t>
      </w:r>
    </w:p>
    <w:p>
      <w:pPr>
        <w:pStyle w:val="ListBullet2"/>
      </w:pPr>
      <w:r>
        <w:t>NOTT comparó O2 «continuo» (uso real medio ≈ 18 h) con O2 nocturno (≈ 12 h). No fue un ensayo de dosis.</w:t>
      </w:r>
    </w:p>
    <w:p>
      <w:pPr>
        <w:pStyle w:val="ListBullet"/>
      </w:pPr>
      <w:r>
        <w:rPr>
          <w:b/>
        </w:rPr>
        <w:t>Evidencia/justificación:</w:t>
      </w:r>
    </w:p>
    <w:p>
      <w:pPr>
        <w:pStyle w:val="ListBullet2"/>
      </w:pPr>
      <w:r>
        <w:t xml:space="preserve">Ekström M et al., </w:t>
      </w:r>
      <w:r>
        <w:rPr>
          <w:b/>
        </w:rPr>
        <w:t>REDOX</w:t>
      </w:r>
      <w:r>
        <w:t xml:space="preserve">, </w:t>
      </w:r>
      <w:r>
        <w:rPr>
          <w:i/>
        </w:rPr>
        <w:t>NEJM</w:t>
      </w:r>
      <w:r>
        <w:t xml:space="preserve"> 2024;391:977-88 (ref. 751).</w:t>
      </w:r>
    </w:p>
    <w:p>
      <w:pPr>
        <w:pStyle w:val="ListBullet2"/>
      </w:pPr>
      <w:r>
        <w:t xml:space="preserve">NOTT Group, </w:t>
      </w:r>
      <w:r>
        <w:rPr>
          <w:i/>
        </w:rPr>
        <w:t>Ann Intern Med</w:t>
      </w:r>
      <w:r>
        <w:t xml:space="preserve"> 1980 (ref. 783).</w:t>
      </w:r>
    </w:p>
    <w:p>
      <w:pPr>
        <w:pStyle w:val="ListBullet"/>
      </w:pPr>
      <w:r>
        <w:rPr>
          <w:b/>
        </w:rPr>
        <w:t>Recomendación:</w:t>
      </w:r>
      <w:r>
        <w:t xml:space="preserve"> Añadir a la Fig. 3.19 una nota: «REDOX 2024: 24 h/día no superior a 15 h/día en hospitalización o muerte a 1 año; objetivo ≥ 15 h/día». Así se armoniza con la PDF 87.</w:t>
      </w:r>
    </w:p>
    <w:p>
      <w:pPr>
        <w:pStyle w:val="ListBullet"/>
      </w:pPr>
      <w:r>
        <w:rPr>
          <w:b/>
        </w:rPr>
        <w:t>Confianza:</w:t>
      </w:r>
      <w:r>
        <w:t xml:space="preserve"> 5/5</w:t>
      </w:r>
    </w:p>
    <w:p>
      <w:pPr>
        <w:pStyle w:val="Heading4"/>
      </w:pPr>
      <w:r>
        <w:t>REH-06 · «LTOT (&gt; 15 h/día)» contradicho en el mismo apartado por la lectura de REDOX</w:t>
      </w:r>
    </w:p>
    <w:p>
      <w:r>
        <w:rPr>
          <w:i/>
        </w:rPr>
        <w:t xml:space="preserve">Severidad final: </w:t>
      </w:r>
      <w:r>
        <w:rPr>
          <w:i/>
          <w:color w:val="FFC000"/>
        </w:rPr>
        <w:t>🟡</w:t>
      </w:r>
      <w:r>
        <w:rPr>
          <w:i/>
        </w:rPr>
        <w:t xml:space="preserve"> MEDIA · Tema T12: Oxigenoterapia crónica domiciliaria (LTOT)</w:t>
      </w:r>
    </w:p>
    <w:p>
      <w:pPr>
        <w:pStyle w:val="IntenseQuote"/>
      </w:pPr>
      <w:r>
        <w:rPr>
          <w:b/>
        </w:rPr>
        <w:t>Verificación independiente (CONFIRMADO):</w:t>
      </w:r>
      <w:r>
        <w:t xml:space="preserve"> Es una ambigüedad (admite la lectura «no hace falta más de 15 h»), no una contradicción frontal. Rebajar de ALTA a MEDIA. | Definir la LTOT como «≥15 h/día». Reescribir así: «24 h/día no aporta beneficio adicional frente a 15 h/día (REDOX)». Matiz: la incoherencia es real, pero de redacción. La guía mantiene las indicaciones de la LTOT, así que el riesgo de que se lea «la LTOT ya no está indicada» es bajo. Por eso rebajo la severidad.</w:t>
      </w:r>
    </w:p>
    <w:p>
      <w:pPr>
        <w:pStyle w:val="IntenseQuote"/>
      </w:pPr>
      <w:r>
        <w:rPr>
          <w:b/>
        </w:rPr>
        <w:t>Severidad ajustada en la consolidación:</w:t>
      </w:r>
      <w:r>
        <w:t xml:space="preserve"> ALTA → MEDIA</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r>
        <w:t xml:space="preserve"> PDF 87 / impr. 76 — cap. 3, «Oxygen therapy».</w:t>
      </w:r>
    </w:p>
    <w:p>
      <w:pPr>
        <w:pStyle w:val="ListBullet"/>
      </w:pPr>
      <w:r>
        <w:rPr>
          <w:b/>
        </w:rPr>
        <w:t>Cita:</w:t>
      </w:r>
      <w:r>
        <w:t xml:space="preserve"> «The long-term administration of oxygen (&gt; 15 hours per day; LTOT)…» y, cuatro líneas después: «Thus, the recommendation to use oxygen &gt; 15 hours per day is not supported by newer evidence.»</w:t>
      </w:r>
    </w:p>
    <w:p>
      <w:pPr>
        <w:pStyle w:val="ListBullet"/>
      </w:pPr>
      <w:r>
        <w:rPr>
          <w:b/>
        </w:rPr>
        <w:t>Problema:</w:t>
      </w:r>
      <w:r>
        <w:t xml:space="preserve"> El mismo párrafo define la LTOT como &gt; 15 h/día y luego dice que usar &gt; 15 h/día «no está respaldado». La frase puede leerse como «limitar el O2 a ≤ 15 h» o como «la LTOT ya no está indicada», ninguna de las cuales es correcta. REDOX comparó 24 h frente a 15 h. No demostró beneficio adicional de 24 h, pero tampoco cuestionó la recomendación de un uso mínimo de 15 h/día.</w:t>
      </w:r>
    </w:p>
    <w:p>
      <w:pPr>
        <w:pStyle w:val="ListBullet"/>
      </w:pPr>
      <w:r>
        <w:rPr>
          <w:b/>
        </w:rPr>
        <w:t>Evidencia/justificación:</w:t>
      </w:r>
      <w:r>
        <w:t xml:space="preserve"> Ekström M et al., REDOX, N Engl J Med 2024;391:977-988 (ref. 751; PMID 39254466). Hospitalización o muerte a 1 año: 64,1 % frente a 63,7 %; HR 0,99 (0,72-1,36). La población era mayoritariamente con EPOC, con registro nacional sueco y seguimiento de 12 meses. NOTT (Ann Intern Med 1980;93:391-398) y MRC (Lancet 1981) sustentan el mínimo de ~15 h/día.</w:t>
      </w:r>
    </w:p>
    <w:p>
      <w:pPr>
        <w:pStyle w:val="ListBullet"/>
      </w:pPr>
      <w:r>
        <w:rPr>
          <w:b/>
        </w:rPr>
        <w:t>Recomendación:</w:t>
      </w:r>
      <w:r>
        <w:t xml:space="preserve"> Definir la LTOT como «≥ 15 h/día» y reescribir: «prescribir ≥ 15 h/día; no se ha demostrado beneficio adicional de 24 h/día frente a 15 h/día (REDOX) en hospitalización o muerte a 1 año; el uso más prolongado puede individualizarse según síntomas o preferencias». Mencionar las limitaciones de REDOX (no ciego, seguimiento de 1 año, potencia limitada para mortalidad).</w:t>
      </w:r>
    </w:p>
    <w:p>
      <w:pPr>
        <w:pStyle w:val="ListBullet"/>
      </w:pPr>
      <w:r>
        <w:rPr>
          <w:b/>
        </w:rPr>
        <w:t>Confianza:</w:t>
      </w:r>
      <w:r>
        <w:t xml:space="preserve"> 5/5</w:t>
      </w:r>
    </w:p>
    <w:p>
      <w:pPr>
        <w:pStyle w:val="Heading4"/>
      </w:pPr>
      <w:r>
        <w:t>REH-08 · Faltan el O2 nocturno aislado (INOX) y el O2 ambulatorio/portátil</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87-88 / impr. 76-77 — «Oxygen therapy»; Figura 3.17.</w:t>
      </w:r>
    </w:p>
    <w:p>
      <w:pPr>
        <w:pStyle w:val="ListBullet"/>
      </w:pPr>
      <w:r>
        <w:rPr>
          <w:b/>
        </w:rPr>
        <w:t>Cita:</w:t>
      </w:r>
      <w:r>
        <w:t xml:space="preserve"> «In patients with moderate resting or exercise-induced arterial oxygen desaturation LTOT does not lengthen time to death or first hospitalization… (752)»</w:t>
      </w:r>
    </w:p>
    <w:p>
      <w:pPr>
        <w:pStyle w:val="ListBullet"/>
      </w:pPr>
      <w:r>
        <w:rPr>
          <w:b/>
        </w:rPr>
        <w:t>Problema:</w:t>
      </w:r>
      <w:r>
        <w:t xml:space="preserve"> No se aborda la desaturación nocturna aislada, ni se cita el ensayo INOX. Tampoco hay recomendación sobre O2 ambulatorio o portátil (concentradores portátiles, flujo pulsado frente a continuo, titulación con la prueba de marcha de 6 minutos), aunque se cita la guía ATS 2020 (ref. 754), que sí la formula. El clínico se queda sin orientación en dos situaciones muy frecuentes.</w:t>
      </w:r>
    </w:p>
    <w:p>
      <w:pPr>
        <w:pStyle w:val="ListBullet"/>
      </w:pPr>
      <w:r>
        <w:rPr>
          <w:b/>
        </w:rPr>
        <w:t>Evidencia/justificación:</w:t>
      </w:r>
    </w:p>
    <w:p>
      <w:pPr>
        <w:pStyle w:val="ListBullet2"/>
      </w:pPr>
      <w:r>
        <w:t>Lacasse Y et al., INOX, N Engl J Med 2020;383:1129-1138 (doi:10.1056/NEJMoa2013219): el O2 nocturno en desaturación nocturna aislada no reduce mortalidad ni progresión a LTOT. No figura en las referencias de GOLD.</w:t>
      </w:r>
    </w:p>
    <w:p>
      <w:pPr>
        <w:pStyle w:val="ListBullet2"/>
      </w:pPr>
      <w:r>
        <w:t>Jacobs SS et al., guía ATS 2020 de oxígeno domiciliario, Am J Respir Crit Care Med 2020;202:e121-e141 (ref. 754): sugiere O2 ambulatorio en la hipoxemia grave de esfuerzo (recomendación condicional) y no prescribirlo en la desaturación moderada de esfuerzo.</w:t>
      </w:r>
    </w:p>
    <w:p>
      <w:pPr>
        <w:pStyle w:val="ListBullet"/>
      </w:pPr>
      <w:r>
        <w:rPr>
          <w:b/>
        </w:rPr>
        <w:t>Recomendación:</w:t>
      </w:r>
      <w:r>
        <w:t xml:space="preserve"> Añadir: «no se recomienda O2 nocturno aislado en la desaturación nocturna sin hipoxemia diurna (INOX); descartar SAOS/hipoventilación». Añadir también: «en la desaturación grave de esfuerzo puede considerarse O2 ambulatorio tras titulación con prueba de marcha, con reevaluación del beneficio sintomático (ATS 2020, condicional)». Incluir ambos puntos en la Figura 3.17.</w:t>
      </w:r>
    </w:p>
    <w:p>
      <w:pPr>
        <w:pStyle w:val="ListBullet"/>
      </w:pPr>
      <w:r>
        <w:rPr>
          <w:b/>
        </w:rPr>
        <w:t>Confianza:</w:t>
      </w:r>
      <w:r>
        <w:t xml:space="preserve"> 4/5</w:t>
      </w:r>
    </w:p>
    <w:p>
      <w:pPr>
        <w:pStyle w:val="Heading4"/>
      </w:pPr>
      <w:r>
        <w:t>REH-09 · Seguridad de la oxigenoterapia domiciliaria: tabaquismo activo, incendios y quemaduras no mencionados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87-89 / impr. 76-78 — «Oxygen therapy» y Figura 3.18. La búsqueda en </w:t>
      </w:r>
      <w:r>
        <w:rPr>
          <w:rFonts w:ascii="Consolas" w:hAnsi="Consolas"/>
        </w:rPr>
        <w:t>gold_full.txt</w:t>
      </w:r>
      <w:r>
        <w:t xml:space="preserve"> de «fire/burn» en contexto de oxígeno no devuelve resultados.</w:t>
      </w:r>
    </w:p>
    <w:p>
      <w:pPr>
        <w:pStyle w:val="ListBullet"/>
      </w:pPr>
      <w:r>
        <w:rPr>
          <w:b/>
        </w:rPr>
        <w:t>Cita:</w:t>
      </w:r>
      <w:r>
        <w:t xml:space="preserve"> «Prescribe supplemental oxygen and titrate to keep SaO2 ≥ 90%» (la figura no incluye ninguna consideración de seguridad).</w:t>
      </w:r>
    </w:p>
    <w:p>
      <w:pPr>
        <w:pStyle w:val="ListBullet"/>
      </w:pPr>
      <w:r>
        <w:rPr>
          <w:b/>
        </w:rPr>
        <w:t>Problema:</w:t>
      </w:r>
      <w:r>
        <w:t xml:space="preserve"> No se exige una evaluación de riesgos antes de prescribir O2 a un fumador activo o a un conviviente fumador (quemaduras faciales, incendios domésticos), ni se mencionan el riesgo de caídas con los tubos o la educación sobre el uso seguro. Es un aspecto de seguridad del paciente y de terceros.</w:t>
      </w:r>
    </w:p>
    <w:p>
      <w:pPr>
        <w:pStyle w:val="ListBullet"/>
      </w:pPr>
      <w:r>
        <w:rPr>
          <w:b/>
        </w:rPr>
        <w:t>Evidencia/justificación:</w:t>
      </w:r>
      <w:r>
        <w:t xml:space="preserve"> Hardinge 2015 (BTS) recomienda una evaluación formal de riesgos (tabaquismo, riesgo de incendio, caídas) antes de prescribir oxigenoterapia domiciliaria y advierte del riesgo de quemaduras e incendios con el tabaquismo activo.</w:t>
      </w:r>
    </w:p>
    <w:p>
      <w:pPr>
        <w:pStyle w:val="ListBullet"/>
      </w:pPr>
      <w:r>
        <w:rPr>
          <w:b/>
        </w:rPr>
        <w:t>Recomendación:</w:t>
      </w:r>
      <w:r>
        <w:t xml:space="preserve"> Añadir a la Figura 3.18 un paso previo («evaluación de riesgos: tabaquismo activo propio o de convivientes, riesgo de caídas, capacidad de uso») y una frase en el texto con apoyo a la cesación tabáquica antes de la prescripción.</w:t>
      </w:r>
    </w:p>
    <w:p>
      <w:pPr>
        <w:pStyle w:val="ListBullet"/>
      </w:pPr>
      <w:r>
        <w:rPr>
          <w:b/>
        </w:rPr>
        <w:t>Confianza:</w:t>
      </w:r>
      <w:r>
        <w:t xml:space="preserve"> 4/5</w:t>
      </w:r>
    </w:p>
    <w:p>
      <w:pPr>
        <w:pStyle w:val="Heading4"/>
      </w:pPr>
      <w:r>
        <w:t>REH-10 · Recomendaciones para viajes aéreos desactualizadas e incompletas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Desactualización / Ambigüedad</w:t>
      </w:r>
    </w:p>
    <w:p>
      <w:pPr>
        <w:pStyle w:val="ListBullet"/>
      </w:pPr>
      <w:r>
        <w:rPr>
          <w:b/>
        </w:rPr>
        <w:t>Severidad:</w:t>
      </w:r>
      <w:r>
        <w:t xml:space="preserve"> MEDIA</w:t>
      </w:r>
    </w:p>
    <w:p>
      <w:pPr>
        <w:pStyle w:val="ListBullet"/>
      </w:pPr>
      <w:r>
        <w:rPr>
          <w:b/>
        </w:rPr>
        <w:t>Ubicación:</w:t>
      </w:r>
      <w:r>
        <w:t xml:space="preserve"> PDF 88 / impr. 77 — texto tras la Figura 3.17; Figura 3.17 (Evidencia C).</w:t>
      </w:r>
    </w:p>
    <w:p>
      <w:pPr>
        <w:pStyle w:val="ListBullet"/>
      </w:pPr>
      <w:r>
        <w:rPr>
          <w:b/>
        </w:rPr>
        <w:t>Cita:</w:t>
      </w:r>
      <w:r>
        <w:t xml:space="preserve"> «…supplementary oxygen at 3 liters/min by nasal cannula or 31% by Venturi facemask.(757) Those with a resting oxygen saturation &gt; 95% and 6MWD oxygen saturation &gt; 84% may travel without further assessment,(758)»</w:t>
      </w:r>
    </w:p>
    <w:p>
      <w:pPr>
        <w:pStyle w:val="ListBullet"/>
      </w:pPr>
      <w:r>
        <w:rPr>
          <w:b/>
        </w:rPr>
        <w:t>Problema:</w:t>
      </w:r>
    </w:p>
    <w:p>
      <w:pPr>
        <w:pStyle w:val="ListBullet2"/>
      </w:pPr>
      <w:r>
        <w:t>Se apoya en la guía BTS 2011 (ref. 756) y en un estudio de 1992 (ref. 757). La mascarilla Venturi al 31 % no es aplicable a bordo, donde se usan concentradores portátiles con flujo pulsado.</w:t>
      </w:r>
    </w:p>
    <w:p>
      <w:pPr>
        <w:pStyle w:val="ListBullet2"/>
      </w:pPr>
      <w:r>
        <w:t>Solo se describe una rama del algoritmo de Edvardsen: falta qué hacer con SpO2 92-95 % o SpO2 en esfuerzo ≤ 84 % (prueba de hipoxia simulada).</w:t>
      </w:r>
    </w:p>
    <w:p>
      <w:pPr>
        <w:pStyle w:val="ListBullet2"/>
      </w:pPr>
      <w:r>
        <w:t xml:space="preserve">No se dice explícitamente que </w:t>
      </w:r>
      <w:r>
        <w:rPr>
          <w:b/>
        </w:rPr>
        <w:t>los usuarios de LTOT necesitan O2 durante el vuelo</w:t>
      </w:r>
      <w:r>
        <w:t>, habitualmente con mayor flujo que el basal, ni se mencionan la equivalencia entre flujo continuo y pulsado o la planificación con la aerolínea.</w:t>
      </w:r>
    </w:p>
    <w:p>
      <w:pPr>
        <w:pStyle w:val="ListBullet"/>
      </w:pPr>
      <w:r>
        <w:rPr>
          <w:b/>
        </w:rPr>
        <w:t>Evidencia/justificación:</w:t>
      </w:r>
      <w:r>
        <w:t xml:space="preserve"> Coker RK et al., declaración clínica de la BTS sobre viajes aéreos, Thorax 2022;77:329-350 (doi:10.1136/thoraxjnl-2021-218110). Sustituye a la de 2011 y propone una evaluación estructurada (incluida la prueba de hipoxia simulada) y el aumento del flujo en vuelo para los usuarios de LTOT. Los detalles numéricos deben comprobarse en el texto original.</w:t>
      </w:r>
    </w:p>
    <w:p>
      <w:pPr>
        <w:pStyle w:val="ListBullet"/>
      </w:pPr>
      <w:r>
        <w:rPr>
          <w:b/>
        </w:rPr>
        <w:t>Recomendación:</w:t>
      </w:r>
      <w:r>
        <w:t xml:space="preserve"> Actualizar a la BTS 2022 e incluir un mini-algoritmo: usuarios de LTOT → O2 en vuelo con flujo aumentado; SpO2 en reposo &gt; 95 % → bajo riesgo; casos intermedios → prueba de hipoxia simulada o valoración especializada. Sustituir la Venturi por las opciones disponibles a bordo (concentradores portátiles aprobados).</w:t>
      </w:r>
    </w:p>
    <w:p>
      <w:pPr>
        <w:pStyle w:val="ListBullet"/>
      </w:pPr>
      <w:r>
        <w:rPr>
          <w:b/>
        </w:rPr>
        <w:t>Confianza:</w:t>
      </w:r>
      <w:r>
        <w:t xml:space="preserve"> 4/5</w:t>
      </w:r>
    </w:p>
    <w:p>
      <w:pPr>
        <w:pStyle w:val="Heading4"/>
      </w:pPr>
      <w:r>
        <w:t>INT-12 · VNI domiciliaria: se atribuye a McEvoy 2009 («higher IPAP levels») un resultado que no muestra</w:t>
      </w:r>
    </w:p>
    <w:p>
      <w:r>
        <w:rPr>
          <w:i/>
        </w:rPr>
        <w:t xml:space="preserve">Severidad final: </w:t>
      </w:r>
      <w:r>
        <w:rPr>
          <w:i/>
          <w:color w:val="FFC000"/>
        </w:rPr>
        <w:t>🟡</w:t>
      </w:r>
      <w:r>
        <w:rPr>
          <w:i/>
        </w:rPr>
        <w:t xml:space="preserve"> MEDIA · Tema T13: Ventilación no invasiva domiciliaria</w:t>
      </w:r>
    </w:p>
    <w:p>
      <w:pPr>
        <w:pStyle w:val="ListBullet"/>
      </w:pPr>
      <w:r>
        <w:rPr>
          <w:b/>
        </w:rPr>
        <w:t>Tipo:</w:t>
      </w:r>
      <w:r>
        <w:t xml:space="preserve"> Evidencia mal representada (cita)</w:t>
      </w:r>
    </w:p>
    <w:p>
      <w:pPr>
        <w:pStyle w:val="ListBullet"/>
      </w:pPr>
      <w:r>
        <w:rPr>
          <w:b/>
        </w:rPr>
        <w:t>Severidad:</w:t>
      </w:r>
      <w:r>
        <w:t xml:space="preserve"> MEDIA</w:t>
      </w:r>
    </w:p>
    <w:p>
      <w:pPr>
        <w:pStyle w:val="ListBullet"/>
      </w:pPr>
      <w:r>
        <w:rPr>
          <w:b/>
        </w:rPr>
        <w:t>Ubicación:</w:t>
      </w:r>
      <w:r>
        <w:t xml:space="preserve"> PDF 92 / impr. 81 — «Non-invasive positive pressure ventilation»; PDF 91 / impr. 80 — Fig. 3.19</w:t>
      </w:r>
    </w:p>
    <w:p>
      <w:pPr>
        <w:pStyle w:val="ListBullet"/>
      </w:pPr>
      <w:r>
        <w:rPr>
          <w:b/>
        </w:rPr>
        <w:t>Cita:</w:t>
      </w:r>
      <w:r>
        <w:t xml:space="preserve"> "larger trials with mortality as the primary outcome that enrolled patients with marked hypercapnia and applying higher IPAP levels demonstrated a reduction of mortality.(768,787)"</w:t>
      </w:r>
    </w:p>
    <w:p>
      <w:pPr>
        <w:pStyle w:val="ListBullet"/>
      </w:pPr>
      <w:r>
        <w:rPr>
          <w:b/>
        </w:rPr>
        <w:t>Problema:</w:t>
      </w:r>
    </w:p>
    <w:p>
      <w:pPr>
        <w:pStyle w:val="ListBullet2"/>
      </w:pPr>
      <w:r>
        <w:rPr>
          <w:b/>
        </w:rPr>
        <w:t>McEvoy 2009 (ref. 787) no encaja en esa descripción.</w:t>
      </w:r>
      <w:r>
        <w:t xml:space="preserve"> Usó IPAP </w:t>
      </w:r>
      <w:r>
        <w:rPr>
          <w:b/>
        </w:rPr>
        <w:t>bajas</w:t>
      </w:r>
      <w:r>
        <w:t xml:space="preserve"> (≈ 13 cmH2O) y la hipercapnia no era marcada en todos los pacientes. El beneficio en supervivencia solo apareció en el análisis ajustado, con empeoramiento de algunas dimensiones de calidad de vida.</w:t>
      </w:r>
    </w:p>
    <w:p>
      <w:pPr>
        <w:pStyle w:val="ListBullet2"/>
      </w:pPr>
      <w:r>
        <w:rPr>
          <w:b/>
        </w:rPr>
        <w:t>Solo Köhnlein 2014 (ref. 768) cumple «IPAP alta / hipercapnia marcada»</w:t>
      </w:r>
      <w:r>
        <w:t>, con una IPAP media de ≈ 21,6 cmH2O.</w:t>
      </w:r>
    </w:p>
    <w:p>
      <w:pPr>
        <w:pStyle w:val="ListBullet2"/>
      </w:pPr>
      <w:r>
        <w:rPr>
          <w:b/>
        </w:rPr>
        <w:t>Falta HOT-HMV</w:t>
      </w:r>
      <w:r>
        <w:t xml:space="preserve"> (Murphy 2017, </w:t>
      </w:r>
      <w:r>
        <w:rPr>
          <w:i/>
        </w:rPr>
        <w:t>JAMA</w:t>
      </w:r>
      <w:r>
        <w:t>), relevante para la VNI tras una exacerbación hipercápnica. Su desenlace fue combinado (reingreso o muerte), no la mortalidad sola.</w:t>
      </w:r>
    </w:p>
    <w:p>
      <w:pPr>
        <w:pStyle w:val="ListBullet"/>
      </w:pPr>
      <w:r>
        <w:rPr>
          <w:b/>
        </w:rPr>
        <w:t>Evidencia/justificación:</w:t>
      </w:r>
    </w:p>
    <w:p>
      <w:pPr>
        <w:pStyle w:val="ListBullet2"/>
      </w:pPr>
      <w:r>
        <w:t xml:space="preserve">McEvoy RD et al., </w:t>
      </w:r>
      <w:r>
        <w:rPr>
          <w:i/>
        </w:rPr>
        <w:t>Thorax</w:t>
      </w:r>
      <w:r>
        <w:t xml:space="preserve"> 2009;64:561-6.</w:t>
      </w:r>
    </w:p>
    <w:p>
      <w:pPr>
        <w:pStyle w:val="ListBullet2"/>
      </w:pPr>
      <w:r>
        <w:t xml:space="preserve">Köhnlein T et al., </w:t>
      </w:r>
      <w:r>
        <w:rPr>
          <w:i/>
        </w:rPr>
        <w:t>Lancet Respir Med</w:t>
      </w:r>
      <w:r>
        <w:t xml:space="preserve"> 2014;2:698-705.</w:t>
      </w:r>
    </w:p>
    <w:p>
      <w:pPr>
        <w:pStyle w:val="ListBullet2"/>
      </w:pPr>
      <w:r>
        <w:t xml:space="preserve">Murphy PB et al., </w:t>
      </w:r>
      <w:r>
        <w:rPr>
          <w:i/>
        </w:rPr>
        <w:t>JAMA</w:t>
      </w:r>
      <w:r>
        <w:t xml:space="preserve"> 2017;317:2177-86.</w:t>
      </w:r>
    </w:p>
    <w:p>
      <w:pPr>
        <w:pStyle w:val="ListBullet"/>
      </w:pPr>
      <w:r>
        <w:rPr>
          <w:b/>
        </w:rPr>
        <w:t>Recomendación:</w:t>
      </w:r>
      <w:r>
        <w:t xml:space="preserve"> Reescribir así: «Un ECA con VNI de alta intensidad en hipercapnia marcada (Köhnlein 2014) redujo la mortalidad a 1 año; un ECA previo con presiones bajas mostró beneficio solo en el análisis ajustado (McEvoy 2009)». Añadir HOT-HMV, con una remisión cruzada a la sección de ventilación.</w:t>
      </w:r>
    </w:p>
    <w:p>
      <w:pPr>
        <w:pStyle w:val="ListBullet"/>
      </w:pPr>
      <w:r>
        <w:rPr>
          <w:b/>
        </w:rPr>
        <w:t>Confianza:</w:t>
      </w:r>
      <w:r>
        <w:t xml:space="preserve"> 4/5</w:t>
      </w:r>
    </w:p>
    <w:p>
      <w:pPr>
        <w:pStyle w:val="Heading4"/>
      </w:pPr>
      <w:r>
        <w:t>EQ-14 · Oxigenoterapia y cuidados paliativos: no se tiene en cuenta la altitud ni el acceso</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p>
    <w:p>
      <w:pPr>
        <w:pStyle w:val="ListBullet2"/>
      </w:pPr>
      <w:r>
        <w:t>PDF 87-88 / impr. 76-77 (OCD).</w:t>
      </w:r>
    </w:p>
    <w:p>
      <w:pPr>
        <w:pStyle w:val="ListBullet2"/>
      </w:pPr>
      <w:r>
        <w:t>PDF 137 / impr. 126 (altitud).</w:t>
      </w:r>
    </w:p>
    <w:p>
      <w:pPr>
        <w:pStyle w:val="ListBullet2"/>
      </w:pPr>
      <w:r>
        <w:t>PDF 93 / impr. 82 (morfina para la disnea).</w:t>
      </w:r>
    </w:p>
    <w:p>
      <w:pPr>
        <w:pStyle w:val="ListBullet"/>
      </w:pPr>
      <w:r>
        <w:rPr>
          <w:b/>
        </w:rPr>
        <w:t>Cita:</w:t>
      </w:r>
      <w:r>
        <w:t xml:space="preserve"> "living at high altitude (e.g., Denver, Colorado, USA)" (PDF 137 — la única mención de altitud en todo el texto principal).</w:t>
      </w:r>
    </w:p>
    <w:p>
      <w:pPr>
        <w:pStyle w:val="ListBullet"/>
      </w:pPr>
      <w:r>
        <w:rPr>
          <w:b/>
        </w:rPr>
        <w:t>Problema:</w:t>
      </w:r>
    </w:p>
    <w:p>
      <w:pPr>
        <w:pStyle w:val="ListBullet2"/>
      </w:pPr>
      <w:r>
        <w:t>Los criterios de OCD (PaO2 ≤ 55 mmHg o saturación ≤ 88 %) se dan sin ninguna indicación sobre cómo interpretarlos a gran altitud. Grandes poblaciones viven a más de 2.500 m (La Paz, Quito, Bogotá, Adís Abeba, Altiplano andino, Tíbet), con valores normales de PaO2 y SpO2 más bajos. El único ejemplo de altitud es Denver (~1.600 m).</w:t>
      </w:r>
    </w:p>
    <w:p>
      <w:pPr>
        <w:pStyle w:val="ListBullet2"/>
      </w:pPr>
      <w:r>
        <w:t>No se menciona el acceso al oxígeno: concentradores frente a bombonas, dependencia eléctrica, coste de bolsillo o coste para el sistema.</w:t>
      </w:r>
    </w:p>
    <w:p>
      <w:pPr>
        <w:pStyle w:val="ListBullet2"/>
      </w:pPr>
      <w:r>
        <w:t>Recomienda la morfina para la disnea refractaria sin mencionar las barreras de acceso a opioides en la mayoría de los LMIC.</w:t>
      </w:r>
    </w:p>
    <w:p>
      <w:pPr>
        <w:pStyle w:val="ListBullet"/>
      </w:pPr>
      <w:r>
        <w:rPr>
          <w:b/>
        </w:rPr>
        <w:t>Evidencia/justificación:</w:t>
      </w:r>
    </w:p>
    <w:p>
      <w:pPr>
        <w:pStyle w:val="ListBullet2"/>
      </w:pPr>
      <w:r>
        <w:t xml:space="preserve">Comisión de </w:t>
      </w:r>
      <w:r>
        <w:rPr>
          <w:i/>
        </w:rPr>
        <w:t>The Lancet Global Health</w:t>
      </w:r>
      <w:r>
        <w:t xml:space="preserve"> sobre la seguridad del oxígeno medicinal (2025): más de 5.000 millones de personas carecen de acceso a oxígeno medicinal seguro y asequible, y la cobertura en LMIC es aproximadamente del 30 %. La EPOC figura entre las enfermedades afectadas.</w:t>
      </w:r>
    </w:p>
    <w:p>
      <w:pPr>
        <w:pStyle w:val="ListBullet2"/>
      </w:pPr>
      <w:r>
        <w:t>Comisión Lancet sobre Cuidados Paliativos y Alivio del Dolor (Knaul FM et al., Lancet 2018;391:1391-454): el "abismo de acceso" a la morfina en países de ingresos bajos y medios.</w:t>
      </w:r>
    </w:p>
    <w:p>
      <w:pPr>
        <w:pStyle w:val="ListBullet"/>
      </w:pPr>
      <w:r>
        <w:rPr>
          <w:b/>
        </w:rPr>
        <w:t>Recomendación:</w:t>
      </w:r>
    </w:p>
    <w:p>
      <w:pPr>
        <w:pStyle w:val="ListBullet2"/>
      </w:pPr>
      <w:r>
        <w:t>Añadir una nota sobre la interpretación de la oximetría y la gasometría en altitud, con remisión a guías regionales.</w:t>
      </w:r>
    </w:p>
    <w:p>
      <w:pPr>
        <w:pStyle w:val="ListBullet2"/>
      </w:pPr>
      <w:r>
        <w:t>Incluir un párrafo sobre el acceso al oxígeno: concentradores como opción preferente cuando hay electricidad, y planes nacionales de oxígeno.</w:t>
      </w:r>
    </w:p>
    <w:p>
      <w:pPr>
        <w:pStyle w:val="ListBullet2"/>
      </w:pPr>
      <w:r>
        <w:t>Mencionar la morfina oral de liberación inmediata de la LME y la necesidad de políticas de acceso a opioides.</w:t>
      </w:r>
    </w:p>
    <w:p>
      <w:pPr>
        <w:pStyle w:val="ListBullet"/>
      </w:pPr>
      <w:r>
        <w:rPr>
          <w:b/>
        </w:rPr>
        <w:t>Confianza:</w:t>
      </w:r>
      <w:r>
        <w:t xml:space="preserve"> 4/5</w:t>
      </w:r>
    </w:p>
    <w:p>
      <w:pPr>
        <w:pStyle w:val="Heading4"/>
      </w:pPr>
      <w:r>
        <w:t>INT-15 · Otros fármacos paliativos: omisión de BETTER-B (mirtazapina) y del ECA de sertralina; benzodiacepinas con una Cochrane superada y sin advertencia de seguridad</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94 / impr. 83; PDF 94 / impr. 83 («Panic, anxiety &amp; depression»)</w:t>
      </w:r>
    </w:p>
    <w:p>
      <w:pPr>
        <w:pStyle w:val="ListBullet"/>
      </w:pPr>
      <w:r>
        <w:rPr>
          <w:b/>
        </w:rPr>
        <w:t>Cita:</w:t>
      </w:r>
      <w:r>
        <w:t xml:space="preserve"> "There is no evidence for a beneficial effect of benzodiazepines(812)"</w:t>
      </w:r>
    </w:p>
    <w:p>
      <w:pPr>
        <w:pStyle w:val="ListBullet"/>
      </w:pPr>
      <w:r>
        <w:rPr>
          <w:b/>
        </w:rPr>
        <w:t>Problema:</w:t>
      </w:r>
    </w:p>
    <w:p>
      <w:pPr>
        <w:pStyle w:val="ListBullet2"/>
      </w:pPr>
      <w:r>
        <w:rPr>
          <w:b/>
        </w:rPr>
        <w:t>Benzodiacepinas.</w:t>
      </w:r>
      <w:r>
        <w:t xml:space="preserve"> La ref. 812 es la Cochrane de 2010, actualizada en 2016 con la misma conclusión. Falta la advertencia de seguridad: mayor mortalidad asociada en EPOC grave con LTOT.</w:t>
      </w:r>
    </w:p>
    <w:p>
      <w:pPr>
        <w:pStyle w:val="ListBullet2"/>
      </w:pPr>
      <w:r>
        <w:rPr>
          <w:b/>
        </w:rPr>
        <w:t>Mirtazapina.</w:t>
      </w:r>
      <w:r>
        <w:t xml:space="preserve"> No se menciona BETTER-B (2024), un ECA de fase III que no mostró beneficio sobre la disnea grave en EPOC/EPID y sí más efectos adversos. Sin embargo, la mirtazapina se usa fuera de ficha técnica en la práctica.</w:t>
      </w:r>
    </w:p>
    <w:p>
      <w:pPr>
        <w:pStyle w:val="ListBullet2"/>
      </w:pPr>
      <w:r>
        <w:rPr>
          <w:b/>
        </w:rPr>
        <w:t>Sertralina.</w:t>
      </w:r>
      <w:r>
        <w:t xml:space="preserve"> Tampoco se menciona su ECA, también negativo.</w:t>
      </w:r>
    </w:p>
    <w:p>
      <w:pPr>
        <w:pStyle w:val="ListBullet2"/>
      </w:pPr>
      <w:r>
        <w:rPr>
          <w:b/>
        </w:rPr>
        <w:t>Antidepresivos.</w:t>
      </w:r>
      <w:r>
        <w:t xml:space="preserve"> El texto los describe como «inconclusive» sin referencias recientes.</w:t>
      </w:r>
    </w:p>
    <w:p>
      <w:pPr>
        <w:pStyle w:val="ListBullet"/>
      </w:pPr>
      <w:r>
        <w:rPr>
          <w:b/>
        </w:rPr>
        <w:t>Evidencia/justificación:</w:t>
      </w:r>
    </w:p>
    <w:p>
      <w:pPr>
        <w:pStyle w:val="ListBullet2"/>
      </w:pPr>
      <w:r>
        <w:t>Simon ST et al., Cochrane 2016;CD007354 (actualización).</w:t>
      </w:r>
    </w:p>
    <w:p>
      <w:pPr>
        <w:pStyle w:val="ListBullet2"/>
      </w:pPr>
      <w:r>
        <w:t xml:space="preserve">Higginson IJ et al., </w:t>
      </w:r>
      <w:r>
        <w:rPr>
          <w:b/>
        </w:rPr>
        <w:t>BETTER-B</w:t>
      </w:r>
      <w:r>
        <w:t xml:space="preserve">, </w:t>
      </w:r>
      <w:r>
        <w:rPr>
          <w:i/>
        </w:rPr>
        <w:t>Lancet Respir Med</w:t>
      </w:r>
      <w:r>
        <w:t xml:space="preserve"> 2024 (conf. 4 en volumen/página).</w:t>
      </w:r>
    </w:p>
    <w:p>
      <w:pPr>
        <w:pStyle w:val="ListBullet2"/>
      </w:pPr>
      <w:r>
        <w:t xml:space="preserve">Currow DC et al., </w:t>
      </w:r>
      <w:r>
        <w:rPr>
          <w:i/>
        </w:rPr>
        <w:t>Eur Respir J</w:t>
      </w:r>
      <w:r>
        <w:t xml:space="preserve"> 2019;53:1801270 (sertralina).</w:t>
      </w:r>
    </w:p>
    <w:p>
      <w:pPr>
        <w:pStyle w:val="ListBullet2"/>
      </w:pPr>
      <w:r>
        <w:t xml:space="preserve">Ekström MP et al., </w:t>
      </w:r>
      <w:r>
        <w:rPr>
          <w:i/>
        </w:rPr>
        <w:t>BMJ</w:t>
      </w:r>
      <w:r>
        <w:t xml:space="preserve"> 2014;348:g445.</w:t>
      </w:r>
    </w:p>
    <w:p>
      <w:pPr>
        <w:pStyle w:val="ListBullet"/>
      </w:pPr>
      <w:r>
        <w:rPr>
          <w:b/>
        </w:rPr>
        <w:t>Recomendación:</w:t>
      </w:r>
      <w:r>
        <w:t xml:space="preserve"> Añadir: «Mirtazapina (BETTER-B) y sertralina no mejoran la disnea crónica y no se recomiendan para ese fin; las benzodiacepinas no alivian la disnea y se asocian a riesgo (caídas, depresión respiratoria, mortalidad); valorarlas solo para la ansiedad o el pánico, o en la fase agónica». Actualizar la ref. 812.</w:t>
      </w:r>
    </w:p>
    <w:p>
      <w:pPr>
        <w:pStyle w:val="ListBullet"/>
      </w:pPr>
      <w:r>
        <w:rPr>
          <w:b/>
        </w:rPr>
        <w:t>Confianza:</w:t>
      </w:r>
      <w:r>
        <w:t xml:space="preserve"> 4/5</w:t>
      </w:r>
    </w:p>
    <w:p>
      <w:pPr>
        <w:pStyle w:val="Heading4"/>
      </w:pPr>
      <w:r>
        <w:t>INT-16 · Cuidados paliativos y hospice: enfoque centrado en EE. UU. basado en el pronóstico, con omisiones clave</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r>
        <w:t xml:space="preserve"> PDF 93 / impr. 82; PDF 95 / impr. 84 — «End-of-life and hospice care»</w:t>
      </w:r>
    </w:p>
    <w:p>
      <w:pPr>
        <w:pStyle w:val="ListBullet"/>
      </w:pPr>
      <w:r>
        <w:rPr>
          <w:b/>
        </w:rPr>
        <w:t>Cita:</w:t>
      </w:r>
      <w:r>
        <w:t xml:space="preserve"> "hospice care (a model for delivery of end-of-life care for patients who are terminally ill and predicted to have less than 6 months to live)"</w:t>
      </w:r>
    </w:p>
    <w:p>
      <w:pPr>
        <w:pStyle w:val="ListBullet"/>
      </w:pPr>
      <w:r>
        <w:rPr>
          <w:b/>
        </w:rPr>
        <w:t>Problema:</w:t>
      </w:r>
    </w:p>
    <w:p>
      <w:pPr>
        <w:pStyle w:val="ListBullet2"/>
      </w:pPr>
      <w:r>
        <w:rPr>
          <w:b/>
        </w:rPr>
        <w:t>Criterios de hospice ligados al pronóstico y a EE. UU.</w:t>
      </w:r>
      <w:r>
        <w:t xml:space="preserve"> La definición de hospice («&lt; 6 meses») y los criterios de la NHPCO responden al modelo Medicare estadounidense. El propio texto reconoce que el pronóstico a 6 meses en EPOC «is unreliable».</w:t>
      </w:r>
    </w:p>
    <w:p>
      <w:pPr>
        <w:pStyle w:val="ListBullet2"/>
      </w:pPr>
      <w:r>
        <w:rPr>
          <w:b/>
        </w:rPr>
        <w:t>Falta un modelo basado en necesidades:</w:t>
      </w:r>
      <w:r>
        <w:t xml:space="preserve"> no hay disparadores como una hospitalización por exacerbación, LTOT o VNI, BODE alto, la «pregunta sorpresa» o SPICT.</w:t>
      </w:r>
    </w:p>
    <w:p>
      <w:pPr>
        <w:pStyle w:val="ListBullet2"/>
      </w:pPr>
      <w:r>
        <w:rPr>
          <w:b/>
        </w:rPr>
        <w:t>Faltan las intervenciones con evidencia reciente:</w:t>
      </w:r>
    </w:p>
    <w:p>
      <w:pPr>
        <w:pStyle w:val="ListBullet2"/>
      </w:pPr>
      <w:r>
        <w:t>Servicios integrados de disnea: la ref. 811 se cita, pero sin resultados.</w:t>
      </w:r>
    </w:p>
    <w:p>
      <w:pPr>
        <w:pStyle w:val="ListBullet2"/>
      </w:pPr>
      <w:r>
        <w:t>Telecuidado paliativo (ADAPT 2024).</w:t>
      </w:r>
    </w:p>
    <w:p>
      <w:pPr>
        <w:pStyle w:val="ListBullet2"/>
      </w:pPr>
      <w:r>
        <w:t>Planificación del techo terapéutico (VNI/IOT) y VNI u oxigenoterapia de alto flujo con intención paliativa.</w:t>
      </w:r>
    </w:p>
    <w:p>
      <w:pPr>
        <w:pStyle w:val="ListBullet2"/>
      </w:pPr>
      <w:r>
        <w:t>Manejo de la disnea en la fase agónica (opioide/midazolam subcutáneos).</w:t>
      </w:r>
    </w:p>
    <w:p>
      <w:pPr>
        <w:pStyle w:val="ListBullet2"/>
      </w:pPr>
      <w:r>
        <w:t>Desprescripción.</w:t>
      </w:r>
    </w:p>
    <w:p>
      <w:pPr>
        <w:pStyle w:val="ListBullet2"/>
      </w:pPr>
      <w:r>
        <w:t>Apoyo al cuidador y al duelo.</w:t>
      </w:r>
    </w:p>
    <w:p>
      <w:pPr>
        <w:pStyle w:val="ListBullet2"/>
      </w:pPr>
      <w:r>
        <w:rPr>
          <w:b/>
        </w:rPr>
        <w:t>No se aborda el acceso</w:t>
      </w:r>
      <w:r>
        <w:t xml:space="preserve"> a opioides y cuidados paliativos en países de ingresos bajos y medios (LMIC).</w:t>
      </w:r>
    </w:p>
    <w:p>
      <w:pPr>
        <w:pStyle w:val="ListBullet"/>
      </w:pPr>
      <w:r>
        <w:rPr>
          <w:b/>
        </w:rPr>
        <w:t>Evidencia/justificación:</w:t>
      </w:r>
    </w:p>
    <w:p>
      <w:pPr>
        <w:pStyle w:val="ListBullet2"/>
      </w:pPr>
      <w:r>
        <w:t xml:space="preserve">Bekelman DB et al., </w:t>
      </w:r>
      <w:r>
        <w:rPr>
          <w:b/>
        </w:rPr>
        <w:t>ADAPT</w:t>
      </w:r>
      <w:r>
        <w:t xml:space="preserve">, </w:t>
      </w:r>
      <w:r>
        <w:rPr>
          <w:i/>
        </w:rPr>
        <w:t>JAMA</w:t>
      </w:r>
      <w:r>
        <w:t xml:space="preserve"> 2024;331:212-23: el telecuidado enfermería/trabajo social mejoró la calidad de vida en EPOC, IC y EPID.</w:t>
      </w:r>
    </w:p>
    <w:p>
      <w:pPr>
        <w:pStyle w:val="ListBullet2"/>
      </w:pPr>
      <w:r>
        <w:t xml:space="preserve">Higginson IJ et al., </w:t>
      </w:r>
      <w:r>
        <w:rPr>
          <w:i/>
        </w:rPr>
        <w:t>Lancet Respir Med</w:t>
      </w:r>
      <w:r>
        <w:t xml:space="preserve"> 2014;2:979-87 (ref. 811).</w:t>
      </w:r>
    </w:p>
    <w:p>
      <w:pPr>
        <w:pStyle w:val="ListBullet2"/>
      </w:pPr>
      <w:r>
        <w:t>ERS 2024 (Holland).</w:t>
      </w:r>
    </w:p>
    <w:p>
      <w:pPr>
        <w:pStyle w:val="ListBullet2"/>
      </w:pPr>
      <w:r>
        <w:t xml:space="preserve">Fox E et al., </w:t>
      </w:r>
      <w:r>
        <w:rPr>
          <w:i/>
        </w:rPr>
        <w:t>JAMA</w:t>
      </w:r>
      <w:r>
        <w:t xml:space="preserve"> 1999;282:1638-45: los criterios de hospice predicen mal la supervivencia en EPOC (conf. 4).</w:t>
      </w:r>
    </w:p>
    <w:p>
      <w:pPr>
        <w:pStyle w:val="ListBullet"/>
      </w:pPr>
      <w:r>
        <w:rPr>
          <w:b/>
        </w:rPr>
        <w:t>Recomendación:</w:t>
      </w:r>
    </w:p>
    <w:p>
      <w:pPr>
        <w:pStyle w:val="ListBullet2"/>
      </w:pPr>
      <w:r>
        <w:t>Sustituir la definición de hospice por un enfoque internacional basado en necesidades, con disparadores explícitos de derivación a cuidados paliativos especializados.</w:t>
      </w:r>
    </w:p>
    <w:p>
      <w:pPr>
        <w:pStyle w:val="ListBullet2"/>
      </w:pPr>
      <w:r>
        <w:t>Añadir un párrafo sobre techo terapéutico, VNI paliativa y control sintomático en la fase final.</w:t>
      </w:r>
    </w:p>
    <w:p>
      <w:pPr>
        <w:pStyle w:val="ListBullet2"/>
      </w:pPr>
      <w:r>
        <w:t>Citar ADAPT y la guía ERS 2024.</w:t>
      </w:r>
    </w:p>
    <w:p>
      <w:pPr>
        <w:pStyle w:val="ListBullet"/>
      </w:pPr>
      <w:r>
        <w:rPr>
          <w:b/>
        </w:rPr>
        <w:t>Confianza:</w:t>
      </w:r>
      <w:r>
        <w:t xml:space="preserve"> 4/5</w:t>
      </w:r>
    </w:p>
    <w:p>
      <w:pPr>
        <w:pStyle w:val="Heading4"/>
      </w:pPr>
      <w:r>
        <w:t>INT-18 · Mortalidad tras hospitalización «del 23 % al 80 %» sin horizonte temporal</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PDF 94 / impr. 83 — «End-of-life and hospice care»</w:t>
      </w:r>
    </w:p>
    <w:p>
      <w:pPr>
        <w:pStyle w:val="ListBullet"/>
      </w:pPr>
      <w:r>
        <w:rPr>
          <w:b/>
        </w:rPr>
        <w:t>Cita:</w:t>
      </w:r>
      <w:r>
        <w:t xml:space="preserve"> "reported rates still vary from 23%(823) to 80%.(824)"</w:t>
      </w:r>
    </w:p>
    <w:p>
      <w:pPr>
        <w:pStyle w:val="ListBullet"/>
      </w:pPr>
      <w:r>
        <w:rPr>
          <w:b/>
        </w:rPr>
        <w:t>Problema:</w:t>
      </w:r>
    </w:p>
    <w:p>
      <w:pPr>
        <w:pStyle w:val="ListBullet2"/>
      </w:pPr>
      <w:r>
        <w:t xml:space="preserve">Las dos cifras se refieren a horizontes muy distintos: Groenewegen 2003 da la </w:t>
      </w:r>
      <w:r>
        <w:rPr>
          <w:b/>
        </w:rPr>
        <w:t>mortalidad a 1 año (23 %)</w:t>
      </w:r>
      <w:r>
        <w:t xml:space="preserve"> y Gudmundsson 2012 da la mortalidad acumulada en un </w:t>
      </w:r>
      <w:r>
        <w:rPr>
          <w:b/>
        </w:rPr>
        <w:t>seguimiento de varios años</w:t>
      </w:r>
      <w:r>
        <w:t>.</w:t>
      </w:r>
    </w:p>
    <w:p>
      <w:pPr>
        <w:pStyle w:val="ListBullet2"/>
      </w:pPr>
      <w:r>
        <w:t>Sin indicar el plazo, el rango parece una incertidumbre enorme sobre el mismo dato. Eso perjudica la comunicación del pronóstico, que es precisamente el objetivo de la sección.</w:t>
      </w:r>
    </w:p>
    <w:p>
      <w:pPr>
        <w:pStyle w:val="ListBullet"/>
      </w:pPr>
      <w:r>
        <w:rPr>
          <w:b/>
        </w:rPr>
        <w:t>Evidencia/justificación:</w:t>
      </w:r>
    </w:p>
    <w:p>
      <w:pPr>
        <w:pStyle w:val="ListBullet2"/>
      </w:pPr>
      <w:r>
        <w:t xml:space="preserve">Groenewegen KH et al., </w:t>
      </w:r>
      <w:r>
        <w:rPr>
          <w:i/>
        </w:rPr>
        <w:t>Chest</w:t>
      </w:r>
      <w:r>
        <w:t xml:space="preserve"> 2003;124:459-67 (mortalidad intrahospitalaria 8 %, a 1 año 23 %).</w:t>
      </w:r>
    </w:p>
    <w:p>
      <w:pPr>
        <w:pStyle w:val="ListBullet2"/>
      </w:pPr>
      <w:r>
        <w:t xml:space="preserve">Gudmundsson G et al., </w:t>
      </w:r>
      <w:r>
        <w:rPr>
          <w:i/>
        </w:rPr>
        <w:t>Int J COPD</w:t>
      </w:r>
      <w:r>
        <w:t xml:space="preserve"> 2012;7:571-6 (seguimiento a largo plazo; el horizonte exacto del 80 % es «Punto debatible», conf. 3).</w:t>
      </w:r>
    </w:p>
    <w:p>
      <w:pPr>
        <w:pStyle w:val="ListBullet"/>
      </w:pPr>
      <w:r>
        <w:rPr>
          <w:b/>
        </w:rPr>
        <w:t>Recomendación:</w:t>
      </w:r>
      <w:r>
        <w:t xml:space="preserve"> Reescribir: «≈ 20-25 % a 1 año; &gt; 50 % a 5 años y hasta ≈ 80 % en seguimientos prolongados», y citar las cifras recientes de mortalidad a 1 y 5 años.</w:t>
      </w:r>
    </w:p>
    <w:p>
      <w:pPr>
        <w:pStyle w:val="ListBullet"/>
      </w:pPr>
      <w:r>
        <w:rPr>
          <w:b/>
        </w:rPr>
        <w:t>Confianza:</w:t>
      </w:r>
      <w:r>
        <w:t xml:space="preserve"> 4/5</w:t>
      </w:r>
    </w:p>
    <w:p>
      <w:pPr>
        <w:pStyle w:val="Heading4"/>
      </w:pPr>
      <w:r>
        <w:t>MET-13 · Paliación de la disnea: nivel C que oculta ECA negativos y contradice el texto</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Fig 3.20 y texto (PDF 93 / impr. 82)</w:t>
      </w:r>
    </w:p>
    <w:p>
      <w:pPr>
        <w:pStyle w:val="ListBullet"/>
      </w:pPr>
      <w:r>
        <w:rPr>
          <w:b/>
        </w:rPr>
        <w:t>Cita:</w:t>
      </w:r>
      <w:r>
        <w:t xml:space="preserve"> «Opiates, neuromuscular electrical stimulation (NMES), oxygen and fans blowing air onto the face can relieve breathlessness (Evidence C)»</w:t>
      </w:r>
    </w:p>
    <w:p>
      <w:pPr>
        <w:pStyle w:val="ListBullet"/>
      </w:pPr>
      <w:r>
        <w:rPr>
          <w:b/>
        </w:rPr>
        <w:t>Problema:</w:t>
      </w:r>
    </w:p>
    <w:p>
      <w:pPr>
        <w:pStyle w:val="ListBullet2"/>
      </w:pPr>
      <w:r>
        <w:rPr>
          <w:b/>
        </w:rPr>
        <w:t>Opiáceos.</w:t>
      </w:r>
      <w:r>
        <w:t xml:space="preserve"> Existen ECA y metaanálisis, así que no corresponde C. El mayor ECA reciente (BEAMS, ref 805) fue negativo, y el propio texto lo describe así.</w:t>
      </w:r>
    </w:p>
    <w:p>
      <w:pPr>
        <w:pStyle w:val="ListBullet2"/>
      </w:pPr>
      <w:r>
        <w:rPr>
          <w:b/>
        </w:rPr>
        <w:t>Oxígeno.</w:t>
      </w:r>
      <w:r>
        <w:t xml:space="preserve"> El texto de la misma página dice «The roles of oxygen therapy, HFNT and NIV for palliation of dyspnea are debated.(797)», mientras que la figura afirma que el oxígeno alivia la disnea.</w:t>
      </w:r>
    </w:p>
    <w:p>
      <w:pPr>
        <w:pStyle w:val="ListBullet2"/>
      </w:pPr>
      <w:r>
        <w:rPr>
          <w:b/>
        </w:rPr>
        <w:t>Una sola etiqueta para cuatro intervenciones</w:t>
      </w:r>
      <w:r>
        <w:t xml:space="preserve"> con evidencia heterogénea (ECA negativos o mixtos para opiáceos y oxígeno; ECA pequeños para ventiladores).</w:t>
      </w:r>
    </w:p>
    <w:p>
      <w:pPr>
        <w:pStyle w:val="ListBullet"/>
      </w:pPr>
      <w:r>
        <w:rPr>
          <w:b/>
        </w:rPr>
        <w:t>Evidencia/justificación:</w:t>
      </w:r>
      <w:r>
        <w:t xml:space="preserve"> Abstract de BEAMS (PMID 36413230); Tabla A.</w:t>
      </w:r>
    </w:p>
    <w:p>
      <w:pPr>
        <w:pStyle w:val="ListBullet"/>
      </w:pPr>
      <w:r>
        <w:rPr>
          <w:b/>
        </w:rPr>
        <w:t>Recomendación:</w:t>
      </w:r>
      <w:r>
        <w:t xml:space="preserve"> Una viñeta por intervención, con un nivel acorde a los ECA y reflejando los resultados negativos; armonizar con el texto.</w:t>
      </w:r>
    </w:p>
    <w:p>
      <w:pPr>
        <w:pStyle w:val="ListBullet"/>
      </w:pPr>
      <w:r>
        <w:rPr>
          <w:b/>
        </w:rPr>
        <w:t>Confianza:</w:t>
      </w:r>
      <w:r>
        <w:t xml:space="preserve"> 4</w:t>
      </w:r>
    </w:p>
    <w:p>
      <w:pPr>
        <w:pStyle w:val="Heading4"/>
      </w:pPr>
      <w:r>
        <w:t>REH-11 · O2 paliativo en pacientes no hipoxémicos: contradicción con el cap. 3 y referencia cruzada errónea</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94 / impr. 83 — cap. 3, cuidados paliativos, frente a PDF 87 / impr. 76 y Figura 3.17.</w:t>
      </w:r>
    </w:p>
    <w:p>
      <w:pPr>
        <w:pStyle w:val="ListBullet"/>
      </w:pPr>
      <w:r>
        <w:rPr>
          <w:b/>
        </w:rPr>
        <w:t>Cita:</w:t>
      </w:r>
      <w:r>
        <w:t xml:space="preserve"> «Oxygen may offer some benefit even if the patient is not hypoxemic (SpO2 &gt; 92%) (Figure 3.17).(809)»</w:t>
      </w:r>
    </w:p>
    <w:p>
      <w:pPr>
        <w:pStyle w:val="ListBullet"/>
      </w:pPr>
      <w:r>
        <w:rPr>
          <w:b/>
        </w:rPr>
        <w:t>Problema:</w:t>
      </w:r>
    </w:p>
    <w:p>
      <w:pPr>
        <w:pStyle w:val="ListBullet2"/>
      </w:pPr>
      <w:r>
        <w:t>Contradice el apartado de oxigenoterapia, que dice: «no improvement of breathlessness in daily life and no benefit on health-related quality of life» en los pacientes no hipoxémicos.</w:t>
      </w:r>
    </w:p>
    <w:p>
      <w:pPr>
        <w:pStyle w:val="ListBullet2"/>
      </w:pPr>
      <w:r>
        <w:t>La Figura 3.17 no contiene ese contenido, por lo que la referencia cruzada es errónea.</w:t>
      </w:r>
    </w:p>
    <w:p>
      <w:pPr>
        <w:pStyle w:val="ListBullet2"/>
      </w:pPr>
      <w:r>
        <w:t>El umbral «SpO2 &gt; 92 %» no coincide con ninguna definición del documento: LOTT incluyó pacientes con SpO2 89-93 %.</w:t>
      </w:r>
    </w:p>
    <w:p>
      <w:pPr>
        <w:pStyle w:val="ListBullet2"/>
      </w:pPr>
      <w:r>
        <w:t>La ref. 809 (Uronis 2015) muestra un beneficio modesto, sobre todo durante pruebas de esfuerzo.</w:t>
      </w:r>
    </w:p>
    <w:p>
      <w:pPr>
        <w:pStyle w:val="ListBullet2"/>
      </w:pPr>
      <w:r>
        <w:t>Puede inducir a prescribir O2 en pacientes no hipoxémicos, con costes, carga y riesgo de incendio.</w:t>
      </w:r>
    </w:p>
    <w:p>
      <w:pPr>
        <w:pStyle w:val="ListBullet"/>
      </w:pPr>
      <w:r>
        <w:rPr>
          <w:b/>
        </w:rPr>
        <w:t>Evidencia/justificación:</w:t>
      </w:r>
    </w:p>
    <w:p>
      <w:pPr>
        <w:pStyle w:val="ListBullet2"/>
      </w:pPr>
      <w:r>
        <w:t>Abernethy AP et al., Lancet 2010;376:784-793 (doi:10.1016/S0140-6736(10)61115-4): en la disnea refractaria, el O2 no es superior al aire medicinal.</w:t>
      </w:r>
    </w:p>
    <w:p>
      <w:pPr>
        <w:pStyle w:val="ListBullet2"/>
      </w:pPr>
      <w:r>
        <w:t>Ekström M et al., Cochrane 2016 (ref. 753): alivio de la disnea durante el ejercicio, pero no en la vida diaria.</w:t>
      </w:r>
    </w:p>
    <w:p>
      <w:pPr>
        <w:pStyle w:val="ListBullet"/>
      </w:pPr>
      <w:r>
        <w:rPr>
          <w:b/>
        </w:rPr>
        <w:t>Recomendación:</w:t>
      </w:r>
      <w:r>
        <w:t xml:space="preserve"> Reformular así: «en pacientes no hipoxémicos, el O2 puede aliviar la disnea durante el esfuerzo, pero no mejora la disnea diaria ni la calidad de vida; priorizar ventilador de mano o flujo de aire facial, opioides y RR; valorar O2 solo como prueba terapéutica individual (n = 1)». Corregir la referencia a la figura.</w:t>
      </w:r>
    </w:p>
    <w:p>
      <w:pPr>
        <w:pStyle w:val="ListBullet"/>
      </w:pPr>
      <w:r>
        <w:rPr>
          <w:b/>
        </w:rPr>
        <w:t>Confianza:</w:t>
      </w:r>
      <w:r>
        <w:t xml:space="preserve"> 4/5</w:t>
      </w:r>
    </w:p>
    <w:p>
      <w:pPr>
        <w:pStyle w:val="Heading4"/>
      </w:pPr>
      <w:r>
        <w:t>DX-19 · DLCO y cirugía de resección: «preclude» sobrestima su papel</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Ambigüedad / Evidencia mal representada</w:t>
      </w:r>
    </w:p>
    <w:p>
      <w:pPr>
        <w:pStyle w:val="ListBullet"/>
      </w:pPr>
      <w:r>
        <w:rPr>
          <w:b/>
        </w:rPr>
        <w:t>Severidad:</w:t>
      </w:r>
      <w:r>
        <w:t xml:space="preserve"> MEDIA</w:t>
      </w:r>
    </w:p>
    <w:p>
      <w:pPr>
        <w:pStyle w:val="ListBullet"/>
      </w:pPr>
      <w:r>
        <w:rPr>
          <w:b/>
        </w:rPr>
        <w:t>Ubicación:</w:t>
      </w:r>
      <w:r>
        <w:t xml:space="preserve"> PDF 56 / impr. 45 — «Carbon monoxide diffusing capacity»</w:t>
      </w:r>
    </w:p>
    <w:p>
      <w:pPr>
        <w:pStyle w:val="ListBullet"/>
      </w:pPr>
      <w:r>
        <w:rPr>
          <w:b/>
        </w:rPr>
        <w:t>Cita:</w:t>
      </w:r>
      <w:r>
        <w:t xml:space="preserve"> «…in patients with COPD, low DLco values help preclude surgical lung resection in patients with lung cancer(512)…»</w:t>
      </w:r>
    </w:p>
    <w:p>
      <w:pPr>
        <w:pStyle w:val="ListBullet"/>
      </w:pPr>
      <w:r>
        <w:rPr>
          <w:b/>
        </w:rPr>
        <w:t>Problema:</w:t>
      </w:r>
    </w:p>
    <w:p>
      <w:pPr>
        <w:pStyle w:val="ListBullet2"/>
      </w:pPr>
      <w:r>
        <w:t xml:space="preserve">Las guías ERS/ESTS y ACCP usan la DLCO, y sobre todo la ppo-DLCO, para </w:t>
      </w:r>
      <w:r>
        <w:rPr>
          <w:b/>
        </w:rPr>
        <w:t>estratificar</w:t>
      </w:r>
      <w:r>
        <w:t xml:space="preserve"> el riesgo. Una ppo-DLCO &lt;60% (o &lt;30%) obliga a pruebas adicionales (escaleras, lanzadera, ergoespirometría con VO2pico), no excluye la cirugía.</w:t>
      </w:r>
    </w:p>
    <w:p>
      <w:pPr>
        <w:pStyle w:val="ListBullet2"/>
      </w:pPr>
      <w:r>
        <w:t>Además, la reducción de volumen asociada a la lobectomía puede mejorar la función en pacientes con enfisema.</w:t>
      </w:r>
    </w:p>
    <w:p>
      <w:pPr>
        <w:pStyle w:val="ListBullet2"/>
      </w:pPr>
      <w:r>
        <w:t>«Preclude» puede llevar a denegar una cirugía curativa.</w:t>
      </w:r>
    </w:p>
    <w:p>
      <w:pPr>
        <w:pStyle w:val="ListBullet"/>
      </w:pPr>
      <w:r>
        <w:rPr>
          <w:b/>
        </w:rPr>
        <w:t>Evidencia/justificación:</w:t>
      </w:r>
    </w:p>
    <w:p>
      <w:pPr>
        <w:pStyle w:val="ListBullet2"/>
      </w:pPr>
      <w:r>
        <w:t>Brunelli A et al. ERS/ESTS clinical guidelines. ERJ 2009;34:17-41.</w:t>
      </w:r>
    </w:p>
    <w:p>
      <w:pPr>
        <w:pStyle w:val="ListBullet2"/>
      </w:pPr>
      <w:r>
        <w:t>Brunelli A et al. ACCP Guidelines. Chest 2013;143(5 Suppl):e166S-e190S.</w:t>
      </w:r>
    </w:p>
    <w:p>
      <w:pPr>
        <w:pStyle w:val="ListBullet"/>
      </w:pPr>
      <w:r>
        <w:rPr>
          <w:b/>
        </w:rPr>
        <w:t>Recomendación:</w:t>
      </w:r>
      <w:r>
        <w:t xml:space="preserve"> Reformular: «la DLCO (y la ppo-DLCO) es esencial para estratificar el riesgo quirúrgico; valores bajos obligan a una evaluación funcional adicional (ergoespirometría)».</w:t>
      </w:r>
    </w:p>
    <w:p>
      <w:pPr>
        <w:pStyle w:val="ListBullet"/>
      </w:pPr>
      <w:r>
        <w:rPr>
          <w:b/>
        </w:rPr>
        <w:t>Confianza:</w:t>
      </w:r>
      <w:r>
        <w:t xml:space="preserve"> 4/5</w:t>
      </w:r>
    </w:p>
    <w:p>
      <w:pPr>
        <w:pStyle w:val="Heading4"/>
      </w:pPr>
      <w:r>
        <w:t>INT-06 · Los coils endobronquiales (LVRC) siguen apareciendo como opción terapéutica pese a no estar aprobados por la FDA y no comercializarse</w:t>
      </w:r>
    </w:p>
    <w:p>
      <w:r>
        <w:rPr>
          <w:i/>
        </w:rPr>
        <w:t xml:space="preserve">Severidad final: </w:t>
      </w:r>
      <w:r>
        <w:rPr>
          <w:i/>
          <w:color w:val="FFC000"/>
        </w:rPr>
        <w:t>🟡</w:t>
      </w:r>
      <w:r>
        <w:rPr>
          <w:i/>
        </w:rPr>
        <w:t xml:space="preserve"> MEDIA · Tema T15: Intervenciones broncoscópicas y quirúrgicas</w:t>
      </w:r>
    </w:p>
    <w:p>
      <w:pPr>
        <w:pStyle w:val="IntenseQuote"/>
      </w:pPr>
      <w:r>
        <w:rPr>
          <w:b/>
        </w:rPr>
        <w:t>Verificación independiente (CONFIRMADO):</w:t>
      </w:r>
      <w:r>
        <w:t xml:space="preserve"> El estado ante la FDA y la ausencia de comercialización de los coils son [externo, no verificable con figuras]. | 1. Indicar que los coils no están aprobados por la FDA y que se han retirado del mercado. 2. Retirarlos de la Fig. 3.22 o marcarlos como "no disponible / histórico". 3. Mantener la evidencia como información histórica.</w:t>
      </w:r>
    </w:p>
    <w:p>
      <w:pPr>
        <w:pStyle w:val="IntenseQuote"/>
      </w:pPr>
      <w:r>
        <w:rPr>
          <w:b/>
        </w:rPr>
        <w:t>Severidad ajustada en la consolidación:</w:t>
      </w:r>
      <w:r>
        <w:t xml:space="preserve"> ALTA → MEDIA</w:t>
      </w:r>
    </w:p>
    <w:p>
      <w:pPr>
        <w:pStyle w:val="ListBullet"/>
      </w:pPr>
      <w:r>
        <w:rPr>
          <w:b/>
        </w:rPr>
        <w:t>Tipo:</w:t>
      </w:r>
      <w:r>
        <w:t xml:space="preserve"> Desactualización / Incongruencia con la metodología GOLD</w:t>
      </w:r>
    </w:p>
    <w:p>
      <w:pPr>
        <w:pStyle w:val="ListBullet"/>
      </w:pPr>
      <w:r>
        <w:rPr>
          <w:b/>
        </w:rPr>
        <w:t>Severidad:</w:t>
      </w:r>
      <w:r>
        <w:t xml:space="preserve"> ALTA</w:t>
      </w:r>
    </w:p>
    <w:p>
      <w:pPr>
        <w:pStyle w:val="ListBullet"/>
      </w:pPr>
      <w:r>
        <w:rPr>
          <w:b/>
        </w:rPr>
        <w:t>Ubicación:</w:t>
      </w:r>
      <w:r>
        <w:t xml:space="preserve"> PDF 98 / impr. 87 — recuadro «Lung volume reduction surgery»; PDF 97 / impr. 86 — Fig. 3.22; PDF 99 / impr. 88 — Fig. 3.23; PDF 100 / impr. 89 — «Self-activating coils»</w:t>
      </w:r>
    </w:p>
    <w:p>
      <w:pPr>
        <w:pStyle w:val="ListBullet"/>
      </w:pPr>
      <w:r>
        <w:rPr>
          <w:b/>
        </w:rPr>
        <w:t>Cita:</w:t>
      </w:r>
      <w:r>
        <w:t xml:space="preserve"> "surgical or bronchoscopic modes of lung volume reduction (e.g., endobronchial one-way valves, lung coils or thermal ablation) may be considered.(859)" / Fig. 3.22: "Lung coils (Evidence B)"</w:t>
      </w:r>
    </w:p>
    <w:p>
      <w:pPr>
        <w:pStyle w:val="ListBullet"/>
      </w:pPr>
      <w:r>
        <w:rPr>
          <w:b/>
        </w:rPr>
        <w:t>Problema:</w:t>
      </w:r>
    </w:p>
    <w:p>
      <w:pPr>
        <w:pStyle w:val="ListBullet2"/>
      </w:pPr>
      <w:r>
        <w:rPr>
          <w:b/>
        </w:rPr>
        <w:t>Presencia en las recomendaciones:</w:t>
      </w:r>
      <w:r>
        <w:t xml:space="preserve"> los coils figuran en los puntos clave y en las </w:t>
      </w:r>
      <w:r>
        <w:rPr>
          <w:b/>
        </w:rPr>
        <w:t>cuatro ramas</w:t>
      </w:r>
      <w:r>
        <w:t xml:space="preserve"> del algoritmo, tanto en enfisema heterogéneo como homogéneo y con o sin ventilación colateral.</w:t>
      </w:r>
    </w:p>
    <w:p>
      <w:pPr>
        <w:pStyle w:val="ListBullet2"/>
      </w:pPr>
      <w:r>
        <w:rPr>
          <w:b/>
        </w:rPr>
        <w:t>El texto solo dice «limited clinical availability».</w:t>
      </w:r>
      <w:r>
        <w:t xml:space="preserve"> En realidad, el panel asesor de la FDA votó en contra (jun-2018), la FDA emitió una carta de «no aprobable» (ago-2018) y el dispositivo dejó de comercializarse tras la adquisición de BTG por Boston Scientific.</w:t>
      </w:r>
    </w:p>
    <w:p>
      <w:pPr>
        <w:pStyle w:val="ListBullet2"/>
      </w:pPr>
      <w:r>
        <w:rPr>
          <w:b/>
        </w:rPr>
        <w:t>Beneficio modesto y más eventos adversos graves en RENEW</w:t>
      </w:r>
      <w:r>
        <w:t>, sin control simulado.</w:t>
      </w:r>
    </w:p>
    <w:p>
      <w:pPr>
        <w:pStyle w:val="ListBullet2"/>
      </w:pPr>
      <w:r>
        <w:rPr>
          <w:b/>
        </w:rPr>
        <w:t>Choca con la metodología de la propia GOLD:</w:t>
      </w:r>
      <w:r>
        <w:t xml:space="preserve"> «The Committee does not make recommendations for therapies that have not been approved by at least one major regulatory agency» (PDF 7 / impr. vi). El marcado CE histórico de 2010 hace este punto debatible, pero la falta de disponibilidad real no lo es.</w:t>
      </w:r>
    </w:p>
    <w:p>
      <w:pPr>
        <w:pStyle w:val="ListBullet2"/>
      </w:pPr>
      <w:r>
        <w:rPr>
          <w:b/>
        </w:rPr>
        <w:t>La cita de apoyo del recuadro (ref. 859) es una Cochrane de 2006 sobre LVRS quirúrgica.</w:t>
      </w:r>
    </w:p>
    <w:p>
      <w:pPr>
        <w:pStyle w:val="ListBullet2"/>
      </w:pPr>
      <w:r>
        <w:t>La ablación por vapor también está disponible solo en algunos países, sin aprobación de la FDA, y el documento no lo especifica.</w:t>
      </w:r>
    </w:p>
    <w:p>
      <w:pPr>
        <w:pStyle w:val="ListBullet"/>
      </w:pPr>
      <w:r>
        <w:rPr>
          <w:b/>
        </w:rPr>
        <w:t>Evidencia/justificación:</w:t>
      </w:r>
    </w:p>
    <w:p>
      <w:pPr>
        <w:pStyle w:val="ListBullet2"/>
      </w:pPr>
      <w:r>
        <w:t xml:space="preserve">Sciurba FC et al., </w:t>
      </w:r>
      <w:r>
        <w:rPr>
          <w:b/>
        </w:rPr>
        <w:t>RENEW</w:t>
      </w:r>
      <w:r>
        <w:t xml:space="preserve">, </w:t>
      </w:r>
      <w:r>
        <w:rPr>
          <w:i/>
        </w:rPr>
        <w:t>JAMA</w:t>
      </w:r>
      <w:r>
        <w:t xml:space="preserve"> 2016;315:175-84 (ref. 878): diferencia mediana de 6MWD de unos 14,6 m, por debajo de la diferencia mínima clínicamente importante; más complicaciones mayores.</w:t>
      </w:r>
    </w:p>
    <w:p>
      <w:pPr>
        <w:pStyle w:val="ListBullet2"/>
      </w:pPr>
      <w:r>
        <w:t xml:space="preserve">Deslee G et al., </w:t>
      </w:r>
      <w:r>
        <w:rPr>
          <w:b/>
        </w:rPr>
        <w:t>REVOLENS</w:t>
      </w:r>
      <w:r>
        <w:t xml:space="preserve">, </w:t>
      </w:r>
      <w:r>
        <w:rPr>
          <w:i/>
        </w:rPr>
        <w:t>JAMA</w:t>
      </w:r>
      <w:r>
        <w:t xml:space="preserve"> 2016 (ref. 877).</w:t>
      </w:r>
    </w:p>
    <w:p>
      <w:pPr>
        <w:pStyle w:val="ListBullet2"/>
      </w:pPr>
      <w:r>
        <w:t>Comunicados públicos de BTG (agosto de 2018: «not approvable letter» para ELEVAIR); panel FDA de junio de 2018.</w:t>
      </w:r>
    </w:p>
    <w:p>
      <w:pPr>
        <w:pStyle w:val="ListBullet"/>
      </w:pPr>
      <w:r>
        <w:rPr>
          <w:b/>
        </w:rPr>
        <w:t>Recomendación:</w:t>
      </w:r>
    </w:p>
    <w:p>
      <w:pPr>
        <w:pStyle w:val="ListBullet2"/>
      </w:pPr>
      <w:r>
        <w:t>Retirar los coils del recuadro de puntos clave y del algoritmo, o mantenerlos en una nota como «no disponibles comercialmente / sin aprobación de la FDA».</w:t>
      </w:r>
    </w:p>
    <w:p>
      <w:pPr>
        <w:pStyle w:val="ListBullet2"/>
      </w:pPr>
      <w:r>
        <w:t xml:space="preserve">Añadir una </w:t>
      </w:r>
      <w:r>
        <w:rPr>
          <w:b/>
        </w:rPr>
        <w:t>tabla de estado regulatorio a dic-2025</w:t>
      </w:r>
      <w:r>
        <w:t xml:space="preserve"> para cada técnica:</w:t>
      </w:r>
    </w:p>
    <w:p>
      <w:pPr>
        <w:pStyle w:val="ListBullet2"/>
      </w:pPr>
      <w:r>
        <w:t>EBV Zephyr y Spiration: FDA 2018 y CE.</w:t>
      </w:r>
    </w:p>
    <w:p>
      <w:pPr>
        <w:pStyle w:val="ListBullet2"/>
      </w:pPr>
      <w:r>
        <w:t>Vapor: CE, sin aprobación de la FDA.</w:t>
      </w:r>
    </w:p>
    <w:p>
      <w:pPr>
        <w:pStyle w:val="ListBullet2"/>
      </w:pPr>
      <w:r>
        <w:t>Coils: sin comercializar.</w:t>
      </w:r>
    </w:p>
    <w:p>
      <w:pPr>
        <w:pStyle w:val="ListBullet2"/>
      </w:pPr>
      <w:r>
        <w:t>Sellantes y stents de bypass: abandonados.</w:t>
      </w:r>
    </w:p>
    <w:p>
      <w:pPr>
        <w:pStyle w:val="ListBullet2"/>
      </w:pPr>
      <w:r>
        <w:t>Denervación pulmonar, crioespray y reoplastia: investigacionales.</w:t>
      </w:r>
    </w:p>
    <w:p>
      <w:pPr>
        <w:pStyle w:val="ListBullet2"/>
      </w:pPr>
      <w:r>
        <w:t>Corregir la cita 859.</w:t>
      </w:r>
    </w:p>
    <w:p>
      <w:pPr>
        <w:pStyle w:val="ListBullet"/>
      </w:pPr>
      <w:r>
        <w:rPr>
          <w:b/>
        </w:rPr>
        <w:t>Confianza:</w:t>
      </w:r>
      <w:r>
        <w:t xml:space="preserve"> 4/5 (discontinuación comercial, por comunicados y revisiones; no he localizado una nota oficial de retirada).</w:t>
      </w:r>
    </w:p>
    <w:p>
      <w:pPr>
        <w:pStyle w:val="Heading4"/>
      </w:pPr>
      <w:r>
        <w:t>INT-08 · Faltan criterios operativos de selección para LVRS/ELVR; «low exercise capacity» no se define</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92 / impr. 81; PDF 97-100 / impr. 86-89; cap. 2, PDF 58 / impr. 47</w:t>
      </w:r>
    </w:p>
    <w:p>
      <w:pPr>
        <w:pStyle w:val="ListBullet"/>
      </w:pPr>
      <w:r>
        <w:rPr>
          <w:b/>
        </w:rPr>
        <w:t>Cita:</w:t>
      </w:r>
      <w:r>
        <w:t xml:space="preserve"> "low exercise capacity post-rehabilitation.(789)" / recuadro PDF 98: "significant hyperinflation refractory to optimized medical care"</w:t>
      </w:r>
    </w:p>
    <w:p>
      <w:pPr>
        <w:pStyle w:val="ListBullet"/>
      </w:pPr>
      <w:r>
        <w:rPr>
          <w:b/>
        </w:rPr>
        <w:t>Problema:</w:t>
      </w:r>
    </w:p>
    <w:p>
      <w:pPr>
        <w:pStyle w:val="ListBullet2"/>
      </w:pPr>
      <w:r>
        <w:t>El cap. 3 no define los umbrales de selección. Solo el cap. 2 menciona «FEV1 between 15% and 45% predicted with significant hyperinflation» como motivo para pedir una TC.</w:t>
      </w:r>
    </w:p>
    <w:p>
      <w:pPr>
        <w:pStyle w:val="ListBullet2"/>
      </w:pPr>
      <w:r>
        <w:t>No se indica qué es una «capacidad de ejercicio baja» en el NETT: ≤ 25 W en mujeres y ≤ 40 W en hombres en cicloergometría tras rehabilitación.</w:t>
      </w:r>
    </w:p>
    <w:p>
      <w:pPr>
        <w:pStyle w:val="ListBullet2"/>
      </w:pPr>
      <w:r>
        <w:t>Tampoco se recogen los criterios EBV de los ECA pivotales: FEV1 15-45 %, RV ≥ 175-200 %, TLC ≥ 100 %, 6MWD 100-500 m, PaCO2 &lt; 50-55 mmHg, PaO2 &gt; 45 mmHg, abstinencia tabáquica ≥ 4 meses, ausencia de HP significativa, bronquiectasias o infecciones frecuentes, cuantificación de la integridad de cisuras (&gt; 90-95 %) o Chartis.</w:t>
      </w:r>
    </w:p>
    <w:p>
      <w:pPr>
        <w:pStyle w:val="ListBullet"/>
      </w:pPr>
      <w:r>
        <w:rPr>
          <w:b/>
        </w:rPr>
        <w:t>Evidencia/justificación:</w:t>
      </w:r>
    </w:p>
    <w:p>
      <w:pPr>
        <w:pStyle w:val="ListBullet2"/>
      </w:pPr>
      <w:r>
        <w:t>Criterios de inclusión de LIBERATE (ref. 862), TRANSFORM (ref. 863), EMPROVE (ref. 865) e IMPACT (ref. 864).</w:t>
      </w:r>
    </w:p>
    <w:p>
      <w:pPr>
        <w:pStyle w:val="ListBullet2"/>
      </w:pPr>
      <w:r>
        <w:t>Fishman 2003 (ref. 789).</w:t>
      </w:r>
    </w:p>
    <w:p>
      <w:pPr>
        <w:pStyle w:val="ListBullet2"/>
      </w:pPr>
      <w:r>
        <w:t xml:space="preserve">Consenso de expertos en ELVR: Slebos DJ, Herth FJF et al., </w:t>
      </w:r>
      <w:r>
        <w:rPr>
          <w:i/>
        </w:rPr>
        <w:t>Respiration</w:t>
      </w:r>
      <w:r>
        <w:t xml:space="preserve"> 2017/2019 (actualizaciones del panel de expertos).</w:t>
      </w:r>
    </w:p>
    <w:p>
      <w:pPr>
        <w:pStyle w:val="ListBullet"/>
      </w:pPr>
      <w:r>
        <w:rPr>
          <w:b/>
        </w:rPr>
        <w:t>Recomendación:</w:t>
      </w:r>
      <w:r>
        <w:t xml:space="preserve"> Incluir una tabla «¿Cuándo derivar a un centro de reducción de volumen?» con estos umbrales, con remisión cruzada al cap. 2 (TC cuantitativa, análisis de cisuras) y la recomendación de discutir cada caso en un equipo multidisciplinar.</w:t>
      </w:r>
    </w:p>
    <w:p>
      <w:pPr>
        <w:pStyle w:val="ListBullet"/>
      </w:pPr>
      <w:r>
        <w:rPr>
          <w:b/>
        </w:rPr>
        <w:t>Confianza:</w:t>
      </w:r>
      <w:r>
        <w:t xml:space="preserve"> 5/5</w:t>
      </w:r>
    </w:p>
    <w:p>
      <w:pPr>
        <w:pStyle w:val="Heading4"/>
      </w:pPr>
      <w:r>
        <w:t>INT-09 · Denervación pulmonar dirigida: la Fig. 3.22 la presenta «en fase III en curso» y el texto describe AIRFLOW-3 de forma imprecisa</w:t>
      </w:r>
    </w:p>
    <w:p>
      <w:r>
        <w:rPr>
          <w:i/>
        </w:rPr>
        <w:t xml:space="preserve">Severidad final: </w:t>
      </w:r>
      <w:r>
        <w:rPr>
          <w:i/>
          <w:color w:val="FFC000"/>
        </w:rPr>
        <w:t>🟡</w:t>
      </w:r>
      <w:r>
        <w:rPr>
          <w:i/>
        </w:rPr>
        <w:t xml:space="preserve"> MEDIA · Tema T15: Intervenciones broncoscópicas y quirúrgicas</w:t>
      </w:r>
    </w:p>
    <w:p>
      <w:pPr>
        <w:pStyle w:val="IntenseQuote"/>
      </w:pPr>
      <w:r>
        <w:rPr>
          <w:b/>
        </w:rPr>
        <w:t>Verificación independiente (CONFIRMADO):</w:t>
      </w:r>
      <w:r>
        <w:t xml:space="preserve"> Precisar que solo la denervación está desactualizada en la figura. El objetivo primario de AIRFLOW-3 es [externo, no verificable con figuras].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97 / impr. 86 — Fig. 3.22 («Bronchoscopic Interventions Under Study»); PDF 101 / impr. 90 — «Lung denervation»; PDF 96 / impr. 85 — Fig. 3.21</w:t>
      </w:r>
    </w:p>
    <w:p>
      <w:pPr>
        <w:pStyle w:val="ListBullet"/>
      </w:pPr>
      <w:r>
        <w:rPr>
          <w:b/>
        </w:rPr>
        <w:t>Cita:</w:t>
      </w:r>
      <w:r>
        <w:t xml:space="preserve"> Fig. 3.22: "Phase III trials are currently being conducted to determine the efficacy of treatments ... using cryospray, rheoplasty and targeted lung denervation technology". Texto: "did not reduce the annualized rate of moderate and severe exacerbations compared to sham but did show an improvement in dyspnea and less decline in FVC and FEV1 and increase in residual volume.(906)"</w:t>
      </w:r>
    </w:p>
    <w:p>
      <w:pPr>
        <w:pStyle w:val="ListBullet"/>
      </w:pPr>
      <w:r>
        <w:rPr>
          <w:b/>
        </w:rPr>
        <w:t>Problema:</w:t>
      </w:r>
    </w:p>
    <w:p>
      <w:pPr>
        <w:pStyle w:val="ListNumber"/>
        <w:numPr>
          <w:ilvl w:val="0"/>
          <w:numId w:val="31"/>
        </w:numPr>
      </w:pPr>
      <w:r>
        <w:t>La figura y el texto son incoherentes: la figura habla de ensayos en curso y el texto de un ensayo ya publicado.</w:t>
      </w:r>
    </w:p>
    <w:p>
      <w:pPr>
        <w:pStyle w:val="ListNumber"/>
        <w:numPr>
          <w:ilvl w:val="0"/>
          <w:numId w:val="31"/>
        </w:numPr>
      </w:pPr>
      <w:r>
        <w:t xml:space="preserve">El desenlace primario de AIRFLOW-3 fue el </w:t>
      </w:r>
      <w:r>
        <w:rPr>
          <w:b/>
        </w:rPr>
        <w:t>tiempo hasta la primera exacerbación</w:t>
      </w:r>
      <w:r>
        <w:t xml:space="preserve"> moderada/grave, no la tasa anualizada. La HR fue 1,268 (IC 0,988-1,628), con una estimación puntual desfavorable para la denervación.</w:t>
      </w:r>
    </w:p>
    <w:p>
      <w:pPr>
        <w:pStyle w:val="ListNumber"/>
        <w:numPr>
          <w:ilvl w:val="0"/>
          <w:numId w:val="31"/>
        </w:numPr>
      </w:pPr>
      <w:r>
        <w:t>Según el editorial acompañante, los desenlaces secundarios de síntomas y calidad de vida no difirieron significativamente, así que «improvement in dyspnea» puede sobrevalorar el resultado (Punto debatible).</w:t>
      </w:r>
    </w:p>
    <w:p>
      <w:pPr>
        <w:pStyle w:val="ListNumber"/>
        <w:numPr>
          <w:ilvl w:val="0"/>
          <w:numId w:val="31"/>
        </w:numPr>
      </w:pPr>
      <w:r>
        <w:t>«Increase in residual volume» es ambiguo: no se sabe en qué grupo ni en qué dirección.</w:t>
      </w:r>
    </w:p>
    <w:p>
      <w:pPr>
        <w:pStyle w:val="ListNumber"/>
        <w:numPr>
          <w:ilvl w:val="0"/>
          <w:numId w:val="31"/>
        </w:numPr>
      </w:pPr>
      <w:r>
        <w:t xml:space="preserve">El subgrupo favorable (RV ≥ 175 %, LAA ≤ 20 %) es </w:t>
      </w:r>
      <w:r>
        <w:rPr>
          <w:b/>
        </w:rPr>
        <w:t>post hoc</w:t>
      </w:r>
      <w:r>
        <w:t xml:space="preserve"> y debe tratarse solo como generador de hipótesis.</w:t>
      </w:r>
    </w:p>
    <w:p>
      <w:pPr>
        <w:pStyle w:val="ListNumber"/>
        <w:numPr>
          <w:ilvl w:val="0"/>
          <w:numId w:val="31"/>
        </w:numPr>
      </w:pPr>
      <w:r>
        <w:t>La Fig. 3.21 coloca la denervación bajo «Exacerbations» al mismo nivel que las terapias establecidas, sin marcarla como investigacional.</w:t>
      </w:r>
    </w:p>
    <w:p>
      <w:pPr>
        <w:pStyle w:val="ListBullet"/>
      </w:pPr>
      <w:r>
        <w:rPr>
          <w:b/>
        </w:rPr>
        <w:t>Evidencia/justificación:</w:t>
      </w:r>
    </w:p>
    <w:p>
      <w:pPr>
        <w:pStyle w:val="ListBullet2"/>
      </w:pPr>
      <w:r>
        <w:t xml:space="preserve">Shah PL et al., </w:t>
      </w:r>
      <w:r>
        <w:rPr>
          <w:b/>
        </w:rPr>
        <w:t>AIRFLOW-3</w:t>
      </w:r>
      <w:r>
        <w:t xml:space="preserve">, </w:t>
      </w:r>
      <w:r>
        <w:rPr>
          <w:i/>
        </w:rPr>
        <w:t>AJRCCM</w:t>
      </w:r>
      <w:r>
        <w:t xml:space="preserve"> 2025;211:2318-29 (ref. 906): 388 pacientes, ECA con control simulado.</w:t>
      </w:r>
    </w:p>
    <w:p>
      <w:pPr>
        <w:pStyle w:val="ListBullet2"/>
      </w:pPr>
      <w:r>
        <w:t xml:space="preserve">Editorial acompañante en </w:t>
      </w:r>
      <w:r>
        <w:rPr>
          <w:i/>
        </w:rPr>
        <w:t>AJRCCM</w:t>
      </w:r>
      <w:r>
        <w:t xml:space="preserve"> 2025 (PMC12700267).</w:t>
      </w:r>
    </w:p>
    <w:p>
      <w:pPr>
        <w:pStyle w:val="ListBullet"/>
      </w:pPr>
      <w:r>
        <w:rPr>
          <w:b/>
        </w:rPr>
        <w:t>Recomendación:</w:t>
      </w:r>
    </w:p>
    <w:p>
      <w:pPr>
        <w:pStyle w:val="ListBullet2"/>
      </w:pPr>
      <w:r>
        <w:t>Actualizar la Fig. 3.22: «AIRFLOW-3 (fase III) negativo en su desenlace primario; un análisis post hoc sugiere un posible fenotipo respondedor, en estudio».</w:t>
      </w:r>
    </w:p>
    <w:p>
      <w:pPr>
        <w:pStyle w:val="ListBullet2"/>
      </w:pPr>
      <w:r>
        <w:t>Corregir el desenlace primario y la frase sobre el volumen residual.</w:t>
      </w:r>
    </w:p>
    <w:p>
      <w:pPr>
        <w:pStyle w:val="ListBullet2"/>
      </w:pPr>
      <w:r>
        <w:t xml:space="preserve">Marcar la denervación como </w:t>
      </w:r>
      <w:r>
        <w:rPr>
          <w:b/>
        </w:rPr>
        <w:t>investigacional, no recomendada fuera de ensayos</w:t>
      </w:r>
      <w:r>
        <w:t xml:space="preserve"> en las Figs. 3.21 y 3.22.</w:t>
      </w:r>
    </w:p>
    <w:p>
      <w:pPr>
        <w:pStyle w:val="ListBullet"/>
      </w:pPr>
      <w:r>
        <w:rPr>
          <w:b/>
        </w:rPr>
        <w:t>Confianza:</w:t>
      </w:r>
      <w:r>
        <w:t xml:space="preserve"> 4/5</w:t>
      </w:r>
    </w:p>
    <w:p>
      <w:pPr>
        <w:pStyle w:val="Heading4"/>
      </w:pPr>
      <w:r>
        <w:t>INT-10 · Crioespray y reoplastia bronquial: estado desactualizado («Phase III en curso») y sin advertencia de que son investigacionales</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96 / impr. 85 (texto y Fig. 3.21); PDF 101 / impr. 90; PDF 97 / impr. 86 (Fig. 3.22)</w:t>
      </w:r>
    </w:p>
    <w:p>
      <w:pPr>
        <w:pStyle w:val="ListBullet"/>
      </w:pPr>
      <w:r>
        <w:rPr>
          <w:b/>
        </w:rPr>
        <w:t>Cita:</w:t>
      </w:r>
      <w:r>
        <w:t xml:space="preserve"> "Airway predominant treatments are currently the subject of Phase III clinical trials" / "Ongoing Phase III RCTs are evaluating the efficacy of these therapies.(899,900)"</w:t>
      </w:r>
    </w:p>
    <w:p>
      <w:pPr>
        <w:pStyle w:val="ListBullet"/>
      </w:pPr>
      <w:r>
        <w:rPr>
          <w:b/>
        </w:rPr>
        <w:t>Problema:</w:t>
      </w:r>
    </w:p>
    <w:p>
      <w:pPr>
        <w:pStyle w:val="ListBullet2"/>
      </w:pPr>
      <w:r>
        <w:t>Las refs. 899 y 900 son fichas de ClinicalTrials.gov con URL antiguas («ct2»).</w:t>
      </w:r>
    </w:p>
    <w:p>
      <w:pPr>
        <w:pStyle w:val="ListBullet2"/>
      </w:pPr>
      <w:r>
        <w:rPr>
          <w:b/>
        </w:rPr>
        <w:t>RheSolve</w:t>
      </w:r>
      <w:r>
        <w:t xml:space="preserve"> (reoplastia frente a procedimiento simulado, n = 273) se presentó en el congreso ERS de septiembre de 2025 sin alcanzar su desenlace primario. El CAT a 6 meses fue −7,6 frente a −7,0 (p = 0,643), con un efecto simulado grande. Es posterior al corte bibliográfico de GOLD (julio de 2025), pero anterior a la v1.3.</w:t>
      </w:r>
    </w:p>
    <w:p>
      <w:pPr>
        <w:pStyle w:val="ListBullet2"/>
      </w:pPr>
      <w:r>
        <w:rPr>
          <w:b/>
        </w:rPr>
        <w:t>SPRAY-CB</w:t>
      </w:r>
      <w:r>
        <w:t xml:space="preserve"> (crioespray) ya había completado el reclutamiento. Los resultados aparecieron después del corte (Punto debatible para dic-2025).</w:t>
      </w:r>
    </w:p>
    <w:p>
      <w:pPr>
        <w:pStyle w:val="ListBullet2"/>
      </w:pPr>
      <w:r>
        <w:t>Presentar estas técnicas junto a las terapias estándar en la Fig. 3.21, sin etiqueta, puede generar expectativas o derivaciones fuera de ensayo.</w:t>
      </w:r>
    </w:p>
    <w:p>
      <w:pPr>
        <w:pStyle w:val="ListBullet"/>
      </w:pPr>
      <w:r>
        <w:rPr>
          <w:b/>
        </w:rPr>
        <w:t>Evidencia/justificación:</w:t>
      </w:r>
    </w:p>
    <w:p>
      <w:pPr>
        <w:pStyle w:val="ListBullet2"/>
      </w:pPr>
      <w:r>
        <w:t xml:space="preserve">Late-breaking abstract RheSolve, </w:t>
      </w:r>
      <w:r>
        <w:rPr>
          <w:i/>
        </w:rPr>
        <w:t>Eur Respir J</w:t>
      </w:r>
      <w:r>
        <w:t xml:space="preserve"> 2025;66(Suppl 69):PA4775.</w:t>
      </w:r>
    </w:p>
    <w:p>
      <w:pPr>
        <w:pStyle w:val="ListBullet2"/>
      </w:pPr>
      <w:r>
        <w:t xml:space="preserve">Garner JL et al., </w:t>
      </w:r>
      <w:r>
        <w:rPr>
          <w:i/>
        </w:rPr>
        <w:t>ERJ</w:t>
      </w:r>
      <w:r>
        <w:t xml:space="preserve"> 2020 (ref. 896).</w:t>
      </w:r>
    </w:p>
    <w:p>
      <w:pPr>
        <w:pStyle w:val="ListBullet2"/>
      </w:pPr>
      <w:r>
        <w:t xml:space="preserve">Valipour A et al., </w:t>
      </w:r>
      <w:r>
        <w:rPr>
          <w:i/>
        </w:rPr>
        <w:t>AJRCCM</w:t>
      </w:r>
      <w:r>
        <w:t xml:space="preserve"> 2020 (ref. 898): estudios abiertos de un solo brazo.</w:t>
      </w:r>
    </w:p>
    <w:p>
      <w:pPr>
        <w:pStyle w:val="ListBullet"/>
      </w:pPr>
      <w:r>
        <w:rPr>
          <w:b/>
        </w:rPr>
        <w:t>Recomendación:</w:t>
      </w:r>
    </w:p>
    <w:p>
      <w:pPr>
        <w:pStyle w:val="ListBullet2"/>
      </w:pPr>
      <w:r>
        <w:t>Etiquetar ambas técnicas como «investigacionales; no disponibles fuera de ensayos clínicos».</w:t>
      </w:r>
    </w:p>
    <w:p>
      <w:pPr>
        <w:pStyle w:val="ListBullet2"/>
      </w:pPr>
      <w:r>
        <w:t>Actualizar las URL y describir el estado de cada ensayo: «RheSolve: primario negativo (ERS 2025); SPRAY-CB: resultados pendientes de publicación».</w:t>
      </w:r>
    </w:p>
    <w:p>
      <w:pPr>
        <w:pStyle w:val="ListBullet2"/>
      </w:pPr>
      <w:r>
        <w:t>Eliminar la afirmación genérica «Phase III en curso».</w:t>
      </w:r>
    </w:p>
    <w:p>
      <w:pPr>
        <w:pStyle w:val="ListBullet"/>
      </w:pPr>
      <w:r>
        <w:rPr>
          <w:b/>
        </w:rPr>
        <w:t>Confianza:</w:t>
      </w:r>
      <w:r>
        <w:t xml:space="preserve"> 4/5 (RheSolve); 3/5 (estado de SPRAY-CB a dic-2025)</w:t>
      </w:r>
    </w:p>
    <w:p>
      <w:pPr>
        <w:pStyle w:val="Heading4"/>
      </w:pPr>
      <w:r>
        <w:t>INT-17 · «Evidence A» para la supervivencia con LVRS: incoherente con la Tabla A (subgrupo de un único ECA)</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97 / impr. 86 — Fig. 3.22; PDF 14 / impr. 3 — Tabla A</w:t>
      </w:r>
    </w:p>
    <w:p>
      <w:pPr>
        <w:pStyle w:val="ListBullet"/>
      </w:pPr>
      <w:r>
        <w:rPr>
          <w:b/>
        </w:rPr>
        <w:t>Cita:</w:t>
      </w:r>
      <w:r>
        <w:t xml:space="preserve"> Fig. 3.22: "Lung volume reduction surgery improves survival in patients with severe emphysema who have an upper-lobe and low post-rehabilitation exercise capacity (Evidence A)". La Tabla A asigna a la «B» las "post hoc or subgroup analyses of RCTs".</w:t>
      </w:r>
    </w:p>
    <w:p>
      <w:pPr>
        <w:pStyle w:val="ListBullet"/>
      </w:pPr>
      <w:r>
        <w:rPr>
          <w:b/>
        </w:rPr>
        <w:t>Problema:</w:t>
      </w:r>
    </w:p>
    <w:p>
      <w:pPr>
        <w:pStyle w:val="ListBullet2"/>
      </w:pPr>
      <w:r>
        <w:t xml:space="preserve">El beneficio en supervivencia procede del </w:t>
      </w:r>
      <w:r>
        <w:rPr>
          <w:b/>
        </w:rPr>
        <w:t>análisis de subgrupos</w:t>
      </w:r>
      <w:r>
        <w:t xml:space="preserve"> (lóbulo superior y baja capacidad de ejercicio) de un único ECA, el NETT. Según la Tabla A de la propia GOLD, eso es Evidence B.</w:t>
      </w:r>
    </w:p>
    <w:p>
      <w:pPr>
        <w:pStyle w:val="ListBullet2"/>
      </w:pPr>
      <w:r>
        <w:t>En la población global del NETT no hubo diferencia en mortalidad, y el beneficio se ha replicado solo en series observacionales.</w:t>
      </w:r>
    </w:p>
    <w:p>
      <w:pPr>
        <w:pStyle w:val="ListBullet2"/>
      </w:pPr>
      <w:r>
        <w:t>En cambio, la mejora de la función, el ejercicio y la calidad de vida sí está respaldada por varios ECA.</w:t>
      </w:r>
    </w:p>
    <w:p>
      <w:pPr>
        <w:pStyle w:val="ListBullet"/>
      </w:pPr>
      <w:r>
        <w:rPr>
          <w:b/>
        </w:rPr>
        <w:t>Evidencia/justificación:</w:t>
      </w:r>
    </w:p>
    <w:p>
      <w:pPr>
        <w:pStyle w:val="ListBullet2"/>
      </w:pPr>
      <w:r>
        <w:t>Fishman 2003 (ref. 789).</w:t>
      </w:r>
    </w:p>
    <w:p>
      <w:pPr>
        <w:pStyle w:val="ListBullet2"/>
      </w:pPr>
      <w:r>
        <w:t xml:space="preserve">Naunheim KS et al., </w:t>
      </w:r>
      <w:r>
        <w:rPr>
          <w:i/>
        </w:rPr>
        <w:t>Ann Thorac Surg</w:t>
      </w:r>
      <w:r>
        <w:t xml:space="preserve"> 2006 (ref. 872).</w:t>
      </w:r>
    </w:p>
    <w:p>
      <w:pPr>
        <w:pStyle w:val="ListBullet2"/>
      </w:pPr>
      <w:r>
        <w:t>Tabla A de GOLD (PDF 14).</w:t>
      </w:r>
    </w:p>
    <w:p>
      <w:pPr>
        <w:pStyle w:val="ListBullet"/>
      </w:pPr>
      <w:r>
        <w:rPr>
          <w:b/>
        </w:rPr>
        <w:t>Recomendación:</w:t>
      </w:r>
      <w:r>
        <w:t xml:space="preserve"> Separar dos afirmaciones: «LVRS mejora la función pulmonar, la tolerancia al ejercicio y la calidad de vida en enfisema seleccionado (Evidence A)» y «mejora la supervivencia en enfisema de lóbulo superior con baja capacidad de ejercicio tras rehabilitación (Evidence B, subgrupo del NETT)».</w:t>
      </w:r>
    </w:p>
    <w:p>
      <w:pPr>
        <w:pStyle w:val="ListBullet"/>
      </w:pPr>
      <w:r>
        <w:rPr>
          <w:b/>
        </w:rPr>
        <w:t>Confianza:</w:t>
      </w:r>
      <w:r>
        <w:t xml:space="preserve"> 4/5 (Punto debatible: algunos consideran el subgrupo prespecificado).</w:t>
      </w:r>
    </w:p>
    <w:p>
      <w:pPr>
        <w:pStyle w:val="Heading4"/>
      </w:pPr>
      <w:r>
        <w:t>EPI-15 · Cannabis presentado como factor de riesgo establecido con evidencia insuficiente</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16 / impr. 5 — Tobacco; Figure 1.3 (PDF 31 / impr. 20)</w:t>
      </w:r>
    </w:p>
    <w:p>
      <w:pPr>
        <w:pStyle w:val="ListBullet"/>
      </w:pPr>
      <w:r>
        <w:rPr>
          <w:b/>
        </w:rPr>
        <w:t>Cita:</w:t>
      </w:r>
      <w:r>
        <w:t xml:space="preserve"> «Other types of tobacco (e.g., pipe, cigar, water pipe)(16-18) and marijuana(19) are also risk factors for COPD.»</w:t>
      </w:r>
    </w:p>
    <w:p>
      <w:pPr>
        <w:pStyle w:val="ListBullet"/>
      </w:pPr>
      <w:r>
        <w:rPr>
          <w:b/>
        </w:rPr>
        <w:t>Problema:</w:t>
      </w:r>
      <w:r>
        <w:t xml:space="preserve"> La afirmación categórica descansa en una única cohorte transversal y poblacional (Tan, </w:t>
      </w:r>
      <w:r>
        <w:rPr>
          <w:i/>
        </w:rPr>
        <w:t>CMAJ</w:t>
      </w:r>
      <w:r>
        <w:t xml:space="preserve"> 2009, ref 19), en la que el efecto independiente del cannabis es difícil de separar del tabaco. Las revisiones sistemáticas concluyen que la evidencia es insuficiente para asociar el cannabis con la EPOC o con el deterioro de la función pulmonar (sí hay asociación, de baja certeza, con síntomas bronquíticos). A pesar de ello, la Figure 1.3 lo eleva a etiotipo.</w:t>
      </w:r>
    </w:p>
    <w:p>
      <w:pPr>
        <w:pStyle w:val="ListBullet"/>
      </w:pPr>
      <w:r>
        <w:rPr>
          <w:b/>
        </w:rPr>
        <w:t>Evidencia/justificación:</w:t>
      </w:r>
      <w:r>
        <w:t xml:space="preserve"> Ghasemiesfe M et al., «Marijuana Use, Respiratory Symptoms, and Pulmonary Function», </w:t>
      </w:r>
      <w:r>
        <w:rPr>
          <w:i/>
        </w:rPr>
        <w:t>Ann Intern Med</w:t>
      </w:r>
      <w:r>
        <w:t xml:space="preserve"> 2018;169:106-115 (PMID 29971337): «insufficient» evidence para enfermedad obstructiva y función pulmonar.</w:t>
      </w:r>
    </w:p>
    <w:p>
      <w:pPr>
        <w:pStyle w:val="ListBullet"/>
      </w:pPr>
      <w:r>
        <w:rPr>
          <w:b/>
        </w:rPr>
        <w:t>Recomendación:</w:t>
      </w:r>
      <w:r>
        <w:t xml:space="preserve"> Reformular: «el cannabis fumado se asocia a síntomas de bronquitis crónica; la evidencia sobre EPOC es limitada y está confundida por el tabaco». Citar la revisión sistemática. Matizar su inclusión en la Figure 1.3.</w:t>
      </w:r>
    </w:p>
    <w:p>
      <w:pPr>
        <w:pStyle w:val="ListBullet"/>
      </w:pPr>
      <w:r>
        <w:rPr>
          <w:b/>
        </w:rPr>
        <w:t>Confianza:</w:t>
      </w:r>
      <w:r>
        <w:t xml:space="preserve"> 4/5</w:t>
      </w:r>
    </w:p>
    <w:p>
      <w:pPr>
        <w:pStyle w:val="Heading4"/>
      </w:pPr>
      <w:r>
        <w:t>EPI-16 · Vapeo/cigarrillo electrónico ausente del texto de factores de riesgo</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Omisión / Incongruencia interna</w:t>
      </w:r>
    </w:p>
    <w:p>
      <w:pPr>
        <w:pStyle w:val="ListBullet"/>
      </w:pPr>
      <w:r>
        <w:rPr>
          <w:b/>
        </w:rPr>
        <w:t>Severidad:</w:t>
      </w:r>
      <w:r>
        <w:t xml:space="preserve"> MEDIA</w:t>
      </w:r>
    </w:p>
    <w:p>
      <w:pPr>
        <w:pStyle w:val="ListBullet"/>
      </w:pPr>
      <w:r>
        <w:rPr>
          <w:b/>
        </w:rPr>
        <w:t>Ubicación:</w:t>
      </w:r>
      <w:r>
        <w:t xml:space="preserve"> PDF 16-17 / impr. 5-6 (Causes and risk factors), frente a la Figure 1.3 (PDF 31 / impr. 20) y el Apéndice 3 (PDF 153-154 / impr. 142-143)</w:t>
      </w:r>
    </w:p>
    <w:p>
      <w:pPr>
        <w:pStyle w:val="ListBullet"/>
      </w:pPr>
      <w:r>
        <w:rPr>
          <w:b/>
        </w:rPr>
        <w:t>Cita:</w:t>
      </w:r>
      <w:r>
        <w:t xml:space="preserve"> Figure 1.3, COPD-C: «Vaping or e-cigarette use»</w:t>
      </w:r>
    </w:p>
    <w:p>
      <w:pPr>
        <w:pStyle w:val="ListBullet"/>
      </w:pPr>
      <w:r>
        <w:rPr>
          <w:b/>
        </w:rPr>
        <w:t>Problema:</w:t>
      </w:r>
    </w:p>
    <w:p>
      <w:pPr>
        <w:pStyle w:val="ListBullet2"/>
      </w:pPr>
      <w:r>
        <w:rPr>
          <w:b/>
        </w:rPr>
        <w:t>El texto del cap. 1 no menciona el vapeo como exposición</w:t>
      </w:r>
      <w:r>
        <w:t>, pese al alcance anunciado de factores no tabáquicos.</w:t>
      </w:r>
    </w:p>
    <w:p>
      <w:pPr>
        <w:pStyle w:val="ListBullet2"/>
      </w:pPr>
      <w:r>
        <w:rPr>
          <w:b/>
        </w:rPr>
        <w:t>La figura del mismo capítulo lo clasifica como etiotipo de EPOC.</w:t>
      </w:r>
    </w:p>
    <w:p>
      <w:pPr>
        <w:pStyle w:val="ListBullet2"/>
      </w:pPr>
      <w:r>
        <w:rPr>
          <w:b/>
        </w:rPr>
        <w:t>El Apéndice 3 declara incierto</w:t>
      </w:r>
      <w:r>
        <w:t xml:space="preserve"> si es un factor de riesgo independiente.</w:t>
      </w:r>
    </w:p>
    <w:p>
      <w:pPr>
        <w:pStyle w:val="ListBullet2"/>
      </w:pPr>
      <w:r>
        <w:rPr>
          <w:b/>
        </w:rPr>
        <w:t>Resultado:</w:t>
      </w:r>
      <w:r>
        <w:t xml:space="preserve"> tres mensajes diferentes. El tema tiene relevancia clínica y de salud pública (uso creciente en jóvenes y uso dual con tabaco).</w:t>
      </w:r>
    </w:p>
    <w:p>
      <w:pPr>
        <w:pStyle w:val="ListBullet"/>
      </w:pPr>
      <w:r>
        <w:rPr>
          <w:b/>
        </w:rPr>
        <w:t>Evidencia/justificación:</w:t>
      </w:r>
      <w:r>
        <w:t xml:space="preserve"> Xie W et al., </w:t>
      </w:r>
      <w:r>
        <w:rPr>
          <w:i/>
        </w:rPr>
        <w:t>JAMA Netw Open</w:t>
      </w:r>
      <w:r>
        <w:t xml:space="preserve"> 2020;3(11):e2020816 (cohorte PATH, 2013-2018): uso actual de cigarrillo electrónico asociado a EPOC incidente (IRR ≈1,57; IC 95% 1,15-2,13) tras ajustar por tabaco combustible. Es evidencia observacional con riesgo de confusión residual.</w:t>
      </w:r>
    </w:p>
    <w:p>
      <w:pPr>
        <w:pStyle w:val="ListBullet"/>
      </w:pPr>
      <w:r>
        <w:rPr>
          <w:b/>
        </w:rPr>
        <w:t>Recomendación:</w:t>
      </w:r>
      <w:r>
        <w:t xml:space="preserve"> Añadir al cap. 1 un párrafo breve sobre el vapeo: evidencia observacional emergente, confusión por uso dual, ausencia de datos a largo plazo y recomendación de registrar la exposición. Armonizarlo con el Apéndice 3 y con la Figure 1.3 (indicar «posible/en estudio»).</w:t>
      </w:r>
    </w:p>
    <w:p>
      <w:pPr>
        <w:pStyle w:val="ListBullet"/>
      </w:pPr>
      <w:r>
        <w:rPr>
          <w:b/>
        </w:rPr>
        <w:t>Confianza:</w:t>
      </w:r>
      <w:r>
        <w:t xml:space="preserve"> 5/5 (incongruencia); 3/5 (magnitud del riesgo)</w:t>
      </w:r>
    </w:p>
    <w:p>
      <w:pPr>
        <w:pStyle w:val="Heading4"/>
      </w:pPr>
      <w:r>
        <w:t>EQ-18 · Cesación tabáquica: falta la citisina, la base es la guía de EE. UU. de 2000 y se ignoran productos de tabaco frecuentes en LMIC</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Desactualización / Omisión</w:t>
      </w:r>
    </w:p>
    <w:p>
      <w:pPr>
        <w:pStyle w:val="ListBullet"/>
      </w:pPr>
      <w:r>
        <w:rPr>
          <w:b/>
        </w:rPr>
        <w:t>Severidad:</w:t>
      </w:r>
      <w:r>
        <w:t xml:space="preserve"> MEDIA</w:t>
      </w:r>
    </w:p>
    <w:p>
      <w:pPr>
        <w:pStyle w:val="ListBullet"/>
      </w:pPr>
      <w:r>
        <w:rPr>
          <w:b/>
        </w:rPr>
        <w:t>Ubicación:</w:t>
      </w:r>
      <w:r>
        <w:t xml:space="preserve"> PDF 153 / impr. 142 (fármacos para la cesación) y PDF 16 / impr. 5 (tipos de tabaco).</w:t>
      </w:r>
    </w:p>
    <w:p>
      <w:pPr>
        <w:pStyle w:val="ListBullet"/>
      </w:pPr>
      <w:r>
        <w:rPr>
          <w:b/>
        </w:rPr>
        <w:t>Cita:</w:t>
      </w:r>
      <w:r>
        <w:t xml:space="preserve"> "controller medications aimed at achieving long-term abstinence (nicotine patch, bupropion, and varenicline)" (PDF 153)</w:t>
      </w:r>
    </w:p>
    <w:p>
      <w:pPr>
        <w:pStyle w:val="ListBullet"/>
      </w:pPr>
      <w:r>
        <w:rPr>
          <w:b/>
        </w:rPr>
        <w:t>Problema:</w:t>
      </w:r>
    </w:p>
    <w:p>
      <w:pPr>
        <w:pStyle w:val="ListBullet2"/>
      </w:pPr>
      <w:r>
        <w:t>La citisina no aparece en todo el documento, aunque es eficaz, mucho más barata que la vareniclina y especialmente relevante en LMIC.</w:t>
      </w:r>
    </w:p>
    <w:p>
      <w:pPr>
        <w:pStyle w:val="ListBullet2"/>
      </w:pPr>
      <w:r>
        <w:t>El marco de la intervención breve se basa en la guía del US Public Health Service de 2000 (ref. 571).</w:t>
      </w:r>
    </w:p>
    <w:p>
      <w:pPr>
        <w:pStyle w:val="ListBullet2"/>
      </w:pPr>
      <w:r>
        <w:t>Entre los "other types of tobacco" (PDF 16) solo se citan pipa, puro y pipa de agua. No se menciona el tabaco sin humo, los bidis ni el kretek, de uso masivo en el sur y el sudeste de Asia.</w:t>
      </w:r>
    </w:p>
    <w:p>
      <w:pPr>
        <w:pStyle w:val="ListBullet"/>
      </w:pPr>
      <w:r>
        <w:rPr>
          <w:b/>
        </w:rPr>
        <w:t>Evidencia/justificación:</w:t>
      </w:r>
      <w:r>
        <w:t xml:space="preserve"> OMS, "WHO clinical treatment guideline for tobacco cessation in adults" (julio de 2024): recomienda vareniclina, terapia sustitutiva con nicotina, bupropión y citisina como tratamientos farmacológicos.</w:t>
      </w:r>
    </w:p>
    <w:p>
      <w:pPr>
        <w:pStyle w:val="ListBullet"/>
      </w:pPr>
      <w:r>
        <w:rPr>
          <w:b/>
        </w:rPr>
        <w:t>Recomendación:</w:t>
      </w:r>
    </w:p>
    <w:p>
      <w:pPr>
        <w:pStyle w:val="ListBullet2"/>
      </w:pPr>
      <w:r>
        <w:t>Añadir la citisina a la lista de fármacos y a la figura correspondiente del apéndice 3.</w:t>
      </w:r>
    </w:p>
    <w:p>
      <w:pPr>
        <w:pStyle w:val="ListBullet2"/>
      </w:pPr>
      <w:r>
        <w:t>Citar la guía de la OMS de 2024.</w:t>
      </w:r>
    </w:p>
    <w:p>
      <w:pPr>
        <w:pStyle w:val="ListBullet2"/>
      </w:pPr>
      <w:r>
        <w:t>Ampliar los tipos de tabaco (tabaco sin humo, bidis, kretek).</w:t>
      </w:r>
    </w:p>
    <w:p>
      <w:pPr>
        <w:pStyle w:val="ListBullet2"/>
      </w:pPr>
      <w:r>
        <w:t>Considerar los programas de cesación de bajo coste (líneas telefónicas, mCessation de la OMS).</w:t>
      </w:r>
    </w:p>
    <w:p>
      <w:pPr>
        <w:pStyle w:val="ListBullet"/>
      </w:pPr>
      <w:r>
        <w:rPr>
          <w:b/>
        </w:rPr>
        <w:t>Confianza:</w:t>
      </w:r>
      <w:r>
        <w:t xml:space="preserve"> 5/5</w:t>
      </w:r>
    </w:p>
    <w:p>
      <w:pPr>
        <w:pStyle w:val="Heading4"/>
      </w:pPr>
      <w:r>
        <w:t>FARM-08 · Fig 3.5: fuente de 2000, contenido híbrido y nortriptilina como "primera línea"</w:t>
      </w:r>
    </w:p>
    <w:p>
      <w:r>
        <w:rPr>
          <w:i/>
        </w:rPr>
        <w:t xml:space="preserve">Severidad final: </w:t>
      </w:r>
      <w:r>
        <w:rPr>
          <w:i/>
          <w:color w:val="FFC000"/>
        </w:rPr>
        <w:t>🟡</w:t>
      </w:r>
      <w:r>
        <w:rPr>
          <w:i/>
        </w:rPr>
        <w:t xml:space="preserve"> MEDIA · Tema T16: Tabaquismo y otros factores de riesgo inhalados</w:t>
      </w:r>
    </w:p>
    <w:p>
      <w:pPr>
        <w:pStyle w:val="IntenseQuote"/>
      </w:pPr>
      <w:r>
        <w:rPr>
          <w:b/>
        </w:rPr>
        <w:t>Verificación independiente (CONFIRMADO):</w:t>
      </w:r>
      <w:r>
        <w:t xml:space="preserve"> El contenido híbrido se confirma: la vareniclina (2006) no estaba en la guía PHS 2000, donde la nortriptilina era de segunda línea. Sugiero rebajar de ALTA a MEDIA (figura de apoyo, sin riesgo grave inmediato).</w:t>
      </w:r>
    </w:p>
    <w:p>
      <w:pPr>
        <w:pStyle w:val="IntenseQuote"/>
      </w:pPr>
      <w:r>
        <w:rPr>
          <w:b/>
        </w:rPr>
        <w:t>Severidad ajustada en la consolidación:</w:t>
      </w:r>
      <w:r>
        <w:t xml:space="preserve"> ALTA → MEDIA</w:t>
      </w:r>
    </w:p>
    <w:p>
      <w:pPr>
        <w:pStyle w:val="ListBullet"/>
      </w:pPr>
      <w:r>
        <w:rPr>
          <w:b/>
        </w:rPr>
        <w:t>Tipo:</w:t>
      </w:r>
      <w:r>
        <w:t xml:space="preserve"> Desactualización / Incongruencia interna</w:t>
      </w:r>
    </w:p>
    <w:p>
      <w:pPr>
        <w:pStyle w:val="ListBullet"/>
      </w:pPr>
      <w:r>
        <w:rPr>
          <w:b/>
        </w:rPr>
        <w:t>Severidad:</w:t>
      </w:r>
      <w:r>
        <w:t xml:space="preserve"> ALTA</w:t>
      </w:r>
    </w:p>
    <w:p>
      <w:pPr>
        <w:pStyle w:val="ListBullet"/>
      </w:pPr>
      <w:r>
        <w:rPr>
          <w:b/>
        </w:rPr>
        <w:t>Ubicación:</w:t>
      </w:r>
      <w:r>
        <w:t xml:space="preserve"> PDF 66 / impr. 55 (Fig 3.5) vs PDF 154 / impr. 143 (Apéndice 3)</w:t>
      </w:r>
    </w:p>
    <w:p>
      <w:pPr>
        <w:pStyle w:val="ListBullet"/>
      </w:pPr>
      <w:r>
        <w:rPr>
          <w:b/>
        </w:rPr>
        <w:t>Cita:</w:t>
      </w:r>
      <w:r>
        <w:t xml:space="preserve"> "First-line pharmacotherapies for tobacco dependence — varenicline, nortriptyline, bupropion sustained release, nicotine gum, nicotine inhaler, nicotine nasal spray, and nicotine patch" (Reference: … JAMA 2000).</w:t>
      </w:r>
    </w:p>
    <w:p>
      <w:pPr>
        <w:pStyle w:val="ListBullet"/>
      </w:pPr>
      <w:r>
        <w:rPr>
          <w:b/>
        </w:rPr>
        <w:t>Problema:</w:t>
      </w:r>
    </w:p>
    <w:p>
      <w:pPr>
        <w:pStyle w:val="ListBullet2"/>
      </w:pPr>
      <w:r>
        <w:t>La figura cita la guía PHS de 2000 (ref 571), pero incluye vareniclina, aprobada en 2006.</w:t>
      </w:r>
    </w:p>
    <w:p>
      <w:pPr>
        <w:pStyle w:val="ListBullet2"/>
      </w:pPr>
      <w:r>
        <w:t>Eleva la nortriptilina a primera línea, cuando la guía PHS de 2000 y la actualización de 2008 la consideraban de segunda línea, junto con la clonidina.</w:t>
      </w:r>
    </w:p>
    <w:p>
      <w:pPr>
        <w:pStyle w:val="ListBullet2"/>
      </w:pPr>
      <w:r>
        <w:t>El Apéndice 3 dice que la nortriptilina no superó al placebo en EPOC (ref 565, Cochrane van Eerd 2016).</w:t>
      </w:r>
    </w:p>
    <w:p>
      <w:pPr>
        <w:pStyle w:val="ListBullet2"/>
      </w:pPr>
      <w:r>
        <w:t>Omite la pastilla (</w:t>
      </w:r>
      <w:r>
        <w:rPr>
          <w:i/>
        </w:rPr>
        <w:t>lozenge</w:t>
      </w:r>
      <w:r>
        <w:t>) de nicotina, la TSN combinada (parche + forma rápida) y la combinación vareniclina + parche.</w:t>
      </w:r>
    </w:p>
    <w:p>
      <w:pPr>
        <w:pStyle w:val="ListBullet2"/>
      </w:pPr>
      <w:r>
        <w:t>El texto del capítulo no nombra ningún fármaco; todo queda en esta figura obsoleta.</w:t>
      </w:r>
    </w:p>
    <w:p>
      <w:pPr>
        <w:pStyle w:val="ListBullet2"/>
      </w:pPr>
      <w:r>
        <w:t>La actualización de 2008 (ref 573) está en la bibliografía, pero no se usa en la figura.</w:t>
      </w:r>
    </w:p>
    <w:p>
      <w:pPr>
        <w:pStyle w:val="ListBullet"/>
      </w:pPr>
      <w:r>
        <w:rPr>
          <w:b/>
        </w:rPr>
        <w:t>Evidencia/justificación:</w:t>
      </w:r>
    </w:p>
    <w:p>
      <w:pPr>
        <w:pStyle w:val="ListBullet2"/>
      </w:pPr>
      <w:r>
        <w:t>Leone FT et al., guía ATS, AJRCCM 2020;202(2):e5-e31: vareniclina preferida frente a parche y bupropión; vareniclina + parche; tratamiento &gt;12 semanas; iniciar aunque el paciente no esté listo para dejarlo.</w:t>
      </w:r>
    </w:p>
    <w:p>
      <w:pPr>
        <w:pStyle w:val="ListBullet2"/>
      </w:pPr>
      <w:r>
        <w:t>USPSTF 2021 (Krist AH et al., JAMA 2021;325:265-279).</w:t>
      </w:r>
    </w:p>
    <w:p>
      <w:pPr>
        <w:pStyle w:val="ListBullet2"/>
      </w:pPr>
      <w:r>
        <w:t>Theodoulou A et al., Cochrane 2023: la TSN combinada es superior a la simple.</w:t>
      </w:r>
    </w:p>
    <w:p>
      <w:pPr>
        <w:pStyle w:val="ListBullet2"/>
      </w:pPr>
      <w:r>
        <w:t>EAGLES (Anthenelli RM et al., Lancet 2016;387:2507-20): seguridad neuropsiquiátrica de vareniclina y bupropión.</w:t>
      </w:r>
    </w:p>
    <w:p>
      <w:pPr>
        <w:pStyle w:val="ListBullet"/>
      </w:pPr>
      <w:r>
        <w:rPr>
          <w:b/>
        </w:rPr>
        <w:t>Recomendación:</w:t>
      </w:r>
    </w:p>
    <w:p>
      <w:pPr>
        <w:pStyle w:val="ListBullet2"/>
      </w:pPr>
      <w:r>
        <w:t>Sustituir la Fig 3.5 por una tabla actual: vareniclina (preferente), TSN combinada, citisina (FARM-09) y bupropión; nortriptilina solo como segunda línea.</w:t>
      </w:r>
    </w:p>
    <w:p>
      <w:pPr>
        <w:pStyle w:val="ListBullet2"/>
      </w:pPr>
      <w:r>
        <w:t>Añadir dosis, duración y precauciones.</w:t>
      </w:r>
    </w:p>
    <w:p>
      <w:pPr>
        <w:pStyle w:val="ListBullet2"/>
      </w:pPr>
      <w:r>
        <w:t>Citar ATS 2020, USPSTF 2021 y OMS 2024.</w:t>
      </w:r>
    </w:p>
    <w:p>
      <w:pPr>
        <w:pStyle w:val="ListBullet"/>
      </w:pPr>
      <w:r>
        <w:rPr>
          <w:b/>
        </w:rPr>
        <w:t>Confianza:</w:t>
      </w:r>
      <w:r>
        <w:t xml:space="preserve"> 5/5</w:t>
      </w:r>
    </w:p>
    <w:p>
      <w:pPr>
        <w:pStyle w:val="Heading4"/>
      </w:pPr>
      <w:r>
        <w:t>FARM-09 · Omisión de la citisina (y de la cytisinicline)</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64-66 / impr. 53-55 (tabaco); PDF 153-154 / impr. 142-143 (Apéndice 3); no se menciona en ninguna parte del documento</w:t>
      </w:r>
    </w:p>
    <w:p>
      <w:pPr>
        <w:pStyle w:val="ListBullet"/>
      </w:pPr>
      <w:r>
        <w:rPr>
          <w:b/>
        </w:rPr>
        <w:t>Cita:</w:t>
      </w:r>
      <w:r>
        <w:t xml:space="preserve"> "Pharmacological treatments for smoking cessation include… (nicotine patch, bupropion, and varenicline)…" (PDF 153)</w:t>
      </w:r>
    </w:p>
    <w:p>
      <w:pPr>
        <w:pStyle w:val="ListBullet"/>
      </w:pPr>
      <w:r>
        <w:rPr>
          <w:b/>
        </w:rPr>
        <w:t>Problema:</w:t>
      </w:r>
      <w:r>
        <w:t xml:space="preserve"> la citisina no aparece en todo el informe. Es eficaz, barata, se comercializa desde hace décadas en Europa central y oriental (y en otros mercados) y está incluida en la guía de la OMS. Su omisión es relevante para la equidad en países de ingresos bajos y medios, donde la vareniclina tiene problemas de disponibilidad (retiradas por nitrosaminas en 2021).</w:t>
      </w:r>
    </w:p>
    <w:p>
      <w:pPr>
        <w:pStyle w:val="ListBullet"/>
      </w:pPr>
      <w:r>
        <w:rPr>
          <w:b/>
        </w:rPr>
        <w:t>Evidencia/justificación:</w:t>
      </w:r>
    </w:p>
    <w:p>
      <w:pPr>
        <w:pStyle w:val="ListBullet2"/>
      </w:pPr>
      <w:r>
        <w:t>Livingstone-Banks J et al., Cochrane CD006103 (2023):</w:t>
      </w:r>
    </w:p>
    <w:p>
      <w:pPr>
        <w:pStyle w:val="ListBullet2"/>
      </w:pPr>
      <w:r>
        <w:t>Citisina frente a placebo: RR 1,30 (IC 95% 1,15-1,47).</w:t>
      </w:r>
    </w:p>
    <w:p>
      <w:pPr>
        <w:pStyle w:val="ListBullet2"/>
      </w:pPr>
      <w:r>
        <w:t>Citisina frente a vareniclina: RR 1,00 (0,79-1,26).</w:t>
      </w:r>
    </w:p>
    <w:p>
      <w:pPr>
        <w:pStyle w:val="ListBullet2"/>
      </w:pPr>
      <w:r>
        <w:t>Vareniclina frente a placebo: RR 2,32.</w:t>
      </w:r>
    </w:p>
    <w:p>
      <w:pPr>
        <w:pStyle w:val="ListBullet2"/>
      </w:pPr>
      <w:r>
        <w:t xml:space="preserve">OMS, </w:t>
      </w:r>
      <w:r>
        <w:rPr>
          <w:i/>
        </w:rPr>
        <w:t>Clinical treatment guideline for tobacco cessation in adults</w:t>
      </w:r>
      <w:r>
        <w:t xml:space="preserve"> (2024): recomienda vareniclina, TSN, bupropión y citisina.</w:t>
      </w:r>
    </w:p>
    <w:p>
      <w:pPr>
        <w:pStyle w:val="ListBullet2"/>
      </w:pPr>
      <w:r>
        <w:t>Cytisinicline: ORCA-2 (Rigotti NA et al., JAMA 2023;330:152-160) y ORCA-3 (JAMA Intern Med 2025); solicitud de comercialización (NDA) aceptada por la FDA en 2025.</w:t>
      </w:r>
    </w:p>
    <w:p>
      <w:pPr>
        <w:pStyle w:val="ListBullet"/>
      </w:pPr>
      <w:r>
        <w:rPr>
          <w:b/>
        </w:rPr>
        <w:t>Recomendación:</w:t>
      </w:r>
      <w:r>
        <w:t xml:space="preserve"> incluir la citisina como opción eficaz y coste-efectiva, de acuerdo con la OMS 2024, con su pauta habitual (25 días, dosis decrecientes) y su disponibilidad por regiones.</w:t>
      </w:r>
    </w:p>
    <w:p>
      <w:pPr>
        <w:pStyle w:val="ListBullet"/>
      </w:pPr>
      <w:r>
        <w:rPr>
          <w:b/>
        </w:rPr>
        <w:t>Confianza:</w:t>
      </w:r>
      <w:r>
        <w:t xml:space="preserve"> 5/5</w:t>
      </w:r>
    </w:p>
    <w:p>
      <w:pPr>
        <w:pStyle w:val="Heading4"/>
      </w:pPr>
      <w:r>
        <w:t>FARM-10 · TSN "contraindicada" tras IAM o ictus; estudio observacional presentado como comparativo</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153-154 / impr. 142-143 (Apéndice 3)</w:t>
      </w:r>
    </w:p>
    <w:p>
      <w:pPr>
        <w:pStyle w:val="ListBullet"/>
      </w:pPr>
      <w:r>
        <w:rPr>
          <w:b/>
        </w:rPr>
        <w:t>Cita:</w:t>
      </w:r>
    </w:p>
    <w:p>
      <w:pPr>
        <w:pStyle w:val="ListBullet2"/>
      </w:pPr>
      <w:r>
        <w:t>"medical contraindications to nicotine replacement therapy include recent myocardial infarction or stroke.(575,1441,1442)"</w:t>
      </w:r>
    </w:p>
    <w:p>
      <w:pPr>
        <w:pStyle w:val="ListBullet2"/>
      </w:pPr>
      <w:r>
        <w:t>"A study in patients with COPD showed higher continuous abstinence rates… varenicline (58.3%) and bupropion (55.6%) compared with nicotine patch (38.2%).(1467)"</w:t>
      </w:r>
    </w:p>
    <w:p>
      <w:pPr>
        <w:pStyle w:val="ListBullet"/>
      </w:pPr>
      <w:r>
        <w:rPr>
          <w:b/>
        </w:rPr>
        <w:t>Problema:</w:t>
      </w:r>
    </w:p>
    <w:p>
      <w:pPr>
        <w:pStyle w:val="ListBullet2"/>
      </w:pPr>
      <w:r>
        <w:t>Se califica la TSN de "contraindicación" con referencias de 1996-2006, y la frase siguiente lo contradice: el beneficio es incierto y puede iniciarse a las 2 semanas. La redacción puede llevar a negar TSN a pacientes con EPOC y cardiopatía, en los que fumar es mucho más dañino.</w:t>
      </w:r>
    </w:p>
    <w:p>
      <w:pPr>
        <w:pStyle w:val="ListBullet2"/>
      </w:pPr>
      <w:r>
        <w:t>La ref 1467 (Jiménez-Ruiz, NTR 2012) es observacional y no aleatorizada, con tasas inusualmente altas, pero se presenta como "a study" con porcentajes comparativos.</w:t>
      </w:r>
    </w:p>
    <w:p>
      <w:pPr>
        <w:pStyle w:val="ListBullet"/>
      </w:pPr>
      <w:r>
        <w:rPr>
          <w:b/>
        </w:rPr>
        <w:t>Evidencia/justificación:</w:t>
      </w:r>
      <w:r>
        <w:t xml:space="preserve"> Barua RS et al., </w:t>
      </w:r>
      <w:r>
        <w:rPr>
          <w:i/>
        </w:rPr>
        <w:t>2018 ACC Expert Consensus Decision Pathway on Tobacco Cessation</w:t>
      </w:r>
      <w:r>
        <w:t>, JACC 2018;72:3332-3365: la TSN es segura en enfermedad cardiovascular estable; en un SCA reciente, precaución, no contraindicación.</w:t>
      </w:r>
    </w:p>
    <w:p>
      <w:pPr>
        <w:pStyle w:val="ListBullet"/>
      </w:pPr>
      <w:r>
        <w:rPr>
          <w:b/>
        </w:rPr>
        <w:t>Recomendación:</w:t>
      </w:r>
    </w:p>
    <w:p>
      <w:pPr>
        <w:pStyle w:val="ListBullet2"/>
      </w:pPr>
      <w:r>
        <w:t>Sustituir "contraindications" por "precaución en las 2 semanas posteriores a un IAM o ictus; el riesgo de seguir fumando supera al de la TSN".</w:t>
      </w:r>
    </w:p>
    <w:p>
      <w:pPr>
        <w:pStyle w:val="ListBullet2"/>
      </w:pPr>
      <w:r>
        <w:t>Calificar la ref 1467 como estudio observacional.</w:t>
      </w:r>
    </w:p>
    <w:p>
      <w:pPr>
        <w:pStyle w:val="ListBullet"/>
      </w:pPr>
      <w:r>
        <w:rPr>
          <w:b/>
        </w:rPr>
        <w:t>Confianza:</w:t>
      </w:r>
      <w:r>
        <w:t xml:space="preserve"> 4/5</w:t>
      </w:r>
    </w:p>
    <w:p>
      <w:pPr>
        <w:pStyle w:val="Heading4"/>
      </w:pPr>
      <w:r>
        <w:t>MET-14 · Fig 3.5: basada en la guía estadounidense del año 2000 y con contenido que esa guía no contiene</w:t>
      </w:r>
    </w:p>
    <w:p>
      <w:r>
        <w:rPr>
          <w:i/>
        </w:rPr>
        <w:t xml:space="preserve">Severidad final: </w:t>
      </w:r>
      <w:r>
        <w:rPr>
          <w:i/>
          <w:color w:val="FFC000"/>
        </w:rPr>
        <w:t>🟡</w:t>
      </w:r>
      <w:r>
        <w:rPr>
          <w:i/>
        </w:rPr>
        <w:t xml:space="preserve"> MEDIA · Tema T16: Tabaquismo y otros factores de riesgo inhalados</w:t>
      </w:r>
    </w:p>
    <w:p>
      <w:pPr>
        <w:pStyle w:val="IntenseQuote"/>
      </w:pPr>
      <w:r>
        <w:rPr>
          <w:b/>
        </w:rPr>
        <w:t>Verificación independiente (CONFIRMADO):</w:t>
      </w:r>
      <w:r>
        <w:t xml:space="preserve"> Si el hallazgo alude a una «ref. 572 corrupta», el problema está en la bibliografía, no en la figura.</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Fig 3.5 (PDF 66 / impr. 55); refs 572-573 (PDF 197-198 / impr. 186-187)</w:t>
      </w:r>
    </w:p>
    <w:p>
      <w:pPr>
        <w:pStyle w:val="ListBullet"/>
      </w:pPr>
      <w:r>
        <w:rPr>
          <w:b/>
        </w:rPr>
        <w:t>Cita:</w:t>
      </w:r>
      <w:r>
        <w:t xml:space="preserve"> «First-line pharmacotherapies for tobacco dependence — varenicline, nortriptyline, bupropion sustained release, nicotine gum, nicotine inhaler, nicotine nasal spray, and nicotine patch» … «Reference: The Tobacco Use and Dependence Clinical Practice Guideline Panel. JAMA 2000»</w:t>
      </w:r>
    </w:p>
    <w:p>
      <w:pPr>
        <w:pStyle w:val="ListBullet"/>
      </w:pPr>
      <w:r>
        <w:rPr>
          <w:b/>
        </w:rPr>
        <w:t>Problema:</w:t>
      </w:r>
    </w:p>
    <w:p>
      <w:pPr>
        <w:pStyle w:val="ListBullet2"/>
      </w:pPr>
      <w:r>
        <w:rPr>
          <w:b/>
        </w:rPr>
        <w:t>Atribución imposible.</w:t>
      </w:r>
      <w:r>
        <w:t xml:space="preserve"> La figura atribuye a la guía de 2000 la vareniclina, que se aprobó en 2006.</w:t>
      </w:r>
    </w:p>
    <w:p>
      <w:pPr>
        <w:pStyle w:val="ListBullet2"/>
      </w:pPr>
      <w:r>
        <w:rPr>
          <w:b/>
        </w:rPr>
        <w:t>Nortriptilina.</w:t>
      </w:r>
      <w:r>
        <w:t xml:space="preserve"> Aparece como primera línea, cuando era de segunda línea tanto en la guía de 2000 como en su actualización de 2008. La actualización de 2008 está en la lista (ref 573) pero no se usa.</w:t>
      </w:r>
    </w:p>
    <w:p>
      <w:pPr>
        <w:pStyle w:val="ListBullet2"/>
      </w:pPr>
      <w:r>
        <w:rPr>
          <w:b/>
        </w:rPr>
        <w:t>Omisiones.</w:t>
      </w:r>
      <w:r>
        <w:t xml:space="preserve"> No se mencionan la terapia sustitutiva de nicotina combinada ni la citisina.</w:t>
      </w:r>
    </w:p>
    <w:p>
      <w:pPr>
        <w:pStyle w:val="ListBullet2"/>
      </w:pPr>
      <w:r>
        <w:rPr>
          <w:b/>
        </w:rPr>
        <w:t>Ref 572 corrupta.</w:t>
      </w:r>
      <w:r>
        <w:t xml:space="preserve"> Dice «guideline panel s, and consortium representatives,.» y da como volumen «28» en lugar de 283.</w:t>
      </w:r>
    </w:p>
    <w:p>
      <w:pPr>
        <w:pStyle w:val="ListBullet"/>
      </w:pPr>
      <w:r>
        <w:rPr>
          <w:b/>
        </w:rPr>
        <w:t>Evidencia/justificación:</w:t>
      </w:r>
      <w:r>
        <w:t xml:space="preserve"> Fiore et al., guía del PHS 2008 (ref 573); fecha de aprobación de la vareniclina por la FDA (2006); referencias 572-573.</w:t>
      </w:r>
    </w:p>
    <w:p>
      <w:pPr>
        <w:pStyle w:val="ListBullet"/>
      </w:pPr>
      <w:r>
        <w:rPr>
          <w:b/>
        </w:rPr>
        <w:t>Recomendación:</w:t>
      </w:r>
      <w:r>
        <w:t xml:space="preserve"> Basar la figura en la actualización de 2008 o, mejor, en una revisión sistemática reciente (USPSTF 2021); corregir el estatus de la nortriptilina y la ref 572.</w:t>
      </w:r>
    </w:p>
    <w:p>
      <w:pPr>
        <w:pStyle w:val="ListBullet"/>
      </w:pPr>
      <w:r>
        <w:rPr>
          <w:b/>
        </w:rPr>
        <w:t>Confianza:</w:t>
      </w:r>
      <w:r>
        <w:t xml:space="preserve"> 4</w:t>
      </w:r>
    </w:p>
    <w:p>
      <w:pPr>
        <w:pStyle w:val="Heading4"/>
      </w:pPr>
      <w:r>
        <w:t>EQ-19 · Vacunación: recomendaciones centradas en EE. UU. (CDC/FDA), sin alternativas cuando PCV20/PCV21 o la vacuna frente al VRS no están disponibles</w:t>
      </w:r>
    </w:p>
    <w:p>
      <w:r>
        <w:rPr>
          <w:i/>
        </w:rPr>
        <w:t xml:space="preserve">Severidad final: </w:t>
      </w:r>
      <w:r>
        <w:rPr>
          <w:i/>
          <w:color w:val="FFC000"/>
        </w:rPr>
        <w:t>🟡</w:t>
      </w:r>
      <w:r>
        <w:rPr>
          <w:i/>
        </w:rPr>
        <w:t xml:space="preserve"> MEDIA · Tema T17: Vacunación</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PDF 68-70 / impr. 57-59 ("Vaccinations"; figura 3.6).</w:t>
      </w:r>
    </w:p>
    <w:p>
      <w:pPr>
        <w:pStyle w:val="ListBullet"/>
      </w:pPr>
      <w:r>
        <w:rPr>
          <w:b/>
        </w:rPr>
        <w:t>Cita:</w:t>
      </w:r>
      <w:r>
        <w:t xml:space="preserve"> "We recommend the use of PCV20 or PCV21 in patients with COPD." (PDF 68). Además: "The CDC recommends…" y "other FDA-approved pneumococcal vaccines".</w:t>
      </w:r>
    </w:p>
    <w:p>
      <w:pPr>
        <w:pStyle w:val="ListBullet"/>
      </w:pPr>
      <w:r>
        <w:rPr>
          <w:b/>
        </w:rPr>
        <w:t>Problema:</w:t>
      </w:r>
      <w:r>
        <w:t xml:space="preserve"> La sección reproduce el calendario de ACIP/CDC: PCV20/PCV21, gripe de alta dosis o adyuvada, VRS y Tdap. No aclara qué hacer donde estas vacunas no están registradas o no se financian, que es el caso de gran parte de los LMIC y de algunos HIC: PCV13, PPSV23 o la priorización de la gripe estacional estándar. La única concesión es un "in line with relevant local guidelines" inicial.</w:t>
      </w:r>
    </w:p>
    <w:p>
      <w:pPr>
        <w:pStyle w:val="ListBullet"/>
      </w:pPr>
      <w:r>
        <w:rPr>
          <w:b/>
        </w:rPr>
        <w:t>Evidencia/justificación:</w:t>
      </w:r>
      <w:r>
        <w:t xml:space="preserve"> La OMS recomienda la vacunación antigripal en personas con enfermedades crónicas (documento de posición de 2022). Para la vacunación antineumocócica en adultos, la OMS deja la decisión al contexto local según la carga y el coste (documento de posición de 2019). Las fuentes citadas en la sección son mayoritariamente de CDC/ACIP.</w:t>
      </w:r>
    </w:p>
    <w:p>
      <w:pPr>
        <w:pStyle w:val="ListBullet"/>
      </w:pPr>
      <w:r>
        <w:rPr>
          <w:b/>
        </w:rPr>
        <w:t>Recomendación:</w:t>
      </w:r>
    </w:p>
    <w:p>
      <w:pPr>
        <w:pStyle w:val="ListBullet2"/>
      </w:pPr>
      <w:r>
        <w:t>Reformular como "vacunas recomendadas, por orden de prioridad según disponibilidad".</w:t>
      </w:r>
    </w:p>
    <w:p>
      <w:pPr>
        <w:pStyle w:val="ListBullet2"/>
      </w:pPr>
      <w:r>
        <w:t>Gripe anual: prioridad máxima y de bajo coste.</w:t>
      </w:r>
    </w:p>
    <w:p>
      <w:pPr>
        <w:pStyle w:val="ListBullet2"/>
      </w:pPr>
      <w:r>
        <w:t>Neumococo: la PCV de mayor valencia disponible; si no, PCV13 o PPSV23.</w:t>
      </w:r>
    </w:p>
    <w:p>
      <w:pPr>
        <w:pStyle w:val="ListBullet2"/>
      </w:pPr>
      <w:r>
        <w:t>VRS, herpes zóster y Tdap donde estén disponibles.</w:t>
      </w:r>
    </w:p>
    <w:p>
      <w:pPr>
        <w:pStyle w:val="ListBullet2"/>
      </w:pPr>
      <w:r>
        <w:t>Citar las posiciones de la OMS/SAGE junto a las de ACIP.</w:t>
      </w:r>
    </w:p>
    <w:p>
      <w:pPr>
        <w:pStyle w:val="ListBullet"/>
      </w:pPr>
      <w:r>
        <w:rPr>
          <w:b/>
        </w:rPr>
        <w:t>Confianza:</w:t>
      </w:r>
      <w:r>
        <w:t xml:space="preserve"> 4/5</w:t>
      </w:r>
    </w:p>
    <w:p>
      <w:pPr>
        <w:pStyle w:val="Heading4"/>
      </w:pPr>
      <w:r>
        <w:t>FARM-01 · VRS: la Fig 3.6 amplía la indicación respecto al texto y al ACIP, con nivel de evidencia y seguridad mal representados</w:t>
      </w:r>
    </w:p>
    <w:p>
      <w:r>
        <w:rPr>
          <w:i/>
        </w:rPr>
        <w:t xml:space="preserve">Severidad final: </w:t>
      </w:r>
      <w:r>
        <w:rPr>
          <w:i/>
          <w:color w:val="FFC000"/>
        </w:rPr>
        <w:t>🟡</w:t>
      </w:r>
      <w:r>
        <w:rPr>
          <w:i/>
        </w:rPr>
        <w:t xml:space="preserve"> MEDIA · Tema T17: Vacunación</w:t>
      </w:r>
    </w:p>
    <w:p>
      <w:pPr>
        <w:pStyle w:val="IntenseQuote"/>
      </w:pPr>
      <w:r>
        <w:rPr>
          <w:b/>
        </w:rPr>
        <w:t>Verificación independiente (CONFIRMADO PARCIAL):</w:t>
      </w:r>
      <w:r>
        <w:t xml:space="preserve"> La figura va dirigida a pacientes con EPOC, que ya es un factor de riesgo, así que «≥ 50» coincide con el texto y el ACIP. La divergencia real es otra: el «and/or» abre la vacuna a pacientes con EPOC menores de 50 años, y la A se aplica a todo (entre 50 y 59 años la base es de inmunopuente). La omisión del Guillain-Barré está en el texto, no en la figura. | Confirmado: - «and/or with chronic… lung disease» extiende la recomendación a personas de &lt;50 años con EPOC, algo que ACIP no recomienda; - se atribuye a la recomendación de 50-59 años una evidencia «A» que no está justificada; - no se mencionan la dosis única, la no revacunación ni la señal de SGB; - la «European Commission» autoriza la comercialización, no emite recomendaciones de vacunación; - en el cap. 4 (PDF 12…</w:t>
      </w:r>
    </w:p>
    <w:p>
      <w:pPr>
        <w:pStyle w:val="IntenseQuote"/>
      </w:pPr>
      <w:r>
        <w:rPr>
          <w:b/>
        </w:rPr>
        <w:t>Severidad ajustada en la consolidación:</w:t>
      </w:r>
      <w:r>
        <w:t xml:space="preserve"> ALTA → MEDIA</w:t>
      </w:r>
    </w:p>
    <w:p>
      <w:pPr>
        <w:pStyle w:val="ListBullet"/>
      </w:pPr>
      <w:r>
        <w:rPr>
          <w:b/>
        </w:rPr>
        <w:t>Tipo:</w:t>
      </w:r>
      <w:r>
        <w:t xml:space="preserve"> Incongruencia interna / Evidencia mal representada / Omisión</w:t>
      </w:r>
    </w:p>
    <w:p>
      <w:pPr>
        <w:pStyle w:val="ListBullet"/>
      </w:pPr>
      <w:r>
        <w:rPr>
          <w:b/>
        </w:rPr>
        <w:t>Severidad:</w:t>
      </w:r>
      <w:r>
        <w:t xml:space="preserve"> ALTA</w:t>
      </w:r>
    </w:p>
    <w:p>
      <w:pPr>
        <w:pStyle w:val="ListBullet"/>
      </w:pPr>
      <w:r>
        <w:rPr>
          <w:b/>
        </w:rPr>
        <w:t>Ubicación:</w:t>
      </w:r>
      <w:r>
        <w:t xml:space="preserve"> PDF 69 / impr. 58 (Fig 3.6); PDF 70 / impr. 59 (texto VRS); PDF 121 / impr. 110 (cap. 4)</w:t>
      </w:r>
    </w:p>
    <w:p>
      <w:pPr>
        <w:pStyle w:val="ListBullet"/>
      </w:pPr>
      <w:r>
        <w:rPr>
          <w:b/>
        </w:rPr>
        <w:t>Cita:</w:t>
      </w:r>
    </w:p>
    <w:p>
      <w:pPr>
        <w:pStyle w:val="ListBullet2"/>
      </w:pPr>
      <w:r>
        <w:t>Fig 3.6: "Respiratory syncytial virus (RSV) vaccination for individuals aged ≥ 50 years and/or with chronic heart or lung disease, as recommended by the CDC (Evidence A)".</w:t>
      </w:r>
    </w:p>
    <w:p>
      <w:pPr>
        <w:pStyle w:val="ListBullet2"/>
      </w:pPr>
      <w:r>
        <w:t>Texto: "For adults aged 50-74 years, vaccination is recommended if they have a risk factor".</w:t>
      </w:r>
    </w:p>
    <w:p>
      <w:pPr>
        <w:pStyle w:val="ListBullet"/>
      </w:pPr>
      <w:r>
        <w:rPr>
          <w:b/>
        </w:rPr>
        <w:t>Problema:</w:t>
      </w:r>
    </w:p>
    <w:p>
      <w:pPr>
        <w:pStyle w:val="ListBullet2"/>
      </w:pPr>
      <w:r>
        <w:t>La figura, leída literalmente, recomienda vacunar a todos los ≥50 años y a cualquier persona con EPOC sea cual sea su edad (el "or"). El texto y el CDC lo limitan a todos los ≥75 años y a los de 50-74 años con riesgo.</w:t>
      </w:r>
    </w:p>
    <w:p>
      <w:pPr>
        <w:pStyle w:val="ListBullet2"/>
      </w:pPr>
      <w:r>
        <w:t>"Evidence A" se aplica de forma indistinta, aunque para 50-59 años la autorización se basa en inmunopuente: los RCT de eficacia incluían ≥60 años.</w:t>
      </w:r>
    </w:p>
    <w:p>
      <w:pPr>
        <w:pStyle w:val="ListBullet2"/>
      </w:pPr>
      <w:r>
        <w:t>No se indica que es dosis única y que hoy no se recomienda revacunar.</w:t>
      </w:r>
    </w:p>
    <w:p>
      <w:pPr>
        <w:pStyle w:val="ListBullet2"/>
      </w:pPr>
      <w:r>
        <w:t>El texto afirma "The safety of RSV vaccinations has been demonstrated (665)", pero omite la advertencia de la FDA sobre el síndrome de Guillain-Barré.</w:t>
      </w:r>
    </w:p>
    <w:p>
      <w:pPr>
        <w:pStyle w:val="ListBullet2"/>
      </w:pPr>
      <w:r>
        <w:t>Se dice que la "European Commission recommend[s]" la vacuna, cuando la CE autoriza y quienes recomiendan son los comités nacionales.</w:t>
      </w:r>
    </w:p>
    <w:p>
      <w:pPr>
        <w:pStyle w:val="ListBullet2"/>
      </w:pPr>
      <w:r>
        <w:t>Errata: "universally recommended for if".</w:t>
      </w:r>
    </w:p>
    <w:p>
      <w:pPr>
        <w:pStyle w:val="ListBullet2"/>
      </w:pPr>
      <w:r>
        <w:t>El cap. 4 (PDF 121) afirma que la inmunización frente al VRS "reduce[s] subsequent COPD exacerbations", sin ningún RCT en EPOC con ese desenlace.</w:t>
      </w:r>
    </w:p>
    <w:p>
      <w:pPr>
        <w:pStyle w:val="ListBullet"/>
      </w:pPr>
      <w:r>
        <w:rPr>
          <w:b/>
        </w:rPr>
        <w:t>Evidencia/justificación:</w:t>
      </w:r>
    </w:p>
    <w:p>
      <w:pPr>
        <w:pStyle w:val="ListBullet2"/>
      </w:pPr>
      <w:r>
        <w:t>ACIP, junio de 2024 (Britton et al., MMWR 2024;73(32):696-702): todos los ≥75 años y los de 60-74 con riesgo aumentado.</w:t>
      </w:r>
    </w:p>
    <w:p>
      <w:pPr>
        <w:pStyle w:val="ListBullet2"/>
      </w:pPr>
      <w:r>
        <w:t>ACIP, abril de 2025 (adoptado por el CDC en 2025): se amplía a 50-59 años con riesgo aumentado; dosis única.</w:t>
      </w:r>
    </w:p>
    <w:p>
      <w:pPr>
        <w:pStyle w:val="ListBullet2"/>
      </w:pPr>
      <w:r>
        <w:t>FDA, 7-ene-2025: cambio obligatorio de ficha técnica (Abrysvo y Arexvy) por riesgo aumentado de SGB en los 42 días posteriores. El estudio poscomercialización en ≥65 años estimó unos 9 casos (Abrysvo) y unos 7 (Arexvy) en exceso por millón de dosis.</w:t>
      </w:r>
    </w:p>
    <w:p>
      <w:pPr>
        <w:pStyle w:val="ListBullet2"/>
      </w:pPr>
      <w:r>
        <w:t>La propia ref 665 (Hause, MMWR 2024) es un informe preliminar de farmacovigilancia que ya describía notificaciones de SGB.</w:t>
      </w:r>
    </w:p>
    <w:p>
      <w:pPr>
        <w:pStyle w:val="ListBullet"/>
      </w:pPr>
      <w:r>
        <w:rPr>
          <w:b/>
        </w:rPr>
        <w:t>Recomendación:</w:t>
      </w:r>
    </w:p>
    <w:p>
      <w:pPr>
        <w:pStyle w:val="ListBullet2"/>
      </w:pPr>
      <w:r>
        <w:t>Alinear la Fig 3.6 con el texto: "≥75 años: todos; 50-74 años con EPOC u otro factor de riesgo: dosis única; no revacunar por ahora".</w:t>
      </w:r>
    </w:p>
    <w:p>
      <w:pPr>
        <w:pStyle w:val="ListBullet2"/>
      </w:pPr>
      <w:r>
        <w:t>Graduar la evidencia: A para ≥60 años; B o "inmunopuente" para 50-59.</w:t>
      </w:r>
    </w:p>
    <w:p>
      <w:pPr>
        <w:pStyle w:val="ListBullet2"/>
      </w:pPr>
      <w:r>
        <w:t>Añadir la advertencia sobre SGB con una frase sobre el balance beneficio/riesgo favorable.</w:t>
      </w:r>
    </w:p>
    <w:p>
      <w:pPr>
        <w:pStyle w:val="ListBullet2"/>
      </w:pPr>
      <w:r>
        <w:t>Sustituir "European Commission recommend" por "EMA/CE autorizan; los NITAG nacionales recomiendan".</w:t>
      </w:r>
    </w:p>
    <w:p>
      <w:pPr>
        <w:pStyle w:val="ListBullet2"/>
      </w:pPr>
      <w:r>
        <w:t>En el cap. 4, cambiar "reduce exacerbations" por "reduce hospitalizaciones por VRS (datos de EPOC limitados)".</w:t>
      </w:r>
    </w:p>
    <w:p>
      <w:pPr>
        <w:pStyle w:val="ListBullet"/>
      </w:pPr>
      <w:r>
        <w:rPr>
          <w:b/>
        </w:rPr>
        <w:t>Confianza:</w:t>
      </w:r>
      <w:r>
        <w:t xml:space="preserve"> 5/5</w:t>
      </w:r>
    </w:p>
    <w:p>
      <w:pPr>
        <w:pStyle w:val="Heading4"/>
      </w:pPr>
      <w:r>
        <w:t xml:space="preserve">FARM-03 · Gripe ≥65 años: se omite la recomendación </w:t>
      </w:r>
      <w:r>
        <w:rPr>
          <w:i/>
        </w:rPr>
        <w:t>preferente</w:t>
      </w:r>
      <w:r>
        <w:t xml:space="preserve"> y la vacuna recombinante</w:t>
      </w:r>
    </w:p>
    <w:p>
      <w:r>
        <w:rPr>
          <w:i/>
        </w:rPr>
        <w:t xml:space="preserve">Severidad final: </w:t>
      </w:r>
      <w:r>
        <w:rPr>
          <w:i/>
          <w:color w:val="FFC000"/>
        </w:rPr>
        <w:t>🟡</w:t>
      </w:r>
      <w:r>
        <w:rPr>
          <w:i/>
        </w:rPr>
        <w:t xml:space="preserve"> MEDIA · Tema T17: Vacunación</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68 / impr. 57; PDF 69 / impr. 58 (coadministración)</w:t>
      </w:r>
    </w:p>
    <w:p>
      <w:pPr>
        <w:pStyle w:val="ListBullet"/>
      </w:pPr>
      <w:r>
        <w:rPr>
          <w:b/>
        </w:rPr>
        <w:t>Cita:</w:t>
      </w:r>
      <w:r>
        <w:t xml:space="preserve"> "The CDC recommends high-dose inactivated (HD-IIV3) and adjuvanted inactivated (aIIV3) influenza vaccines as acceptable options for influenza vaccination in older adults.(632)"</w:t>
      </w:r>
    </w:p>
    <w:p>
      <w:pPr>
        <w:pStyle w:val="ListBullet"/>
      </w:pPr>
      <w:r>
        <w:rPr>
          <w:b/>
        </w:rPr>
        <w:t>Problema:</w:t>
      </w:r>
    </w:p>
    <w:p>
      <w:pPr>
        <w:pStyle w:val="ListBullet2"/>
      </w:pPr>
      <w:r>
        <w:t xml:space="preserve">Desde la temporada 2022-23, el ACIP recomienda </w:t>
      </w:r>
      <w:r>
        <w:rPr>
          <w:b/>
        </w:rPr>
        <w:t>preferentemente</w:t>
      </w:r>
      <w:r>
        <w:t xml:space="preserve"> HD-IIV, aIIV </w:t>
      </w:r>
      <w:r>
        <w:rPr>
          <w:b/>
        </w:rPr>
        <w:t>o RIV (recombinante)</w:t>
      </w:r>
      <w:r>
        <w:t xml:space="preserve"> a partir de los 65 años. "Acceptable options" es la redacción del ACIP para otro grupo (receptores de trasplante de órgano sólido de 18-64 años).</w:t>
      </w:r>
    </w:p>
    <w:p>
      <w:pPr>
        <w:pStyle w:val="ListBullet2"/>
      </w:pPr>
      <w:r>
        <w:t>Se omite la RIV3.</w:t>
      </w:r>
    </w:p>
    <w:p>
      <w:pPr>
        <w:pStyle w:val="ListBullet2"/>
      </w:pPr>
      <w:r>
        <w:t>La ref 632 es de la temporada 2024-25; ya existía la de 2025-26.</w:t>
      </w:r>
    </w:p>
    <w:p>
      <w:pPr>
        <w:pStyle w:val="ListBullet2"/>
      </w:pPr>
      <w:r>
        <w:t>En la coadministración se mencionan "QIV [Fluarix]" y "adjuvanted QIV [Fluad]", cuando en EE.UU. todas las vacunas son trivalentes desde 2024-25.</w:t>
      </w:r>
    </w:p>
    <w:p>
      <w:pPr>
        <w:pStyle w:val="ListBullet"/>
      </w:pPr>
      <w:r>
        <w:rPr>
          <w:b/>
        </w:rPr>
        <w:t>Evidencia/justificación:</w:t>
      </w:r>
      <w:r>
        <w:t xml:space="preserve"> Grohskopf LA et al., MMWR 2025;74(32):500-507 (2025-26): preferencia por HD-IIV3, RIV3 o aIIV3 a partir de los 65 años.</w:t>
      </w:r>
    </w:p>
    <w:p>
      <w:pPr>
        <w:pStyle w:val="ListBullet"/>
      </w:pPr>
      <w:r>
        <w:rPr>
          <w:b/>
        </w:rPr>
        <w:t>Recomendación:</w:t>
      </w:r>
    </w:p>
    <w:p>
      <w:pPr>
        <w:pStyle w:val="ListBullet2"/>
      </w:pPr>
      <w:r>
        <w:t>Reescribir: "A partir de los 65 años se prefieren HD-IIV3, RIV3 o aIIV3; si no están disponibles, cualquier vacuna apropiada para la edad".</w:t>
      </w:r>
    </w:p>
    <w:p>
      <w:pPr>
        <w:pStyle w:val="ListBullet2"/>
      </w:pPr>
      <w:r>
        <w:t>Actualizar la referencia y la formulación (trivalente).</w:t>
      </w:r>
    </w:p>
    <w:p>
      <w:pPr>
        <w:pStyle w:val="ListBullet"/>
      </w:pPr>
      <w:r>
        <w:rPr>
          <w:b/>
        </w:rPr>
        <w:t>Confianza:</w:t>
      </w:r>
      <w:r>
        <w:t xml:space="preserve"> 5/5</w:t>
      </w:r>
    </w:p>
    <w:p>
      <w:pPr>
        <w:pStyle w:val="Heading4"/>
      </w:pPr>
      <w:r>
        <w:t>FARM-04 · Neumococo: la PCV13 sigue como opción, faltan esquemas para vacunados previos y se presentan cifras sin cautela</w:t>
      </w:r>
    </w:p>
    <w:p>
      <w:r>
        <w:rPr>
          <w:i/>
        </w:rPr>
        <w:t xml:space="preserve">Severidad final: </w:t>
      </w:r>
      <w:r>
        <w:rPr>
          <w:i/>
          <w:color w:val="FFC000"/>
        </w:rPr>
        <w:t>🟡</w:t>
      </w:r>
      <w:r>
        <w:rPr>
          <w:i/>
        </w:rPr>
        <w:t xml:space="preserve"> MEDIA · Tema T17: Vacunación</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68-69 / impr. 57-58 — texto neumococo</w:t>
      </w:r>
    </w:p>
    <w:p>
      <w:pPr>
        <w:pStyle w:val="ListBullet"/>
      </w:pPr>
      <w:r>
        <w:rPr>
          <w:b/>
        </w:rPr>
        <w:t>Cita:</w:t>
      </w:r>
    </w:p>
    <w:p>
      <w:pPr>
        <w:pStyle w:val="ListBullet2"/>
      </w:pPr>
      <w:r>
        <w:t>"The current recommendation is PCV13 or PCV15 followed by PPSV23 or one-dose PCV20".</w:t>
      </w:r>
    </w:p>
    <w:p>
      <w:pPr>
        <w:pStyle w:val="ListBullet2"/>
      </w:pPr>
      <w:r>
        <w:t>"Pneumonia by year 5 after vaccination was registered in 47% of patients in the PPSV23 group, versus 3.3% of patients in the PCV13 group".</w:t>
      </w:r>
    </w:p>
    <w:p>
      <w:pPr>
        <w:pStyle w:val="ListBullet"/>
      </w:pPr>
      <w:r>
        <w:rPr>
          <w:b/>
        </w:rPr>
        <w:t>Problema:</w:t>
      </w:r>
    </w:p>
    <w:p>
      <w:pPr>
        <w:pStyle w:val="ListNumber"/>
        <w:numPr>
          <w:ilvl w:val="0"/>
          <w:numId w:val="32"/>
        </w:numPr>
      </w:pPr>
      <w:r>
        <w:t>La PCV13 ya no es opción de inicio en el esquema del ACIP; la propia ref 645 (calendario de adultos 2025) recoge PCV15→PPSV23, PCV20 o PCV21.</w:t>
      </w:r>
    </w:p>
    <w:p>
      <w:pPr>
        <w:pStyle w:val="ListNumber"/>
        <w:numPr>
          <w:ilvl w:val="0"/>
          <w:numId w:val="32"/>
        </w:numPr>
      </w:pPr>
      <w:r>
        <w:t>No se dan pautas para quien ya recibió PPSV23 o PCV13 (p. ej., PCV20/PCV21 ≥1 año después), una situación frecuente en EPOC.</w:t>
      </w:r>
    </w:p>
    <w:p>
      <w:pPr>
        <w:pStyle w:val="ListNumber"/>
        <w:numPr>
          <w:ilvl w:val="0"/>
          <w:numId w:val="32"/>
        </w:numPr>
      </w:pPr>
      <w:r>
        <w:t>La cobertura "58%/84%" se atribuye a las refs 644 y 646 (ensayos de inmunogenicidad), no a la vigilancia epidemiológica. "Those strains" es ambiguo.</w:t>
      </w:r>
    </w:p>
    <w:p>
      <w:pPr>
        <w:pStyle w:val="ListNumber"/>
        <w:numPr>
          <w:ilvl w:val="0"/>
          <w:numId w:val="32"/>
        </w:numPr>
      </w:pPr>
      <w:r>
        <w:t>La cifra de neumonía a 5 años del 47% frente al 3,3% procede de una cohorte observacional rusa no aleatorizada (Ignatova, Sci Rep 2021; ref 652). La diferencia es biológicamente inverosímil y no se mencionan sus probables sesgos de selección y confusión.</w:t>
      </w:r>
    </w:p>
    <w:p>
      <w:pPr>
        <w:pStyle w:val="ListBullet"/>
      </w:pPr>
      <w:r>
        <w:rPr>
          <w:b/>
        </w:rPr>
        <w:t>Evidencia/justificación:</w:t>
      </w:r>
    </w:p>
    <w:p>
      <w:pPr>
        <w:pStyle w:val="ListBullet2"/>
      </w:pPr>
      <w:r>
        <w:t>Kobayashi M et al., MMWR 2025;74(1):1-8: ACIP de octubre de 2024, vacunación a partir de los 50 años; PCV20 o PCV21 en dosis única, o PCV15 seguida de PPSV23; esquemas específicos para vacunados previamente.</w:t>
      </w:r>
    </w:p>
    <w:p>
      <w:pPr>
        <w:pStyle w:val="ListBullet2"/>
      </w:pPr>
      <w:r>
        <w:t>Calendario ACIP de adultos 2025 (ref 645).</w:t>
      </w:r>
    </w:p>
    <w:p>
      <w:pPr>
        <w:pStyle w:val="ListBullet"/>
      </w:pPr>
      <w:r>
        <w:rPr>
          <w:b/>
        </w:rPr>
        <w:t>Recomendación:</w:t>
      </w:r>
    </w:p>
    <w:p>
      <w:pPr>
        <w:pStyle w:val="ListBullet2"/>
      </w:pPr>
      <w:r>
        <w:t>Eliminar la PCV13 como opción de inicio.</w:t>
      </w:r>
    </w:p>
    <w:p>
      <w:pPr>
        <w:pStyle w:val="ListBullet2"/>
      </w:pPr>
      <w:r>
        <w:t>Añadir una tabla breve de esquemas según la vacunación previa.</w:t>
      </w:r>
    </w:p>
    <w:p>
      <w:pPr>
        <w:pStyle w:val="ListBullet2"/>
      </w:pPr>
      <w:r>
        <w:t>Citar la fuente epidemiológica de la cobertura serotípica (CDC/ABCs) y aclarar que se refiere a enfermedad invasiva en adultos de EE.UU.</w:t>
      </w:r>
    </w:p>
    <w:p>
      <w:pPr>
        <w:pStyle w:val="ListBullet2"/>
      </w:pPr>
      <w:r>
        <w:t>Presentar el estudio de Ignatova como observacional, con cautela, o retirar la cifra.</w:t>
      </w:r>
    </w:p>
    <w:p>
      <w:pPr>
        <w:pStyle w:val="ListBullet"/>
      </w:pPr>
      <w:r>
        <w:rPr>
          <w:b/>
        </w:rPr>
        <w:t>Confianza:</w:t>
      </w:r>
      <w:r>
        <w:t xml:space="preserve"> 4/5</w:t>
      </w:r>
    </w:p>
    <w:p>
      <w:pPr>
        <w:pStyle w:val="Heading4"/>
      </w:pPr>
      <w:r>
        <w:t>FARM-05 · COVID-19: eficacia frente a infección sobrevalorada, referencia errónea y desfase con las recomendaciones de 2025</w:t>
      </w:r>
    </w:p>
    <w:p>
      <w:r>
        <w:rPr>
          <w:i/>
        </w:rPr>
        <w:t xml:space="preserve">Severidad final: </w:t>
      </w:r>
      <w:r>
        <w:rPr>
          <w:i/>
          <w:color w:val="FFC000"/>
        </w:rPr>
        <w:t>🟡</w:t>
      </w:r>
      <w:r>
        <w:rPr>
          <w:i/>
        </w:rPr>
        <w:t xml:space="preserve"> MEDIA · Tema T17: Vacunación</w:t>
      </w:r>
    </w:p>
    <w:p>
      <w:pPr>
        <w:pStyle w:val="ListBullet"/>
      </w:pPr>
      <w:r>
        <w:rPr>
          <w:b/>
        </w:rPr>
        <w:t>Tipo:</w:t>
      </w:r>
      <w:r>
        <w:t xml:space="preserve"> Evidencia mal representada / Error factual (referencia) / Desactualización</w:t>
      </w:r>
    </w:p>
    <w:p>
      <w:pPr>
        <w:pStyle w:val="ListBullet"/>
      </w:pPr>
      <w:r>
        <w:rPr>
          <w:b/>
        </w:rPr>
        <w:t>Severidad:</w:t>
      </w:r>
      <w:r>
        <w:t xml:space="preserve"> MEDIA</w:t>
      </w:r>
    </w:p>
    <w:p>
      <w:pPr>
        <w:pStyle w:val="ListBullet"/>
      </w:pPr>
      <w:r>
        <w:rPr>
          <w:b/>
        </w:rPr>
        <w:t>Ubicación:</w:t>
      </w:r>
      <w:r>
        <w:t xml:space="preserve"> PDF 61 / impr. 50 (key point); PDF 70 / impr. 59 (texto); PDF 69 / impr. 58 (Fig 3.6)</w:t>
      </w:r>
    </w:p>
    <w:p>
      <w:pPr>
        <w:pStyle w:val="ListBullet"/>
      </w:pPr>
      <w:r>
        <w:rPr>
          <w:b/>
        </w:rPr>
        <w:t>Cita:</w:t>
      </w:r>
    </w:p>
    <w:p>
      <w:pPr>
        <w:pStyle w:val="ListBullet2"/>
      </w:pPr>
      <w:r>
        <w:t>Key point: "COVID-19 vaccines are highly effective against SARS-CoV-2 infection".</w:t>
      </w:r>
    </w:p>
    <w:p>
      <w:pPr>
        <w:pStyle w:val="ListBullet2"/>
      </w:pPr>
      <w:r>
        <w:t>Texto: "…highly effective against SARS-CoV-2 infection requiring hospitalization… (190,669)".</w:t>
      </w:r>
    </w:p>
    <w:p>
      <w:pPr>
        <w:pStyle w:val="ListBullet"/>
      </w:pPr>
      <w:r>
        <w:rPr>
          <w:b/>
        </w:rPr>
        <w:t>Problema:</w:t>
      </w:r>
    </w:p>
    <w:p>
      <w:pPr>
        <w:pStyle w:val="ListBullet2"/>
      </w:pPr>
      <w:r>
        <w:t>El key point generaliza a "infection", cuando la protección frente a infección es modesta y se pierde en pocos meses. El texto acota correctamente a formas graves, así que el capítulo se contradice a sí mismo.</w:t>
      </w:r>
    </w:p>
    <w:p>
      <w:pPr>
        <w:pStyle w:val="ListBullet2"/>
      </w:pPr>
      <w:r>
        <w:t>La ref 190 (Diaz AA, JAMA 2023, "tapones de moco y mortalidad") no trata de vacunas: es una cita errónea.</w:t>
      </w:r>
    </w:p>
    <w:p>
      <w:pPr>
        <w:pStyle w:val="ListBullet2"/>
      </w:pPr>
      <w:r>
        <w:t>La ref 669 (Thompson, NEJM 2021) es anterior a Ómicron.</w:t>
      </w:r>
    </w:p>
    <w:p>
      <w:pPr>
        <w:pStyle w:val="ListBullet2"/>
      </w:pPr>
      <w:r>
        <w:t>La Fig 3.6 remite a "WHO and CDC updated recommendations" sin advertir que en 2025 cambiaron:</w:t>
      </w:r>
    </w:p>
    <w:p>
      <w:pPr>
        <w:pStyle w:val="ListBullet2"/>
      </w:pPr>
      <w:r>
        <w:t>La FDA (agosto de 2025) limitó la autorización de 2025-26 a ≥65 años y a personas de riesgo.</w:t>
      </w:r>
    </w:p>
    <w:p>
      <w:pPr>
        <w:pStyle w:val="ListBullet2"/>
      </w:pPr>
      <w:r>
        <w:t>El ACIP (septiembre de 2025, adoptado por el CDC en octubre de 2025) pasó a decisión clínica individualizada.</w:t>
      </w:r>
    </w:p>
    <w:p>
      <w:pPr>
        <w:pStyle w:val="ListBullet2"/>
      </w:pPr>
      <w:r>
        <w:t>La OMS/SAGE prioriza a mayores y personas de alto riesgo.</w:t>
      </w:r>
    </w:p>
    <w:p>
      <w:pPr>
        <w:pStyle w:val="ListBullet"/>
      </w:pPr>
      <w:r>
        <w:rPr>
          <w:b/>
        </w:rPr>
        <w:t>Evidencia/justificación:</w:t>
      </w:r>
    </w:p>
    <w:p>
      <w:pPr>
        <w:pStyle w:val="ListBullet2"/>
      </w:pPr>
      <w:r>
        <w:t>La efectividad frente a infección sintomática de las vacunas monovalentes 2023-24 fue de ~50% en los primeros meses, con declive posterior (Link-Gelles R et al., MMWR 2024;73(4):77-83).</w:t>
      </w:r>
    </w:p>
    <w:p>
      <w:pPr>
        <w:pStyle w:val="ListBullet2"/>
      </w:pPr>
      <w:r>
        <w:t>Comunicados FDA/ACIP/CDC de 2025.</w:t>
      </w:r>
    </w:p>
    <w:p>
      <w:pPr>
        <w:pStyle w:val="ListBullet"/>
      </w:pPr>
      <w:r>
        <w:rPr>
          <w:b/>
        </w:rPr>
        <w:t>Recomendación:</w:t>
      </w:r>
    </w:p>
    <w:p>
      <w:pPr>
        <w:pStyle w:val="ListBullet2"/>
      </w:pPr>
      <w:r>
        <w:t>Key point: "reducen hospitalización, ingreso en UCI y muerte; protección modesta y transitoria frente a infección".</w:t>
      </w:r>
    </w:p>
    <w:p>
      <w:pPr>
        <w:pStyle w:val="ListBullet2"/>
      </w:pPr>
      <w:r>
        <w:t>Sustituir la ref 190 y actualizar con datos de la era Ómicron (2023-2025).</w:t>
      </w:r>
    </w:p>
    <w:p>
      <w:pPr>
        <w:pStyle w:val="ListBullet2"/>
      </w:pPr>
      <w:r>
        <w:t>Indicar explícitamente que la EPOC es condición de riesgo que justifica la vacunación anual según las autoridades nacionales.</w:t>
      </w:r>
    </w:p>
    <w:p>
      <w:pPr>
        <w:pStyle w:val="ListBullet"/>
      </w:pPr>
      <w:r>
        <w:rPr>
          <w:b/>
        </w:rPr>
        <w:t>Confianza:</w:t>
      </w:r>
      <w:r>
        <w:t xml:space="preserve"> 5/5</w:t>
      </w:r>
    </w:p>
    <w:p>
      <w:pPr>
        <w:pStyle w:val="Heading4"/>
      </w:pPr>
      <w:r>
        <w:t>FARM-06 · Tdap y herpes zóster: nomenclatura, edades y pautas inexactas</w:t>
      </w:r>
    </w:p>
    <w:p>
      <w:r>
        <w:rPr>
          <w:i/>
        </w:rPr>
        <w:t xml:space="preserve">Severidad final: </w:t>
      </w:r>
      <w:r>
        <w:rPr>
          <w:i/>
          <w:color w:val="FFC000"/>
        </w:rPr>
        <w:t>🟡</w:t>
      </w:r>
      <w:r>
        <w:rPr>
          <w:i/>
        </w:rPr>
        <w:t xml:space="preserve"> MEDIA · Tema T17: Vacunación</w:t>
      </w:r>
    </w:p>
    <w:p>
      <w:pPr>
        <w:pStyle w:val="ListBullet"/>
      </w:pPr>
      <w:r>
        <w:rPr>
          <w:b/>
        </w:rPr>
        <w:t>Tipo:</w:t>
      </w:r>
      <w:r>
        <w:t xml:space="preserve"> Error factual / Ambigüedad</w:t>
      </w:r>
    </w:p>
    <w:p>
      <w:pPr>
        <w:pStyle w:val="ListBullet"/>
      </w:pPr>
      <w:r>
        <w:rPr>
          <w:b/>
        </w:rPr>
        <w:t>Severidad:</w:t>
      </w:r>
      <w:r>
        <w:t xml:space="preserve"> MEDIA</w:t>
      </w:r>
    </w:p>
    <w:p>
      <w:pPr>
        <w:pStyle w:val="ListBullet"/>
      </w:pPr>
      <w:r>
        <w:rPr>
          <w:b/>
        </w:rPr>
        <w:t>Ubicación:</w:t>
      </w:r>
      <w:r>
        <w:t xml:space="preserve"> PDF 61 / impr. 50 (key point); PDF 69 / impr. 58 (Fig 3.6); PDF 70 / impr. 59</w:t>
      </w:r>
    </w:p>
    <w:p>
      <w:pPr>
        <w:pStyle w:val="ListBullet"/>
      </w:pPr>
      <w:r>
        <w:rPr>
          <w:b/>
        </w:rPr>
        <w:t>Cita:</w:t>
      </w:r>
    </w:p>
    <w:p>
      <w:pPr>
        <w:pStyle w:val="ListBullet2"/>
      </w:pPr>
      <w:r>
        <w:t>Key point: "Tdap vaccination (dTaP/dTPa; pertussis, tetanus and diptheria) for people with COPD who were not vaccinated in adolescence".</w:t>
      </w:r>
    </w:p>
    <w:p>
      <w:pPr>
        <w:pStyle w:val="ListBullet2"/>
      </w:pPr>
      <w:r>
        <w:t>Fig 3.6: "Zoster vaccine… for people with COPD aged &gt; 50 years".</w:t>
      </w:r>
    </w:p>
    <w:p>
      <w:pPr>
        <w:pStyle w:val="ListBullet"/>
      </w:pPr>
      <w:r>
        <w:rPr>
          <w:b/>
        </w:rPr>
        <w:t>Problema:</w:t>
      </w:r>
    </w:p>
    <w:p>
      <w:pPr>
        <w:pStyle w:val="ListBullet2"/>
      </w:pPr>
      <w:r>
        <w:t>"DTaP/DTPa" designa las formulaciones pediátricas (dosis antigénicas plenas). Las de adulto son Tdap (EE.UU.) o dTpa (Europa), y confundirlas puede llevar a un error de producto.</w:t>
      </w:r>
    </w:p>
    <w:p>
      <w:pPr>
        <w:pStyle w:val="ListBullet2"/>
      </w:pPr>
      <w:r>
        <w:t>La recomendación Tdap no es específica de la EPOC: se aplica a todo adulto no vacunado. Se omiten el refuerzo Td/Tdap cada 10 años y la "Evidence B", que carece de evidencia específica en EPOC.</w:t>
      </w:r>
    </w:p>
    <w:p>
      <w:pPr>
        <w:pStyle w:val="ListBullet2"/>
      </w:pPr>
      <w:r>
        <w:t>Zóster: "&gt;50" frente a "≥50" del CDC. No se especifica la vacuna recombinante adyuvada (RZV) en 2 dosis ni su indicación a partir de los 19 años en inmunodeprimidos (relevante con corticoides sistémicos o biológicos).</w:t>
      </w:r>
    </w:p>
    <w:p>
      <w:pPr>
        <w:pStyle w:val="ListBullet2"/>
      </w:pPr>
      <w:r>
        <w:t>Errata: "diptheria".</w:t>
      </w:r>
    </w:p>
    <w:p>
      <w:pPr>
        <w:pStyle w:val="ListBullet"/>
      </w:pPr>
      <w:r>
        <w:rPr>
          <w:b/>
        </w:rPr>
        <w:t>Evidencia/justificación:</w:t>
      </w:r>
    </w:p>
    <w:p>
      <w:pPr>
        <w:pStyle w:val="ListBullet2"/>
      </w:pPr>
      <w:r>
        <w:t>Havers FP et al., MMWR 2020;69:77-83: Tdap una vez en adultos y Td o Tdap cada 10 años.</w:t>
      </w:r>
    </w:p>
    <w:p>
      <w:pPr>
        <w:pStyle w:val="ListBullet2"/>
      </w:pPr>
      <w:r>
        <w:t>Dooling KL et al., MMWR 2018;67:103-108: RZV a partir de los 50 años.</w:t>
      </w:r>
    </w:p>
    <w:p>
      <w:pPr>
        <w:pStyle w:val="ListBullet2"/>
      </w:pPr>
      <w:r>
        <w:t>Anderson TC et al., MMWR 2022;71:80-84: RZV a partir de los 19 años en inmunodeprimidos.</w:t>
      </w:r>
    </w:p>
    <w:p>
      <w:pPr>
        <w:pStyle w:val="ListBullet"/>
      </w:pPr>
      <w:r>
        <w:rPr>
          <w:b/>
        </w:rPr>
        <w:t>Recomendación:</w:t>
      </w:r>
      <w:r>
        <w:t xml:space="preserve"> "Tdap/dTpa (formulación de adulto) si no se recibió en la adolescencia o la edad adulta; refuerzo con Td/Tdap cada 10 años. RZV en 2 dosis (intervalo de 2-6 meses) a partir de los 50 años, o de los 19 si hay inmunosupresión".</w:t>
      </w:r>
    </w:p>
    <w:p>
      <w:pPr>
        <w:pStyle w:val="ListBullet"/>
      </w:pPr>
      <w:r>
        <w:rPr>
          <w:b/>
        </w:rPr>
        <w:t>Confianza:</w:t>
      </w:r>
      <w:r>
        <w:t xml:space="preserve"> 4/5</w:t>
      </w:r>
    </w:p>
    <w:p>
      <w:pPr>
        <w:pStyle w:val="Heading4"/>
      </w:pPr>
      <w:r>
        <w:t>DX-03 · PRISm y pre-EPOC ausentes del capítulo diagnóstico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Omisión / Incongruencia entre capítulos</w:t>
      </w:r>
    </w:p>
    <w:p>
      <w:pPr>
        <w:pStyle w:val="ListBullet"/>
      </w:pPr>
      <w:r>
        <w:rPr>
          <w:b/>
        </w:rPr>
        <w:t>Severidad:</w:t>
      </w:r>
      <w:r>
        <w:t xml:space="preserve"> MEDIA</w:t>
      </w:r>
    </w:p>
    <w:p>
      <w:pPr>
        <w:pStyle w:val="ListBullet"/>
      </w:pPr>
      <w:r>
        <w:rPr>
          <w:b/>
        </w:rPr>
        <w:t>Ubicación:</w:t>
      </w:r>
      <w:r>
        <w:t xml:space="preserve"> Cap. 2 completo (PDF 32-60). Cotejado con el cap. 1, PDF 18 / impr. 7 y PDF 25 / impr. 14.</w:t>
      </w:r>
    </w:p>
    <w:p>
      <w:pPr>
        <w:pStyle w:val="ListBullet"/>
      </w:pPr>
      <w:r>
        <w:rPr>
          <w:b/>
        </w:rPr>
        <w:t>Cita:</w:t>
      </w:r>
      <w:r>
        <w:t xml:space="preserve"> Cap. 1: «PRISm describes individuals with preserved ratio (FEV1/FVC ≥ 0.7 after bronchodilation) but impaired spirometry (FEV1 &lt; 80% of reference…)… they should be considered "patients"… they deserve care and treatment».</w:t>
      </w:r>
    </w:p>
    <w:p>
      <w:pPr>
        <w:pStyle w:val="ListBullet"/>
      </w:pPr>
      <w:r>
        <w:rPr>
          <w:b/>
        </w:rPr>
        <w:t>Problema:</w:t>
      </w:r>
    </w:p>
    <w:p>
      <w:pPr>
        <w:pStyle w:val="ListBullet2"/>
      </w:pPr>
      <w:r>
        <w:t>El término «PRISm» o «pre-COPD» aparece cero veces en el cap. 2. El cap. 1 los define y afirma que deben considerarse pacientes, pero el capítulo de diagnóstico, evaluación y seguimiento no dice cómo identificarlos, con qué ecuación de referencia ni cómo seguirlos.</w:t>
      </w:r>
    </w:p>
    <w:p>
      <w:pPr>
        <w:pStyle w:val="ListBullet2"/>
      </w:pPr>
      <w:r>
        <w:t>En concreto, falta cómo actuar ante:</w:t>
      </w:r>
    </w:p>
    <w:p>
      <w:pPr>
        <w:pStyle w:val="ListBullet2"/>
      </w:pPr>
      <w:r>
        <w:t>cociente ≥0,7 con FEV1 &lt;80%;</w:t>
      </w:r>
    </w:p>
    <w:p>
      <w:pPr>
        <w:pStyle w:val="ListBullet2"/>
      </w:pPr>
      <w:r>
        <w:t>síntomas con espirometría normal;</w:t>
      </w:r>
    </w:p>
    <w:p>
      <w:pPr>
        <w:pStyle w:val="ListBullet2"/>
      </w:pPr>
      <w:r>
        <w:t>DLCO baja o enfisema en la TC sin obstrucción.</w:t>
      </w:r>
    </w:p>
    <w:p>
      <w:pPr>
        <w:pStyle w:val="ListBullet2"/>
      </w:pPr>
      <w:r>
        <w:t>La propia sección de DLCO (PDF 56) sí menciona «smokers without airflow obstruction» con DLCO &lt;80%, pero no lo enlaza con pre-EPOC.</w:t>
      </w:r>
    </w:p>
    <w:p>
      <w:pPr>
        <w:pStyle w:val="ListBullet2"/>
      </w:pPr>
      <w:r>
        <w:t>Además, la definición de PRISm por %pred (&lt;80%) depende de la ecuación: con GLI-Global cambia la prevalencia de PRISm (véase DX-05).</w:t>
      </w:r>
    </w:p>
    <w:p>
      <w:pPr>
        <w:pStyle w:val="ListBullet"/>
      </w:pPr>
      <w:r>
        <w:rPr>
          <w:b/>
        </w:rPr>
        <w:t>Evidencia/justificación:</w:t>
      </w:r>
    </w:p>
    <w:p>
      <w:pPr>
        <w:pStyle w:val="ListBullet2"/>
      </w:pPr>
      <w:r>
        <w:t>Wan ES et al. AJRCCM 2018 (COPDGene) y Wijnant SRA et al. AJRCCM 2020 (Rotterdam), refs. 149-158 del propio informe: PRISm se asocia a mortalidad y transiciona a obstrucción en un 20-30% de los casos.</w:t>
      </w:r>
    </w:p>
    <w:p>
      <w:pPr>
        <w:pStyle w:val="ListBullet2"/>
      </w:pPr>
      <w:r>
        <w:t>Las Figs. 2.6 y 2.9 desembocan en «Not COPD» o «Monitor symptoms» sin criterios.</w:t>
      </w:r>
    </w:p>
    <w:p>
      <w:pPr>
        <w:pStyle w:val="ListBullet"/>
      </w:pPr>
      <w:r>
        <w:rPr>
          <w:b/>
        </w:rPr>
        <w:t>Recomendación:</w:t>
      </w:r>
    </w:p>
    <w:p>
      <w:pPr>
        <w:pStyle w:val="ListBullet2"/>
      </w:pPr>
      <w:r>
        <w:t>Añadir al cap. 2 un subapartado y una caja en la Fig. 2.6 para PRISm y pre-EPOC, con:</w:t>
      </w:r>
    </w:p>
    <w:p>
      <w:pPr>
        <w:pStyle w:val="ListBullet2"/>
      </w:pPr>
      <w:r>
        <w:t>definición operativa (cociente post-BD ≥0,7 y FEV1 &lt;80%, o z &lt;−1,645 con GLI-Global);</w:t>
      </w:r>
    </w:p>
    <w:p>
      <w:pPr>
        <w:pStyle w:val="ListBullet2"/>
      </w:pPr>
      <w:r>
        <w:t>pruebas complementarias (volúmenes, DLCO y TC si procede);</w:t>
      </w:r>
    </w:p>
    <w:p>
      <w:pPr>
        <w:pStyle w:val="ListBullet2"/>
      </w:pPr>
      <w:r>
        <w:t>abordaje de factores de riesgo;</w:t>
      </w:r>
    </w:p>
    <w:p>
      <w:pPr>
        <w:pStyle w:val="ListBullet2"/>
      </w:pPr>
      <w:r>
        <w:t>repetición de la espirometría a los 1-2 años.</w:t>
      </w:r>
    </w:p>
    <w:p>
      <w:pPr>
        <w:pStyle w:val="ListBullet2"/>
      </w:pPr>
      <w:r>
        <w:t>Remitir explícitamente al cap. 1.</w:t>
      </w:r>
    </w:p>
    <w:p>
      <w:pPr>
        <w:pStyle w:val="ListBullet"/>
      </w:pPr>
      <w:r>
        <w:rPr>
          <w:b/>
        </w:rPr>
        <w:t>Confianza:</w:t>
      </w:r>
      <w:r>
        <w:t xml:space="preserve"> 5/5</w:t>
      </w:r>
    </w:p>
    <w:p>
      <w:pPr>
        <w:pStyle w:val="Heading4"/>
      </w:pPr>
      <w:r>
        <w:t>DX-04 · Cociente fijo frente a LLN: afirmación de «no hay estudios longitudinales» contradicha por las propias citas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 / Evidencia mal representada</w:t>
      </w:r>
    </w:p>
    <w:p>
      <w:pPr>
        <w:pStyle w:val="ListBullet"/>
      </w:pPr>
      <w:r>
        <w:rPr>
          <w:b/>
        </w:rPr>
        <w:t>Severidad:</w:t>
      </w:r>
      <w:r>
        <w:t xml:space="preserve"> MEDIA</w:t>
      </w:r>
    </w:p>
    <w:p>
      <w:pPr>
        <w:pStyle w:val="ListBullet"/>
      </w:pPr>
      <w:r>
        <w:rPr>
          <w:b/>
        </w:rPr>
        <w:t>Ubicación:</w:t>
      </w:r>
      <w:r>
        <w:t xml:space="preserve"> PDF 41 / impr. 30 — «Spirometric criteria to define airflow obstruction»</w:t>
      </w:r>
    </w:p>
    <w:p>
      <w:pPr>
        <w:pStyle w:val="ListBullet"/>
      </w:pPr>
      <w:r>
        <w:rPr>
          <w:b/>
        </w:rPr>
        <w:t>Cita:</w:t>
      </w:r>
      <w:r>
        <w:t xml:space="preserve"> «There are no longitudinal studies available validating the use of the LLN, or studies using reference equations in populations where smoking is not the major cause of COPD. Using the fixed ratio is not inferior to LLN regarding prognosis.(352)»</w:t>
      </w:r>
    </w:p>
    <w:p>
      <w:pPr>
        <w:pStyle w:val="ListBullet"/>
      </w:pPr>
      <w:r>
        <w:rPr>
          <w:b/>
        </w:rPr>
        <w:t>Problema:</w:t>
      </w:r>
    </w:p>
    <w:p>
      <w:pPr>
        <w:pStyle w:val="ListBullet2"/>
      </w:pPr>
      <w:r>
        <w:t>La frase siguiente cita precisamente un estudio longitudinal de cohortes agrupadas: la ref. 352, Bhatt SP et al. JAMA 2019;321:2438-47 (NHLBI Pooled Cohorts, n≈24.000, seguimiento de hospitalización y mortalidad por EPOC) compara LLN y cociente fijo de forma prospectiva.</w:t>
      </w:r>
    </w:p>
    <w:p>
      <w:pPr>
        <w:pStyle w:val="ListBullet2"/>
      </w:pPr>
      <w:r>
        <w:t>La ref. 348 (Çolak Y et al., ERJ 2018, Copenhague) es también prospectiva y compara ambos criterios en adultos jóvenes.</w:t>
      </w:r>
    </w:p>
    <w:p>
      <w:pPr>
        <w:pStyle w:val="ListBullet2"/>
      </w:pPr>
      <w:r>
        <w:t>Por tanto no es cierto que falten estudios longitudinales. Lo que la evidencia muestra es una capacidad pronóstica similar (o algo mejor para 0,70), no ausencia de datos.</w:t>
      </w:r>
    </w:p>
    <w:p>
      <w:pPr>
        <w:pStyle w:val="ListBullet"/>
      </w:pPr>
      <w:r>
        <w:rPr>
          <w:b/>
        </w:rPr>
        <w:t>Evidencia/justificación:</w:t>
      </w:r>
    </w:p>
    <w:p>
      <w:pPr>
        <w:pStyle w:val="ListBullet2"/>
      </w:pPr>
      <w:r>
        <w:t>Bhatt SP et al. JAMA 2019;321(24):2438-2447 (doi:10.1001/jama.2019.7233).</w:t>
      </w:r>
    </w:p>
    <w:p>
      <w:pPr>
        <w:pStyle w:val="ListBullet2"/>
      </w:pPr>
      <w:r>
        <w:t>Çolak Y et al. ERJ 2018;51:1702681 (ref. 348).</w:t>
      </w:r>
    </w:p>
    <w:p>
      <w:pPr>
        <w:pStyle w:val="ListBullet2"/>
      </w:pPr>
      <w:r>
        <w:t>Ambas figuran en la lista de referencias del informe.</w:t>
      </w:r>
    </w:p>
    <w:p>
      <w:pPr>
        <w:pStyle w:val="ListBullet"/>
      </w:pPr>
      <w:r>
        <w:rPr>
          <w:b/>
        </w:rPr>
        <w:t>Recomendación:</w:t>
      </w:r>
    </w:p>
    <w:p>
      <w:pPr>
        <w:pStyle w:val="ListBullet2"/>
      </w:pPr>
      <w:r>
        <w:t>Reformular: «Los estudios longitudinales disponibles (352,348) muestran que el cociente fijo no es inferior al LLN para predecir eventos; faltan datos en poblaciones donde el tabaco no es la causa principal».</w:t>
      </w:r>
    </w:p>
    <w:p>
      <w:pPr>
        <w:pStyle w:val="ListBullet2"/>
      </w:pPr>
      <w:r>
        <w:t>Recomendar el LLN/z-score como criterio complementario en &lt;50 años y &gt;70 años, en línea con el estándar ERS/ATS 2022.</w:t>
      </w:r>
    </w:p>
    <w:p>
      <w:pPr>
        <w:pStyle w:val="ListBullet"/>
      </w:pPr>
      <w:r>
        <w:rPr>
          <w:b/>
        </w:rPr>
        <w:t>Confianza:</w:t>
      </w:r>
      <w:r>
        <w:t xml:space="preserve"> 4/5</w:t>
      </w:r>
    </w:p>
    <w:p>
      <w:pPr>
        <w:pStyle w:val="Heading4"/>
      </w:pPr>
      <w:r>
        <w:t>DX-05 · GLI-Global adoptada pero con gravedad por %pred: consecuencias no analizadas sobre umbrales terapéuticos y figuras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42 / impr. 31 (texto), Fig. 2.10 (PDF 49 / impr. 38) y Fig. 2.13 (PDF 54 / impr. 43). Umbrales afectados en PDF 57-59, Fig. 3.9 (PDF 74) y apéndice 3 (PDF 166-167).</w:t>
      </w:r>
    </w:p>
    <w:p>
      <w:pPr>
        <w:pStyle w:val="ListBullet"/>
      </w:pPr>
      <w:r>
        <w:rPr>
          <w:b/>
        </w:rPr>
        <w:t>Cita:</w:t>
      </w:r>
      <w:r>
        <w:t xml:space="preserve"> «GOLD recommends using the GLI-Global equations as the reference standard… GOLD continues to recommend using the FEV1 as a percentage of the predicted value to stage the severity».</w:t>
      </w:r>
    </w:p>
    <w:p>
      <w:pPr>
        <w:pStyle w:val="ListBullet"/>
      </w:pPr>
      <w:r>
        <w:rPr>
          <w:b/>
        </w:rPr>
        <w:t>Problema:</w:t>
      </w:r>
    </w:p>
    <w:p>
      <w:pPr>
        <w:pStyle w:val="ListNumber"/>
        <w:numPr>
          <w:ilvl w:val="0"/>
          <w:numId w:val="33"/>
        </w:numPr>
      </w:pPr>
      <w:r>
        <w:rPr>
          <w:b/>
        </w:rPr>
        <w:t>Desplazamiento de umbrales.</w:t>
      </w:r>
      <w:r>
        <w:t xml:space="preserve"> GOLD reconoce que los ensayos se basaron en %pred calculados con ecuaciones previas (NHANES III, ECSC, GLI-2012 por etnia). Cambiar de ecuación modifica el %pred y desplaza a los pacientes respecto de umbrales %pred decisivos, sin que el informe advierta de ello:</w:t>
      </w:r>
    </w:p>
    <w:p>
      <w:pPr>
        <w:pStyle w:val="ListBullet2"/>
      </w:pPr>
      <w:r>
        <w:t>válvulas endobronquiales: FEV1 15-45% (PDF 57 y Fig. 2.14);</w:t>
      </w:r>
    </w:p>
    <w:p>
      <w:pPr>
        <w:pStyle w:val="ListBullet2"/>
      </w:pPr>
      <w:r>
        <w:t>roflumilast: FEV1 &lt;50% (Fig. 3.9);</w:t>
      </w:r>
    </w:p>
    <w:p>
      <w:pPr>
        <w:pStyle w:val="ListBullet2"/>
      </w:pPr>
      <w:r>
        <w:t>terapia de aumento de AAT: 35-60% / ≤65% (apéndice 3);</w:t>
      </w:r>
    </w:p>
    <w:p>
      <w:pPr>
        <w:pStyle w:val="ListBullet2"/>
      </w:pPr>
      <w:r>
        <w:t>definición de PRISm: &lt;80%.</w:t>
      </w:r>
    </w:p>
    <w:p>
      <w:pPr>
        <w:pStyle w:val="ListNumber"/>
        <w:numPr>
          <w:ilvl w:val="0"/>
          <w:numId w:val="33"/>
        </w:numPr>
      </w:pPr>
      <w:r>
        <w:rPr>
          <w:b/>
        </w:rPr>
        <w:t>Figuras sin ecuación.</w:t>
      </w:r>
      <w:r>
        <w:t xml:space="preserve"> Las Figs. 2.10 y 2.13 no indican qué ecuación aplicar. Además, la Fig. 2.13 usa rangos enteros («50-79», «30-49») que dejan huecos decimales (p. ej., 79,6%) frente al «50% ≤ FEV1 &lt; 80%» de la Fig. 2.10.</w:t>
      </w:r>
    </w:p>
    <w:p>
      <w:pPr>
        <w:pStyle w:val="ListNumber"/>
        <w:numPr>
          <w:ilvl w:val="0"/>
          <w:numId w:val="33"/>
        </w:numPr>
      </w:pPr>
      <w:r>
        <w:rPr>
          <w:b/>
        </w:rPr>
        <w:t>Esquema z-score.</w:t>
      </w:r>
      <w:r>
        <w:t xml:space="preserve"> El esquema ERS/ATS que se reproduce («between −2.51 and −4 as moderate and &lt; −4.1 as severe») no indica que se aplica al z-score del FEV1 y deja un intervalo sin asignar entre −4,0 y −4,1 (heredado de la redacción original).</w:t>
      </w:r>
    </w:p>
    <w:p>
      <w:pPr>
        <w:pStyle w:val="ListNumber"/>
        <w:numPr>
          <w:ilvl w:val="0"/>
          <w:numId w:val="33"/>
        </w:numPr>
      </w:pPr>
      <w:r>
        <w:rPr>
          <w:b/>
        </w:rPr>
        <w:t>Respaldo de la cita.</w:t>
      </w:r>
      <w:r>
        <w:t xml:space="preserve"> La frase «officially endorsed by ATS and ERS» se apoya solo en la declaración de la ATS (ref. 229, Bhakta 2023). </w:t>
      </w:r>
      <w:r>
        <w:rPr>
          <w:i/>
        </w:rPr>
        <w:t>Punto debatible:</w:t>
      </w:r>
      <w:r>
        <w:t xml:space="preserve"> falta la cita del documento ERS correspondiente.</w:t>
      </w:r>
    </w:p>
    <w:p>
      <w:pPr>
        <w:pStyle w:val="ListNumber"/>
        <w:numPr>
          <w:ilvl w:val="0"/>
          <w:numId w:val="33"/>
        </w:numPr>
      </w:pPr>
      <w:r>
        <w:rPr>
          <w:b/>
        </w:rPr>
        <w:t>DLCO.</w:t>
      </w:r>
      <w:r>
        <w:t xml:space="preserve"> Se usan cortes %pred (&lt;60%, &lt;80%, PDF 56) sin mencionar que GLI-2017 para TLCO deriva de población de ascendencia europea ni que se recomienda la corrección por hemoglobina.</w:t>
      </w:r>
    </w:p>
    <w:p>
      <w:pPr>
        <w:pStyle w:val="ListBullet"/>
      </w:pPr>
      <w:r>
        <w:rPr>
          <w:b/>
        </w:rPr>
        <w:t>Evidencia/justificación:</w:t>
      </w:r>
    </w:p>
    <w:p>
      <w:pPr>
        <w:pStyle w:val="ListBullet2"/>
      </w:pPr>
      <w:r>
        <w:t>Bowerman C et al. AJRCCM 2023;207:768-774 (GLI-Global, ref. 355).</w:t>
      </w:r>
    </w:p>
    <w:p>
      <w:pPr>
        <w:pStyle w:val="ListBullet2"/>
      </w:pPr>
      <w:r>
        <w:t>Stanojevic S et al. ERJ 2022 (ref. 337).</w:t>
      </w:r>
    </w:p>
    <w:p>
      <w:pPr>
        <w:pStyle w:val="ListBullet2"/>
      </w:pPr>
      <w:r>
        <w:t>Bhakta NR et al. AJRCCM 2023;207:978-995 (ref. 229).</w:t>
      </w:r>
    </w:p>
    <w:p>
      <w:pPr>
        <w:pStyle w:val="ListBullet2"/>
      </w:pPr>
      <w:r>
        <w:t>Diao JA et al. NEJM 2024 (ref. 356): cambios de clasificación al pasar a ecuaciones race-neutral.</w:t>
      </w:r>
    </w:p>
    <w:p>
      <w:pPr>
        <w:pStyle w:val="ListBullet"/>
      </w:pPr>
      <w:r>
        <w:rPr>
          <w:b/>
        </w:rPr>
        <w:t>Recomendación:</w:t>
      </w:r>
    </w:p>
    <w:p>
      <w:pPr>
        <w:pStyle w:val="ListBullet2"/>
      </w:pPr>
      <w:r>
        <w:t>Indicar en las Figs. 2.10 y 2.13 «%pred según GLI-Global».</w:t>
      </w:r>
    </w:p>
    <w:p>
      <w:pPr>
        <w:pStyle w:val="ListBullet2"/>
      </w:pPr>
      <w:r>
        <w:t>Añadir una nota de transición: los umbrales %pred de elegibilidad derivan de ensayos con otras ecuaciones; ante valores límite, considerar la ecuación local o el contexto.</w:t>
      </w:r>
    </w:p>
    <w:p>
      <w:pPr>
        <w:pStyle w:val="ListBullet2"/>
      </w:pPr>
      <w:r>
        <w:t>Corregir los rangos de la Fig. 2.13 («50-&lt;80», «30-&lt;50»).</w:t>
      </w:r>
    </w:p>
    <w:p>
      <w:pPr>
        <w:pStyle w:val="ListBullet2"/>
      </w:pPr>
      <w:r>
        <w:t>Especificar «z-score del FEV1» y redactar el esquema sin huecos (−1,65 a −2,5; &lt;−2,5 a −4; &lt;−4).</w:t>
      </w:r>
    </w:p>
    <w:p>
      <w:pPr>
        <w:pStyle w:val="ListBullet2"/>
      </w:pPr>
      <w:r>
        <w:t>Citar el aval ERS.</w:t>
      </w:r>
    </w:p>
    <w:p>
      <w:pPr>
        <w:pStyle w:val="ListBullet"/>
      </w:pPr>
      <w:r>
        <w:rPr>
          <w:b/>
        </w:rPr>
        <w:t>Confianza:</w:t>
      </w:r>
      <w:r>
        <w:t xml:space="preserve"> 4/5</w:t>
      </w:r>
    </w:p>
    <w:p>
      <w:pPr>
        <w:pStyle w:val="Heading4"/>
      </w:pPr>
      <w:r>
        <w:t>DX-07 · Espirometría «solo urgente o esencial» durante epidemias víricas: recomendación vaga, basada en documentos de la era COVID y con riesgo de infradiagnóstico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Desactualización / Ambigüedad</w:t>
      </w:r>
    </w:p>
    <w:p>
      <w:pPr>
        <w:pStyle w:val="ListBullet"/>
      </w:pPr>
      <w:r>
        <w:rPr>
          <w:b/>
        </w:rPr>
        <w:t>Severidad:</w:t>
      </w:r>
      <w:r>
        <w:t xml:space="preserve"> MEDIA</w:t>
      </w:r>
    </w:p>
    <w:p>
      <w:pPr>
        <w:pStyle w:val="ListBullet"/>
      </w:pPr>
      <w:r>
        <w:rPr>
          <w:b/>
        </w:rPr>
        <w:t>Ubicación:</w:t>
      </w:r>
      <w:r>
        <w:t xml:space="preserve"> PDF 42 / impr. 31 — «Assessing pulmonary function during airborne viral epidemics»</w:t>
      </w:r>
    </w:p>
    <w:p>
      <w:pPr>
        <w:pStyle w:val="ListBullet"/>
      </w:pPr>
      <w:r>
        <w:rPr>
          <w:b/>
        </w:rPr>
        <w:t>Cita:</w:t>
      </w:r>
      <w:r>
        <w:t xml:space="preserve"> «During periods of high prevalence of airborne viral infections in the community, spirometry should be restricted to patients requiring urgent or essential tests for the diagnosis of COPD…»</w:t>
      </w:r>
    </w:p>
    <w:p>
      <w:pPr>
        <w:pStyle w:val="ListBullet"/>
      </w:pPr>
      <w:r>
        <w:rPr>
          <w:b/>
        </w:rPr>
        <w:t>Problema:</w:t>
      </w:r>
    </w:p>
    <w:p>
      <w:pPr>
        <w:pStyle w:val="ListBullet2"/>
      </w:pPr>
      <w:r>
        <w:t>«Alta prevalencia de infecciones víricas aéreas» no está definido. La gripe, el VRS y el SARS-CoV-2 tienen picos estacionales anuales, así que una lectura literal implicaría suspender la espirometría diagnóstica varios meses al año, agravando el infradiagnóstico (71-95%) que el propio capítulo denuncia (PDF 43).</w:t>
      </w:r>
    </w:p>
    <w:p>
      <w:pPr>
        <w:pStyle w:val="ListBullet2"/>
      </w:pPr>
      <w:r>
        <w:t>Las refs. 363-366 son documentos de 2020-2021 de la fase pandémica. Las recomendaciones posteriores de las sociedades de función pulmonar han vuelto a la actividad normal con medidas de control de infección: filtros antivíricos/antibacterianos en línea, ventilación, cribado de síntomas, EPI e intervalos de limpieza.</w:t>
      </w:r>
    </w:p>
    <w:p>
      <w:pPr>
        <w:pStyle w:val="ListBullet2"/>
      </w:pPr>
      <w:r>
        <w:t>Tampoco se aclara qué es una prueba «esencial» para el diagnóstico de EPOC.</w:t>
      </w:r>
    </w:p>
    <w:p>
      <w:pPr>
        <w:pStyle w:val="ListBullet"/>
      </w:pPr>
      <w:r>
        <w:rPr>
          <w:b/>
        </w:rPr>
        <w:t>Evidencia/justificación:</w:t>
      </w:r>
    </w:p>
    <w:p>
      <w:pPr>
        <w:pStyle w:val="ListBullet2"/>
      </w:pPr>
      <w:r>
        <w:t>Refs. 363-366 del propio informe (todas de la era COVID).</w:t>
      </w:r>
    </w:p>
    <w:p>
      <w:pPr>
        <w:pStyle w:val="ListBullet2"/>
      </w:pPr>
      <w:r>
        <w:t>El estándar ATS/ERS 2019 (Graham et al.) ya incluye control de infecciones y filtros como práctica rutinaria.</w:t>
      </w:r>
    </w:p>
    <w:p>
      <w:pPr>
        <w:pStyle w:val="ListBullet"/>
      </w:pPr>
      <w:r>
        <w:rPr>
          <w:b/>
        </w:rPr>
        <w:t>Recomendación:</w:t>
      </w:r>
      <w:r>
        <w:t xml:space="preserve"> Sustituir por: «En periodos epidémicos, aplicar medidas reforzadas de control de infección (cribado de síntomas, filtros en línea, ventilación, EPI) y diferir la prueba en pacientes con infección respiratoria aguda (≥2-4 semanas tras la resolución). Restringir la actividad solo si las autoridades sanitarias lo indican».</w:t>
      </w:r>
    </w:p>
    <w:p>
      <w:pPr>
        <w:pStyle w:val="ListBullet"/>
      </w:pPr>
      <w:r>
        <w:rPr>
          <w:b/>
        </w:rPr>
        <w:t>Confianza:</w:t>
      </w:r>
      <w:r>
        <w:t xml:space="preserve"> 3/5</w:t>
      </w:r>
    </w:p>
    <w:p>
      <w:pPr>
        <w:pStyle w:val="Heading4"/>
      </w:pPr>
      <w:r>
        <w:t>DX-08 · Estudio danés de EPOC no diagnosticada: referencia errónea y HR atribuidos a la población equivocada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Evidencia mal representada / Error de cita</w:t>
      </w:r>
    </w:p>
    <w:p>
      <w:pPr>
        <w:pStyle w:val="ListBullet"/>
      </w:pPr>
      <w:r>
        <w:rPr>
          <w:b/>
        </w:rPr>
        <w:t>Severidad:</w:t>
      </w:r>
      <w:r>
        <w:t xml:space="preserve"> MEDIA</w:t>
      </w:r>
    </w:p>
    <w:p>
      <w:pPr>
        <w:pStyle w:val="ListBullet"/>
      </w:pPr>
      <w:r>
        <w:rPr>
          <w:b/>
        </w:rPr>
        <w:t>Ubicación:</w:t>
      </w:r>
      <w:r>
        <w:t xml:space="preserve"> PDF 43 / impr. 32 — «Underdiagnosis of COPD»</w:t>
      </w:r>
    </w:p>
    <w:p>
      <w:pPr>
        <w:pStyle w:val="ListBullet"/>
      </w:pPr>
      <w:r>
        <w:rPr>
          <w:b/>
        </w:rPr>
        <w:t>Cita:</w:t>
      </w:r>
      <w:r>
        <w:t xml:space="preserve"> «A Danish study showed that individuals with previously undiagnosed COPD had age- and sex-adjusted hazard ratios for exacerbations and pneumonia that were 15.5 and 2.8 times higher… (377)»</w:t>
      </w:r>
    </w:p>
    <w:p>
      <w:pPr>
        <w:pStyle w:val="ListBullet"/>
      </w:pPr>
      <w:r>
        <w:rPr>
          <w:b/>
        </w:rPr>
        <w:t>Problema:</w:t>
      </w:r>
    </w:p>
    <w:p>
      <w:pPr>
        <w:pStyle w:val="ListNumber"/>
        <w:numPr>
          <w:ilvl w:val="0"/>
          <w:numId w:val="34"/>
        </w:numPr>
      </w:pPr>
      <w:r>
        <w:rPr>
          <w:b/>
        </w:rPr>
        <w:t>Referencia equivocada.</w:t>
      </w:r>
      <w:r>
        <w:t xml:space="preserve"> La ref. 377 es Siddharthan T et al., JAMA 2022: precisión de instrumentos de cribado en tres países de renta baja-media, que no contiene esos datos. El estudio danés es Çolak Y et al., Lancet Respir Med 2017, y no se cita.</w:t>
      </w:r>
    </w:p>
    <w:p>
      <w:pPr>
        <w:pStyle w:val="ListNumber"/>
        <w:numPr>
          <w:ilvl w:val="0"/>
          <w:numId w:val="34"/>
        </w:numPr>
      </w:pPr>
      <w:r>
        <w:rPr>
          <w:b/>
        </w:rPr>
        <w:t>Población equivocada.</w:t>
      </w:r>
      <w:r>
        <w:t xml:space="preserve"> Los HR 15,5 (exacerbaciones) y 2,8 (neumonía) corresponden a la EPOC no diagnosticada </w:t>
      </w:r>
      <w:r>
        <w:rPr>
          <w:b/>
        </w:rPr>
        <w:t>sintomática</w:t>
      </w:r>
      <w:r>
        <w:t xml:space="preserve">, igual que los de muerte respiratoria (4,3) y por cualquier causa (2,0). En la EPOC no diagnosticada </w:t>
      </w:r>
      <w:r>
        <w:rPr>
          <w:b/>
        </w:rPr>
        <w:t>asintomática</w:t>
      </w:r>
      <w:r>
        <w:t xml:space="preserve"> los HR fueron unos 5,0, 1,7, 0,7 (no significativo) y 1,3.</w:t>
      </w:r>
    </w:p>
    <w:p>
      <w:pPr>
        <w:pStyle w:val="ListNumber"/>
        <w:numPr>
          <w:ilvl w:val="0"/>
          <w:numId w:val="34"/>
        </w:numPr>
      </w:pPr>
      <w:r>
        <w:rPr>
          <w:b/>
        </w:rPr>
        <w:t>Contexto omitido.</w:t>
      </w:r>
      <w:r>
        <w:t xml:space="preserve"> La cohorte era de alto riesgo (≥40 años y ≥10 paquetes-año), y la EPOC se definió con cociente &lt;0,7 </w:t>
      </w:r>
      <w:r>
        <w:rPr>
          <w:b/>
        </w:rPr>
        <w:t>y</w:t>
      </w:r>
      <w:r>
        <w:t xml:space="preserve"> &lt;LLN </w:t>
      </w:r>
      <w:r>
        <w:rPr>
          <w:b/>
        </w:rPr>
        <w:t>y</w:t>
      </w:r>
      <w:r>
        <w:t xml:space="preserve"> FEV1 &lt;80%.</w:t>
      </w:r>
    </w:p>
    <w:p>
      <w:pPr>
        <w:pStyle w:val="ListBullet2"/>
      </w:pPr>
      <w:r>
        <w:t>El texto, por tanto, triplica el riesgo aparente de exacerbación de la EPOC no diagnosticada en general.</w:t>
      </w:r>
    </w:p>
    <w:p>
      <w:pPr>
        <w:pStyle w:val="ListBullet"/>
      </w:pPr>
      <w:r>
        <w:rPr>
          <w:b/>
        </w:rPr>
        <w:t>Evidencia/justificación:</w:t>
      </w:r>
      <w:r>
        <w:t xml:space="preserve"> Çolak Y, Afzal S, Nordestgaard BG, Vestbo J, Lange P. </w:t>
      </w:r>
      <w:r>
        <w:rPr>
          <w:i/>
        </w:rPr>
        <w:t>Prognosis of asymptomatic and symptomatic, undiagnosed COPD in the general population in Denmark: a prospective cohort study</w:t>
      </w:r>
      <w:r>
        <w:t>. Lancet Respir Med 2017;5:426-434 (PMID 28389225; doi:10.1016/S2213-2600(17)30119-4). Resumen verificado en Europe PMC.</w:t>
      </w:r>
    </w:p>
    <w:p>
      <w:pPr>
        <w:pStyle w:val="ListBullet"/>
      </w:pPr>
      <w:r>
        <w:rPr>
          <w:b/>
        </w:rPr>
        <w:t>Recomendación:</w:t>
      </w:r>
    </w:p>
    <w:p>
      <w:pPr>
        <w:pStyle w:val="ListBullet2"/>
      </w:pPr>
      <w:r>
        <w:t>Corregir la cita (Çolak 2017).</w:t>
      </w:r>
    </w:p>
    <w:p>
      <w:pPr>
        <w:pStyle w:val="ListBullet2"/>
      </w:pPr>
      <w:r>
        <w:t>Atribuir los HR a la EPOC no diagnosticada sintomática y añadir los de la asintomática. Estos últimos, de hecho, ofrecerían el mejor argumento a favor de la posición de GOLD sobre la búsqueda en fumadores (véase DX-10).</w:t>
      </w:r>
    </w:p>
    <w:p>
      <w:pPr>
        <w:pStyle w:val="ListBullet"/>
      </w:pPr>
      <w:r>
        <w:rPr>
          <w:b/>
        </w:rPr>
        <w:t>Confianza:</w:t>
      </w:r>
      <w:r>
        <w:t xml:space="preserve"> 5/5</w:t>
      </w:r>
    </w:p>
    <w:p>
      <w:pPr>
        <w:pStyle w:val="Heading4"/>
      </w:pPr>
      <w:r>
        <w:t>DX-09 · Otras referencias mal asignadas en la sección de búsqueda de casos y TC</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Editorial / Error de cita</w:t>
      </w:r>
    </w:p>
    <w:p>
      <w:pPr>
        <w:pStyle w:val="ListBullet"/>
      </w:pPr>
      <w:r>
        <w:rPr>
          <w:b/>
        </w:rPr>
        <w:t>Severidad:</w:t>
      </w:r>
      <w:r>
        <w:t xml:space="preserve"> MEDIA</w:t>
      </w:r>
    </w:p>
    <w:p>
      <w:pPr>
        <w:pStyle w:val="ListBullet"/>
      </w:pPr>
      <w:r>
        <w:rPr>
          <w:b/>
        </w:rPr>
        <w:t>Ubicación:</w:t>
      </w:r>
      <w:r>
        <w:t xml:space="preserve"> PDF 47 / impr. 36 (cribado de cáncer de pulmón) y PDF 57 / impr. 46 (válvulas endobronquiales)</w:t>
      </w:r>
    </w:p>
    <w:p>
      <w:pPr>
        <w:pStyle w:val="ListBullet"/>
      </w:pPr>
      <w:r>
        <w:rPr>
          <w:b/>
        </w:rPr>
        <w:t>Cita:</w:t>
      </w:r>
      <w:r>
        <w:t xml:space="preserve"> «…airflow obstruction in 34-57%…, emphysema in 68-73% and no prior diagnosis of COPD in 67%.(398,401,402) Male sex, younger age… (402,403)» / «…underdiagnosis… can approach 90% in some reports.(404-410)» / «…FEV1 between 15%-45%… may benefit.(528,529)»</w:t>
      </w:r>
    </w:p>
    <w:p>
      <w:pPr>
        <w:pStyle w:val="ListBullet"/>
      </w:pPr>
      <w:r>
        <w:rPr>
          <w:b/>
        </w:rPr>
        <w:t>Problema:</w:t>
      </w:r>
    </w:p>
    <w:p>
      <w:pPr>
        <w:pStyle w:val="ListBullet2"/>
      </w:pPr>
      <w:r>
        <w:rPr>
          <w:b/>
        </w:rPr>
        <w:t>Ref. 402</w:t>
      </w:r>
      <w:r>
        <w:t xml:space="preserve"> es Yu Y et al., </w:t>
      </w:r>
      <w:r>
        <w:rPr>
          <w:i/>
        </w:rPr>
        <w:t>Acupuncture for dyspnea…</w:t>
      </w:r>
      <w:r>
        <w:t xml:space="preserve"> (metaanálisis). No guarda relación con el cribado de cáncer de pulmón; está bien citada en el cap. 3 (PDF 94).</w:t>
      </w:r>
    </w:p>
    <w:p>
      <w:pPr>
        <w:pStyle w:val="ListBullet2"/>
      </w:pPr>
      <w:r>
        <w:rPr>
          <w:b/>
        </w:rPr>
        <w:t>Ref. 401</w:t>
      </w:r>
      <w:r>
        <w:t xml:space="preserve"> (Hopkins, NLST-ACRIN) trata del riesgo de cáncer según el flujo espiratorio, no de la prevalencia de EPOC no diagnosticada.</w:t>
      </w:r>
    </w:p>
    <w:p>
      <w:pPr>
        <w:pStyle w:val="ListBullet2"/>
      </w:pPr>
      <w:r>
        <w:rPr>
          <w:b/>
        </w:rPr>
        <w:t>Refs. 404-410:</w:t>
      </w:r>
      <w:r>
        <w:t xml:space="preserve"> solo la 407 (Undrunas, Polonia) trata del infradiagnóstico. Las demás (Maldonado, Carr, Kishi, de-Torres, Sánchez-Salcedo, Wilson) estudian el enfisema y la obstrucción como factores de riesgo de cáncer, por lo que no sustentan la cifra de «hasta 90%».</w:t>
      </w:r>
    </w:p>
    <w:p>
      <w:pPr>
        <w:pStyle w:val="ListBullet2"/>
      </w:pPr>
      <w:r>
        <w:rPr>
          <w:b/>
        </w:rPr>
        <w:t>Ref. 529</w:t>
      </w:r>
      <w:r>
        <w:t xml:space="preserve"> (Ezponda, comorbilidades por TC y mortalidad, cohorte BODE) no aporta criterios de selección para válvulas.</w:t>
      </w:r>
    </w:p>
    <w:p>
      <w:pPr>
        <w:pStyle w:val="ListBullet"/>
      </w:pPr>
      <w:r>
        <w:rPr>
          <w:b/>
        </w:rPr>
        <w:t>Evidencia/justificación:</w:t>
      </w:r>
      <w:r>
        <w:t xml:space="preserve"> Lista de referencias del propio informe (</w:t>
      </w:r>
      <w:r>
        <w:rPr>
          <w:rFonts w:ascii="Consolas" w:hAnsi="Consolas"/>
        </w:rPr>
        <w:t>10_references</w:t>
      </w:r>
      <w:r>
        <w:t>, entradas 398-410 y 528-529).</w:t>
      </w:r>
    </w:p>
    <w:p>
      <w:pPr>
        <w:pStyle w:val="ListBullet"/>
      </w:pPr>
      <w:r>
        <w:rPr>
          <w:b/>
        </w:rPr>
        <w:t>Recomendación:</w:t>
      </w:r>
      <w:r>
        <w:t xml:space="preserve"> Revisar las citas de esta sección. Sustituir la 402 por la referencia correcta (probablemente otro estudio de cribado con espirometría, p. ej. Balata/Undrunas). Limitar «hasta 90%» a las fuentes que lo documentan y retirar la 529 del apoyo a los criterios de válvulas.</w:t>
      </w:r>
    </w:p>
    <w:p>
      <w:pPr>
        <w:pStyle w:val="ListBullet"/>
      </w:pPr>
      <w:r>
        <w:rPr>
          <w:b/>
        </w:rPr>
        <w:t>Confianza:</w:t>
      </w:r>
      <w:r>
        <w:t xml:space="preserve"> 4/5</w:t>
      </w:r>
    </w:p>
    <w:p>
      <w:pPr>
        <w:pStyle w:val="Heading4"/>
      </w:pPr>
      <w:r>
        <w:t>DX-11 · UCAP y el algoritmo de la Fig. 2.9: beneficio sobredimensionado y algoritmo no validado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45 / impr. 34; Fig. 2.9 (PDF 46 / impr. 35); CAPTURE en PDF 47 / impr. 36</w:t>
      </w:r>
    </w:p>
    <w:p>
      <w:pPr>
        <w:pStyle w:val="ListBullet"/>
      </w:pPr>
      <w:r>
        <w:rPr>
          <w:b/>
        </w:rPr>
        <w:t>Cita:</w:t>
      </w:r>
      <w:r>
        <w:t xml:space="preserve"> «This study was the first to show that identification and diagnosis of COPD via active telephone-based case-finding… reduces patients' healthcare utilization and improves quality of life and health outcomes.(386)» / «A pragmatic case-finding algorithm (Figure 2.9) has been recently proposed to enable accurate COPD diagnoses for most populations.(382)»</w:t>
      </w:r>
    </w:p>
    <w:p>
      <w:pPr>
        <w:pStyle w:val="ListBullet"/>
      </w:pPr>
      <w:r>
        <w:rPr>
          <w:b/>
        </w:rPr>
        <w:t>Problema:</w:t>
      </w:r>
    </w:p>
    <w:p>
      <w:pPr>
        <w:pStyle w:val="ListNumber"/>
        <w:numPr>
          <w:ilvl w:val="0"/>
          <w:numId w:val="35"/>
        </w:numPr>
      </w:pPr>
      <w:r>
        <w:rPr>
          <w:b/>
        </w:rPr>
        <w:t>Pregunta del ensayo.</w:t>
      </w:r>
      <w:r>
        <w:t xml:space="preserve"> UCAP no comparó búsqueda de casos con no búsqueda. Ambos brazos fueron captados por búsqueda; lo aleatorizado fue la atención por neumólogo y educador frente a la atención habitual.</w:t>
      </w:r>
    </w:p>
    <w:p>
      <w:pPr>
        <w:pStyle w:val="ListNumber"/>
        <w:numPr>
          <w:ilvl w:val="0"/>
          <w:numId w:val="35"/>
        </w:numPr>
      </w:pPr>
      <w:r>
        <w:rPr>
          <w:b/>
        </w:rPr>
        <w:t>Población mixta.</w:t>
      </w:r>
      <w:r>
        <w:t xml:space="preserve"> Incluyó asma y EPOC (n=508).</w:t>
      </w:r>
    </w:p>
    <w:p>
      <w:pPr>
        <w:pStyle w:val="ListNumber"/>
        <w:numPr>
          <w:ilvl w:val="0"/>
          <w:numId w:val="35"/>
        </w:numPr>
      </w:pPr>
      <w:r>
        <w:rPr>
          <w:b/>
        </w:rPr>
        <w:t>Magnitud del beneficio.</w:t>
      </w:r>
      <w:r>
        <w:t xml:space="preserve"> El objetivo primario mejoró claramente (utilización sanitaria, IRR 0,48). Los secundarios fueron modestos: SGRQ ≈−3,5 (por debajo de la DMCI de 4), CAT ≈−1,3 (por debajo de la DMCI de 2) y FEV1 +94 mL.</w:t>
      </w:r>
    </w:p>
    <w:p>
      <w:pPr>
        <w:pStyle w:val="ListNumber"/>
        <w:numPr>
          <w:ilvl w:val="0"/>
          <w:numId w:val="35"/>
        </w:numPr>
      </w:pPr>
      <w:r>
        <w:rPr>
          <w:b/>
        </w:rPr>
        <w:t>Algoritmo no validado.</w:t>
      </w:r>
      <w:r>
        <w:t xml:space="preserve"> La Fig. 2.9 procede de una revisión o propuesta de expertos (ref. 382) sin validación prospectiva. Describirla como «accurate… for most populations» no está justificado.</w:t>
      </w:r>
    </w:p>
    <w:p>
      <w:pPr>
        <w:pStyle w:val="ListNumber"/>
        <w:numPr>
          <w:ilvl w:val="0"/>
          <w:numId w:val="35"/>
        </w:numPr>
      </w:pPr>
      <w:r>
        <w:rPr>
          <w:b/>
        </w:rPr>
        <w:t>Evidencia discordante.</w:t>
      </w:r>
      <w:r>
        <w:t xml:space="preserve"> El propio informe cita el ensayo CAPTURE-EE. UU. (ref. 396), en el que la estrategia no modificó el compuesto primario de proceso asistencial (45,9% frente a 41,9%; p=0,47).</w:t>
      </w:r>
    </w:p>
    <w:p>
      <w:pPr>
        <w:pStyle w:val="ListBullet"/>
      </w:pPr>
      <w:r>
        <w:rPr>
          <w:b/>
        </w:rPr>
        <w:t>Evidencia/justificación:</w:t>
      </w:r>
    </w:p>
    <w:p>
      <w:pPr>
        <w:pStyle w:val="ListBullet2"/>
      </w:pPr>
      <w:r>
        <w:t xml:space="preserve">Aaron SD et al. </w:t>
      </w:r>
      <w:r>
        <w:rPr>
          <w:i/>
        </w:rPr>
        <w:t>Early Diagnosis and Treatment of COPD and Asthma — A Randomized, Controlled Trial</w:t>
      </w:r>
      <w:r>
        <w:t>. NEJM 2024;390:2061-2073 (PMID 38767248).</w:t>
      </w:r>
    </w:p>
    <w:p>
      <w:pPr>
        <w:pStyle w:val="ListBullet2"/>
      </w:pPr>
      <w:r>
        <w:t>Martinez FJ et al. AJRCCM 2025 (PMID 39715575).</w:t>
      </w:r>
    </w:p>
    <w:p>
      <w:pPr>
        <w:pStyle w:val="ListBullet"/>
      </w:pPr>
      <w:r>
        <w:rPr>
          <w:b/>
        </w:rPr>
        <w:t>Recomendación:</w:t>
      </w:r>
    </w:p>
    <w:p>
      <w:pPr>
        <w:pStyle w:val="ListBullet2"/>
      </w:pPr>
      <w:r>
        <w:t>Reformular: «UCAP mostró que, en personas sintomáticas identificadas por búsqueda activa, el tratamiento dirigido por especialistas reduce la utilización sanitaria respiratoria, con mejoras modestas en calidad de vida».</w:t>
      </w:r>
    </w:p>
    <w:p>
      <w:pPr>
        <w:pStyle w:val="ListBullet2"/>
      </w:pPr>
      <w:r>
        <w:t>Calificar la Fig. 2.9 como «propuesta de expertos pendiente de validación».</w:t>
      </w:r>
    </w:p>
    <w:p>
      <w:pPr>
        <w:pStyle w:val="ListBullet"/>
      </w:pPr>
      <w:r>
        <w:rPr>
          <w:b/>
        </w:rPr>
        <w:t>Confianza:</w:t>
      </w:r>
      <w:r>
        <w:t xml:space="preserve"> 5/5</w:t>
      </w:r>
    </w:p>
    <w:p>
      <w:pPr>
        <w:pStyle w:val="Heading4"/>
      </w:pPr>
      <w:r>
        <w:t>DX-12 · Fig. 2.9: discordancias con el texto (ámbito de la espirometría, edad, paquetes-año, terminología)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Fig. 2.9 (PDF 46 / impr. 35). Cotejado con PDF 37 / impr. 26 y PDF 45 / impr. 34.</w:t>
      </w:r>
    </w:p>
    <w:p>
      <w:pPr>
        <w:pStyle w:val="ListBullet"/>
      </w:pPr>
      <w:r>
        <w:rPr>
          <w:b/>
        </w:rPr>
        <w:t>Cita:</w:t>
      </w:r>
      <w:r>
        <w:t xml:space="preserve"> Fig. 2.9: «In Specialty Care Setting — Confirmatory pre-BD spirometry»; «Age ≥ 35 years»; «Pretest with Screening Questionnaire». Texto PDF 37: «Good quality spirometric measurement is possible in any healthcare setting and all healthcare workers who care for people with COPD should have access to spirometry».</w:t>
      </w:r>
    </w:p>
    <w:p>
      <w:pPr>
        <w:pStyle w:val="ListBullet"/>
      </w:pPr>
      <w:r>
        <w:rPr>
          <w:b/>
        </w:rPr>
        <w:t>Problema:</w:t>
      </w:r>
    </w:p>
    <w:p>
      <w:pPr>
        <w:pStyle w:val="ListNumber"/>
        <w:numPr>
          <w:ilvl w:val="0"/>
          <w:numId w:val="36"/>
        </w:numPr>
      </w:pPr>
      <w:r>
        <w:rPr>
          <w:b/>
        </w:rPr>
        <w:t>Ámbito de la espirometría.</w:t>
      </w:r>
      <w:r>
        <w:t xml:space="preserve"> La figura sitúa la espirometría confirmatoria solo en atención especializada, tras un resultado positivo con PEF o COPD-6 en primaria. Contradice el texto y añade un cuello de botella de derivación incompatible con muchos sistemas sanitarios.</w:t>
      </w:r>
    </w:p>
    <w:p>
      <w:pPr>
        <w:pStyle w:val="ListNumber"/>
        <w:numPr>
          <w:ilvl w:val="0"/>
          <w:numId w:val="36"/>
        </w:numPr>
      </w:pPr>
      <w:r>
        <w:rPr>
          <w:b/>
        </w:rPr>
        <w:t>Edad de entrada.</w:t>
      </w:r>
      <w:r>
        <w:t xml:space="preserve"> Se usan ≥35 años, mientras que los cuestionarios citados (CDQ, COPD-PS, PUMA, CAPTURE) están validados mayoritariamente en ≥40 años.</w:t>
      </w:r>
    </w:p>
    <w:p>
      <w:pPr>
        <w:pStyle w:val="ListNumber"/>
        <w:numPr>
          <w:ilvl w:val="0"/>
          <w:numId w:val="36"/>
        </w:numPr>
      </w:pPr>
      <w:r>
        <w:rPr>
          <w:b/>
        </w:rPr>
        <w:t>Paquetes-año.</w:t>
      </w:r>
      <w:r>
        <w:t xml:space="preserve"> Falta el criterio &gt;20 paquetes-año que el texto menciona para la búsqueda activa.</w:t>
      </w:r>
    </w:p>
    <w:p>
      <w:pPr>
        <w:pStyle w:val="ListNumber"/>
        <w:numPr>
          <w:ilvl w:val="0"/>
          <w:numId w:val="36"/>
        </w:numPr>
      </w:pPr>
      <w:r>
        <w:rPr>
          <w:b/>
        </w:rPr>
        <w:t>Terminología.</w:t>
      </w:r>
      <w:r>
        <w:t xml:space="preserve"> Se habla de «Screening Questionnaire» dentro de un algoritmo de «case-finding», tras haber distinguido ambos conceptos en el texto.</w:t>
      </w:r>
    </w:p>
    <w:p>
      <w:pPr>
        <w:pStyle w:val="ListNumber"/>
        <w:numPr>
          <w:ilvl w:val="0"/>
          <w:numId w:val="36"/>
        </w:numPr>
      </w:pPr>
      <w:r>
        <w:rPr>
          <w:b/>
        </w:rPr>
        <w:t>PEF.</w:t>
      </w:r>
      <w:r>
        <w:t xml:space="preserve"> El texto (PDF 37) advierte de la baja especificidad del PEF, que aquí se usa como filtro sin umbral.</w:t>
      </w:r>
    </w:p>
    <w:p>
      <w:pPr>
        <w:pStyle w:val="ListBullet"/>
      </w:pPr>
      <w:r>
        <w:rPr>
          <w:b/>
        </w:rPr>
        <w:t>Evidencia/justificación:</w:t>
      </w:r>
    </w:p>
    <w:p>
      <w:pPr>
        <w:pStyle w:val="ListBullet2"/>
      </w:pPr>
      <w:r>
        <w:t>Price DB et al. (CDQ), Martinez FJ et al. (COPD-PS, CAPTURE) y Lopez Varela MV et al. (PUMA) validaron los cuestionarios en ≥40 años.</w:t>
      </w:r>
    </w:p>
    <w:p>
      <w:pPr>
        <w:pStyle w:val="ListBullet2"/>
      </w:pPr>
      <w:r>
        <w:t>Ref. 382 (Aaron AJRCCM 2024), fuente de la figura.</w:t>
      </w:r>
    </w:p>
    <w:p>
      <w:pPr>
        <w:pStyle w:val="ListBullet"/>
      </w:pPr>
      <w:r>
        <w:rPr>
          <w:b/>
        </w:rPr>
        <w:t>Recomendación:</w:t>
      </w:r>
    </w:p>
    <w:p>
      <w:pPr>
        <w:pStyle w:val="ListBullet2"/>
      </w:pPr>
      <w:r>
        <w:t>Mostrar la espirometría confirmatoria como posible en «primaria o especializada, según disponibilidad».</w:t>
      </w:r>
    </w:p>
    <w:p>
      <w:pPr>
        <w:pStyle w:val="ListBullet2"/>
      </w:pPr>
      <w:r>
        <w:t>Usar ≥40 años salvo justificación.</w:t>
      </w:r>
    </w:p>
    <w:p>
      <w:pPr>
        <w:pStyle w:val="ListBullet2"/>
      </w:pPr>
      <w:r>
        <w:t>Añadir el criterio de paquetes-año y umbrales orientativos para PEF/COPD-6 (p. ej., FEV1/FEV6 &lt;0,73-0,75).</w:t>
      </w:r>
    </w:p>
    <w:p>
      <w:pPr>
        <w:pStyle w:val="ListBullet2"/>
      </w:pPr>
      <w:r>
        <w:t>Renombrar a «cuestionario de búsqueda de casos».</w:t>
      </w:r>
    </w:p>
    <w:p>
      <w:pPr>
        <w:pStyle w:val="ListBullet"/>
      </w:pPr>
      <w:r>
        <w:rPr>
          <w:b/>
        </w:rPr>
        <w:t>Confianza:</w:t>
      </w:r>
      <w:r>
        <w:t xml:space="preserve"> 4/5</w:t>
      </w:r>
    </w:p>
    <w:p>
      <w:pPr>
        <w:pStyle w:val="Heading4"/>
      </w:pPr>
      <w:r>
        <w:t>DX-18 · Volúmenes pulmonares: confusión entre hiperinsuflación estática y dinámica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56 / impr. 45 — «Lung volumes»</w:t>
      </w:r>
    </w:p>
    <w:p>
      <w:pPr>
        <w:pStyle w:val="ListBullet"/>
      </w:pPr>
      <w:r>
        <w:rPr>
          <w:b/>
        </w:rPr>
        <w:t>Cita:</w:t>
      </w:r>
      <w:r>
        <w:t xml:space="preserve"> «…as airflow obstruction worsens, static hyperinflation (an increase in total lung capacity) occurs, particularly during exercise (dynamic hyperinflation).»</w:t>
      </w:r>
    </w:p>
    <w:p>
      <w:pPr>
        <w:pStyle w:val="ListBullet"/>
      </w:pPr>
      <w:r>
        <w:rPr>
          <w:b/>
        </w:rPr>
        <w:t>Problema:</w:t>
      </w:r>
    </w:p>
    <w:p>
      <w:pPr>
        <w:pStyle w:val="ListBullet2"/>
      </w:pPr>
      <w:r>
        <w:rPr>
          <w:b/>
        </w:rPr>
        <w:t>Definición incorrecta.</w:t>
      </w:r>
      <w:r>
        <w:t xml:space="preserve"> La hiperinsuflación estática es el aumento de la FRC (volumen pulmonar teleespiratorio en reposo) por pérdida de retracción elástica, y puede acompañarse o no de aumento de la TLC. Definirla como «aumento de la TLC» es incorrecto.</w:t>
      </w:r>
    </w:p>
    <w:p>
      <w:pPr>
        <w:pStyle w:val="ListBullet2"/>
      </w:pPr>
      <w:r>
        <w:rPr>
          <w:b/>
        </w:rPr>
        <w:t>Mezcla de conceptos.</w:t>
      </w:r>
      <w:r>
        <w:t xml:space="preserve"> La dinámica es el aumento transitorio del volumen teleespiratorio por encima del de reposo durante el ejercicio o la taquipnea, con caída de la capacidad inspiratoria. La frase sugiere que la hiperinsuflación estática ocurre «sobre todo durante el ejercicio».</w:t>
      </w:r>
    </w:p>
    <w:p>
      <w:pPr>
        <w:pStyle w:val="ListBullet2"/>
      </w:pPr>
      <w:r>
        <w:rPr>
          <w:b/>
        </w:rPr>
        <w:t>Medición.</w:t>
      </w:r>
      <w:r>
        <w:t xml:space="preserve"> Omite que la capacidad inspiratoria seriada es la forma práctica de documentar la hiperinsuflación dinámica, y que el cociente IC/TLC es pronóstico.</w:t>
      </w:r>
    </w:p>
    <w:p>
      <w:pPr>
        <w:pStyle w:val="ListBullet"/>
      </w:pPr>
      <w:r>
        <w:rPr>
          <w:b/>
        </w:rPr>
        <w:t>Evidencia/justificación:</w:t>
      </w:r>
    </w:p>
    <w:p>
      <w:pPr>
        <w:pStyle w:val="ListBullet2"/>
      </w:pPr>
      <w:r>
        <w:t>O'Donnell DE, Laveneziana P. Eur Respir Rev 2006;15:61-67.</w:t>
      </w:r>
    </w:p>
    <w:p>
      <w:pPr>
        <w:pStyle w:val="ListBullet2"/>
      </w:pPr>
      <w:r>
        <w:t>Casanova C et al. AJRCCM 2005;171:591-597 (IC/TLC &lt;25% pronóstico).</w:t>
      </w:r>
    </w:p>
    <w:p>
      <w:pPr>
        <w:pStyle w:val="ListBullet2"/>
      </w:pPr>
      <w:r>
        <w:t>ERS/ATS 2022 (ref. 337): definición de hiperinsuflación por RV/TLC y TLC.</w:t>
      </w:r>
    </w:p>
    <w:p>
      <w:pPr>
        <w:pStyle w:val="ListBullet"/>
      </w:pPr>
      <w:r>
        <w:rPr>
          <w:b/>
        </w:rPr>
        <w:t>Recomendación:</w:t>
      </w:r>
      <w:r>
        <w:t xml:space="preserve"> Reescribir: «…se produce atrapamiento aéreo (↑RV, ↑RV/TLC) e hiperinsuflación estática (↑FRC en reposo, a veces con ↑TLC); durante el ejercicio puede añadirse hiperinsuflación dinámica (↑EELV, ↓IC)». Mencionar la utilidad de IC/TLC.</w:t>
      </w:r>
    </w:p>
    <w:p>
      <w:pPr>
        <w:pStyle w:val="ListBullet"/>
      </w:pPr>
      <w:r>
        <w:rPr>
          <w:b/>
        </w:rPr>
        <w:t>Confianza:</w:t>
      </w:r>
      <w:r>
        <w:t xml:space="preserve"> 5/5</w:t>
      </w:r>
    </w:p>
    <w:p>
      <w:pPr>
        <w:pStyle w:val="Heading4"/>
      </w:pPr>
      <w:r>
        <w:t>DX-20 · Monitorización: sin definición operativa de «declive rápido» y frecuencia ambigua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Ambigüedad / Incongruencia menor</w:t>
      </w:r>
    </w:p>
    <w:p>
      <w:pPr>
        <w:pStyle w:val="ListBullet"/>
      </w:pPr>
      <w:r>
        <w:rPr>
          <w:b/>
        </w:rPr>
        <w:t>Severidad:</w:t>
      </w:r>
      <w:r>
        <w:t xml:space="preserve"> MEDIA</w:t>
      </w:r>
    </w:p>
    <w:p>
      <w:pPr>
        <w:pStyle w:val="ListBullet"/>
      </w:pPr>
      <w:r>
        <w:rPr>
          <w:b/>
        </w:rPr>
        <w:t>Ubicación:</w:t>
      </w:r>
      <w:r>
        <w:t xml:space="preserve"> PDF 55 / impr. 44 — «Measurements». Cotejado con la Fig. 3.9 y el texto de seguimiento del cap. 3 (PDF 74-76).</w:t>
      </w:r>
    </w:p>
    <w:p>
      <w:pPr>
        <w:pStyle w:val="ListBullet"/>
      </w:pPr>
      <w:r>
        <w:rPr>
          <w:b/>
        </w:rPr>
        <w:t>Cita:</w:t>
      </w:r>
      <w:r>
        <w:t xml:space="preserve"> «Decline in FEV1 can be tracked by spirometry performed at regular intervals (e.g., yearly) to identify patients who are declining quickly…»</w:t>
      </w:r>
    </w:p>
    <w:p>
      <w:pPr>
        <w:pStyle w:val="ListBullet"/>
      </w:pPr>
      <w:r>
        <w:rPr>
          <w:b/>
        </w:rPr>
        <w:t>Problema:</w:t>
      </w:r>
    </w:p>
    <w:p>
      <w:pPr>
        <w:pStyle w:val="ListBullet2"/>
      </w:pPr>
      <w:r>
        <w:rPr>
          <w:b/>
        </w:rPr>
        <w:t>Sin umbral.</w:t>
      </w:r>
      <w:r>
        <w:t xml:space="preserve"> No se define qué es un declive rápido (p. ej., &gt;40-60 mL/año), cuántas medidas hacen falta para estimar la pendiente, ni qué cambio entre dos pruebas supera la variabilidad.</w:t>
      </w:r>
    </w:p>
    <w:p>
      <w:pPr>
        <w:pStyle w:val="ListBullet2"/>
      </w:pPr>
      <w:r>
        <w:rPr>
          <w:b/>
        </w:rPr>
        <w:t>Variabilidad ignorada.</w:t>
      </w:r>
      <w:r>
        <w:t xml:space="preserve"> La variabilidad interprueba (≈±150 mL o ±10-15%) hace que una única comparación anual sea poco fiable.</w:t>
      </w:r>
    </w:p>
    <w:p>
      <w:pPr>
        <w:pStyle w:val="ListBullet2"/>
      </w:pPr>
      <w:r>
        <w:rPr>
          <w:b/>
        </w:rPr>
        <w:t>Frecuencia ambigua.</w:t>
      </w:r>
      <w:r>
        <w:t xml:space="preserve"> «e.g., yearly» (cap. 2) frente a «at least annually» (cap. 3).</w:t>
      </w:r>
    </w:p>
    <w:p>
      <w:pPr>
        <w:pStyle w:val="ListBullet2"/>
      </w:pPr>
      <w:r>
        <w:rPr>
          <w:b/>
        </w:rPr>
        <w:t>Sin consecuencia clínica.</w:t>
      </w:r>
      <w:r>
        <w:t xml:space="preserve"> No se dice qué hacer ante un declive rápido (p. ej., revisar exposición y tabaquismo, AATD, rasgos T2, derivación).</w:t>
      </w:r>
    </w:p>
    <w:p>
      <w:pPr>
        <w:pStyle w:val="ListBullet"/>
      </w:pPr>
      <w:r>
        <w:rPr>
          <w:b/>
        </w:rPr>
        <w:t>Evidencia/justificación:</w:t>
      </w:r>
    </w:p>
    <w:p>
      <w:pPr>
        <w:pStyle w:val="ListBullet2"/>
      </w:pPr>
      <w:r>
        <w:t>Vestbo J et al. NEJM 2011;365:1184-92 (ECLIPSE): variabilidad del declive; declinadores rápidos &gt;40 mL/año.</w:t>
      </w:r>
    </w:p>
    <w:p>
      <w:pPr>
        <w:pStyle w:val="ListBullet2"/>
      </w:pPr>
      <w:r>
        <w:t>Pellegrino R et al. ERJ 2005 (ref. 333): cambios interanuales &gt;15% probablemente significativos.</w:t>
      </w:r>
    </w:p>
    <w:p>
      <w:pPr>
        <w:pStyle w:val="ListBullet2"/>
      </w:pPr>
      <w:r>
        <w:t>ERS/ATS 2022 (ref. 337): interpretación de cambios en el tiempo.</w:t>
      </w:r>
    </w:p>
    <w:p>
      <w:pPr>
        <w:pStyle w:val="ListBullet"/>
      </w:pPr>
      <w:r>
        <w:rPr>
          <w:b/>
        </w:rPr>
        <w:t>Recomendación:</w:t>
      </w:r>
    </w:p>
    <w:p>
      <w:pPr>
        <w:pStyle w:val="ListBullet2"/>
      </w:pPr>
      <w:r>
        <w:t>Unificar en «al menos anual».</w:t>
      </w:r>
    </w:p>
    <w:p>
      <w:pPr>
        <w:pStyle w:val="ListBullet2"/>
      </w:pPr>
      <w:r>
        <w:t>Definir el declive rápido (p. ej., ≥60 mL/año sostenido en ≥3 medidas a lo largo de ≥2-3 años) y el cambio significativo entre dos pruebas.</w:t>
      </w:r>
    </w:p>
    <w:p>
      <w:pPr>
        <w:pStyle w:val="ListBullet2"/>
      </w:pPr>
      <w:r>
        <w:t>Vincular el hallazgo a acciones concretas.</w:t>
      </w:r>
    </w:p>
    <w:p>
      <w:pPr>
        <w:pStyle w:val="ListBullet"/>
      </w:pPr>
      <w:r>
        <w:rPr>
          <w:b/>
        </w:rPr>
        <w:t>Confianza:</w:t>
      </w:r>
      <w:r>
        <w:t xml:space="preserve"> 3/5</w:t>
      </w:r>
    </w:p>
    <w:p>
      <w:pPr>
        <w:pStyle w:val="Heading4"/>
      </w:pPr>
      <w:r>
        <w:t>DX-22 · Anomalías pulmonares intersticiales (ILA) y bronquiectasias: cifras mezcladas y ausencia de pautas de seguimiento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 / Omisión</w:t>
      </w:r>
    </w:p>
    <w:p>
      <w:pPr>
        <w:pStyle w:val="ListBullet"/>
      </w:pPr>
      <w:r>
        <w:rPr>
          <w:b/>
        </w:rPr>
        <w:t>Severidad:</w:t>
      </w:r>
      <w:r>
        <w:t xml:space="preserve"> MEDIA</w:t>
      </w:r>
    </w:p>
    <w:p>
      <w:pPr>
        <w:pStyle w:val="ListBullet"/>
      </w:pPr>
      <w:r>
        <w:rPr>
          <w:b/>
        </w:rPr>
        <w:t>Ubicación:</w:t>
      </w:r>
      <w:r>
        <w:t xml:space="preserve"> PDF 58 / impr. 47 — «CT and airways» e «Interstitial lung abnormalities»</w:t>
      </w:r>
    </w:p>
    <w:p>
      <w:pPr>
        <w:pStyle w:val="ListBullet"/>
      </w:pPr>
      <w:r>
        <w:rPr>
          <w:b/>
        </w:rPr>
        <w:t>Cita:</w:t>
      </w:r>
      <w:r>
        <w:t xml:space="preserve"> «The prevalence of ILA ranges from 4% to 9% among older (over 60 years) adults…(542) Among 4,360 COPDGene participants, ILA was present in 8% of individuals, with half meeting criteria for suspected ILD…(245,543)» / «bronchiectasis… visible on CT in roughly 30% of patients with COPD».</w:t>
      </w:r>
    </w:p>
    <w:p>
      <w:pPr>
        <w:pStyle w:val="ListBullet"/>
      </w:pPr>
      <w:r>
        <w:rPr>
          <w:b/>
        </w:rPr>
        <w:t>Problema:</w:t>
      </w:r>
    </w:p>
    <w:p>
      <w:pPr>
        <w:pStyle w:val="ListNumber"/>
        <w:numPr>
          <w:ilvl w:val="0"/>
          <w:numId w:val="37"/>
        </w:numPr>
      </w:pPr>
      <w:r>
        <w:rPr>
          <w:b/>
        </w:rPr>
        <w:t>Prevalencia de ILA.</w:t>
      </w:r>
      <w:r>
        <w:t xml:space="preserve"> Fleischner 2020 da un 4-9% en fumadores y un 2-7% en no fumadores, no «en mayores de 60 años».</w:t>
      </w:r>
    </w:p>
    <w:p>
      <w:pPr>
        <w:pStyle w:val="ListNumber"/>
        <w:numPr>
          <w:ilvl w:val="0"/>
          <w:numId w:val="37"/>
        </w:numPr>
      </w:pPr>
      <w:r>
        <w:rPr>
          <w:b/>
        </w:rPr>
        <w:t>Datos de COPDGene mezclados.</w:t>
      </w:r>
      <w:r>
        <w:t xml:space="preserve"> El 8% procede de Washko 2011 (n=2.416, ref. 245). El estudio de Rose 2023 (ref. 543, n≈4.361) identificó ≈5% con sospecha de EPID y ≈5% con ILA sin sospecha de EPID (≈10% en total). La frase combina numeradores y denominadores de estudios distintos.</w:t>
      </w:r>
    </w:p>
    <w:p>
      <w:pPr>
        <w:pStyle w:val="ListNumber"/>
        <w:numPr>
          <w:ilvl w:val="0"/>
          <w:numId w:val="37"/>
        </w:numPr>
      </w:pPr>
      <w:r>
        <w:rPr>
          <w:b/>
        </w:rPr>
        <w:t>Bronquiectasias.</w:t>
      </w:r>
      <w:r>
        <w:t xml:space="preserve"> El «≈30%» carece de cita, y la prevalencia descrita varía mucho (≈4-69%) según la población y la definición.</w:t>
      </w:r>
    </w:p>
    <w:p>
      <w:pPr>
        <w:pStyle w:val="ListNumber"/>
        <w:numPr>
          <w:ilvl w:val="0"/>
          <w:numId w:val="37"/>
        </w:numPr>
      </w:pPr>
      <w:r>
        <w:rPr>
          <w:b/>
        </w:rPr>
        <w:t>Sin manejo de la ILA.</w:t>
      </w:r>
      <w:r>
        <w:t xml:space="preserve"> Se dice que hay que hacer seguimiento, pero no se remite a las recomendaciones de la Fleischner (identificación de los subtipos con riesgo de progresión, seguimiento con TC y pruebas de función pulmonar), ni a la combinación fibrosis-enfisema (CPFE, tratada en el cap. 5), que pseudonormaliza los volúmenes con DLCO muy baja y es un escollo diagnóstico relevante.</w:t>
      </w:r>
    </w:p>
    <w:p>
      <w:pPr>
        <w:pStyle w:val="ListBullet"/>
      </w:pPr>
      <w:r>
        <w:rPr>
          <w:b/>
        </w:rPr>
        <w:t>Evidencia/justificación:</w:t>
      </w:r>
    </w:p>
    <w:p>
      <w:pPr>
        <w:pStyle w:val="ListBullet2"/>
      </w:pPr>
      <w:r>
        <w:t xml:space="preserve">Hatabu H et al. </w:t>
      </w:r>
      <w:r>
        <w:rPr>
          <w:i/>
        </w:rPr>
        <w:t>Interstitial lung abnormalities detected incidentally on CT: a Position Paper from the Fleischner Society</w:t>
      </w:r>
      <w:r>
        <w:t>. Lancet Respir Med 2020;8:726-737.</w:t>
      </w:r>
    </w:p>
    <w:p>
      <w:pPr>
        <w:pStyle w:val="ListBullet2"/>
      </w:pPr>
      <w:r>
        <w:t>Washko GR et al. NEJM 2011;364:897-906.</w:t>
      </w:r>
    </w:p>
    <w:p>
      <w:pPr>
        <w:pStyle w:val="ListBullet2"/>
      </w:pPr>
      <w:r>
        <w:t>Rose JA et al. AJRCCM 2023 (COPDGene, suspected ILD).</w:t>
      </w:r>
    </w:p>
    <w:p>
      <w:pPr>
        <w:pStyle w:val="ListBullet2"/>
      </w:pPr>
      <w:r>
        <w:t>Martínez-García MA et al. (ref. 534) sobre bronquiectasias en la EPOC.</w:t>
      </w:r>
    </w:p>
    <w:p>
      <w:pPr>
        <w:pStyle w:val="ListBullet"/>
      </w:pPr>
      <w:r>
        <w:rPr>
          <w:b/>
        </w:rPr>
        <w:t>Recomendación:</w:t>
      </w:r>
    </w:p>
    <w:p>
      <w:pPr>
        <w:pStyle w:val="ListBullet2"/>
      </w:pPr>
      <w:r>
        <w:t>Corregir las cifras atribuyendo cada una a su estudio.</w:t>
      </w:r>
    </w:p>
    <w:p>
      <w:pPr>
        <w:pStyle w:val="ListBullet2"/>
      </w:pPr>
      <w:r>
        <w:t>Citar o matizar el 30%.</w:t>
      </w:r>
    </w:p>
    <w:p>
      <w:pPr>
        <w:pStyle w:val="ListBullet2"/>
      </w:pPr>
      <w:r>
        <w:t>Añadir una frase de manejo según la Fleischner 2020 y una remisión a CPFE: sospechar CPFE ante una espirometría casi normal con DLCO desproporcionadamente baja.</w:t>
      </w:r>
    </w:p>
    <w:p>
      <w:pPr>
        <w:pStyle w:val="ListBullet"/>
      </w:pPr>
      <w:r>
        <w:rPr>
          <w:b/>
        </w:rPr>
        <w:t>Confianza:</w:t>
      </w:r>
      <w:r>
        <w:t xml:space="preserve"> 4/5</w:t>
      </w:r>
    </w:p>
    <w:p>
      <w:pPr>
        <w:pStyle w:val="Heading4"/>
      </w:pPr>
      <w:r>
        <w:t>EPI-03 · Las «nuevas oportunidades» del cap. 1 (pre-EPOC, PRISm, etiotipos) no llegan al cap. 2</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18 / impr. 7 (New opportunities) y PDF 30-31 / impr. 19-20 (Taxonomy, Figure 1.3), frente al cap. 2: PDF 44-46 / impr. 33-35 (Figures 2.8-2.9) y PDF 37 / impr. 26</w:t>
      </w:r>
    </w:p>
    <w:p>
      <w:pPr>
        <w:pStyle w:val="ListBullet"/>
      </w:pPr>
      <w:r>
        <w:rPr>
          <w:b/>
        </w:rPr>
        <w:t>Cita:</w:t>
      </w:r>
      <w:r>
        <w:t xml:space="preserve"> «there are precursor conditions (pre-COPD, PRISm), opens new windows of opportunity for its prevention, early diagnosis, and prompt and appropriate therapeutic intervention.(69)»</w:t>
      </w:r>
    </w:p>
    <w:p>
      <w:pPr>
        <w:pStyle w:val="ListBullet"/>
      </w:pPr>
      <w:r>
        <w:rPr>
          <w:b/>
        </w:rPr>
        <w:t>Problema:</w:t>
      </w:r>
      <w:r>
        <w:t xml:space="preserve"> «PRISm» y «pre-COPD» no aparecen en ningún capítulo posterior (solo en la tabla de abreviaturas, PDF 150). El nuevo algoritmo de case-finding (Figure 2.9, PDF 46, Highlight ii) no tiene rama para FEV1/FVC ≥0,7 con FEV1 bajo o con síntomas: no indica qué hacer, cuándo repetir la espirometría ni qué diagnósticos alternativos descartar. La taxonomía por etiotipos tampoco se usa en la anamnesis ni en la evaluación del cap. 2 (solo se mencionan VIH y TB en la historia clínica, PDF 37).</w:t>
      </w:r>
    </w:p>
    <w:p>
      <w:pPr>
        <w:pStyle w:val="ListBullet"/>
      </w:pPr>
      <w:r>
        <w:rPr>
          <w:b/>
        </w:rPr>
        <w:t>Evidencia/justificación:</w:t>
      </w:r>
      <w:r>
        <w:t xml:space="preserve"> Hice un grep exhaustivo de «PRISm», «pre-COPD» y «etiotype» en </w:t>
      </w:r>
      <w:r>
        <w:rPr>
          <w:rFonts w:ascii="Consolas" w:hAnsi="Consolas"/>
        </w:rPr>
        <w:t>gold_full.txt</w:t>
      </w:r>
      <w:r>
        <w:t>: todas las apariciones sustantivas están en PDF 15-31. PRISm es un resultado espirométrico frecuente: según el propio cap. 1 (PDF 25), su prevalencia es del 7-11% en población general y del 10-11% en fumadores (COPDGene), justo la población diana del case-finding.</w:t>
      </w:r>
    </w:p>
    <w:p>
      <w:pPr>
        <w:pStyle w:val="ListBullet"/>
      </w:pPr>
      <w:r>
        <w:rPr>
          <w:b/>
        </w:rPr>
        <w:t>Recomendación:</w:t>
      </w:r>
      <w:r>
        <w:t xml:space="preserve"> Añadir a la Figure 2.9 una salida «ratio preservado con FEV1 bajo o síntomas», con conducta sugerida: repetir la espirometría a los 12-24 meses, cesación tabáquica, valorar volúmenes, DLCO y TC según contexto, y descartar insuficiencia cardiaca, obesidad o restricción. Incluir en el cap. 2 una pregunta estructurada de exposiciones/etiotipo (biomasa, prematuridad, TB, asma infantil).</w:t>
      </w:r>
    </w:p>
    <w:p>
      <w:pPr>
        <w:pStyle w:val="ListBullet"/>
      </w:pPr>
      <w:r>
        <w:rPr>
          <w:b/>
        </w:rPr>
        <w:t>Confianza:</w:t>
      </w:r>
      <w:r>
        <w:t xml:space="preserve"> 5/5</w:t>
      </w:r>
    </w:p>
    <w:p>
      <w:pPr>
        <w:pStyle w:val="Heading4"/>
      </w:pPr>
      <w:r>
        <w:t>EPI-17 · Figure 1.3 (taxonomía): soporte textual insuficiente, categorías solapadas y fuente inconsistente</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30-31 / impr. 19-20 — Taxonomy, Figure 1.3</w:t>
      </w:r>
    </w:p>
    <w:p>
      <w:pPr>
        <w:pStyle w:val="ListBullet"/>
      </w:pPr>
      <w:r>
        <w:rPr>
          <w:b/>
        </w:rPr>
        <w:t>Cita:</w:t>
      </w:r>
      <w:r>
        <w:t xml:space="preserve"> Figure 1.3, COPD-C: «Exposure to tobacco smoke, including </w:t>
      </w:r>
      <w:r>
        <w:rPr>
          <w:i/>
        </w:rPr>
        <w:t>in utero</w:t>
      </w:r>
      <w:r>
        <w:t xml:space="preserve"> or via passive smoking»; COPD-P: «…wildfire smoke, occupational hazards»</w:t>
      </w:r>
    </w:p>
    <w:p>
      <w:pPr>
        <w:pStyle w:val="ListBullet"/>
      </w:pPr>
      <w:r>
        <w:rPr>
          <w:b/>
        </w:rPr>
        <w:t>Problema:</w:t>
      </w:r>
    </w:p>
    <w:p>
      <w:pPr>
        <w:pStyle w:val="ListBullet2"/>
      </w:pPr>
      <w:r>
        <w:rPr>
          <w:b/>
        </w:rPr>
        <w:t>Contenidos de la figura sin soporte en el texto:</w:t>
      </w:r>
      <w:r>
        <w:t xml:space="preserve"> el humo de incendios forestales no aparece en el texto (grep negativo en PDF 15-60); el cannabis y el vapeo, ver EPI-15 y EPI-16.</w:t>
      </w:r>
    </w:p>
    <w:p>
      <w:pPr>
        <w:pStyle w:val="ListBullet2"/>
      </w:pPr>
      <w:r>
        <w:rPr>
          <w:b/>
        </w:rPr>
        <w:t>Etiqueta incoherente con su contenido:</w:t>
      </w:r>
      <w:r>
        <w:t xml:space="preserve"> «Cigarette smoking COPD» incluye cannabis y vapeo, que no son cigarrillos.</w:t>
      </w:r>
    </w:p>
    <w:p>
      <w:pPr>
        <w:pStyle w:val="ListBullet2"/>
      </w:pPr>
      <w:r>
        <w:rPr>
          <w:b/>
        </w:rPr>
        <w:t>Etiotipos solapados sin reglas de asignación:</w:t>
      </w:r>
      <w:r>
        <w:t xml:space="preserve"> la exposición in utero se clasifica en COPD-C, aunque el texto (PDF 16) la presenta como alteración del desarrollo pulmonar (COPD-D). No hay reglas para la etiología múltiple, que es la norma según el propio marco GETomics.</w:t>
      </w:r>
    </w:p>
    <w:p>
      <w:pPr>
        <w:pStyle w:val="ListBullet2"/>
      </w:pPr>
      <w:r>
        <w:rPr>
          <w:b/>
        </w:rPr>
        <w:t>Fuente inconsistente:</w:t>
      </w:r>
      <w:r>
        <w:t xml:space="preserve"> el pie de figura cita a Celli 2022 y Stolz 2022, mientras el texto apoya la necesidad de la taxonomía en una comunicación personal (ref 295).</w:t>
      </w:r>
    </w:p>
    <w:p>
      <w:pPr>
        <w:pStyle w:val="ListBullet"/>
      </w:pPr>
      <w:r>
        <w:rPr>
          <w:b/>
        </w:rPr>
        <w:t>Evidencia/justificación:</w:t>
      </w:r>
      <w:r>
        <w:t xml:space="preserve"> Comparación directa entre la PNG p031 y el texto de PDF 16-17 y 30. Celli B et al., </w:t>
      </w:r>
      <w:r>
        <w:rPr>
          <w:i/>
        </w:rPr>
        <w:t>AJRCCM</w:t>
      </w:r>
      <w:r>
        <w:t xml:space="preserve"> 2022;206:1317-25; Stolz D et al., </w:t>
      </w:r>
      <w:r>
        <w:rPr>
          <w:i/>
        </w:rPr>
        <w:t>Lancet</w:t>
      </w:r>
      <w:r>
        <w:t xml:space="preserve"> 2022;400:921-72.</w:t>
      </w:r>
    </w:p>
    <w:p>
      <w:pPr>
        <w:pStyle w:val="ListBullet"/>
      </w:pPr>
      <w:r>
        <w:rPr>
          <w:b/>
        </w:rPr>
        <w:t>Recomendación:</w:t>
      </w:r>
    </w:p>
    <w:p>
      <w:pPr>
        <w:pStyle w:val="ListBullet2"/>
      </w:pPr>
      <w:r>
        <w:t>Renombrar COPD-C como «exposición a productos de tabaco/inhalados».</w:t>
      </w:r>
    </w:p>
    <w:p>
      <w:pPr>
        <w:pStyle w:val="ListBullet2"/>
      </w:pPr>
      <w:r>
        <w:t>Añadir una nota que permita asignar varios etiotipos (exposición principal y concurrentes).</w:t>
      </w:r>
    </w:p>
    <w:p>
      <w:pPr>
        <w:pStyle w:val="ListBullet2"/>
      </w:pPr>
      <w:r>
        <w:t>Mover o duplicar con criterio la exposición in utero.</w:t>
      </w:r>
    </w:p>
    <w:p>
      <w:pPr>
        <w:pStyle w:val="ListBullet2"/>
      </w:pPr>
      <w:r>
        <w:t>Referenciar en el texto cada exposición de la figura.</w:t>
      </w:r>
    </w:p>
    <w:p>
      <w:pPr>
        <w:pStyle w:val="ListBullet2"/>
      </w:pPr>
      <w:r>
        <w:t>Eliminar la comunicación personal.</w:t>
      </w:r>
    </w:p>
    <w:p>
      <w:pPr>
        <w:pStyle w:val="ListBullet"/>
      </w:pPr>
      <w:r>
        <w:rPr>
          <w:b/>
        </w:rPr>
        <w:t>Confianza:</w:t>
      </w:r>
      <w:r>
        <w:t xml:space="preserve"> 4/5</w:t>
      </w:r>
    </w:p>
    <w:p>
      <w:pPr>
        <w:pStyle w:val="Heading4"/>
      </w:pPr>
      <w:r>
        <w:t>EQ-12 · GLI-Global: falta analizar su impacto en LMIC y las implicaciones para los umbrales terapéuticos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42 / impr. 31 — "Reference equations".</w:t>
      </w:r>
    </w:p>
    <w:p>
      <w:pPr>
        <w:pStyle w:val="ListBullet"/>
      </w:pPr>
      <w:r>
        <w:rPr>
          <w:b/>
        </w:rPr>
        <w:t>Cita:</w:t>
      </w:r>
      <w:r>
        <w:t xml:space="preserve"> "Nevertheless, GOLD recommends using the GLI-Global equations as the reference standard for the assessment of lung function impairment in patients with COPD, despite their limitations."</w:t>
      </w:r>
    </w:p>
    <w:p>
      <w:pPr>
        <w:pStyle w:val="ListBullet"/>
      </w:pPr>
      <w:r>
        <w:rPr>
          <w:b/>
        </w:rPr>
        <w:t>Problema:</w:t>
      </w:r>
    </w:p>
    <w:p>
      <w:pPr>
        <w:pStyle w:val="ListBullet2"/>
      </w:pPr>
      <w:r>
        <w:t>La adopción de ecuaciones neutrales respecto a la raza es correcta y coherente con ATS/ERS. Sin embargo, la única evidencia de impacto citada procede de NHANES (EE. UU.).</w:t>
      </w:r>
    </w:p>
    <w:p>
      <w:pPr>
        <w:pStyle w:val="ListBullet2"/>
      </w:pPr>
      <w:r>
        <w:t>En poblaciones con menor función pulmonar media por desventaja en las primeras etapas de la vida (por ejemplo, sur de Asia o África subsahariana), GLI-Global aumentará la proporción de personas clasificadas con FEV1 % del teórico bajo, PRISm o grados GOLD 3-4.</w:t>
      </w:r>
    </w:p>
    <w:p>
      <w:pPr>
        <w:pStyle w:val="ListBullet2"/>
      </w:pPr>
      <w:r>
        <w:t>Ese cambio modifica la elegibilidad para tratamientos con umbrales de FEV1: roflumilast (&lt;50 %), reducción de volumen pulmonar, y los ensayos de biológicos (FEV1 del 30-70 %).</w:t>
      </w:r>
    </w:p>
    <w:p>
      <w:pPr>
        <w:pStyle w:val="ListBullet2"/>
      </w:pPr>
      <w:r>
        <w:t>El texto reconoce el riesgo de "normalize the effects of malnutrition" con ecuaciones específicas, pero no desarrolla estas implicaciones prácticas.</w:t>
      </w:r>
    </w:p>
    <w:p>
      <w:pPr>
        <w:pStyle w:val="ListBullet2"/>
      </w:pPr>
      <w:r>
        <w:t>Además, los rangos de z-score que se describen dejan un hueco entre −4 y −4,1.</w:t>
      </w:r>
    </w:p>
    <w:p>
      <w:pPr>
        <w:pStyle w:val="ListBullet"/>
      </w:pPr>
      <w:r>
        <w:rPr>
          <w:b/>
        </w:rPr>
        <w:t>Evidencia/justificación:</w:t>
      </w:r>
      <w:r>
        <w:t xml:space="preserve"> En PURE (Duong M et al., Lancet Glob Health 2013), el FEV1 ajustado fue un 30 % menor en el sur de Asia y menor también en África, frente a Norteamérica y Europa. Las ecuaciones GLI-Global (Bowerman 2023, ref. 355) promedian poblaciones en las que el sur de Asia y África están poco representados.</w:t>
      </w:r>
    </w:p>
    <w:p>
      <w:pPr>
        <w:pStyle w:val="ListBullet"/>
      </w:pPr>
      <w:r>
        <w:rPr>
          <w:b/>
        </w:rPr>
        <w:t>Recomendación:</w:t>
      </w:r>
    </w:p>
    <w:p>
      <w:pPr>
        <w:pStyle w:val="ListBullet2"/>
      </w:pPr>
      <w:r>
        <w:t>Añadir un párrafo sobre las implicaciones de GLI-Global en LMIC, incluido el riesgo de sobreclasificar la gravedad y la necesidad de estudios locales.</w:t>
      </w:r>
    </w:p>
    <w:p>
      <w:pPr>
        <w:pStyle w:val="ListBullet2"/>
      </w:pPr>
      <w:r>
        <w:t>Recomendar que se reporte el z-score junto al porcentaje del teórico.</w:t>
      </w:r>
    </w:p>
    <w:p>
      <w:pPr>
        <w:pStyle w:val="ListBullet2"/>
      </w:pPr>
      <w:r>
        <w:t>Corregir los rangos de z-score (por ejemplo, "≤ −4" para grave).</w:t>
      </w:r>
    </w:p>
    <w:p>
      <w:pPr>
        <w:pStyle w:val="ListBullet"/>
      </w:pPr>
      <w:r>
        <w:rPr>
          <w:b/>
        </w:rPr>
        <w:t>Confianza:</w:t>
      </w:r>
      <w:r>
        <w:t xml:space="preserve"> 3/5</w:t>
      </w:r>
    </w:p>
    <w:p>
      <w:pPr>
        <w:pStyle w:val="Heading4"/>
      </w:pPr>
      <w:r>
        <w:t>MET-18 · CPAP en el solapamiento EPOC-AOS: lenguaje causal a partir de estudios observacionales</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89 / impr. 78; PDF 133 / impr. 122; refs 761-762 (PDF 205 / impr. 194)</w:t>
      </w:r>
    </w:p>
    <w:p>
      <w:pPr>
        <w:pStyle w:val="ListBullet"/>
      </w:pPr>
      <w:r>
        <w:rPr>
          <w:b/>
        </w:rPr>
        <w:t>Cita:</w:t>
      </w:r>
      <w:r>
        <w:t xml:space="preserve"> «CPAP or bi-level positive airway pressure should be initiated in patients with COPD and sleep disordered breathing as it improves health-related quality of life and decreases the risk of death.(762)»</w:t>
      </w:r>
    </w:p>
    <w:p>
      <w:pPr>
        <w:pStyle w:val="ListBullet"/>
      </w:pPr>
      <w:r>
        <w:rPr>
          <w:b/>
        </w:rPr>
        <w:t>Problema:</w:t>
      </w:r>
    </w:p>
    <w:p>
      <w:pPr>
        <w:pStyle w:val="ListBullet2"/>
      </w:pPr>
      <w:r>
        <w:rPr>
          <w:b/>
        </w:rPr>
        <w:t>Ref 762</w:t>
      </w:r>
      <w:r>
        <w:t xml:space="preserve"> (Marin 2010) es una cohorte observacional, con un probable sesgo de adherencia («healthy adherer»).</w:t>
      </w:r>
    </w:p>
    <w:p>
      <w:pPr>
        <w:pStyle w:val="ListBullet2"/>
      </w:pPr>
      <w:r>
        <w:rPr>
          <w:b/>
        </w:rPr>
        <w:t>Ref 761</w:t>
      </w:r>
      <w:r>
        <w:t xml:space="preserve"> (Srivali 2023) es una revisión sistemática de 5 estudios observacionales que concluye que la eficacia de la CPAP sigue siendo incierta y requiere ECA. Sin embargo, GOLD la cita en PDF 89 como «clear benefits associated with the use of CPAP to improve both survival and the risk of hospital admissions».</w:t>
      </w:r>
    </w:p>
    <w:p>
      <w:pPr>
        <w:pStyle w:val="ListBullet2"/>
      </w:pPr>
      <w:r>
        <w:t>La recomendación se extiende además a todos los «sleep disordered breathing», incluida la binivelada, cuando la evidencia se refiere a la AOS.</w:t>
      </w:r>
    </w:p>
    <w:p>
      <w:pPr>
        <w:pStyle w:val="ListBullet"/>
      </w:pPr>
      <w:r>
        <w:rPr>
          <w:b/>
        </w:rPr>
        <w:t>Evidencia/justificación:</w:t>
      </w:r>
      <w:r>
        <w:t xml:space="preserve"> Abstracts de PubMed de las refs 761 y 762.</w:t>
      </w:r>
    </w:p>
    <w:p>
      <w:pPr>
        <w:pStyle w:val="ListBullet"/>
      </w:pPr>
      <w:r>
        <w:rPr>
          <w:b/>
        </w:rPr>
        <w:t>Recomendación:</w:t>
      </w:r>
      <w:r>
        <w:t xml:space="preserve"> Usar lenguaje asociativo («se ha asociado a…»), reflejar la incertidumbre y limitar la recomendación a la AOS con su nivel correspondiente (C).</w:t>
      </w:r>
    </w:p>
    <w:p>
      <w:pPr>
        <w:pStyle w:val="ListBullet"/>
      </w:pPr>
      <w:r>
        <w:rPr>
          <w:b/>
        </w:rPr>
        <w:t>Confianza:</w:t>
      </w:r>
      <w:r>
        <w:t xml:space="preserve"> 4</w:t>
      </w:r>
    </w:p>
    <w:p>
      <w:pPr>
        <w:pStyle w:val="Heading4"/>
      </w:pPr>
      <w:r>
        <w:t>MUL-08 · Enfermedad arterial periférica: abordaje reducido a la cirugía</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129 / impr. 118 — Peripheral artery disease; Figs. 5.2, 5.5 y 5.6</w:t>
      </w:r>
    </w:p>
    <w:p>
      <w:pPr>
        <w:pStyle w:val="ListBullet"/>
      </w:pPr>
      <w:r>
        <w:rPr>
          <w:b/>
        </w:rPr>
        <w:t>Cita:</w:t>
      </w:r>
      <w:r>
        <w:t xml:space="preserve"> "The management of PAD depends on its severity, with surgery to be considered in patients with severe limitations.(1195)"</w:t>
      </w:r>
    </w:p>
    <w:p>
      <w:pPr>
        <w:pStyle w:val="ListBullet"/>
      </w:pPr>
      <w:r>
        <w:rPr>
          <w:b/>
        </w:rPr>
        <w:t>Problema:</w:t>
      </w:r>
    </w:p>
    <w:p>
      <w:pPr>
        <w:pStyle w:val="ListBullet2"/>
      </w:pPr>
      <w:r>
        <w:t>Faltan el índice tobillo-brazo para el diagnóstico, la prevención secundaria (antiagregación, estatinas de alta intensidad, control de factores de riesgo, cese del tabaco) y el ejercicio supervisado como primera línea en la claudicación.</w:t>
      </w:r>
    </w:p>
    <w:p>
      <w:pPr>
        <w:pStyle w:val="ListBullet2"/>
      </w:pPr>
      <w:r>
        <w:t>La EAP no figura en las Figs. 5.5 y 5.6.</w:t>
      </w:r>
    </w:p>
    <w:p>
      <w:pPr>
        <w:pStyle w:val="ListBullet2"/>
      </w:pPr>
      <w:r>
        <w:t>La claudicación puede confundirse con la limitación al esfuerzo de la EPOC y condiciona el diseño de la rehabilitación.</w:t>
      </w:r>
    </w:p>
    <w:p>
      <w:pPr>
        <w:pStyle w:val="ListBullet"/>
      </w:pPr>
      <w:r>
        <w:rPr>
          <w:b/>
        </w:rPr>
        <w:t>Evidencia/justificación:</w:t>
      </w:r>
    </w:p>
    <w:p>
      <w:pPr>
        <w:pStyle w:val="ListBullet2"/>
      </w:pPr>
      <w:r>
        <w:t>ESC 2024 de EAP y aorta (Mazzolai L, Eur Heart J 2024;45:3538).</w:t>
      </w:r>
    </w:p>
    <w:p>
      <w:pPr>
        <w:pStyle w:val="ListBullet2"/>
      </w:pPr>
      <w:r>
        <w:t>La propia ref. 1195 (SVS 2025, actualización sobre claudicación; Conte MS, J Vasc Surg 2025;82:303) prioriza el ejercicio estructurado y el tratamiento médico, y restringe la revascularización en la claudicación.</w:t>
      </w:r>
    </w:p>
    <w:p>
      <w:pPr>
        <w:pStyle w:val="ListBullet"/>
      </w:pPr>
      <w:r>
        <w:rPr>
          <w:b/>
        </w:rPr>
        <w:t>Recomendación:</w:t>
      </w:r>
      <w:r>
        <w:t xml:space="preserve"> Añadir: «Valorar el índice tobillo-brazo si hay claudicación o alto riesgo; prevención secundaria completa; ejercicio supervisado, que puede integrarse en la rehabilitación pulmonar; revascularización solo en casos seleccionados o con isquemia crítica».</w:t>
      </w:r>
    </w:p>
    <w:p>
      <w:pPr>
        <w:pStyle w:val="ListBullet"/>
      </w:pPr>
      <w:r>
        <w:rPr>
          <w:b/>
        </w:rPr>
        <w:t>Confianza:</w:t>
      </w:r>
      <w:r>
        <w:t xml:space="preserve"> 4/5</w:t>
      </w:r>
    </w:p>
    <w:p>
      <w:pPr>
        <w:pStyle w:val="Heading4"/>
      </w:pPr>
      <w:r>
        <w:t>MUL-13 · Marco geriátrico: «4Ms» mal atribuidas al IHI, definición atípica de multimorbilidad, fragilidad sin herramienta y polifarmacia sin desprescripción</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123 / impr. 112 (definición); PDF 125 / impr. 114 (4Ms, polifarmacia, fragilidad); Figs. 5.1 y 5.5</w:t>
      </w:r>
    </w:p>
    <w:p>
      <w:pPr>
        <w:pStyle w:val="ListBullet"/>
      </w:pPr>
      <w:r>
        <w:rPr>
          <w:b/>
        </w:rPr>
        <w:t>Cita:</w:t>
      </w:r>
      <w:r>
        <w:t xml:space="preserve"> "the Institute for Healthcare Improvement(1130) has proposed a systematic approach based on the '4Ms' … Mentation, Mobility, Medications, and Morbidities" / "Multimorbidity (defined as more than two additional chronic medical conditions)"</w:t>
      </w:r>
    </w:p>
    <w:p>
      <w:pPr>
        <w:pStyle w:val="ListBullet"/>
      </w:pPr>
      <w:r>
        <w:rPr>
          <w:b/>
        </w:rPr>
        <w:t>Problema:</w:t>
      </w:r>
    </w:p>
    <w:p>
      <w:pPr>
        <w:pStyle w:val="ListBullet2"/>
      </w:pPr>
      <w:r>
        <w:rPr>
          <w:b/>
        </w:rPr>
        <w:t>4Ms:</w:t>
      </w:r>
      <w:r>
        <w:t xml:space="preserve"> las del IHI (Age-Friendly Health Systems) son </w:t>
      </w:r>
      <w:r>
        <w:rPr>
          <w:i/>
        </w:rPr>
        <w:t>What Matters</w:t>
      </w:r>
      <w:r>
        <w:t xml:space="preserve">, </w:t>
      </w:r>
      <w:r>
        <w:rPr>
          <w:i/>
        </w:rPr>
        <w:t>Medication</w:t>
      </w:r>
      <w:r>
        <w:t xml:space="preserve">, </w:t>
      </w:r>
      <w:r>
        <w:rPr>
          <w:i/>
        </w:rPr>
        <w:t>Mentation</w:t>
      </w:r>
      <w:r>
        <w:t xml:space="preserve"> y </w:t>
      </w:r>
      <w:r>
        <w:rPr>
          <w:i/>
        </w:rPr>
        <w:t>Mobility</w:t>
      </w:r>
      <w:r>
        <w:t>. «Morbidities» es una modificación de GOLD (ref. 1133). Al atribuirlas así se pierde «What Matters» (objetivos y preferencias), que es el eje de la geriatría y de la toma de decisiones sobre cribados e intensidad terapéutica.</w:t>
      </w:r>
    </w:p>
    <w:p>
      <w:pPr>
        <w:pStyle w:val="ListBullet2"/>
      </w:pPr>
      <w:r>
        <w:rPr>
          <w:b/>
        </w:rPr>
        <w:t>Definición de multimorbilidad:</w:t>
      </w:r>
      <w:r>
        <w:t xml:space="preserve"> «más de dos condiciones adicionales» (es decir, ≥3 además de la EPOC) no coincide con la estándar (≥2 condiciones crónicas).</w:t>
      </w:r>
    </w:p>
    <w:p>
      <w:pPr>
        <w:pStyle w:val="ListBullet2"/>
      </w:pPr>
      <w:r>
        <w:rPr>
          <w:b/>
        </w:rPr>
        <w:t>Polifarmacia:</w:t>
      </w:r>
      <w:r>
        <w:t xml:space="preserve"> el dato «&gt;90 % polifarmacia» procede de un estudio de medicación potencialmente inapropiada en ancianos estadounidenses en general (ref. 1137, Fralick 2020), no de pacientes con EPOC.</w:t>
      </w:r>
    </w:p>
    <w:p>
      <w:pPr>
        <w:pStyle w:val="ListBullet2"/>
      </w:pPr>
      <w:r>
        <w:rPr>
          <w:b/>
        </w:rPr>
        <w:t>Fragilidad:</w:t>
      </w:r>
      <w:r>
        <w:t xml:space="preserve"> se describen los cinco componentes de Fried sin el punto de corte (≥3 = frágil; 1-2 = prefrágil) ni una herramienta de cribado. La Fig. 5.5 usa SARC-F, que mide sarcopenia, no fragilidad. No se vincula la fragilidad con la desintensificación (objetivos de PA y HbA1c, cese de cribados).</w:t>
      </w:r>
    </w:p>
    <w:p>
      <w:pPr>
        <w:pStyle w:val="ListBullet"/>
      </w:pPr>
      <w:r>
        <w:rPr>
          <w:b/>
        </w:rPr>
        <w:t>Evidencia/justificación:</w:t>
      </w:r>
    </w:p>
    <w:p>
      <w:pPr>
        <w:pStyle w:val="ListBullet2"/>
      </w:pPr>
      <w:r>
        <w:t>IHI, «Age-Friendly Health Systems: Guide to Using the 4Ms» (2020).</w:t>
      </w:r>
    </w:p>
    <w:p>
      <w:pPr>
        <w:pStyle w:val="ListBullet2"/>
      </w:pPr>
      <w:r>
        <w:t>NICE NG56 (2016) y OMS: multimorbilidad = ≥2 condiciones crónicas.</w:t>
      </w:r>
    </w:p>
    <w:p>
      <w:pPr>
        <w:pStyle w:val="ListBullet2"/>
      </w:pPr>
      <w:r>
        <w:t>Herramientas de fragilidad: Fried (ref. 1139), Clinical Frailty Scale (Rockwood, CMAJ 2005), FRAIL (Morley 2012), SPPB y velocidad de la marcha.</w:t>
      </w:r>
    </w:p>
    <w:p>
      <w:pPr>
        <w:pStyle w:val="ListBullet2"/>
      </w:pPr>
      <w:r>
        <w:t>Herramientas de desprescripción: STOPP/START v3 (O'Mahony, Eur Geriatr Med 2023) y Beers 2023 (J Am Geriatr Soc 2023;71:2052).</w:t>
      </w:r>
    </w:p>
    <w:p>
      <w:pPr>
        <w:pStyle w:val="ListBullet2"/>
      </w:pPr>
      <w:r>
        <w:t>La declaración de la ERS sobre fragilidad (ref. 1144) se cita, pero no se operativiza.</w:t>
      </w:r>
    </w:p>
    <w:p>
      <w:pPr>
        <w:pStyle w:val="ListBullet"/>
      </w:pPr>
      <w:r>
        <w:rPr>
          <w:b/>
        </w:rPr>
        <w:t>Recomendación:</w:t>
      </w:r>
    </w:p>
    <w:p>
      <w:pPr>
        <w:pStyle w:val="ListBullet2"/>
      </w:pPr>
      <w:r>
        <w:t>Atribuir correctamente las 4Ms e incluir «What Matters».</w:t>
      </w:r>
    </w:p>
    <w:p>
      <w:pPr>
        <w:pStyle w:val="ListBullet2"/>
      </w:pPr>
      <w:r>
        <w:t>Alinear la definición de multimorbilidad con el estándar.</w:t>
      </w:r>
    </w:p>
    <w:p>
      <w:pPr>
        <w:pStyle w:val="ListBullet2"/>
      </w:pPr>
      <w:r>
        <w:t>Recomendar CFS o FRAIL y una herramienta de desprescripción (STOPP/START o Beers).</w:t>
      </w:r>
    </w:p>
    <w:p>
      <w:pPr>
        <w:pStyle w:val="ListBullet2"/>
      </w:pPr>
      <w:r>
        <w:t>Incluir el cribado de caídas en «Mobility».</w:t>
      </w:r>
    </w:p>
    <w:p>
      <w:pPr>
        <w:pStyle w:val="ListBullet"/>
      </w:pPr>
      <w:r>
        <w:rPr>
          <w:b/>
        </w:rPr>
        <w:t>Confianza:</w:t>
      </w:r>
      <w:r>
        <w:t xml:space="preserve"> 5/5</w:t>
      </w:r>
    </w:p>
    <w:p>
      <w:pPr>
        <w:pStyle w:val="Heading4"/>
      </w:pPr>
      <w:r>
        <w:t>MUL-16 · Deterioro cognitivo: MMSE como primera opción, derivación mal dirigida y ausencia del delirium</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134 / impr. 123 — Cognitive impairment and dementia; Fig. 5.5</w:t>
      </w:r>
    </w:p>
    <w:p>
      <w:pPr>
        <w:pStyle w:val="ListBullet"/>
      </w:pPr>
      <w:r>
        <w:rPr>
          <w:b/>
        </w:rPr>
        <w:t>Cita:</w:t>
      </w:r>
      <w:r>
        <w:t xml:space="preserve"> "The relatively easy to use Mini Mental State Examination can help screen for cognitive impairment,(1307) with the Montreal Cognitive Assessment test being a potential alternative." / "Patients with dementia should be referred to mental healthcare specialists"</w:t>
      </w:r>
    </w:p>
    <w:p>
      <w:pPr>
        <w:pStyle w:val="ListBullet"/>
      </w:pPr>
      <w:r>
        <w:rPr>
          <w:b/>
        </w:rPr>
        <w:t>Problema:</w:t>
      </w:r>
    </w:p>
    <w:p>
      <w:pPr>
        <w:pStyle w:val="ListBullet2"/>
      </w:pPr>
      <w:r>
        <w:t>El MMSE (1975) tiene baja sensibilidad para el deterioro cognitivo leve, está protegido por derechos de autor y su uso es de pago. El MoCA o el Mini-Cog son más adecuados para el cribado en consulta.</w:t>
      </w:r>
    </w:p>
    <w:p>
      <w:pPr>
        <w:pStyle w:val="ListBullet2"/>
      </w:pPr>
      <w:r>
        <w:t>La demencia se evalúa en geriatría, neurología o unidades de memoria; derivar a «salud mental» no es lo habitual.</w:t>
      </w:r>
    </w:p>
    <w:p>
      <w:pPr>
        <w:pStyle w:val="ListBullet2"/>
      </w:pPr>
      <w:r>
        <w:t>Faltan medidas prácticas: elegir el dispositivo según la capacidad cognitiva e inspiratoria, implicar al cuidador y revisar la técnica inhalatoria.</w:t>
      </w:r>
    </w:p>
    <w:p>
      <w:pPr>
        <w:pStyle w:val="ListBullet2"/>
      </w:pPr>
      <w:r>
        <w:t>No se menciona el delirium en las exacerbaciones hospitalizadas (cribado con 4AT o CAM), relevante por la mayor estancia que cita el propio texto.</w:t>
      </w:r>
    </w:p>
    <w:p>
      <w:pPr>
        <w:pStyle w:val="ListBullet2"/>
      </w:pPr>
      <w:r>
        <w:t>El MMSE no aparece en la Fig. 5.6 de seguimiento.</w:t>
      </w:r>
    </w:p>
    <w:p>
      <w:pPr>
        <w:pStyle w:val="ListBullet"/>
      </w:pPr>
      <w:r>
        <w:rPr>
          <w:b/>
        </w:rPr>
        <w:t>Evidencia/justificación:</w:t>
      </w:r>
    </w:p>
    <w:p>
      <w:pPr>
        <w:pStyle w:val="ListBullet2"/>
      </w:pPr>
      <w:r>
        <w:t>MoCA: Nasreddine, J Am Geriatr Soc 2005 (ref. 1308), más sensible para el deterioro cognitivo leve.</w:t>
      </w:r>
    </w:p>
    <w:p>
      <w:pPr>
        <w:pStyle w:val="ListBullet2"/>
      </w:pPr>
      <w:r>
        <w:t>Mini-Cog: Borson, Int J Geriatr Psychiatry 2000.</w:t>
      </w:r>
    </w:p>
    <w:p>
      <w:pPr>
        <w:pStyle w:val="ListBullet2"/>
      </w:pPr>
      <w:r>
        <w:t>Delirium: guía NICE CG103 (actualizada en 2023).</w:t>
      </w:r>
    </w:p>
    <w:p>
      <w:pPr>
        <w:pStyle w:val="ListBullet"/>
      </w:pPr>
      <w:r>
        <w:rPr>
          <w:b/>
        </w:rPr>
        <w:t>Recomendación:</w:t>
      </w:r>
    </w:p>
    <w:p>
      <w:pPr>
        <w:pStyle w:val="ListBullet2"/>
      </w:pPr>
      <w:r>
        <w:t>Proponer MoCA o Mini-Cog como primera opción.</w:t>
      </w:r>
    </w:p>
    <w:p>
      <w:pPr>
        <w:pStyle w:val="ListBullet2"/>
      </w:pPr>
      <w:r>
        <w:t>Derivar a geriatría, neurología o unidades de memoria.</w:t>
      </w:r>
    </w:p>
    <w:p>
      <w:pPr>
        <w:pStyle w:val="ListBullet2"/>
      </w:pPr>
      <w:r>
        <w:t>Añadir pautas de selección de inhalador, implicación del cuidador y cribado de delirium en los ingresos.</w:t>
      </w:r>
    </w:p>
    <w:p>
      <w:pPr>
        <w:pStyle w:val="ListBullet"/>
      </w:pPr>
      <w:r>
        <w:rPr>
          <w:b/>
        </w:rPr>
        <w:t>Confianza:</w:t>
      </w:r>
      <w:r>
        <w:t xml:space="preserve"> 4/5</w:t>
      </w:r>
    </w:p>
    <w:p>
      <w:pPr>
        <w:pStyle w:val="Heading4"/>
      </w:pPr>
      <w:r>
        <w:t>MUL-17 · Diabetes: mensaje ambiguo sobre los corticoides sistémicos e infravaloración de iSGLT2 y AR-GLP-1</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PDF 134-135 / impr. 123-124 — Diabetes mellitus</w:t>
      </w:r>
    </w:p>
    <w:p>
      <w:pPr>
        <w:pStyle w:val="ListBullet"/>
      </w:pPr>
      <w:r>
        <w:rPr>
          <w:b/>
        </w:rPr>
        <w:t>Cita:</w:t>
      </w:r>
      <w:r>
        <w:t xml:space="preserve"> "efforts should be made not to use systemic corticosteroids." / "glucagon-like peptide agonists and sodium-glucose cotransporter-2 inhibitors are promising, but further trials in COPD specific populations are needed before clear recommendations can be made.(1316,1317)"</w:t>
      </w:r>
    </w:p>
    <w:p>
      <w:pPr>
        <w:pStyle w:val="ListBullet"/>
      </w:pPr>
      <w:r>
        <w:rPr>
          <w:b/>
        </w:rPr>
        <w:t>Problema:</w:t>
      </w:r>
    </w:p>
    <w:p>
      <w:pPr>
        <w:pStyle w:val="ListBullet2"/>
      </w:pPr>
      <w:r>
        <w:t>La frase sobre los corticoides puede leerse como «no tratar la exacerbación con corticoides» en diabéticos, aunque el cap. 4 (PDF 114 / impr. 103) recomienda 40 mg/día de prednisona durante 5 días. Debería decir «usar con monitorización glucémica y ajuste de insulina».</w:t>
      </w:r>
    </w:p>
    <w:p>
      <w:pPr>
        <w:pStyle w:val="ListBullet2"/>
      </w:pPr>
      <w:r>
        <w:t>Decir que iSGLT2 y AR-GLP-1 son «promising» sugiere no usarlos. En realidad están indicados en la diabetes tipo 2 por beneficio cardiorrenal, independientemente de la EPOC.</w:t>
      </w:r>
    </w:p>
    <w:p>
      <w:pPr>
        <w:pStyle w:val="ListBullet2"/>
      </w:pPr>
      <w:r>
        <w:t>La ref. 1317 trata de los inhibidores de la DPP-4.</w:t>
      </w:r>
    </w:p>
    <w:p>
      <w:pPr>
        <w:pStyle w:val="ListBullet2"/>
      </w:pPr>
      <w:r>
        <w:t>No se menciona la metformina.</w:t>
      </w:r>
    </w:p>
    <w:p>
      <w:pPr>
        <w:pStyle w:val="ListBullet2"/>
      </w:pPr>
      <w:r>
        <w:t>No se dan las reglas de días de enfermedad: suspender los iSGLT2 durante exacerbaciones graves u hospitalización por riesgo de cetoacidosis euglucémica, y 3-4 días antes de una cirugía.</w:t>
      </w:r>
    </w:p>
    <w:p>
      <w:pPr>
        <w:pStyle w:val="ListBullet2"/>
      </w:pPr>
      <w:r>
        <w:t>No se advierte de la pérdida de masa magra con los AR-GLP-1, relevante en la sarcopenia o MOLT.</w:t>
      </w:r>
    </w:p>
    <w:p>
      <w:pPr>
        <w:pStyle w:val="ListBullet2"/>
      </w:pPr>
      <w:r>
        <w:t>La frase sobre glaucoma y cataratas está fuera de contexto.</w:t>
      </w:r>
    </w:p>
    <w:p>
      <w:pPr>
        <w:pStyle w:val="ListBullet"/>
      </w:pPr>
      <w:r>
        <w:rPr>
          <w:b/>
        </w:rPr>
        <w:t>Evidencia/justificación:</w:t>
      </w:r>
    </w:p>
    <w:p>
      <w:pPr>
        <w:pStyle w:val="ListBullet2"/>
      </w:pPr>
      <w:r>
        <w:t>ADA Standards of Care 2025 (Diabetes Care 2025;48 Suppl 1): iSGLT2 o AR-GLP-1 con beneficio demostrado si hay ECV aterosclerótica, IC o ERC; suspensión perioperatoria de los iSGLT2 (cambio de ficha técnica de la FDA, 2022).</w:t>
      </w:r>
    </w:p>
    <w:p>
      <w:pPr>
        <w:pStyle w:val="ListBullet2"/>
      </w:pPr>
      <w:r>
        <w:t>Pradhan, BMJ 2022 (ref. 1316): asociación con menos exacerbaciones; es evidencia observacional.</w:t>
      </w:r>
    </w:p>
    <w:p>
      <w:pPr>
        <w:pStyle w:val="ListBullet"/>
      </w:pPr>
      <w:r>
        <w:rPr>
          <w:b/>
        </w:rPr>
        <w:t>Recomendación:</w:t>
      </w:r>
    </w:p>
    <w:p>
      <w:pPr>
        <w:pStyle w:val="ListBullet2"/>
      </w:pPr>
      <w:r>
        <w:t>Reescribir así: «Usar corticoides sistémicos cuando estén indicados, con control glucémico. Tratar la diabetes según ADA/EASD; los iSGLT2 y AR-GLP-1 están indicados por su beneficio cardiorrenal. Su posible efecto sobre las exacerbaciones es prometedor, pero observacional».</w:t>
      </w:r>
    </w:p>
    <w:p>
      <w:pPr>
        <w:pStyle w:val="ListBullet2"/>
      </w:pPr>
      <w:r>
        <w:t>Añadir las reglas de días de enfermedad y la suspensión perioperatoria.</w:t>
      </w:r>
    </w:p>
    <w:p>
      <w:pPr>
        <w:pStyle w:val="ListBullet"/>
      </w:pPr>
      <w:r>
        <w:rPr>
          <w:b/>
        </w:rPr>
        <w:t>Confianza:</w:t>
      </w:r>
      <w:r>
        <w:t xml:space="preserve"> 4/5</w:t>
      </w:r>
    </w:p>
    <w:p>
      <w:pPr>
        <w:pStyle w:val="Heading4"/>
      </w:pPr>
      <w:r>
        <w:t>MUL-18 · ERGE: beneficio de los IBP sobredimensionado y sin advertir de sus riesgos ni de la desprescripción</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135 / impr. 124 — Gastroesophageal reflux</w:t>
      </w:r>
    </w:p>
    <w:p>
      <w:pPr>
        <w:pStyle w:val="ListBullet"/>
      </w:pPr>
      <w:r>
        <w:rPr>
          <w:b/>
        </w:rPr>
        <w:t>Cita:</w:t>
      </w:r>
      <w:r>
        <w:t xml:space="preserve"> "an empiric trial of a proton-pump inhibitor may improve GERD symptoms and decrease the risk of exacerbation,(1325)"</w:t>
      </w:r>
    </w:p>
    <w:p>
      <w:pPr>
        <w:pStyle w:val="ListBullet"/>
      </w:pPr>
      <w:r>
        <w:rPr>
          <w:b/>
        </w:rPr>
        <w:t>Problema:</w:t>
      </w:r>
    </w:p>
    <w:p>
      <w:pPr>
        <w:pStyle w:val="ListBullet2"/>
      </w:pPr>
      <w:r>
        <w:t>La reducción de exacerbaciones se apoya en un único ensayo pequeño, de simple ciego, en ancianos japoneses (ref. 1325, Sasaki 2009).</w:t>
      </w:r>
    </w:p>
    <w:p>
      <w:pPr>
        <w:pStyle w:val="ListBullet2"/>
      </w:pPr>
      <w:r>
        <w:t xml:space="preserve">Se omiten los riesgos de los IBP, relevantes en la EPOC y la MOLT: neumonía, infección por </w:t>
      </w:r>
      <w:r>
        <w:rPr>
          <w:i/>
        </w:rPr>
        <w:t>C. difficile</w:t>
      </w:r>
      <w:r>
        <w:t>, fracturas o osteoporosis e hipomagnesemia.</w:t>
      </w:r>
    </w:p>
    <w:p>
      <w:pPr>
        <w:pStyle w:val="ListBullet2"/>
      </w:pPr>
      <w:r>
        <w:t>No se aborda la desprescripción, que importa en un capítulo que insiste en reducir la polifarmacia.</w:t>
      </w:r>
    </w:p>
    <w:p>
      <w:pPr>
        <w:pStyle w:val="ListBullet"/>
      </w:pPr>
      <w:r>
        <w:rPr>
          <w:b/>
        </w:rPr>
        <w:t>Evidencia/justificación:</w:t>
      </w:r>
    </w:p>
    <w:p>
      <w:pPr>
        <w:pStyle w:val="ListBullet2"/>
      </w:pPr>
      <w:r>
        <w:t>AGA Clinical Practice Update 2022 sobre desprescripción de IBP (Targownik LE, Gastroenterology 2022;162:1334).</w:t>
      </w:r>
    </w:p>
    <w:p>
      <w:pPr>
        <w:pStyle w:val="ListBullet2"/>
      </w:pPr>
      <w:r>
        <w:t>Guía canadiense de desprescripción (Farrell B, Can Fam Physician 2017;63:354).</w:t>
      </w:r>
    </w:p>
    <w:p>
      <w:pPr>
        <w:pStyle w:val="ListBullet2"/>
      </w:pPr>
      <w:r>
        <w:t>El texto no presenta evidencia confirmatoria de que los IBP prevengan exacerbaciones.</w:t>
      </w:r>
    </w:p>
    <w:p>
      <w:pPr>
        <w:pStyle w:val="ListBullet"/>
      </w:pPr>
      <w:r>
        <w:rPr>
          <w:b/>
        </w:rPr>
        <w:t>Recomendación:</w:t>
      </w:r>
      <w:r>
        <w:t xml:space="preserve"> Indicar los IBP por síntomas de ERGE a la dosis eficaz más baja, con revisión periódica, y precisar que «la evidencia de prevención de exacerbaciones es limitada».</w:t>
      </w:r>
    </w:p>
    <w:p>
      <w:pPr>
        <w:pStyle w:val="ListBullet"/>
      </w:pPr>
      <w:r>
        <w:rPr>
          <w:b/>
        </w:rPr>
        <w:t>Confianza:</w:t>
      </w:r>
      <w:r>
        <w:t xml:space="preserve"> 4/5</w:t>
      </w:r>
    </w:p>
    <w:p>
      <w:pPr>
        <w:pStyle w:val="Heading4"/>
      </w:pPr>
      <w:r>
        <w:t>MUL-19 · Esteatosis hepática: retroceso a NAFLD, diagnóstico sin FIB-4 ni elastografía y semaglutida sin actualizar</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135 / impr. 124 — Liver steatosis</w:t>
      </w:r>
    </w:p>
    <w:p>
      <w:pPr>
        <w:pStyle w:val="ListBullet"/>
      </w:pPr>
      <w:r>
        <w:rPr>
          <w:b/>
        </w:rPr>
        <w:t>Cita:</w:t>
      </w:r>
      <w:r>
        <w:t xml:space="preserve"> "NAFLD, also known as metabolic dysfunction-associated steatotic liver disease" / "Liver function testing and checking the CT for evidence of NAFLD can help establish the diagnosis." / "glucagon-like peptide-1 receptor agonists may also be of use"</w:t>
      </w:r>
    </w:p>
    <w:p>
      <w:pPr>
        <w:pStyle w:val="ListBullet"/>
      </w:pPr>
      <w:r>
        <w:rPr>
          <w:b/>
        </w:rPr>
        <w:t>Problema:</w:t>
      </w:r>
    </w:p>
    <w:p>
      <w:pPr>
        <w:pStyle w:val="ListBullet2"/>
      </w:pPr>
      <w:r>
        <w:t>El consenso Delphi multisocietario de 2023 sustituyó NAFLD por MASLD, pero el texto sigue usando NAFLD como término principal.</w:t>
      </w:r>
    </w:p>
    <w:p>
      <w:pPr>
        <w:pStyle w:val="ListBullet2"/>
      </w:pPr>
      <w:r>
        <w:t>Las transaminasas son poco sensibles para el diagnóstico. Lo recomendado es estratificar el riesgo de fibrosis con FIB-4 y, si está elevado, con elastografía transitoria.</w:t>
      </w:r>
    </w:p>
    <w:p>
      <w:pPr>
        <w:pStyle w:val="ListBullet2"/>
      </w:pPr>
      <w:r>
        <w:t>Decir que los AR-GLP-1 «may also be of use» está desactualizado.</w:t>
      </w:r>
    </w:p>
    <w:p>
      <w:pPr>
        <w:pStyle w:val="ListBullet2"/>
      </w:pPr>
      <w:r>
        <w:t>La cifra de «20-30 % progresa a MASH» se apoya en una revisión mecanicista (ref. 1330).</w:t>
      </w:r>
    </w:p>
    <w:p>
      <w:pPr>
        <w:pStyle w:val="ListBullet"/>
      </w:pPr>
      <w:r>
        <w:rPr>
          <w:b/>
        </w:rPr>
        <w:t>Evidencia/justificación:</w:t>
      </w:r>
    </w:p>
    <w:p>
      <w:pPr>
        <w:pStyle w:val="ListBullet2"/>
      </w:pPr>
      <w:r>
        <w:t>Nomenclatura: Rinella ME, Hepatology 2023;78:1966 / J Hepatol 2023;79:1542.</w:t>
      </w:r>
    </w:p>
    <w:p>
      <w:pPr>
        <w:pStyle w:val="ListBullet2"/>
      </w:pPr>
      <w:r>
        <w:t>AASLD 2023: Hepatology 2023;77:1797.</w:t>
      </w:r>
    </w:p>
    <w:p>
      <w:pPr>
        <w:pStyle w:val="ListBullet2"/>
      </w:pPr>
      <w:r>
        <w:t>EASL-EASD-EASO 2024: J Hepatol 2024;81:492.</w:t>
      </w:r>
    </w:p>
    <w:p>
      <w:pPr>
        <w:pStyle w:val="ListBullet2"/>
      </w:pPr>
      <w:r>
        <w:t>Resmetirom: FDA, marzo de 2024 (MAESTRO-NASH, Harrison, NEJM 2024; ref. 1333).</w:t>
      </w:r>
    </w:p>
    <w:p>
      <w:pPr>
        <w:pStyle w:val="ListBullet2"/>
      </w:pPr>
      <w:r>
        <w:t>Semaglutida 2,4 mg: FDA, aprobación acelerada el 15 de agosto de 2025 para MASH no cirrótica con fibrosis F2-F3 (ensayo ESSENCE, Sanyal AJ, NEJM 2025).</w:t>
      </w:r>
    </w:p>
    <w:p>
      <w:pPr>
        <w:pStyle w:val="ListBullet"/>
      </w:pPr>
      <w:r>
        <w:rPr>
          <w:b/>
        </w:rPr>
        <w:t>Recomendación:</w:t>
      </w:r>
      <w:r>
        <w:t xml:space="preserve"> Usar MASLD/MASH de forma consistente, recomendar FIB-4 → elastografía y citar la semaglutida aprobada junto al resmetirom.</w:t>
      </w:r>
    </w:p>
    <w:p>
      <w:pPr>
        <w:pStyle w:val="ListBullet"/>
      </w:pPr>
      <w:r>
        <w:rPr>
          <w:b/>
        </w:rPr>
        <w:t>Confianza:</w:t>
      </w:r>
      <w:r>
        <w:t xml:space="preserve"> 5/5</w:t>
      </w:r>
    </w:p>
    <w:p>
      <w:pPr>
        <w:pStyle w:val="Heading4"/>
      </w:pPr>
      <w:r>
        <w:t>MUL-20 · MOLT: definición distinta en el punto clave, el texto y la Fig. 5.2, y beneficio no respaldado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123 / impr. 112 (punto clave); PDF 126 / impr. 115 (Fig. 5.2); PDF 136-137 / impr. 125-126 (sección MOLT)</w:t>
      </w:r>
    </w:p>
    <w:p>
      <w:pPr>
        <w:pStyle w:val="ListBullet"/>
      </w:pPr>
      <w:r>
        <w:rPr>
          <w:b/>
        </w:rPr>
        <w:t>Cita:</w:t>
      </w:r>
      <w:r>
        <w:t xml:space="preserve"> Punto clave: "MOLT manifested by osteoporosis, sarcopenia, anemia and emphysema … management of MOLT can improve outcomes." Texto: "proposed for patients with emphysema, low BMI, osteoporosis and sarcopenia.(1334)"</w:t>
      </w:r>
    </w:p>
    <w:p>
      <w:pPr>
        <w:pStyle w:val="ListBullet"/>
      </w:pPr>
      <w:r>
        <w:rPr>
          <w:b/>
        </w:rPr>
        <w:t>Problema:</w:t>
      </w:r>
    </w:p>
    <w:p>
      <w:pPr>
        <w:pStyle w:val="ListBullet2"/>
      </w:pPr>
      <w:r>
        <w:t>Hay tres definiciones distintas:</w:t>
      </w:r>
    </w:p>
    <w:p>
      <w:pPr>
        <w:pStyle w:val="ListBullet2"/>
      </w:pPr>
      <w:r>
        <w:t>el punto clave incluye la anemia y no el IMC bajo;</w:t>
      </w:r>
    </w:p>
    <w:p>
      <w:pPr>
        <w:pStyle w:val="ListBullet2"/>
      </w:pPr>
      <w:r>
        <w:t>el texto incluye el IMC bajo y no la anemia;</w:t>
      </w:r>
    </w:p>
    <w:p>
      <w:pPr>
        <w:pStyle w:val="ListBullet2"/>
      </w:pPr>
      <w:r>
        <w:t>el grupo MOLT de la Fig. 5.2 incluye la insuficiencia renal y la anemia, pero no el enfisema.</w:t>
      </w:r>
    </w:p>
    <w:p>
      <w:pPr>
        <w:pStyle w:val="ListBullet2"/>
      </w:pPr>
      <w:r>
        <w:t>Dentro de la sección MOLT se incluye la policitemia, que no es una pérdida tisular.</w:t>
      </w:r>
    </w:p>
    <w:p>
      <w:pPr>
        <w:pStyle w:val="ListBullet2"/>
      </w:pPr>
      <w:r>
        <w:t>La sarcopenia no tiene subsección propia (ni definición EWGSOP2 ni tratamiento), aunque aparece en todas las definiciones.</w:t>
      </w:r>
    </w:p>
    <w:p>
      <w:pPr>
        <w:pStyle w:val="ListBullet2"/>
      </w:pPr>
      <w:r>
        <w:t>La frase «management of MOLT can improve outcomes» no tiene cita que la respalde.</w:t>
      </w:r>
    </w:p>
    <w:p>
      <w:pPr>
        <w:pStyle w:val="ListBullet"/>
      </w:pPr>
      <w:r>
        <w:rPr>
          <w:b/>
        </w:rPr>
        <w:t>Evidencia/justificación:</w:t>
      </w:r>
    </w:p>
    <w:p>
      <w:pPr>
        <w:pStyle w:val="ListBullet2"/>
      </w:pPr>
      <w:r>
        <w:t>La ref. 1334 (Celli) define MOLT como enfisema, IMC bajo, osteoporosis y sarcopenia.</w:t>
      </w:r>
    </w:p>
    <w:p>
      <w:pPr>
        <w:pStyle w:val="ListBullet2"/>
      </w:pPr>
      <w:r>
        <w:t>EWGSOP2: Cruz-Jentoft AJ, Age Ageing 2019;48:16.</w:t>
      </w:r>
    </w:p>
    <w:p>
      <w:pPr>
        <w:pStyle w:val="ListBullet"/>
      </w:pPr>
      <w:r>
        <w:rPr>
          <w:b/>
        </w:rPr>
        <w:t>Recomendación:</w:t>
      </w:r>
    </w:p>
    <w:p>
      <w:pPr>
        <w:pStyle w:val="ListBullet2"/>
      </w:pPr>
      <w:r>
        <w:t>Unificar la definición en los tres lugares.</w:t>
      </w:r>
    </w:p>
    <w:p>
      <w:pPr>
        <w:pStyle w:val="ListBullet2"/>
      </w:pPr>
      <w:r>
        <w:t>Reubicar la policitemia en «Hematológicas».</w:t>
      </w:r>
    </w:p>
    <w:p>
      <w:pPr>
        <w:pStyle w:val="ListBullet2"/>
      </w:pPr>
      <w:r>
        <w:t>Añadir una subsección de sarcopenia: SARC-F → fuerza de prensión → masa muscular (DXA o TC), y como tratamiento rehabilitación con ejercicio de fuerza más proteínas.</w:t>
      </w:r>
    </w:p>
    <w:p>
      <w:pPr>
        <w:pStyle w:val="ListBullet2"/>
      </w:pPr>
      <w:r>
        <w:t>Matizar la afirmación sobre resultados como hipótesis.</w:t>
      </w:r>
    </w:p>
    <w:p>
      <w:pPr>
        <w:pStyle w:val="ListBullet"/>
      </w:pPr>
      <w:r>
        <w:rPr>
          <w:b/>
        </w:rPr>
        <w:t>Confianza:</w:t>
      </w:r>
      <w:r>
        <w:t xml:space="preserve"> 5/5</w:t>
      </w:r>
    </w:p>
    <w:p>
      <w:pPr>
        <w:pStyle w:val="Heading4"/>
      </w:pPr>
      <w:r>
        <w:t>MUL-21 · Osteoporosis: derivación al especialista en lugar de tratamiento de primera línea; falta la osteoporosis inducida por glucocorticoides</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136 / impr. 125 — Osteoporosis</w:t>
      </w:r>
    </w:p>
    <w:p>
      <w:pPr>
        <w:pStyle w:val="ListBullet"/>
      </w:pPr>
      <w:r>
        <w:rPr>
          <w:b/>
        </w:rPr>
        <w:t>Cita:</w:t>
      </w:r>
      <w:r>
        <w:t xml:space="preserve"> "these patients should be managed by providers familiar with the treatments or referred to an osteoporosis specialist.(1343)"</w:t>
      </w:r>
    </w:p>
    <w:p>
      <w:pPr>
        <w:pStyle w:val="ListBullet"/>
      </w:pPr>
      <w:r>
        <w:rPr>
          <w:b/>
        </w:rPr>
        <w:t>Problema:</w:t>
      </w:r>
    </w:p>
    <w:p>
      <w:pPr>
        <w:pStyle w:val="ListBullet2"/>
      </w:pPr>
      <w:r>
        <w:t>La ref. 1343 (ACP 2023) recomienda bifosfonatos de primera línea, manejables en atención primaria. La derivación sistemática retrasa el tratamiento.</w:t>
      </w:r>
    </w:p>
    <w:p>
      <w:pPr>
        <w:pStyle w:val="ListBullet2"/>
      </w:pPr>
      <w:r>
        <w:t>Se omiten:</w:t>
      </w:r>
    </w:p>
    <w:p>
      <w:pPr>
        <w:pStyle w:val="ListBullet2"/>
      </w:pPr>
      <w:r>
        <w:t>el FRAX ajustado por glucocorticoides;</w:t>
      </w:r>
    </w:p>
    <w:p>
      <w:pPr>
        <w:pStyle w:val="ListBullet2"/>
      </w:pPr>
      <w:r>
        <w:t>la guía ACR de osteoporosis inducida por glucocorticoides (relevante con ciclos repetidos de corticoides sistémicos);</w:t>
      </w:r>
    </w:p>
    <w:p>
      <w:pPr>
        <w:pStyle w:val="ListBullet2"/>
      </w:pPr>
      <w:r>
        <w:t>calcio y vitamina D;</w:t>
      </w:r>
    </w:p>
    <w:p>
      <w:pPr>
        <w:pStyle w:val="ListBullet2"/>
      </w:pPr>
      <w:r>
        <w:t>la detección oportunista de fracturas vertebrales en la TC o la radiografía de tórax;</w:t>
      </w:r>
    </w:p>
    <w:p>
      <w:pPr>
        <w:pStyle w:val="ListBullet2"/>
      </w:pPr>
      <w:r>
        <w:t>la prevención de caídas.</w:t>
      </w:r>
    </w:p>
    <w:p>
      <w:pPr>
        <w:pStyle w:val="ListBullet2"/>
      </w:pPr>
      <w:r>
        <w:t>En la Fig. 5.6, la DXA cada 3-5 años es un intervalo arbitrario para pacientes de alto riesgo.</w:t>
      </w:r>
    </w:p>
    <w:p>
      <w:pPr>
        <w:pStyle w:val="ListBullet"/>
      </w:pPr>
      <w:r>
        <w:rPr>
          <w:b/>
        </w:rPr>
        <w:t>Evidencia/justificación:</w:t>
      </w:r>
    </w:p>
    <w:p>
      <w:pPr>
        <w:pStyle w:val="ListBullet2"/>
      </w:pPr>
      <w:r>
        <w:t>ACP 2023: Qaseem A, Ann Intern Med 2023.</w:t>
      </w:r>
    </w:p>
    <w:p>
      <w:pPr>
        <w:pStyle w:val="ListBullet2"/>
      </w:pPr>
      <w:r>
        <w:t>ACR 2022 GIOP: Humphrey MB, Arthritis Care Res 2023;75:2405.</w:t>
      </w:r>
    </w:p>
    <w:p>
      <w:pPr>
        <w:pStyle w:val="ListBullet"/>
      </w:pPr>
      <w:r>
        <w:rPr>
          <w:b/>
        </w:rPr>
        <w:t>Recomendación:</w:t>
      </w:r>
      <w:r>
        <w:t xml:space="preserve"> Indicar el cálculo de FRAX ajustado por glucocorticoides, bifosfonato de primera línea según ACP/ACR, calcio y vitamina D, revisión de fracturas vertebrales en las imágenes disponibles y derivación solo si hay riesgo muy alto o fracaso del tratamiento.</w:t>
      </w:r>
    </w:p>
    <w:p>
      <w:pPr>
        <w:pStyle w:val="ListBullet"/>
      </w:pPr>
      <w:r>
        <w:rPr>
          <w:b/>
        </w:rPr>
        <w:t>Confianza:</w:t>
      </w:r>
      <w:r>
        <w:t xml:space="preserve"> 4/5</w:t>
      </w:r>
    </w:p>
    <w:p>
      <w:pPr>
        <w:pStyle w:val="Heading4"/>
      </w:pPr>
      <w:r>
        <w:t>MUL-22 · Riñón: «renal failure = FG &lt;60» sin seguir KDIGO 2024; faltan cistatina C, cociente albúmina/creatinina e iSGLT2</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136 / impr. 125 — Renal failure; Figs. 5.5 y 5.6</w:t>
      </w:r>
    </w:p>
    <w:p>
      <w:pPr>
        <w:pStyle w:val="ListBullet"/>
      </w:pPr>
      <w:r>
        <w:rPr>
          <w:b/>
        </w:rPr>
        <w:t>Cita:</w:t>
      </w:r>
      <w:r>
        <w:t xml:space="preserve"> "The prevalence of renal failure, defined as GFR &lt; 60 mL/min/1.73 m2" / "Because sarcopenia is frequent in patients with COPD, serum creatinine levels may be normal in patients with renal failure."</w:t>
      </w:r>
    </w:p>
    <w:p>
      <w:pPr>
        <w:pStyle w:val="ListBullet"/>
      </w:pPr>
      <w:r>
        <w:rPr>
          <w:b/>
        </w:rPr>
        <w:t>Problema:</w:t>
      </w:r>
    </w:p>
    <w:p>
      <w:pPr>
        <w:pStyle w:val="ListBullet2"/>
      </w:pPr>
      <w:r>
        <w:t xml:space="preserve">Un FG &lt;60 define la </w:t>
      </w:r>
      <w:r>
        <w:rPr>
          <w:b/>
        </w:rPr>
        <w:t>ERC</w:t>
      </w:r>
      <w:r>
        <w:t xml:space="preserve"> (G3a o peor, mantenida &gt;3 meses), no el fallo renal. Según KDIGO, «kidney failure» corresponde a un FG &lt;15 (G5). La ERC también se define por albuminuria (ACR ≥30 mg/g).</w:t>
      </w:r>
    </w:p>
    <w:p>
      <w:pPr>
        <w:pStyle w:val="ListBullet2"/>
      </w:pPr>
      <w:r>
        <w:t>El texto identifica bien el sesgo de la creatinina en la sarcopenia, pero no da la solución: el FG estimado con cistatina C.</w:t>
      </w:r>
    </w:p>
    <w:p>
      <w:pPr>
        <w:pStyle w:val="ListBullet2"/>
      </w:pPr>
      <w:r>
        <w:t>Las figuras no incluyen el cociente albúmina/creatinina (uACR).</w:t>
      </w:r>
    </w:p>
    <w:p>
      <w:pPr>
        <w:pStyle w:val="ListBullet2"/>
      </w:pPr>
      <w:r>
        <w:t>No se mencionan los iSGLT2 para la ERC.</w:t>
      </w:r>
    </w:p>
    <w:p>
      <w:pPr>
        <w:pStyle w:val="ListBullet2"/>
      </w:pPr>
      <w:r>
        <w:t>La afirmación de que los betabloqueantes reducen la eritropoyetina es debatible y no tiene cita específica.</w:t>
      </w:r>
    </w:p>
    <w:p>
      <w:pPr>
        <w:pStyle w:val="ListBullet"/>
      </w:pPr>
      <w:r>
        <w:rPr>
          <w:b/>
        </w:rPr>
        <w:t>Evidencia/justificación:</w:t>
      </w:r>
    </w:p>
    <w:p>
      <w:pPr>
        <w:pStyle w:val="ListBullet2"/>
      </w:pPr>
      <w:r>
        <w:t>KDIGO 2024 (Kidney Int 2024;105:S117), sintetizada en la propia ref. 1349 (Madero, Ann Intern Med 2025):</w:t>
      </w:r>
    </w:p>
    <w:p>
      <w:pPr>
        <w:pStyle w:val="ListBullet2"/>
      </w:pPr>
      <w:r>
        <w:t>definición por FG y/o albuminuria;</w:t>
      </w:r>
    </w:p>
    <w:p>
      <w:pPr>
        <w:pStyle w:val="ListBullet2"/>
      </w:pPr>
      <w:r>
        <w:t>cistatina C (eGFRcr-cys) cuando la creatinina no es fiable;</w:t>
      </w:r>
    </w:p>
    <w:p>
      <w:pPr>
        <w:pStyle w:val="ListBullet2"/>
      </w:pPr>
      <w:r>
        <w:t>iSGLT2 con grado 1A en la diabetes tipo 2 con ERC (FG ≥20), en la ERC con ACR ≥200 mg/g y en la IC.</w:t>
      </w:r>
    </w:p>
    <w:p>
      <w:pPr>
        <w:pStyle w:val="ListBullet"/>
      </w:pPr>
      <w:r>
        <w:rPr>
          <w:b/>
        </w:rPr>
        <w:t>Recomendación:</w:t>
      </w:r>
    </w:p>
    <w:p>
      <w:pPr>
        <w:pStyle w:val="ListBullet2"/>
      </w:pPr>
      <w:r>
        <w:t>Renombrar la sección a «Enfermedad renal crónica» con la definición de KDIGO.</w:t>
      </w:r>
    </w:p>
    <w:p>
      <w:pPr>
        <w:pStyle w:val="ListBullet2"/>
      </w:pPr>
      <w:r>
        <w:t>Recomendar el FG estimado con cistatina C cuando haya sarcopenia y el uACR.</w:t>
      </w:r>
    </w:p>
    <w:p>
      <w:pPr>
        <w:pStyle w:val="ListBullet2"/>
      </w:pPr>
      <w:r>
        <w:t>Añadir los iSGLT2 cuando estén indicados.</w:t>
      </w:r>
    </w:p>
    <w:p>
      <w:pPr>
        <w:pStyle w:val="ListBullet2"/>
      </w:pPr>
      <w:r>
        <w:t>Ajustar la periodicidad de la Fig. 5.6, al menos anual si hay diabetes, HTA o ERC.</w:t>
      </w:r>
    </w:p>
    <w:p>
      <w:pPr>
        <w:pStyle w:val="ListBullet"/>
      </w:pPr>
      <w:r>
        <w:rPr>
          <w:b/>
        </w:rPr>
        <w:t>Confianza:</w:t>
      </w:r>
      <w:r>
        <w:t xml:space="preserve"> 4/5</w:t>
      </w:r>
    </w:p>
    <w:p>
      <w:pPr>
        <w:pStyle w:val="Heading4"/>
      </w:pPr>
      <w:r>
        <w:t>MUL-23 · Anemia y policitemia: «andrógenos» como causa de anemia y umbral distinto del de la OCD (cap. 3)</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137 / impr. 126 — Anemia, Polycythemia; contraste con el cap. 3, PDF 87 / impr. 76</w:t>
      </w:r>
    </w:p>
    <w:p>
      <w:pPr>
        <w:pStyle w:val="ListBullet"/>
      </w:pPr>
      <w:r>
        <w:rPr>
          <w:b/>
        </w:rPr>
        <w:t>Cita:</w:t>
      </w:r>
      <w:r>
        <w:t xml:space="preserve"> "other possible reversible factors should be investigated including use of long-term oxygen, theophylline, ACE inhibitors, angiotensin II receptor inhibitors, renal dysfunction, and androgens.(1359-1367)" / "(when defined as hemoglobin ≥ 17g/dL in males and ≥ 15g/dL in females)"</w:t>
      </w:r>
    </w:p>
    <w:p>
      <w:pPr>
        <w:pStyle w:val="ListBullet"/>
      </w:pPr>
      <w:r>
        <w:rPr>
          <w:b/>
        </w:rPr>
        <w:t>Problema:</w:t>
      </w:r>
    </w:p>
    <w:p>
      <w:pPr>
        <w:pStyle w:val="ListBullet2"/>
      </w:pPr>
      <w:r>
        <w:rPr>
          <w:b/>
        </w:rPr>
        <w:t>Anemia:</w:t>
      </w:r>
    </w:p>
    <w:p>
      <w:pPr>
        <w:pStyle w:val="ListBullet2"/>
      </w:pPr>
      <w:r>
        <w:t xml:space="preserve">Los andrógenos causan eritrocitosis, no anemia. La ref. 1361 (Ferrucci, Arch Intern Med 2006) trata del </w:t>
      </w:r>
      <w:r>
        <w:rPr>
          <w:b/>
        </w:rPr>
        <w:t>déficit de testosterona</w:t>
      </w:r>
      <w:r>
        <w:t xml:space="preserve"> como factor de riesgo de anemia. Debe decir «hipogonadismo o déficit androgénico (incluida la terapia de deprivación androgénica)».</w:t>
      </w:r>
    </w:p>
    <w:p>
      <w:pPr>
        <w:pStyle w:val="ListBullet2"/>
      </w:pPr>
      <w:r>
        <w:t>No se define el déficit de hierro en presencia de inflamación (ferritina &lt;100 µg/L o 100-299 µg/L con saturación de transferrina &lt;20 %) ni se menciona el hierro intravenoso.</w:t>
      </w:r>
    </w:p>
    <w:p>
      <w:pPr>
        <w:pStyle w:val="ListBullet2"/>
      </w:pPr>
      <w:r>
        <w:t>La Fig. 5.6 no incluye hemograma en el seguimiento, aunque el texto aconseja valorar la hemoglobina.</w:t>
      </w:r>
    </w:p>
    <w:p>
      <w:pPr>
        <w:pStyle w:val="ListBullet2"/>
      </w:pPr>
      <w:r>
        <w:rPr>
          <w:b/>
        </w:rPr>
        <w:t>Policitemia:</w:t>
      </w:r>
    </w:p>
    <w:p>
      <w:pPr>
        <w:pStyle w:val="ListBullet2"/>
      </w:pPr>
      <w:r>
        <w:t>Se define por Hb ≥17/15 g/dL, mientras que los criterios de OCD del cap. 3 usan un hematocrito &gt;55 % (PDF 87). Falta la vinculación entre ambos.</w:t>
      </w:r>
    </w:p>
    <w:p>
      <w:pPr>
        <w:pStyle w:val="ListBullet2"/>
      </w:pPr>
      <w:r>
        <w:t>Se omiten las causas iatrogénicas (testosterona, iSGLT2), el papel de la flebotomía y el ajuste del oxígeno.</w:t>
      </w:r>
    </w:p>
    <w:p>
      <w:pPr>
        <w:pStyle w:val="ListBullet"/>
      </w:pPr>
      <w:r>
        <w:rPr>
          <w:b/>
        </w:rPr>
        <w:t>Evidencia/justificación:</w:t>
      </w:r>
    </w:p>
    <w:p>
      <w:pPr>
        <w:pStyle w:val="ListBullet2"/>
      </w:pPr>
      <w:r>
        <w:t>Título de la ref. 1361: «Low testosterone levels and the risk of anemia in older men and women».</w:t>
      </w:r>
    </w:p>
    <w:p>
      <w:pPr>
        <w:pStyle w:val="ListBullet2"/>
      </w:pPr>
      <w:r>
        <w:t>Criterio de policitemia del cap. 3, PDF 87: «polycythemia (hematocrit &gt; 55%)».</w:t>
      </w:r>
    </w:p>
    <w:p>
      <w:pPr>
        <w:pStyle w:val="ListBullet2"/>
      </w:pPr>
      <w:r>
        <w:t>La ESC 2021 de IC define el déficit de hierro como ferritina &lt;100 µg/L o 100-299 µg/L con saturación de transferrina &lt;20 %.</w:t>
      </w:r>
    </w:p>
    <w:p>
      <w:pPr>
        <w:pStyle w:val="ListBullet"/>
      </w:pPr>
      <w:r>
        <w:rPr>
          <w:b/>
        </w:rPr>
        <w:t>Recomendación:</w:t>
      </w:r>
    </w:p>
    <w:p>
      <w:pPr>
        <w:pStyle w:val="ListBullet2"/>
      </w:pPr>
      <w:r>
        <w:t>Corregir «androgens» por «androgen deficiency».</w:t>
      </w:r>
    </w:p>
    <w:p>
      <w:pPr>
        <w:pStyle w:val="ListBullet2"/>
      </w:pPr>
      <w:r>
        <w:t>Armonizar el umbral de policitemia con el cap. 3 y remitir a la OCD.</w:t>
      </w:r>
    </w:p>
    <w:p>
      <w:pPr>
        <w:pStyle w:val="ListBullet2"/>
      </w:pPr>
      <w:r>
        <w:t>Añadir las causas iatrogénicas y el hemograma en el seguimiento.</w:t>
      </w:r>
    </w:p>
    <w:p>
      <w:pPr>
        <w:pStyle w:val="ListBullet"/>
      </w:pPr>
      <w:r>
        <w:rPr>
          <w:b/>
        </w:rPr>
        <w:t>Confianza:</w:t>
      </w:r>
      <w:r>
        <w:t xml:space="preserve"> 5/5</w:t>
      </w:r>
    </w:p>
    <w:p>
      <w:pPr>
        <w:pStyle w:val="Heading4"/>
      </w:pPr>
      <w:r>
        <w:t>MUL-24 · Riesgo quirúrgico: referencias de 2007-2009 y algoritmo de resección pulmonar desactualizado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137-138 / impr. 126-127 — Postoperative risk; Resection for lung cancer</w:t>
      </w:r>
    </w:p>
    <w:p>
      <w:pPr>
        <w:pStyle w:val="ListBullet"/>
      </w:pPr>
      <w:r>
        <w:rPr>
          <w:b/>
        </w:rPr>
        <w:t>Cita:</w:t>
      </w:r>
      <w:r>
        <w:t xml:space="preserve"> "there is consensus that all COPD candidates for lung resection should undergo a complete battery of tests, including … static lung volumes, diffusing capacity, and arterial blood gases at rest.(1381,1382)"</w:t>
      </w:r>
    </w:p>
    <w:p>
      <w:pPr>
        <w:pStyle w:val="ListBullet"/>
      </w:pPr>
      <w:r>
        <w:rPr>
          <w:b/>
        </w:rPr>
        <w:t>Problema:</w:t>
      </w:r>
    </w:p>
    <w:p>
      <w:pPr>
        <w:pStyle w:val="ListBullet2"/>
      </w:pPr>
      <w:r>
        <w:t>Las referencias son la guía ERS/ESTS de 2009 y la ACCP de 2007.</w:t>
      </w:r>
    </w:p>
    <w:p>
      <w:pPr>
        <w:pStyle w:val="ListBullet2"/>
      </w:pPr>
      <w:r>
        <w:t>Los algoritmos vigentes empiezan por el riesgo cardíaco (ThRCRI) y continúan con el FEV1 y la DLCO predichos postoperatorios (ppoFEV1, ppoDLCO): si alguno es &lt;60 %, se pasa a la prueba de esfuerzo; un VO₂pico &lt;10 mL/kg/min indica riesgo alto. No exigen una gasometría o volúmenes pulmonares sistemáticos «por consenso».</w:t>
      </w:r>
    </w:p>
    <w:p>
      <w:pPr>
        <w:pStyle w:val="ListBullet2"/>
      </w:pPr>
      <w:r>
        <w:t>El umbral «FEV1 or DLco &lt; 30-40 %» mezcla criterios.</w:t>
      </w:r>
    </w:p>
    <w:p>
      <w:pPr>
        <w:pStyle w:val="ListBullet2"/>
      </w:pPr>
      <w:r>
        <w:t>En cirugía general falta:</w:t>
      </w:r>
    </w:p>
    <w:p>
      <w:pPr>
        <w:pStyle w:val="ListBullet2"/>
      </w:pPr>
      <w:r>
        <w:t>el índice ARISCAT;</w:t>
      </w:r>
    </w:p>
    <w:p>
      <w:pPr>
        <w:pStyle w:val="ListBullet2"/>
      </w:pPr>
      <w:r>
        <w:t>el cese del tabaco al menos 4-8 semanas antes;</w:t>
      </w:r>
    </w:p>
    <w:p>
      <w:pPr>
        <w:pStyle w:val="ListBullet2"/>
      </w:pPr>
      <w:r>
        <w:t>la prehabilitación;</w:t>
      </w:r>
    </w:p>
    <w:p>
      <w:pPr>
        <w:pStyle w:val="ListBullet2"/>
      </w:pPr>
      <w:r>
        <w:t>el manejo perioperatorio de iSGLT2 y AR-GLP-1 (aspiración).</w:t>
      </w:r>
    </w:p>
    <w:p>
      <w:pPr>
        <w:pStyle w:val="ListBullet"/>
      </w:pPr>
      <w:r>
        <w:rPr>
          <w:b/>
        </w:rPr>
        <w:t>Evidencia/justificación:</w:t>
      </w:r>
    </w:p>
    <w:p>
      <w:pPr>
        <w:pStyle w:val="ListBullet2"/>
      </w:pPr>
      <w:r>
        <w:t>ACCP 2013: Brunelli A, Chest 2013;143:e166S.</w:t>
      </w:r>
    </w:p>
    <w:p>
      <w:pPr>
        <w:pStyle w:val="ListBullet2"/>
      </w:pPr>
      <w:r>
        <w:t>ARISCAT: Canet J, Anesthesiology 2010;113:1338.</w:t>
      </w:r>
    </w:p>
    <w:p>
      <w:pPr>
        <w:pStyle w:val="ListBullet2"/>
      </w:pPr>
      <w:r>
        <w:t>Ficha técnica de la FDA de los iSGLT2: suspensión 3-4 días antes de la cirugía.</w:t>
      </w:r>
    </w:p>
    <w:p>
      <w:pPr>
        <w:pStyle w:val="ListBullet"/>
      </w:pPr>
      <w:r>
        <w:rPr>
          <w:b/>
        </w:rPr>
        <w:t>Recomendación:</w:t>
      </w:r>
      <w:r>
        <w:t xml:space="preserve"> Actualizar al algoritmo ACCP 2013 (o la versión ERS/ESTS vigente) e incluir ARISCAT, cese del tabaco, prehabilitación y una tabla de fármacos que se suspenden antes de la cirugía.</w:t>
      </w:r>
    </w:p>
    <w:p>
      <w:pPr>
        <w:pStyle w:val="ListBullet"/>
      </w:pPr>
      <w:r>
        <w:rPr>
          <w:b/>
        </w:rPr>
        <w:t>Confianza:</w:t>
      </w:r>
      <w:r>
        <w:t xml:space="preserve"> 4/5</w:t>
      </w:r>
    </w:p>
    <w:p>
      <w:pPr>
        <w:pStyle w:val="Heading4"/>
      </w:pPr>
      <w:r>
        <w:t>NOV-13 · BICS (bisoprolol, JAMA 2024) citado pero no descrito; el mensaje sobre betabloqueantes queda sesgado hacia el daño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 / Omisión</w:t>
      </w:r>
    </w:p>
    <w:p>
      <w:pPr>
        <w:pStyle w:val="ListBullet"/>
      </w:pPr>
      <w:r>
        <w:rPr>
          <w:b/>
        </w:rPr>
        <w:t>Severidad:</w:t>
      </w:r>
      <w:r>
        <w:t xml:space="preserve"> MEDIA</w:t>
      </w:r>
    </w:p>
    <w:p>
      <w:pPr>
        <w:pStyle w:val="ListBullet"/>
      </w:pPr>
      <w:r>
        <w:rPr>
          <w:b/>
        </w:rPr>
        <w:t>Ubicación:</w:t>
      </w:r>
    </w:p>
    <w:p>
      <w:pPr>
        <w:pStyle w:val="ListBullet2"/>
      </w:pPr>
      <w:r>
        <w:t>PDF 164 / impr. 153 — Apéndice 3.</w:t>
      </w:r>
    </w:p>
    <w:p>
      <w:pPr>
        <w:pStyle w:val="ListBullet2"/>
      </w:pPr>
      <w:r>
        <w:t>PDF 127 / impr. 116 — cap. 5, insuficiencia cardiaca.</w:t>
      </w:r>
    </w:p>
    <w:p>
      <w:pPr>
        <w:pStyle w:val="ListBullet"/>
      </w:pPr>
      <w:r>
        <w:rPr>
          <w:b/>
        </w:rPr>
        <w:t>Cita:</w:t>
      </w:r>
      <w:r>
        <w:t xml:space="preserve"> "An RCT of the selective β1 receptor blocker metoprolol … hospitalization for exacerbation was more common among the patients treated with metoprolol.(1157,1612)"</w:t>
      </w:r>
    </w:p>
    <w:p>
      <w:pPr>
        <w:pStyle w:val="ListBullet"/>
      </w:pPr>
      <w:r>
        <w:rPr>
          <w:b/>
        </w:rPr>
        <w:t>Problema:</w:t>
      </w:r>
    </w:p>
    <w:p>
      <w:pPr>
        <w:pStyle w:val="ListBullet2"/>
      </w:pPr>
      <w:r>
        <w:t>El párrafo cita la ref. 1612 (BICS), pero solo describe BLOCK-COPD (metoprolol), con su señal de más hospitalizaciones.</w:t>
      </w:r>
    </w:p>
    <w:p>
      <w:pPr>
        <w:pStyle w:val="ListBullet2"/>
      </w:pPr>
      <w:r>
        <w:t>BICS, el ECA más grande (n=1.034) y más reciente, con bisoprolol, no mostró reducción de exacerbaciones, pero tampoco un aumento de daño: tasa de incidencia similar y eventos adversos graves comparables.</w:t>
      </w:r>
    </w:p>
    <w:p>
      <w:pPr>
        <w:pStyle w:val="ListBullet2"/>
      </w:pPr>
      <w:r>
        <w:t>En el cap. 5 solo se cita BLOCK-COPD.</w:t>
      </w:r>
    </w:p>
    <w:p>
      <w:pPr>
        <w:pStyle w:val="ListBullet2"/>
      </w:pPr>
      <w:r>
        <w:t>Presentar únicamente el ensayo con señal de daño puede reforzar la infrautilización de betabloqueantes cardioselectivos en pacientes con EPOC que los necesitan por indicación cardiovascular, que es un problema conocido.</w:t>
      </w:r>
    </w:p>
    <w:p>
      <w:pPr>
        <w:pStyle w:val="ListBullet"/>
      </w:pPr>
      <w:r>
        <w:rPr>
          <w:b/>
        </w:rPr>
        <w:t>Evidencia/justificación:</w:t>
      </w:r>
    </w:p>
    <w:p>
      <w:pPr>
        <w:pStyle w:val="ListBullet2"/>
      </w:pPr>
      <w:r>
        <w:t>BICS: Devereux G et al., JAMA 2024;332:462-70. Bisoprolol frente a placebo, IRR 0,97 (IC 95 % 0,84-1,13); eventos adversos graves 14,5 % frente a 14,3 %.</w:t>
      </w:r>
    </w:p>
    <w:p>
      <w:pPr>
        <w:pStyle w:val="ListBullet2"/>
      </w:pPr>
      <w:r>
        <w:t>BLOCK-COPD: Dransfield MT et al., NEJM 2019;381:2304-14 (PMID 31633896).</w:t>
      </w:r>
    </w:p>
    <w:p>
      <w:pPr>
        <w:pStyle w:val="ListBullet"/>
      </w:pPr>
      <w:r>
        <w:rPr>
          <w:b/>
        </w:rPr>
        <w:t>Recomendación:</w:t>
      </w:r>
    </w:p>
    <w:p>
      <w:pPr>
        <w:pStyle w:val="ListBullet2"/>
      </w:pPr>
      <w:r>
        <w:t>Añadir una frase sobre BICS: "bisoprolol no redujo exacerbaciones pero fue seguro y bien tolerado".</w:t>
      </w:r>
    </w:p>
    <w:p>
      <w:pPr>
        <w:pStyle w:val="ListBullet2"/>
      </w:pPr>
      <w:r>
        <w:t>Reforzar en el cap. 5 que los β1-selectivos no deben retirarse ni evitarse cuando hay indicación cardiovascular.</w:t>
      </w:r>
    </w:p>
    <w:p>
      <w:pPr>
        <w:pStyle w:val="ListBullet2"/>
      </w:pPr>
      <w:r>
        <w:t>Revisar la cita conjunta (1157,1612) para que cada ensayo quede descrito.</w:t>
      </w:r>
    </w:p>
    <w:p>
      <w:pPr>
        <w:pStyle w:val="ListBullet"/>
      </w:pPr>
      <w:r>
        <w:rPr>
          <w:b/>
        </w:rPr>
        <w:t>Confianza:</w:t>
      </w:r>
      <w:r>
        <w:t xml:space="preserve"> 5/5</w:t>
      </w:r>
    </w:p>
    <w:p>
      <w:pPr>
        <w:pStyle w:val="Heading4"/>
      </w:pPr>
      <w:r>
        <w:t>REH-14 · CPAP en el síndrome de solapamiento EPOC-SAOS: beneficio de supervivencia afirmado como «claro» con evidencia observacional, en un párrafo duplicado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89 / impr. 78 — «Ventilatory support» (dos párrafos consecutivos); cap. 5, PDF 133 / impr. 122.</w:t>
      </w:r>
    </w:p>
    <w:p>
      <w:pPr>
        <w:pStyle w:val="ListBullet"/>
      </w:pPr>
      <w:r>
        <w:rPr>
          <w:b/>
        </w:rPr>
        <w:t>Cita:</w:t>
      </w:r>
      <w:r>
        <w:t xml:space="preserve"> «there are clear benefits associated with the use of CPAP to improve both survival and the risk of hospital admissions.(761,762)»</w:t>
      </w:r>
    </w:p>
    <w:p>
      <w:pPr>
        <w:pStyle w:val="ListBullet"/>
      </w:pPr>
      <w:r>
        <w:rPr>
          <w:b/>
        </w:rPr>
        <w:t>Problema:</w:t>
      </w:r>
      <w:r>
        <w:t xml:space="preserve"> La afirmación se apoya en un estudio de cohortes (Marin 2010) y en una revisión de estudios observacionales (Srivali 2023). No hay ensayos aleatorizados de mortalidad en el síndrome de solapamiento, y el sesgo del adherente sano es probable. La idea se repite casi literalmente en dos párrafos consecutivos («clear indications» / «clear benefits»).</w:t>
      </w:r>
    </w:p>
    <w:p>
      <w:pPr>
        <w:pStyle w:val="ListBullet"/>
      </w:pPr>
      <w:r>
        <w:rPr>
          <w:b/>
        </w:rPr>
        <w:t>Evidencia/justificación:</w:t>
      </w:r>
      <w:r>
        <w:t xml:space="preserve"> Marin JM et al., Am J Respir Crit Care Med 2010;182:325-331 (cohorte observacional). El propio cap. 5 cita estudios observacionales (ref. 1271). Según la Tabla A (PDF 14), esta evidencia corresponde a un nivel C.</w:t>
      </w:r>
    </w:p>
    <w:p>
      <w:pPr>
        <w:pStyle w:val="ListBullet"/>
      </w:pPr>
      <w:r>
        <w:rPr>
          <w:b/>
        </w:rPr>
        <w:t>Recomendación:</w:t>
      </w:r>
      <w:r>
        <w:t xml:space="preserve"> Fusionar los párrafos: «la CPAP está indicada en el síndrome de solapamiento y, en estudios observacionales, se asocia a menor mortalidad y menos ingresos (Evidencia C)». Añadir la necesidad de cribar el SAOS antes de indicar VMNI.</w:t>
      </w:r>
    </w:p>
    <w:p>
      <w:pPr>
        <w:pStyle w:val="ListBullet"/>
      </w:pPr>
      <w:r>
        <w:rPr>
          <w:b/>
        </w:rPr>
        <w:t>Confianza:</w:t>
      </w:r>
      <w:r>
        <w:t xml:space="preserve"> 4/5</w:t>
      </w:r>
    </w:p>
    <w:p>
      <w:pPr>
        <w:pStyle w:val="Heading4"/>
      </w:pPr>
      <w:r>
        <w:t>EQ-22 · Ruralidad y brecha digital: la telesalud se presenta como más asequible sin considerar quién queda excluido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p>
    <w:p>
      <w:pPr>
        <w:pStyle w:val="ListBullet2"/>
      </w:pPr>
      <w:r>
        <w:t>PDF 32 / impr. 21.</w:t>
      </w:r>
    </w:p>
    <w:p>
      <w:pPr>
        <w:pStyle w:val="ListBullet2"/>
      </w:pPr>
      <w:r>
        <w:t>PDF 142 / impr. 131.</w:t>
      </w:r>
    </w:p>
    <w:p>
      <w:pPr>
        <w:pStyle w:val="ListBullet2"/>
      </w:pPr>
      <w:r>
        <w:t>PDF 146 / impr. 135 (telesalud).</w:t>
      </w:r>
    </w:p>
    <w:p>
      <w:pPr>
        <w:pStyle w:val="ListBullet2"/>
      </w:pPr>
      <w:r>
        <w:t>PDF 143-145 / impr. 132-134 (IA).</w:t>
      </w:r>
    </w:p>
    <w:p>
      <w:pPr>
        <w:pStyle w:val="ListBullet2"/>
      </w:pPr>
      <w:r>
        <w:t>PDF 26 / impr. 15 y PDF 173 / impr. 162 (las únicas menciones de "rural").</w:t>
      </w:r>
    </w:p>
    <w:p>
      <w:pPr>
        <w:pStyle w:val="ListBullet"/>
      </w:pPr>
      <w:r>
        <w:rPr>
          <w:b/>
        </w:rPr>
        <w:t>Cita:</w:t>
      </w:r>
      <w:r>
        <w:t xml:space="preserve"> "Telehealth may offer improved healthcare access, outcomes, and affordability." (PDF 142)</w:t>
      </w:r>
    </w:p>
    <w:p>
      <w:pPr>
        <w:pStyle w:val="ListBullet"/>
      </w:pPr>
      <w:r>
        <w:rPr>
          <w:b/>
        </w:rPr>
        <w:t>Problema:</w:t>
      </w:r>
    </w:p>
    <w:p>
      <w:pPr>
        <w:pStyle w:val="ListBullet2"/>
      </w:pPr>
      <w:r>
        <w:t>"Rural" aparece solo como factor de riesgo de bronquitis crónica y, de forma positiva, en relación con la rehabilitación domiciliaria.</w:t>
      </w:r>
    </w:p>
    <w:p>
      <w:pPr>
        <w:pStyle w:val="ListBullet2"/>
      </w:pPr>
      <w:r>
        <w:t>El documento no aborda las barreras específicas de las zonas rurales: distancia, ausencia de especialistas, transporte durante las exacerbaciones y continuidad del suministro de inhaladores y oxígeno.</w:t>
      </w:r>
    </w:p>
    <w:p>
      <w:pPr>
        <w:pStyle w:val="ListBullet2"/>
      </w:pPr>
      <w:r>
        <w:t>La telesalud y la IA se presentan como vías de acceso y ahorro sin analizar la brecha digital (conectividad, coste de los datos, alfabetización digital, edad, idioma, discapacidad).</w:t>
      </w:r>
    </w:p>
    <w:p>
      <w:pPr>
        <w:pStyle w:val="ListBullet2"/>
      </w:pPr>
      <w:r>
        <w:t>Tampoco se analiza la escasa representación de población de LMIC en los datos de entrenamiento de los algoritmos de IA. La figura 6.2 sí menciona "inequity", lo cual es positivo, pero no se traslada al texto ni a recomendaciones concretas.</w:t>
      </w:r>
    </w:p>
    <w:p>
      <w:pPr>
        <w:pStyle w:val="ListBullet"/>
      </w:pPr>
      <w:r>
        <w:rPr>
          <w:b/>
        </w:rPr>
        <w:t>Evidencia/justificación:</w:t>
      </w:r>
      <w:r>
        <w:t xml:space="preserve"> Las estrategias de salud digital de la OMS (Estrategia Mundial sobre Salud Digital 2020-2025) exigen equidad e inclusión digital. Es un riesgo conocido que las intervenciones digitales amplíen las desigualdades si no se diseñan para quienes tienen menor acceso.</w:t>
      </w:r>
    </w:p>
    <w:p>
      <w:pPr>
        <w:pStyle w:val="ListBullet"/>
      </w:pPr>
      <w:r>
        <w:rPr>
          <w:b/>
        </w:rPr>
        <w:t>Recomendación:</w:t>
      </w:r>
    </w:p>
    <w:p>
      <w:pPr>
        <w:pStyle w:val="ListBullet2"/>
      </w:pPr>
      <w:r>
        <w:t>Sustituir "affordability" por una formulación condicionada ("may improve access where digital infrastructure and literacy allow").</w:t>
      </w:r>
    </w:p>
    <w:p>
      <w:pPr>
        <w:pStyle w:val="ListBullet2"/>
      </w:pPr>
      <w:r>
        <w:t>Añadir salvaguardas: ofrecer siempre una alternativa presencial o telefónica, y diseñar para baja conectividad (SMS, voz).</w:t>
      </w:r>
    </w:p>
    <w:p>
      <w:pPr>
        <w:pStyle w:val="ListBullet2"/>
      </w:pPr>
      <w:r>
        <w:t>Recomendar la evaluación de los sesgos de la IA en poblaciones de LMIC.</w:t>
      </w:r>
    </w:p>
    <w:p>
      <w:pPr>
        <w:pStyle w:val="ListBullet2"/>
      </w:pPr>
      <w:r>
        <w:t>Incluir un párrafo sobre la organización de la atención en zonas rurales: agentes comunitarios de salud, rehabilitación comunitaria y reservas de fármacos.</w:t>
      </w:r>
    </w:p>
    <w:p>
      <w:pPr>
        <w:pStyle w:val="ListBullet"/>
      </w:pPr>
      <w:r>
        <w:rPr>
          <w:b/>
        </w:rPr>
        <w:t>Confianza:</w:t>
      </w:r>
      <w:r>
        <w:t xml:space="preserve"> 4/5</w:t>
      </w:r>
    </w:p>
    <w:p>
      <w:pPr>
        <w:pStyle w:val="Heading4"/>
      </w:pPr>
      <w:r>
        <w:t>IA-01 · Revisión Cochrane de telesalud mal referenciada y resultados mal representados</w:t>
      </w:r>
    </w:p>
    <w:p>
      <w:r>
        <w:rPr>
          <w:i/>
        </w:rPr>
        <w:t xml:space="preserve">Severidad final: </w:t>
      </w:r>
      <w:r>
        <w:rPr>
          <w:i/>
          <w:color w:val="FFC000"/>
        </w:rPr>
        <w:t>🟡</w:t>
      </w:r>
      <w:r>
        <w:rPr>
          <w:i/>
        </w:rPr>
        <w:t xml:space="preserve"> MEDIA · Tema T20: Telesalud e inteligencia artificial</w:t>
      </w:r>
    </w:p>
    <w:p>
      <w:pPr>
        <w:pStyle w:val="IntenseQuote"/>
      </w:pPr>
      <w:r>
        <w:rPr>
          <w:b/>
        </w:rPr>
        <w:t>Verificación independiente (CONFIRMADO PARCIAL):</w:t>
      </w:r>
      <w:r>
        <w:t xml:space="preserve"> Confirmado: (a) la referencia está equivocada; (b) se da a entender que la teleconsulta se estudió en ECA, cuando la revisión no halló evidencia; (c) se omiten el comparador multicomponente y la señal sobre reingresos. No confirmado / injusto: criticar la frase «no evidence of harm». GOLD parafrasea fielmente las conclusiones de los autores Cochrane, así que es un matiz metodológico (ausencia de evidencia ≠ evidencia…</w:t>
      </w:r>
    </w:p>
    <w:p>
      <w:pPr>
        <w:pStyle w:val="IntenseQuote"/>
      </w:pPr>
      <w:r>
        <w:rPr>
          <w:b/>
        </w:rPr>
        <w:t>Severidad ajustada en la consolidación:</w:t>
      </w:r>
      <w:r>
        <w:t xml:space="preserve"> ALTA → MEDIA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"Telehealth, remote monitoring and follow-up", PDF 146 / impr. 135</w:t>
      </w:r>
    </w:p>
    <w:p>
      <w:pPr>
        <w:pStyle w:val="ListBullet"/>
      </w:pPr>
      <w:r>
        <w:rPr>
          <w:b/>
        </w:rPr>
        <w:t>Cita:</w:t>
      </w:r>
      <w:r>
        <w:t xml:space="preserve"> "A Cochrane review(1435) on telehealth for remote monitoring and consultations for patients with COPD included three main different models … While there was no evidence of harm…"</w:t>
      </w:r>
    </w:p>
    <w:p>
      <w:pPr>
        <w:pStyle w:val="ListBullet"/>
      </w:pPr>
      <w:r>
        <w:rPr>
          <w:b/>
        </w:rPr>
        <w:t>Problema:</w:t>
      </w:r>
    </w:p>
    <w:p>
      <w:pPr>
        <w:pStyle w:val="ListBullet2"/>
      </w:pPr>
      <w:r>
        <w:t xml:space="preserve">La ref. 1435 es otra revisión Cochrane: Janjua S et al., </w:t>
      </w:r>
      <w:r>
        <w:rPr>
          <w:i/>
        </w:rPr>
        <w:t>Interventions to improve adherence to pharmacological therapy for COPD</w:t>
      </w:r>
      <w:r>
        <w:t>, CD013381 (PMID 34496032). No trata de telesalud.</w:t>
      </w:r>
    </w:p>
    <w:p>
      <w:pPr>
        <w:pStyle w:val="ListBullet2"/>
      </w:pPr>
      <w:r>
        <w:t xml:space="preserve">La revisión correcta es Janjua S, Carter D, Threapleton CJ, Prigmore S, Disler RT. </w:t>
      </w:r>
      <w:r>
        <w:rPr>
          <w:i/>
        </w:rPr>
        <w:t>Telehealth interventions: remote monitoring and consultations for people with COPD</w:t>
      </w:r>
      <w:r>
        <w:t>. Cochrane 2021, CD013196 (DOI 10.1002/14651858.CD013196.pub2; PMID 34693988).</w:t>
      </w:r>
    </w:p>
    <w:p>
      <w:pPr>
        <w:pStyle w:val="ListBullet2"/>
      </w:pPr>
      <w:r>
        <w:t>Además, el texto describe mal lo que encontró esa revisión (ver justificación).</w:t>
      </w:r>
    </w:p>
    <w:p>
      <w:pPr>
        <w:pStyle w:val="ListBullet"/>
      </w:pPr>
      <w:r>
        <w:rPr>
          <w:b/>
        </w:rPr>
        <w:t>Evidencia/justificación:</w:t>
      </w:r>
    </w:p>
    <w:p>
      <w:pPr>
        <w:pStyle w:val="ListBullet2"/>
      </w:pPr>
      <w:r>
        <w:t>CD013196 incluyó 29 ECAs (n = 5654), la mayoría con alto riesgo de sesgo y certeza de moderada a muy baja.</w:t>
      </w:r>
    </w:p>
    <w:p>
      <w:pPr>
        <w:pStyle w:val="ListBullet2"/>
      </w:pPr>
      <w:r>
        <w:rPr>
          <w:b/>
        </w:rPr>
        <w:t>No identificó ECAs de teleconsulta.</w:t>
      </w:r>
      <w:r>
        <w:t xml:space="preserve"> El tercer grupo de comparación real eran intervenciones multicomponente. Presentar la "remote consultation" como un modelo "studied in RCTs" no se ajusta a la revisión.</w:t>
      </w:r>
    </w:p>
    <w:p>
      <w:pPr>
        <w:pStyle w:val="ListBullet2"/>
      </w:pPr>
      <w:r>
        <w:rPr>
          <w:b/>
        </w:rPr>
        <w:t>Monitorización remota más atención habitual:</w:t>
      </w:r>
      <w:r>
        <w:t xml:space="preserve"> efecto escaso o nulo sobre exacerbaciones, calidad de vida, hospitalizaciones y mortalidad.</w:t>
      </w:r>
    </w:p>
    <w:p>
      <w:pPr>
        <w:pStyle w:val="ListBullet2"/>
      </w:pPr>
      <w:r>
        <w:rPr>
          <w:b/>
        </w:rPr>
        <w:t>Reingresos:</w:t>
      </w:r>
      <w:r>
        <w:t xml:space="preserve"> la reducción de reingresos por EPOC (HR 0,42) procede de un único estudio (n = 106). En intervenciones multicomponente, OR 0,50 con 3 estudios (n = 344).</w:t>
      </w:r>
    </w:p>
    <w:p>
      <w:pPr>
        <w:pStyle w:val="ListBullet2"/>
      </w:pPr>
      <w:r>
        <w:rPr>
          <w:b/>
        </w:rPr>
        <w:t>Daño:</w:t>
      </w:r>
      <w:r>
        <w:t xml:space="preserve"> los eventos adversos apenas se notificaron, de modo que "no evidence of harm" equivale a ausencia de evidencia, no a evidencia de seguridad.</w:t>
      </w:r>
    </w:p>
    <w:p>
      <w:pPr>
        <w:pStyle w:val="ListBullet2"/>
      </w:pPr>
      <w:r>
        <w:t xml:space="preserve">Un ECA cruzado (TeleCRAFT; Chatwin M et al., Thorax 2016;71:305-311, PMID 26962013) observó </w:t>
      </w:r>
      <w:r>
        <w:rPr>
          <w:b/>
        </w:rPr>
        <w:t>más</w:t>
      </w:r>
      <w:r>
        <w:t xml:space="preserve"> ingresos a 6 meses con telemonitorización: 0,63 frente a 0,32, p = 0,026.</w:t>
      </w:r>
    </w:p>
    <w:p>
      <w:pPr>
        <w:pStyle w:val="ListBullet"/>
      </w:pPr>
      <w:r>
        <w:rPr>
          <w:b/>
        </w:rPr>
        <w:t>Recomendación:</w:t>
      </w:r>
    </w:p>
    <w:p>
      <w:pPr>
        <w:pStyle w:val="ListBullet2"/>
      </w:pPr>
      <w:r>
        <w:t>Sustituir la ref. 1435 por CD013196.</w:t>
      </w:r>
    </w:p>
    <w:p>
      <w:pPr>
        <w:pStyle w:val="ListBullet2"/>
      </w:pPr>
      <w:r>
        <w:t>Reescribir los tres comparadores tal como figuran en la revisión.</w:t>
      </w:r>
    </w:p>
    <w:p>
      <w:pPr>
        <w:pStyle w:val="ListBullet2"/>
      </w:pPr>
      <w:r>
        <w:t>Indicar la certeza GRADE y que los eventos adversos no se notificaron.</w:t>
      </w:r>
    </w:p>
    <w:p>
      <w:pPr>
        <w:pStyle w:val="ListBullet2"/>
      </w:pPr>
      <w:r>
        <w:t>Cambiar "no evidence of harm" por "adverse events were rarely reported; potential harms (e.g., increased admissions in one RCT) cannot be excluded".</w:t>
      </w:r>
    </w:p>
    <w:p>
      <w:pPr>
        <w:pStyle w:val="ListBullet"/>
      </w:pPr>
      <w:r>
        <w:rPr>
          <w:b/>
        </w:rPr>
        <w:t>Confianza:</w:t>
      </w:r>
      <w:r>
        <w:t xml:space="preserve"> 5/5</w:t>
      </w:r>
    </w:p>
    <w:p>
      <w:pPr>
        <w:pStyle w:val="Heading4"/>
      </w:pPr>
      <w:r>
        <w:t>IA-06 · "AI based interpretation strategies can reduce misdiagnosis": la evidencia es un estudio de lectores, no de pacientes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"Misdiagnosis", PDF 142 / impr. 131</w:t>
      </w:r>
    </w:p>
    <w:p>
      <w:pPr>
        <w:pStyle w:val="ListBullet"/>
      </w:pPr>
      <w:r>
        <w:rPr>
          <w:b/>
        </w:rPr>
        <w:t>Cita:</w:t>
      </w:r>
      <w:r>
        <w:t xml:space="preserve"> "AI based interpretation strategies can reduce misdiagnosis by providing automated interpretations and diagnostic suggestions.(1397-1399) Likewise, AI may be able to extract novel, hidden, high-dimensional features from the flow-volume spirometry loops.(1398,1400)"</w:t>
      </w:r>
    </w:p>
    <w:p>
      <w:pPr>
        <w:pStyle w:val="ListBullet"/>
      </w:pPr>
      <w:r>
        <w:rPr>
          <w:b/>
        </w:rPr>
        <w:t>Problema:</w:t>
      </w:r>
    </w:p>
    <w:p>
      <w:pPr>
        <w:pStyle w:val="ListBullet2"/>
      </w:pPr>
      <w:r>
        <w:rPr>
          <w:b/>
        </w:rPr>
        <w:t>Ref. 1397</w:t>
      </w:r>
      <w:r>
        <w:t xml:space="preserve"> (Doe G et al., NEJM AI 2025;2(8), DOI 10.1056/AIoa2400804) es un ECA de lectores:</w:t>
      </w:r>
    </w:p>
    <w:p>
      <w:pPr>
        <w:pStyle w:val="ListBullet2"/>
      </w:pPr>
      <w:r>
        <w:t>133 clínicos de atención primaria interpretaron 50 espirometrías retrospectivas, con o sin apoyo de IA.</w:t>
      </w:r>
    </w:p>
    <w:p>
      <w:pPr>
        <w:pStyle w:val="ListBullet2"/>
      </w:pPr>
      <w:r>
        <w:t>Exactitud del 58,7 % frente al 49,7 % (+9,0 puntos porcentuales; IC 95 % 4,5-13,3).</w:t>
      </w:r>
    </w:p>
    <w:p>
      <w:pPr>
        <w:pStyle w:val="ListBullet2"/>
      </w:pPr>
      <w:r>
        <w:t>El algoritmo solo superó al tándem clínico+IA, lo que sugiere problemas de interacción humano-IA.</w:t>
      </w:r>
    </w:p>
    <w:p>
      <w:pPr>
        <w:pStyle w:val="ListBullet2"/>
      </w:pPr>
      <w:r>
        <w:t>No midió diagnósticos erróneos reales ni resultados en pacientes.</w:t>
      </w:r>
    </w:p>
    <w:p>
      <w:pPr>
        <w:pStyle w:val="ListBullet2"/>
      </w:pPr>
      <w:r>
        <w:rPr>
          <w:b/>
        </w:rPr>
        <w:t>Ref. 1399</w:t>
      </w:r>
      <w:r>
        <w:t xml:space="preserve"> es una revisión narrativa en Cureus.</w:t>
      </w:r>
    </w:p>
    <w:p>
      <w:pPr>
        <w:pStyle w:val="ListBullet2"/>
      </w:pPr>
      <w:r>
        <w:rPr>
          <w:b/>
        </w:rPr>
        <w:t>Ref. 1400</w:t>
      </w:r>
      <w:r>
        <w:t xml:space="preserve"> (Wang Z et al., Lung 2025) describe un índice geométrico de concavidad de la curva flujo-volumen, sin IA ni "high-dimensional features".</w:t>
      </w:r>
    </w:p>
    <w:p>
      <w:pPr>
        <w:pStyle w:val="ListBullet2"/>
      </w:pPr>
      <w:r>
        <w:t>La referencia 1397 carece de DOI y páginas.</w:t>
      </w:r>
    </w:p>
    <w:p>
      <w:pPr>
        <w:pStyle w:val="ListBullet"/>
      </w:pPr>
      <w:r>
        <w:rPr>
          <w:b/>
        </w:rPr>
        <w:t>Evidencia/justificación:</w:t>
      </w:r>
      <w:r>
        <w:t xml:space="preserve"> Verificado en las publicaciones originales. Pasar de exactitud en un estudio de lectores a "reduce misdiagnosis" en la práctica requiere evaluación clínica temprana (DECIDE-AI; Vasey B et al., Nat Med 2022;28:924-933) y estudios de impacto.</w:t>
      </w:r>
    </w:p>
    <w:p>
      <w:pPr>
        <w:pStyle w:val="ListBullet"/>
      </w:pPr>
      <w:r>
        <w:rPr>
          <w:b/>
        </w:rPr>
        <w:t>Recomendación:</w:t>
      </w:r>
    </w:p>
    <w:p>
      <w:pPr>
        <w:pStyle w:val="ListBullet2"/>
      </w:pPr>
      <w:r>
        <w:t>Reformular como "improved clinicians' interpretation accuracy in a reader-study RCT".</w:t>
      </w:r>
    </w:p>
    <w:p>
      <w:pPr>
        <w:pStyle w:val="ListBullet2"/>
      </w:pPr>
      <w:r>
        <w:t>Retirar la ref. 1400 de la frase sobre IA, o explicar qué aporta.</w:t>
      </w:r>
    </w:p>
    <w:p>
      <w:pPr>
        <w:pStyle w:val="ListBullet2"/>
      </w:pPr>
      <w:r>
        <w:t>Completar la ref. 1397 con el DOI.</w:t>
      </w:r>
    </w:p>
    <w:p>
      <w:pPr>
        <w:pStyle w:val="ListBullet"/>
      </w:pPr>
      <w:r>
        <w:rPr>
          <w:b/>
        </w:rPr>
        <w:t>Confianza:</w:t>
      </w:r>
      <w:r>
        <w:t xml:space="preserve"> 5/5</w:t>
      </w:r>
    </w:p>
    <w:p>
      <w:pPr>
        <w:pStyle w:val="Heading4"/>
      </w:pPr>
      <w:r>
        <w:t>IA-08 · Biomarcadores de imagen: cita de un ensayo de asma y sobreafirmación sobre nódulos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"Imaging biomarkers", PDF 144 / impr. 133</w:t>
      </w:r>
    </w:p>
    <w:p>
      <w:pPr>
        <w:pStyle w:val="ListBullet"/>
      </w:pPr>
      <w:r>
        <w:rPr>
          <w:b/>
        </w:rPr>
        <w:t>Cita:</w:t>
      </w:r>
      <w:r>
        <w:t xml:space="preserve"> "AI can be used to quantify the extent and the pattern of emphysema and to analyze fissure integrity, mucus plugs, bronchiectasis and/or pulmonary vessels.(1417) Likewise, using AI-assisted analysis of nodules may avoid overuse of invasive procedures…(1418)"</w:t>
      </w:r>
    </w:p>
    <w:p>
      <w:pPr>
        <w:pStyle w:val="ListBullet"/>
      </w:pPr>
      <w:r>
        <w:rPr>
          <w:b/>
        </w:rPr>
        <w:t>Problema:</w:t>
      </w:r>
    </w:p>
    <w:p>
      <w:pPr>
        <w:pStyle w:val="ListBullet2"/>
      </w:pPr>
      <w:r>
        <w:t xml:space="preserve">La </w:t>
      </w:r>
      <w:r>
        <w:rPr>
          <w:b/>
        </w:rPr>
        <w:t>ref. 1417</w:t>
      </w:r>
      <w:r>
        <w:t xml:space="preserve"> es el ensayo VESTIGE (dupilumab en asma tipo 2; Lancet Respir Med 2025). Usa imagen funcional respiratoria como variable de resultado. No valida herramientas de IA ni incluye pacientes con EPOC.</w:t>
      </w:r>
    </w:p>
    <w:p>
      <w:pPr>
        <w:pStyle w:val="ListBullet2"/>
      </w:pPr>
      <w:r>
        <w:t xml:space="preserve">La </w:t>
      </w:r>
      <w:r>
        <w:rPr>
          <w:b/>
        </w:rPr>
        <w:t>ref. 1418</w:t>
      </w:r>
      <w:r>
        <w:t xml:space="preserve"> (Luo Y et al., Transl Lung Cancer Res 2025) es una revisión sobre modelos de lenguaje y de visión-lenguaje en cáncer de pulmón. No aporta evidencia de que la IA reduzca procedimientos invasivos.</w:t>
      </w:r>
    </w:p>
    <w:p>
      <w:pPr>
        <w:pStyle w:val="ListBullet2"/>
      </w:pPr>
      <w:r>
        <w:t>"The most developed AI platform currently utilized in COPD" no distingue el software cuantitativo de TC con marcado CE o autorización FDA de los prototipos.</w:t>
      </w:r>
    </w:p>
    <w:p>
      <w:pPr>
        <w:pStyle w:val="ListBullet"/>
      </w:pPr>
      <w:r>
        <w:rPr>
          <w:b/>
        </w:rPr>
        <w:t>Evidencia/justificación:</w:t>
      </w:r>
      <w:r>
        <w:t xml:space="preserve"> Verificado en los resúmenes. El propio GOLD ya tiene referencias más pertinentes, por ejemplo la ref. 296 y las del Cap. 2 sobre TC cuantitativa.</w:t>
      </w:r>
    </w:p>
    <w:p>
      <w:pPr>
        <w:pStyle w:val="ListBullet"/>
      </w:pPr>
      <w:r>
        <w:rPr>
          <w:b/>
        </w:rPr>
        <w:t>Recomendación:</w:t>
      </w:r>
    </w:p>
    <w:p>
      <w:pPr>
        <w:pStyle w:val="ListBullet2"/>
      </w:pPr>
      <w:r>
        <w:t>Sustituir la ref. 1417 por estudios de validación de cuantificación automática en EPOC.</w:t>
      </w:r>
    </w:p>
    <w:p>
      <w:pPr>
        <w:pStyle w:val="ListBullet2"/>
      </w:pPr>
      <w:r>
        <w:t>Reformular la frase de nódulos como "may help… (evidence mainly from lung-cancer screening studies)", con referencias primarias.</w:t>
      </w:r>
    </w:p>
    <w:p>
      <w:pPr>
        <w:pStyle w:val="ListBullet2"/>
      </w:pPr>
      <w:r>
        <w:t>Señalar qué herramientas tienen aprobación regulatoria.</w:t>
      </w:r>
    </w:p>
    <w:p>
      <w:pPr>
        <w:pStyle w:val="ListBullet"/>
      </w:pPr>
      <w:r>
        <w:rPr>
          <w:b/>
        </w:rPr>
        <w:t>Confianza:</w:t>
      </w:r>
      <w:r>
        <w:t xml:space="preserve"> 5/5</w:t>
      </w:r>
    </w:p>
    <w:p>
      <w:pPr>
        <w:pStyle w:val="Heading4"/>
      </w:pPr>
      <w:r>
        <w:t>IA-09 · "AI on omics data" con referencias que no son ómicas ni específicas de EPOC, y "clearly pave the way"</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"Biologic biomarkers", PDF 144 / impr. 133</w:t>
      </w:r>
    </w:p>
    <w:p>
      <w:pPr>
        <w:pStyle w:val="ListBullet"/>
      </w:pPr>
      <w:r>
        <w:rPr>
          <w:b/>
        </w:rPr>
        <w:t>Cita:</w:t>
      </w:r>
      <w:r>
        <w:t xml:space="preserve"> "Several studies used AI on omics data to identify biologic biomarkers of potential use in COPD.(1419-1421) Most of them require validation … but clearly pave the way for a better characterization of COPD patients"</w:t>
      </w:r>
    </w:p>
    <w:p>
      <w:pPr>
        <w:pStyle w:val="ListBullet"/>
      </w:pPr>
      <w:r>
        <w:rPr>
          <w:b/>
        </w:rPr>
        <w:t>Problema:</w:t>
      </w:r>
    </w:p>
    <w:p>
      <w:pPr>
        <w:pStyle w:val="ListBullet2"/>
      </w:pPr>
      <w:r>
        <w:t xml:space="preserve">La </w:t>
      </w:r>
      <w:r>
        <w:rPr>
          <w:b/>
        </w:rPr>
        <w:t>ref. 1421</w:t>
      </w:r>
      <w:r>
        <w:t xml:space="preserve"> usa índices del hemograma (neutrófilos/linfocitos, etc.), no datos ómicos.</w:t>
      </w:r>
    </w:p>
    <w:p>
      <w:pPr>
        <w:pStyle w:val="ListBullet2"/>
      </w:pPr>
      <w:r>
        <w:t xml:space="preserve">La </w:t>
      </w:r>
      <w:r>
        <w:rPr>
          <w:b/>
        </w:rPr>
        <w:t>ref. 1419</w:t>
      </w:r>
      <w:r>
        <w:t xml:space="preserve"> (Carrasco-Zanini J et al., Nat Med 2024) es un estudio proteómico de UK Biobank sobre más de 200 enfermedades, no centrado en la EPOC.</w:t>
      </w:r>
    </w:p>
    <w:p>
      <w:pPr>
        <w:pStyle w:val="ListBullet2"/>
      </w:pPr>
      <w:r>
        <w:t xml:space="preserve">Solo la </w:t>
      </w:r>
      <w:r>
        <w:rPr>
          <w:b/>
        </w:rPr>
        <w:t>ref. 1420</w:t>
      </w:r>
      <w:r>
        <w:t xml:space="preserve"> (Olvera N et al., AJRCCM 2024) es ómica y específica de EPOC.</w:t>
      </w:r>
    </w:p>
    <w:p>
      <w:pPr>
        <w:pStyle w:val="ListBullet2"/>
      </w:pPr>
      <w:r>
        <w:t>"Clearly pave the way" es incoherente con "require validation".</w:t>
      </w:r>
    </w:p>
    <w:p>
      <w:pPr>
        <w:pStyle w:val="ListBullet"/>
      </w:pPr>
      <w:r>
        <w:rPr>
          <w:b/>
        </w:rPr>
        <w:t>Evidencia/justificación:</w:t>
      </w:r>
      <w:r>
        <w:t xml:space="preserve"> Verificado en los resúmenes.</w:t>
      </w:r>
    </w:p>
    <w:p>
      <w:pPr>
        <w:pStyle w:val="ListBullet"/>
      </w:pPr>
      <w:r>
        <w:rPr>
          <w:b/>
        </w:rPr>
        <w:t>Recomendación:</w:t>
      </w:r>
    </w:p>
    <w:p>
      <w:pPr>
        <w:pStyle w:val="ListBullet2"/>
      </w:pPr>
      <w:r>
        <w:t>Corregir las citas.</w:t>
      </w:r>
    </w:p>
    <w:p>
      <w:pPr>
        <w:pStyle w:val="ListBullet2"/>
      </w:pPr>
      <w:r>
        <w:t>Sustituir "clearly pave the way" por "may contribute to".</w:t>
      </w:r>
    </w:p>
    <w:p>
      <w:pPr>
        <w:pStyle w:val="ListBullet"/>
      </w:pPr>
      <w:r>
        <w:rPr>
          <w:b/>
        </w:rPr>
        <w:t>Confianza:</w:t>
      </w:r>
      <w:r>
        <w:t xml:space="preserve"> 4/5</w:t>
      </w:r>
    </w:p>
    <w:p>
      <w:pPr>
        <w:pStyle w:val="Heading4"/>
      </w:pPr>
      <w:r>
        <w:t>IA-10 · Modelos fundacionales (Merlin): referencia incompleta y descripción inexacta</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Cap. 6, "Multimodal models", PDF 145 / impr. 134; referencia 1423</w:t>
      </w:r>
    </w:p>
    <w:p>
      <w:pPr>
        <w:pStyle w:val="ListBullet"/>
      </w:pPr>
      <w:r>
        <w:rPr>
          <w:b/>
        </w:rPr>
        <w:t>Cita:</w:t>
      </w:r>
      <w:r>
        <w:t xml:space="preserve"> "Emerging foundation models (Figure 6.1) such as Merlin extends this concept further by integrating imaging and text but also structured clinical and laboratory data.(1418,1423)"</w:t>
      </w:r>
    </w:p>
    <w:p>
      <w:pPr>
        <w:pStyle w:val="ListBullet"/>
      </w:pPr>
      <w:r>
        <w:rPr>
          <w:b/>
        </w:rPr>
        <w:t>Problema:</w:t>
      </w:r>
    </w:p>
    <w:p>
      <w:pPr>
        <w:pStyle w:val="ListBullet2"/>
      </w:pPr>
      <w:r>
        <w:t>La ref. 1423 solo dice "Springer Science and Business Media LLC; 2024", sin revista, volumen ni DOI. Corresponde a un preprint (arXiv 2406.06512 / Research Square).</w:t>
      </w:r>
    </w:p>
    <w:p>
      <w:pPr>
        <w:pStyle w:val="ListBullet2"/>
      </w:pPr>
      <w:r>
        <w:t>Merlin se entrenó con TC (mayoritariamente abdominal), códigos diagnósticos de la HCE e informes radiológicos. No usa "laboratory data".</w:t>
      </w:r>
    </w:p>
    <w:p>
      <w:pPr>
        <w:pStyle w:val="ListBullet2"/>
      </w:pPr>
      <w:r>
        <w:t>No se ha evaluado en EPOC.</w:t>
      </w:r>
    </w:p>
    <w:p>
      <w:pPr>
        <w:pStyle w:val="ListBullet2"/>
      </w:pPr>
      <w:r>
        <w:t>Error gramatical: "such as Merlin extends".</w:t>
      </w:r>
    </w:p>
    <w:p>
      <w:pPr>
        <w:pStyle w:val="ListBullet"/>
      </w:pPr>
      <w:r>
        <w:rPr>
          <w:b/>
        </w:rPr>
        <w:t>Evidencia/justificación:</w:t>
      </w:r>
    </w:p>
    <w:p>
      <w:pPr>
        <w:pStyle w:val="ListBullet2"/>
      </w:pPr>
      <w:r>
        <w:t>Descripción del preprint de Blankemeier L et al.</w:t>
      </w:r>
    </w:p>
    <w:p>
      <w:pPr>
        <w:pStyle w:val="ListBullet2"/>
      </w:pPr>
      <w:r>
        <w:t>Que hay una versión revisada por pares posterior se comprobó en una búsqueda web; confianza moderada sobre la referencia final exacta.</w:t>
      </w:r>
    </w:p>
    <w:p>
      <w:pPr>
        <w:pStyle w:val="ListBullet"/>
      </w:pPr>
      <w:r>
        <w:rPr>
          <w:b/>
        </w:rPr>
        <w:t>Recomendación:</w:t>
      </w:r>
    </w:p>
    <w:p>
      <w:pPr>
        <w:pStyle w:val="ListBullet2"/>
      </w:pPr>
      <w:r>
        <w:t>Citar la versión revisada por pares, si existe, o identificar el preprint como tal.</w:t>
      </w:r>
    </w:p>
    <w:p>
      <w:pPr>
        <w:pStyle w:val="ListBullet2"/>
      </w:pPr>
      <w:r>
        <w:t>Corregir la descripción de los datos de entrenamiento.</w:t>
      </w:r>
    </w:p>
    <w:p>
      <w:pPr>
        <w:pStyle w:val="ListBullet2"/>
      </w:pPr>
      <w:r>
        <w:t>Aclarar que es un ejemplo de investigación sin validación en EPOC.</w:t>
      </w:r>
    </w:p>
    <w:p>
      <w:pPr>
        <w:pStyle w:val="ListBullet"/>
      </w:pPr>
      <w:r>
        <w:rPr>
          <w:b/>
        </w:rPr>
        <w:t>Confianza:</w:t>
      </w:r>
      <w:r>
        <w:t xml:space="preserve"> 4/5</w:t>
      </w:r>
    </w:p>
    <w:p>
      <w:pPr>
        <w:pStyle w:val="Heading4"/>
      </w:pPr>
      <w:r>
        <w:t>IA-14 · CDS en multimorbilidad: prohibir acrónimos no es realista y no hay evidencia del beneficio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Cap. 6, PDF 145 / impr. 134</w:t>
      </w:r>
    </w:p>
    <w:p>
      <w:pPr>
        <w:pStyle w:val="ListBullet"/>
      </w:pPr>
      <w:r>
        <w:rPr>
          <w:b/>
        </w:rPr>
        <w:t>Cita:</w:t>
      </w:r>
      <w:r>
        <w:t xml:space="preserve"> "This is an herculean process where AI can be of great help … the use of acronyms … should be banned. … guidelines … constitute an invaluable source of input data for AI"</w:t>
      </w:r>
    </w:p>
    <w:p>
      <w:pPr>
        <w:pStyle w:val="ListBullet"/>
      </w:pPr>
      <w:r>
        <w:rPr>
          <w:b/>
        </w:rPr>
        <w:t>Problema:</w:t>
      </w:r>
    </w:p>
    <w:p>
      <w:pPr>
        <w:pStyle w:val="ListBullet2"/>
      </w:pPr>
      <w:r>
        <w:t>Se afirma "great help" sin evidencia. Los sistemas de CDS con alertas tienen problemas conocidos de fatiga de alertas y beneficio inconsistente.</w:t>
      </w:r>
    </w:p>
    <w:p>
      <w:pPr>
        <w:pStyle w:val="ListBullet2"/>
      </w:pPr>
      <w:r>
        <w:t>La solución técnica realista no es "prohibir acrónimos" sino:</w:t>
      </w:r>
    </w:p>
    <w:p>
      <w:pPr>
        <w:pStyle w:val="ListBullet2"/>
      </w:pPr>
      <w:r>
        <w:t>Terminologías y modelos estándar (SNOMED CT, LOINC, HL7 FHIR).</w:t>
      </w:r>
    </w:p>
    <w:p>
      <w:pPr>
        <w:pStyle w:val="ListBullet2"/>
      </w:pPr>
      <w:r>
        <w:t>Guías "computables": recomendaciones en formato legible por máquina, por ejemplo CPG-on-FHIR.</w:t>
      </w:r>
    </w:p>
    <w:p>
      <w:pPr>
        <w:pStyle w:val="ListBullet2"/>
      </w:pPr>
      <w:r>
        <w:t>El párrafo es una opinión del comité. La ref. 1133 se publicó después del corte metodológico (ver IA-21).</w:t>
      </w:r>
    </w:p>
    <w:p>
      <w:pPr>
        <w:pStyle w:val="ListBullet"/>
      </w:pPr>
      <w:r>
        <w:rPr>
          <w:b/>
        </w:rPr>
        <w:t>Evidencia/justificación:</w:t>
      </w:r>
      <w:r>
        <w:t xml:space="preserve"> Se trata de estándares de interoperabilidad ampliamente adoptados. La afirmación sobre el CDS no tiene cita.</w:t>
      </w:r>
    </w:p>
    <w:p>
      <w:pPr>
        <w:pStyle w:val="ListBullet"/>
      </w:pPr>
      <w:r>
        <w:rPr>
          <w:b/>
        </w:rPr>
        <w:t>Recomendación:</w:t>
      </w:r>
    </w:p>
    <w:p>
      <w:pPr>
        <w:pStyle w:val="ListBullet2"/>
      </w:pPr>
      <w:r>
        <w:t>Etiquetar el párrafo como perspectiva u opinión de expertos.</w:t>
      </w:r>
    </w:p>
    <w:p>
      <w:pPr>
        <w:pStyle w:val="ListBullet2"/>
      </w:pPr>
      <w:r>
        <w:t>Recomendar terminologías estándar y que GOLD publique sus algoritmos en formato computable.</w:t>
      </w:r>
    </w:p>
    <w:p>
      <w:pPr>
        <w:pStyle w:val="ListBullet2"/>
      </w:pPr>
      <w:r>
        <w:t>Mencionar los riesgos de fatiga de alertas y de sesgo de automatización.</w:t>
      </w:r>
    </w:p>
    <w:p>
      <w:pPr>
        <w:pStyle w:val="ListBullet"/>
      </w:pPr>
      <w:r>
        <w:rPr>
          <w:b/>
        </w:rPr>
        <w:t>Confianza:</w:t>
      </w:r>
      <w:r>
        <w:t xml:space="preserve"> 4/5</w:t>
      </w:r>
    </w:p>
    <w:p>
      <w:pPr>
        <w:pStyle w:val="Heading4"/>
      </w:pPr>
      <w:r>
        <w:t>IA-16 · Telemonitorización e inhaladores inteligentes: confusión entre IA y telemonitorización, y referencias que no respaldan "the potential … is large"</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"Remote patient monitoring", PDF 145 / impr. 134</w:t>
      </w:r>
    </w:p>
    <w:p>
      <w:pPr>
        <w:pStyle w:val="ListBullet"/>
      </w:pPr>
      <w:r>
        <w:rPr>
          <w:b/>
        </w:rPr>
        <w:t>Cita:</w:t>
      </w:r>
      <w:r>
        <w:t xml:space="preserve"> "When combined with wearable sensor technologies, AI can also allow RPM … the potential of digital smart inhalers to improve adherence and inhaler technique is large.(1426-1428)"</w:t>
      </w:r>
    </w:p>
    <w:p>
      <w:pPr>
        <w:pStyle w:val="ListBullet"/>
      </w:pPr>
      <w:r>
        <w:rPr>
          <w:b/>
        </w:rPr>
        <w:t>Problema:</w:t>
      </w:r>
    </w:p>
    <w:p>
      <w:pPr>
        <w:pStyle w:val="ListBullet2"/>
      </w:pPr>
      <w:r>
        <w:t>La telemonitorización no requiere IA. Atribuirle a la IA que "permite" la telemonitorización confunde las dos tecnologías.</w:t>
      </w:r>
    </w:p>
    <w:p>
      <w:pPr>
        <w:pStyle w:val="ListBullet2"/>
      </w:pPr>
      <w:r>
        <w:t xml:space="preserve">La </w:t>
      </w:r>
      <w:r>
        <w:rPr>
          <w:b/>
        </w:rPr>
        <w:t>ref. 1427</w:t>
      </w:r>
      <w:r>
        <w:t xml:space="preserve"> (Chamaon D et al., 2025) es una validación técnica de un inhalador inteligente:</w:t>
      </w:r>
    </w:p>
    <w:p>
      <w:pPr>
        <w:pStyle w:val="ListBullet2"/>
      </w:pPr>
      <w:r>
        <w:t>Concordancia con el registro de referencia (ICC &gt; 0,95) en unos 97 sujetos, incluidos voluntarios sanos.</w:t>
      </w:r>
    </w:p>
    <w:p>
      <w:pPr>
        <w:pStyle w:val="ListBullet2"/>
      </w:pPr>
      <w:r>
        <w:t>Sin resultados de adherencia ni clínicos.</w:t>
      </w:r>
    </w:p>
    <w:p>
      <w:pPr>
        <w:pStyle w:val="ListBullet2"/>
      </w:pPr>
      <w:r>
        <w:t xml:space="preserve">La </w:t>
      </w:r>
      <w:r>
        <w:rPr>
          <w:b/>
        </w:rPr>
        <w:t>ref. 1428</w:t>
      </w:r>
      <w:r>
        <w:t xml:space="preserve"> (Glyde HMG et al., 2024) trata de telemonitorización + ML en exacerbaciones, no de inhaladores.</w:t>
      </w:r>
    </w:p>
    <w:p>
      <w:pPr>
        <w:pStyle w:val="ListBullet2"/>
      </w:pPr>
      <w:r>
        <w:t>El Cap. 3 (PDF 82 / impr. 71) es más prudente: "digital inhalers could contribute to improved adherence … (734)".</w:t>
      </w:r>
    </w:p>
    <w:p>
      <w:pPr>
        <w:pStyle w:val="ListBullet"/>
      </w:pPr>
      <w:r>
        <w:rPr>
          <w:b/>
        </w:rPr>
        <w:t>Evidencia/justificación:</w:t>
      </w:r>
      <w:r>
        <w:t xml:space="preserve"> Verificado en los resúmenes. La afirmación sobre la telemonitorización (ref. 1425, ATS 2025) es correcta y prudente, pero contrasta con el "is large" del párrafo siguiente.</w:t>
      </w:r>
    </w:p>
    <w:p>
      <w:pPr>
        <w:pStyle w:val="ListBullet"/>
      </w:pPr>
      <w:r>
        <w:rPr>
          <w:b/>
        </w:rPr>
        <w:t>Recomendación:</w:t>
      </w:r>
    </w:p>
    <w:p>
      <w:pPr>
        <w:pStyle w:val="ListBullet2"/>
      </w:pPr>
      <w:r>
        <w:t>Separar telemonitorización e IA.</w:t>
      </w:r>
    </w:p>
    <w:p>
      <w:pPr>
        <w:pStyle w:val="ListBullet2"/>
      </w:pPr>
      <w:r>
        <w:t>Sustituir "is large" por "may help; evidence of improvement in clinical outcomes in COPD is limited".</w:t>
      </w:r>
    </w:p>
    <w:p>
      <w:pPr>
        <w:pStyle w:val="ListBullet2"/>
      </w:pPr>
      <w:r>
        <w:t>Usar la misma referencia y la misma redacción que el Cap. 3.</w:t>
      </w:r>
    </w:p>
    <w:p>
      <w:pPr>
        <w:pStyle w:val="ListBullet"/>
      </w:pPr>
      <w:r>
        <w:rPr>
          <w:b/>
        </w:rPr>
        <w:t>Confianza:</w:t>
      </w:r>
      <w:r>
        <w:t xml:space="preserve"> 4/5</w:t>
      </w:r>
    </w:p>
    <w:p>
      <w:pPr>
        <w:pStyle w:val="Heading4"/>
      </w:pPr>
      <w:r>
        <w:t>IA-18 · Omisión de los ECAs neutros o negativos de telemonitorización y de la evidencia económica</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Cap. 6, PDF 145-146 / impr. 134-135</w:t>
      </w:r>
    </w:p>
    <w:p>
      <w:pPr>
        <w:pStyle w:val="ListBullet"/>
      </w:pPr>
      <w:r>
        <w:rPr>
          <w:b/>
        </w:rPr>
        <w:t>Cita:</w:t>
      </w:r>
      <w:r>
        <w:t xml:space="preserve"> "Yet, there is still limited evidence that RPM in COPD impacts on relevant clinical outcomes.(1425)"</w:t>
      </w:r>
    </w:p>
    <w:p>
      <w:pPr>
        <w:pStyle w:val="ListBullet"/>
      </w:pPr>
      <w:r>
        <w:rPr>
          <w:b/>
        </w:rPr>
        <w:t>Problema:</w:t>
      </w:r>
      <w:r>
        <w:t xml:space="preserve"> Decir "limited evidence" es correcto pero insuficiente. Varios ECAs bien diseñados son negativos y uno sugiere daño. El lector no los encuentra en el capítulo, y el Apéndice 4 sí cita evidencia negativa (refs. 1685, 1686).</w:t>
      </w:r>
    </w:p>
    <w:p>
      <w:pPr>
        <w:pStyle w:val="ListBullet"/>
      </w:pPr>
      <w:r>
        <w:rPr>
          <w:b/>
        </w:rPr>
        <w:t>Evidencia/justificación:</w:t>
      </w:r>
    </w:p>
    <w:p>
      <w:pPr>
        <w:pStyle w:val="ListBullet2"/>
      </w:pPr>
      <w:r>
        <w:t>TELESCOT (BMJ 2013;347:f6070).</w:t>
      </w:r>
    </w:p>
    <w:p>
      <w:pPr>
        <w:pStyle w:val="ListBullet2"/>
      </w:pPr>
      <w:r>
        <w:t>CHROMED (AJRCCM 2018;198:620-628).</w:t>
      </w:r>
    </w:p>
    <w:p>
      <w:pPr>
        <w:pStyle w:val="ListBullet2"/>
      </w:pPr>
      <w:r>
        <w:t>TeleCRAFT (Thorax 2016;71:305-311): más ingresos.</w:t>
      </w:r>
    </w:p>
    <w:p>
      <w:pPr>
        <w:pStyle w:val="ListBullet2"/>
      </w:pPr>
      <w:r>
        <w:t>Whole Systems Demonstrator: calidad de vida (Cartwright M et al., BMJ 2013;346:f653, ref. 1686 de GOLD) y coste por AVAC de unas £92.000 (Henderson C et al., BMJ 2013;346:f1035).</w:t>
      </w:r>
    </w:p>
    <w:p>
      <w:pPr>
        <w:pStyle w:val="ListBullet2"/>
      </w:pPr>
      <w:r>
        <w:t>Una interpretación plausible, sugerida por los autores de TELESCOT, es que el beneficio de algunos ensayos se debe a mejorar el servicio clínico subyacente, no a la tecnología.</w:t>
      </w:r>
    </w:p>
    <w:p>
      <w:pPr>
        <w:pStyle w:val="ListBullet"/>
      </w:pPr>
      <w:r>
        <w:rPr>
          <w:b/>
        </w:rPr>
        <w:t>Recomendación:</w:t>
      </w:r>
    </w:p>
    <w:p>
      <w:pPr>
        <w:pStyle w:val="ListBullet2"/>
      </w:pPr>
      <w:r>
        <w:t>Añadir una frase con estos ECAs y su interpretación.</w:t>
      </w:r>
    </w:p>
    <w:p>
      <w:pPr>
        <w:pStyle w:val="ListBullet2"/>
      </w:pPr>
      <w:r>
        <w:t>Recomendar que la telemonitorización solo se implante integrada en servicios con capacidad de respuesta y con evaluación de resultados.</w:t>
      </w:r>
    </w:p>
    <w:p>
      <w:pPr>
        <w:pStyle w:val="ListBullet"/>
      </w:pPr>
      <w:r>
        <w:rPr>
          <w:b/>
        </w:rPr>
        <w:t>Confianza:</w:t>
      </w:r>
      <w:r>
        <w:t xml:space="preserve"> 5/5</w:t>
      </w:r>
    </w:p>
    <w:p>
      <w:pPr>
        <w:pStyle w:val="Heading4"/>
      </w:pPr>
      <w:r>
        <w:t>IA-19 · Telerrehabilitación: redacción ambigua y omisión de las limitaciones señaladas en el Apéndice 4</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Cap. 6, "Delivery of pulmonary rehabilitation", PDF 148 / impr. 137</w:t>
      </w:r>
    </w:p>
    <w:p>
      <w:pPr>
        <w:pStyle w:val="ListBullet"/>
      </w:pPr>
      <w:r>
        <w:rPr>
          <w:b/>
        </w:rPr>
        <w:t>Cita:</w:t>
      </w:r>
      <w:r>
        <w:t xml:space="preserve"> "…comparing telerehabilitation with usual care and/or center-based rehabilitation, which was established as the gold-standard in a 2021 Cochrane review.(1436)"</w:t>
      </w:r>
    </w:p>
    <w:p>
      <w:pPr>
        <w:pStyle w:val="ListBullet"/>
      </w:pPr>
      <w:r>
        <w:rPr>
          <w:b/>
        </w:rPr>
        <w:t>Problema:</w:t>
      </w:r>
    </w:p>
    <w:p>
      <w:pPr>
        <w:pStyle w:val="ListBullet2"/>
      </w:pPr>
      <w:r>
        <w:t>No queda claro qué se establece como "gold standard" (la rehabilitación presencial).</w:t>
      </w:r>
    </w:p>
    <w:p>
      <w:pPr>
        <w:pStyle w:val="ListBullet2"/>
      </w:pPr>
      <w:r>
        <w:t>No se informa de la magnitud ni de la certeza de la evidencia de Cox 2021.</w:t>
      </w:r>
    </w:p>
    <w:p>
      <w:pPr>
        <w:pStyle w:val="ListBullet2"/>
      </w:pPr>
      <w:r>
        <w:t>No se trasladan las salvedades del propio Apéndice 4 (PDF 174 / impr. 163): no hay plataforma estándar, faltan pruebas remotas para prescribir el ejercicio, no hay datos tras una exacerbación y la duración del beneficio es incierta.</w:t>
      </w:r>
    </w:p>
    <w:p>
      <w:pPr>
        <w:pStyle w:val="ListBullet2"/>
      </w:pPr>
      <w:r>
        <w:t>No se mencionan la selección de pacientes ni la seguridad (desaturación).</w:t>
      </w:r>
    </w:p>
    <w:p>
      <w:pPr>
        <w:pStyle w:val="ListBullet"/>
      </w:pPr>
      <w:r>
        <w:rPr>
          <w:b/>
        </w:rPr>
        <w:t>Evidencia/justificación:</w:t>
      </w:r>
    </w:p>
    <w:p>
      <w:pPr>
        <w:pStyle w:val="ListBullet2"/>
      </w:pPr>
      <w:r>
        <w:t>Cox NS et al. (CD013040): 15 estudios (n ≈ 1904, 99 % EPOC). Frente a la rehabilitación presencial, diferencia en la distancia caminada en 6 minutos de ~0 m (certeza moderada). Certeza baja para otros resultados. Mayor finalización con telerrehabilitación (93 % frente a 70 %).</w:t>
      </w:r>
    </w:p>
    <w:p>
      <w:pPr>
        <w:pStyle w:val="ListBullet2"/>
      </w:pPr>
      <w:r>
        <w:t>La guía ATS 2023 (ref. 736) se cita correctamente: recomendación fuerte, certeza moderada.</w:t>
      </w:r>
    </w:p>
    <w:p>
      <w:pPr>
        <w:pStyle w:val="ListBullet"/>
      </w:pPr>
      <w:r>
        <w:rPr>
          <w:b/>
        </w:rPr>
        <w:t>Recomendación:</w:t>
      </w:r>
    </w:p>
    <w:p>
      <w:pPr>
        <w:pStyle w:val="ListBullet2"/>
      </w:pPr>
      <w:r>
        <w:t>Reescribir así: "A 2021 Cochrane review found that telerehabilitation achieved outcomes similar to centre-based PR (the gold standard) for exercise capacity (moderate-certainty evidence)…".</w:t>
      </w:r>
    </w:p>
    <w:p>
      <w:pPr>
        <w:pStyle w:val="ListBullet2"/>
      </w:pPr>
      <w:r>
        <w:t>Añadir las limitaciones del Apéndice 4 y la necesidad de una evaluación presencial inicial y de criterios de seguridad.</w:t>
      </w:r>
    </w:p>
    <w:p>
      <w:pPr>
        <w:pStyle w:val="ListBullet"/>
      </w:pPr>
      <w:r>
        <w:rPr>
          <w:b/>
        </w:rPr>
        <w:t>Confianza:</w:t>
      </w:r>
      <w:r>
        <w:t xml:space="preserve"> 4/5</w:t>
      </w:r>
    </w:p>
    <w:p>
      <w:pPr>
        <w:pStyle w:val="Heading4"/>
      </w:pPr>
      <w:r>
        <w:t>IA-20 · Automanejo: falta la magnitud del efecto, y "no studies to date" es inexacto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"Delivery of self-management", PDF 148 / impr. 137</w:t>
      </w:r>
    </w:p>
    <w:p>
      <w:pPr>
        <w:pStyle w:val="ListBullet"/>
      </w:pPr>
      <w:r>
        <w:rPr>
          <w:b/>
        </w:rPr>
        <w:t>Cita:</w:t>
      </w:r>
      <w:r>
        <w:t xml:space="preserve"> "A 2022 Cochrane review reported that a self-management intervention both improved quality of life and reduced hospital admissions.(1437) … No studies to date have been designed to demonstrate whether there is any additional benefit of telehealth-supported self-management…(1438)"</w:t>
      </w:r>
    </w:p>
    <w:p>
      <w:pPr>
        <w:pStyle w:val="ListBullet"/>
      </w:pPr>
      <w:r>
        <w:rPr>
          <w:b/>
        </w:rPr>
        <w:t>Problema:</w:t>
      </w:r>
    </w:p>
    <w:p>
      <w:pPr>
        <w:pStyle w:val="ListBullet2"/>
      </w:pPr>
      <w:r>
        <w:t>Schrijver J et al. (CD002990, 2022):</w:t>
      </w:r>
    </w:p>
    <w:p>
      <w:pPr>
        <w:pStyle w:val="ListBullet2"/>
      </w:pPr>
      <w:r>
        <w:t>SGRQ −2,86 puntos, por debajo de la diferencia mínima clínicamente importante de 4, con certeza baja.</w:t>
      </w:r>
    </w:p>
    <w:p>
      <w:pPr>
        <w:pStyle w:val="ListBullet2"/>
      </w:pPr>
      <w:r>
        <w:t>Reducción de ingresos respiratorios (OR ~0,75) con certeza muy baja.</w:t>
      </w:r>
    </w:p>
    <w:p>
      <w:pPr>
        <w:pStyle w:val="ListBullet2"/>
      </w:pPr>
      <w:r>
        <w:t>Sin efecto sobre la mortalidad.</w:t>
      </w:r>
    </w:p>
    <w:p>
      <w:pPr>
        <w:pStyle w:val="ListBullet2"/>
      </w:pPr>
      <w:r>
        <w:t>"Both improved" omite la magnitud y la certeza.</w:t>
      </w:r>
    </w:p>
    <w:p>
      <w:pPr>
        <w:pStyle w:val="ListBullet2"/>
      </w:pPr>
      <w:r>
        <w:t>"No studies to date" es inexacto. McCabe C et al. (Cochrane 2017, CD011425, PMID 28535331) incluyó 3 ECAs (n analizable = 557) que comparaban automanejo con tecnología "smart" frente a apoyo presencial o escrito. En un estudio se notificaron más eventos adversos en el grupo de intervención (43 frente a 8).</w:t>
      </w:r>
    </w:p>
    <w:p>
      <w:pPr>
        <w:pStyle w:val="ListBullet"/>
      </w:pPr>
      <w:r>
        <w:rPr>
          <w:b/>
        </w:rPr>
        <w:t>Evidencia/justificación:</w:t>
      </w:r>
      <w:r>
        <w:t xml:space="preserve"> Verificado en los resúmenes Cochrane. La ref. 1438 es una revisión narrativa.</w:t>
      </w:r>
    </w:p>
    <w:p>
      <w:pPr>
        <w:pStyle w:val="ListBullet"/>
      </w:pPr>
      <w:r>
        <w:rPr>
          <w:b/>
        </w:rPr>
        <w:t>Recomendación:</w:t>
      </w:r>
    </w:p>
    <w:p>
      <w:pPr>
        <w:pStyle w:val="ListBullet2"/>
      </w:pPr>
      <w:r>
        <w:t>Informar de la magnitud frente a la diferencia mínima clínicamente importante y de la certeza GRADE.</w:t>
      </w:r>
    </w:p>
    <w:p>
      <w:pPr>
        <w:pStyle w:val="ListBullet2"/>
      </w:pPr>
      <w:r>
        <w:t>Reformular como "few, small RCTs have compared technology-supported vs. conventional self-management, with inconclusive results", citando a McCabe 2017.</w:t>
      </w:r>
    </w:p>
    <w:p>
      <w:pPr>
        <w:pStyle w:val="ListBullet"/>
      </w:pPr>
      <w:r>
        <w:rPr>
          <w:b/>
        </w:rPr>
        <w:t>Confianza:</w:t>
      </w:r>
      <w:r>
        <w:t xml:space="preserve"> 4/5</w:t>
      </w:r>
    </w:p>
    <w:p>
      <w:pPr>
        <w:pStyle w:val="Heading4"/>
      </w:pPr>
      <w:r>
        <w:t>IA-21 · Las referencias del Cap. 6 no siguen la metodología declarada por GOLD</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Metodología, PDF 6-7 / impr. v-vi; referencias del Cap. 6 (PDF 231-233)</w:t>
      </w:r>
    </w:p>
    <w:p>
      <w:pPr>
        <w:pStyle w:val="ListBullet"/>
      </w:pPr>
      <w:r>
        <w:rPr>
          <w:b/>
        </w:rPr>
        <w:t>Cita:</w:t>
      </w:r>
      <w:r>
        <w:t xml:space="preserve"> "Only high-quality systematic reviews and meta-analyses that provide strong evidence for changing clinical practice are cited … key peer-reviewed research publications from January 2024 to July 2025."</w:t>
      </w:r>
    </w:p>
    <w:p>
      <w:pPr>
        <w:pStyle w:val="ListBullet"/>
      </w:pPr>
      <w:r>
        <w:rPr>
          <w:b/>
        </w:rPr>
        <w:t>Problema:</w:t>
      </w:r>
      <w:r>
        <w:t xml:space="preserve"> El Cap. 6 incluye:</w:t>
      </w:r>
    </w:p>
    <w:p>
      <w:pPr>
        <w:pStyle w:val="ListBullet2"/>
      </w:pPr>
      <w:r>
        <w:t>Un manuscrito "submitted" (ref. 1393; autoría del propio comité).</w:t>
      </w:r>
    </w:p>
    <w:p>
      <w:pPr>
        <w:pStyle w:val="ListBullet2"/>
      </w:pPr>
      <w:r>
        <w:t>Una referencia incompleta (ref. 1423, preprint).</w:t>
      </w:r>
    </w:p>
    <w:p>
      <w:pPr>
        <w:pStyle w:val="ListBullet2"/>
      </w:pPr>
      <w:r>
        <w:t>Revistas y estudios de baja calidad metodológica: Cureus (ref. 1399), PeerJ Comput Sci (ref. 1413), Biomed Phys Eng Express (ref. 1407), un estudio retrospectivo de un centro (ref. 1421).</w:t>
      </w:r>
    </w:p>
    <w:p>
      <w:pPr>
        <w:pStyle w:val="ListBullet2"/>
      </w:pPr>
      <w:r>
        <w:t>Artículos posteriores al corte de julio de 2025: refs. 1396 (PMID 40893032), 1421 (PMID 40823588) y 1133 (PMID 40803921).</w:t>
      </w:r>
    </w:p>
    <w:p>
      <w:pPr>
        <w:pStyle w:val="ListBullet2"/>
      </w:pPr>
      <w:r>
        <w:t>Varios artículos de opinión de miembros del comité (refs. 1393, 1430).</w:t>
      </w:r>
    </w:p>
    <w:p>
      <w:pPr>
        <w:pStyle w:val="ListBullet2"/>
      </w:pPr>
      <w:r>
        <w:t>Esto no encaja con la búsqueda declarada (ensayos clínicos o metaanálisis, o las 20 revistas principales) ni con la doble revisión.</w:t>
      </w:r>
    </w:p>
    <w:p>
      <w:pPr>
        <w:pStyle w:val="ListBullet"/>
      </w:pPr>
      <w:r>
        <w:rPr>
          <w:b/>
        </w:rPr>
        <w:t>Evidencia/justificación:</w:t>
      </w:r>
      <w:r>
        <w:t xml:space="preserve"> Comparación de la sección de metodología con la lista de referencias.</w:t>
      </w:r>
    </w:p>
    <w:p>
      <w:pPr>
        <w:pStyle w:val="ListBullet"/>
      </w:pPr>
      <w:r>
        <w:rPr>
          <w:b/>
        </w:rPr>
        <w:t>Recomendación:</w:t>
      </w:r>
    </w:p>
    <w:p>
      <w:pPr>
        <w:pStyle w:val="ListBullet2"/>
      </w:pPr>
      <w:r>
        <w:t>Declarar que el Cap. 6 es una perspectiva o narrativa con una metodología distinta, o bien depurar las referencias.</w:t>
      </w:r>
    </w:p>
    <w:p>
      <w:pPr>
        <w:pStyle w:val="ListBullet2"/>
      </w:pPr>
      <w:r>
        <w:t>Sustituir la ref. 1393 por la versión publicada, si existe.</w:t>
      </w:r>
    </w:p>
    <w:p>
      <w:pPr>
        <w:pStyle w:val="ListBullet2"/>
      </w:pPr>
      <w:r>
        <w:t>Declarar los conflictos de interés en los artículos de autoría propia.</w:t>
      </w:r>
    </w:p>
    <w:p>
      <w:pPr>
        <w:pStyle w:val="ListBullet"/>
      </w:pPr>
      <w:r>
        <w:rPr>
          <w:b/>
        </w:rPr>
        <w:t>Confianza:</w:t>
      </w:r>
      <w:r>
        <w:t xml:space="preserve"> 4/5</w:t>
      </w:r>
    </w:p>
    <w:p>
      <w:pPr>
        <w:pStyle w:val="Heading4"/>
      </w:pPr>
      <w:r>
        <w:t>IA-22 · Sesgos y equidad tratados solo de forma genérica en la Figura 6.2, sin aplicarlos a las herramientas descritas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Figura 6.2 (PDF 144 / impr. 133); texto de PDF 143-148</w:t>
      </w:r>
    </w:p>
    <w:p>
      <w:pPr>
        <w:pStyle w:val="ListBullet"/>
      </w:pPr>
      <w:r>
        <w:rPr>
          <w:b/>
        </w:rPr>
        <w:t>Cita:</w:t>
      </w:r>
      <w:r>
        <w:t xml:space="preserve"> Figura 6.2: "Poor data quality, biased training data, privacy breaches" / "Unclear accountability, informed consent issues, inequity"</w:t>
      </w:r>
    </w:p>
    <w:p>
      <w:pPr>
        <w:pStyle w:val="ListBullet"/>
      </w:pPr>
      <w:r>
        <w:rPr>
          <w:b/>
        </w:rPr>
        <w:t>Problema:</w:t>
      </w:r>
      <w:r>
        <w:t xml:space="preserve"> La figura enumera bien los riesgos, pero el texto no los aplica:</w:t>
      </w:r>
    </w:p>
    <w:p>
      <w:pPr>
        <w:pStyle w:val="ListBullet2"/>
      </w:pPr>
      <w:r>
        <w:t>El sesgo por pigmentación de la fotopletismografía y la pulsioximetría.</w:t>
      </w:r>
    </w:p>
    <w:p>
      <w:pPr>
        <w:pStyle w:val="ListBullet2"/>
      </w:pPr>
      <w:r>
        <w:t>La voz y la tos en distintos idiomas y acentos.</w:t>
      </w:r>
    </w:p>
    <w:p>
      <w:pPr>
        <w:pStyle w:val="ListBullet2"/>
      </w:pPr>
      <w:r>
        <w:t>Los datos de entrenamiento de países de renta alta, frente al enfoque global de GOLD y los países de renta baja y media.</w:t>
      </w:r>
    </w:p>
    <w:p>
      <w:pPr>
        <w:pStyle w:val="ListBullet2"/>
      </w:pPr>
      <w:r>
        <w:t>Los algoritmos entrenados con ecuaciones espirométricas ajustadas por raza.</w:t>
      </w:r>
    </w:p>
    <w:p>
      <w:pPr>
        <w:pStyle w:val="ListBullet2"/>
      </w:pPr>
      <w:r>
        <w:t>La brecha digital: edad, alfabetización digital, déficits sensoriales y cognitivos, conectividad, coste.</w:t>
      </w:r>
    </w:p>
    <w:p>
      <w:pPr>
        <w:pStyle w:val="ListBullet"/>
      </w:pPr>
      <w:r>
        <w:rPr>
          <w:b/>
        </w:rPr>
        <w:t>Evidencia/justificación:</w:t>
      </w:r>
    </w:p>
    <w:p>
      <w:pPr>
        <w:pStyle w:val="ListBullet2"/>
      </w:pPr>
      <w:r>
        <w:t>Sjoding MW et al., NEJM 2020;383:2477-2478.</w:t>
      </w:r>
    </w:p>
    <w:p>
      <w:pPr>
        <w:pStyle w:val="ListBullet2"/>
      </w:pPr>
      <w:r>
        <w:t>Obermeyer Z et al., Science 2019;366:447-453 (sesgo algorítmico usando el gasto como indicador indirecto de necesidad).</w:t>
      </w:r>
    </w:p>
    <w:p>
      <w:pPr>
        <w:pStyle w:val="ListBullet2"/>
      </w:pPr>
      <w:r>
        <w:t>Declaración ATS sobre raza en la interpretación de la función pulmonar (Bhakta NR et al., AJRCCM 2023).</w:t>
      </w:r>
    </w:p>
    <w:p>
      <w:pPr>
        <w:pStyle w:val="ListBullet2"/>
      </w:pPr>
      <w:r>
        <w:t>La Ley de IA de la UE exige gestionar el sesgo en los sistemas de alto riesgo.</w:t>
      </w:r>
    </w:p>
    <w:p>
      <w:pPr>
        <w:pStyle w:val="ListBullet"/>
      </w:pPr>
      <w:r>
        <w:rPr>
          <w:b/>
        </w:rPr>
        <w:t>Recomendación:</w:t>
      </w:r>
    </w:p>
    <w:p>
      <w:pPr>
        <w:pStyle w:val="ListBullet2"/>
      </w:pPr>
      <w:r>
        <w:t>Añadir un subapartado sobre "Equity, bias and digital inclusion".</w:t>
      </w:r>
    </w:p>
    <w:p>
      <w:pPr>
        <w:pStyle w:val="ListBullet2"/>
      </w:pPr>
      <w:r>
        <w:t>Exigir que los estudios informen del rendimiento por subgrupos (sexo, etnia, edad, nivel socioeconómico, entorno de renta baja o media), como piden TRIPOD+AI y STARD-AI.</w:t>
      </w:r>
    </w:p>
    <w:p>
      <w:pPr>
        <w:pStyle w:val="ListBullet"/>
      </w:pPr>
      <w:r>
        <w:rPr>
          <w:b/>
        </w:rPr>
        <w:t>Confianza:</w:t>
      </w:r>
      <w:r>
        <w:t xml:space="preserve"> 4/5</w:t>
      </w:r>
    </w:p>
    <w:p>
      <w:pPr>
        <w:pStyle w:val="Heading4"/>
      </w:pPr>
      <w:r>
        <w:t>IA-23 · Criterios de triaje para la teleconsulta sin requisitos digitales, de privacidad ni de seguridad</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Cap. 6, "Triage and prioritizing process", PDF 146-147 / impr. 135-136</w:t>
      </w:r>
    </w:p>
    <w:p>
      <w:pPr>
        <w:pStyle w:val="ListBullet"/>
      </w:pPr>
      <w:r>
        <w:rPr>
          <w:b/>
        </w:rPr>
        <w:t>Cita:</w:t>
      </w:r>
      <w:r>
        <w:t xml:space="preserve"> "Remote follow-up could be considered in the following situations: Patient or caregiver can understand the process and provide information clearly; …"</w:t>
      </w:r>
    </w:p>
    <w:p>
      <w:pPr>
        <w:pStyle w:val="ListBullet"/>
      </w:pPr>
      <w:r>
        <w:rPr>
          <w:b/>
        </w:rPr>
        <w:t>Problema:</w:t>
      </w:r>
      <w:r>
        <w:t xml:space="preserve"> Los criterios no incluyen:</w:t>
      </w:r>
    </w:p>
    <w:p>
      <w:pPr>
        <w:pStyle w:val="ListBullet2"/>
      </w:pPr>
      <w:r>
        <w:t>Acceso a dispositivo y conexión, alfabetización digital, déficit auditivo o cognitivo, necesidad de intérprete.</w:t>
      </w:r>
    </w:p>
    <w:p>
      <w:pPr>
        <w:pStyle w:val="ListBullet2"/>
      </w:pPr>
      <w:r>
        <w:t>Un entorno privado del paciente.</w:t>
      </w:r>
    </w:p>
    <w:p>
      <w:pPr>
        <w:pStyle w:val="ListBullet2"/>
      </w:pPr>
      <w:r>
        <w:t>Una plataforma segura.</w:t>
      </w:r>
    </w:p>
    <w:p>
      <w:pPr>
        <w:pStyle w:val="ListBullet2"/>
      </w:pPr>
      <w:r>
        <w:t>La licencia del profesional si el paciente está en otra jurisdicción.</w:t>
      </w:r>
    </w:p>
    <w:p>
      <w:pPr>
        <w:pStyle w:val="ListBullet2"/>
      </w:pPr>
      <w:r>
        <w:t>Un plan de escalado ante empeoramiento durante la llamada.</w:t>
      </w:r>
    </w:p>
    <w:p>
      <w:pPr>
        <w:pStyle w:val="ListBullet"/>
      </w:pPr>
      <w:r>
        <w:rPr>
          <w:b/>
        </w:rPr>
        <w:t>Evidencia/justificación:</w:t>
      </w:r>
      <w:r>
        <w:t xml:space="preserve"> Son elementos estándar de las guías de telemedicina. La lista de verificación del Apéndice 2 sí incluye el consentimiento y la verificación de identidad, lo que es un punto fuerte.</w:t>
      </w:r>
    </w:p>
    <w:p>
      <w:pPr>
        <w:pStyle w:val="ListBullet"/>
      </w:pPr>
      <w:r>
        <w:rPr>
          <w:b/>
        </w:rPr>
        <w:t>Recomendación:</w:t>
      </w:r>
      <w:r>
        <w:t xml:space="preserve"> Añadir estos criterios y una frase sobre la equidad de acceso: ofrecer siempre la alternativa presencial.</w:t>
      </w:r>
    </w:p>
    <w:p>
      <w:pPr>
        <w:pStyle w:val="ListBullet"/>
      </w:pPr>
      <w:r>
        <w:rPr>
          <w:b/>
        </w:rPr>
        <w:t>Confianza:</w:t>
      </w:r>
      <w:r>
        <w:t xml:space="preserve"> 4/5</w:t>
      </w:r>
    </w:p>
    <w:p>
      <w:pPr>
        <w:pStyle w:val="Heading4"/>
      </w:pPr>
      <w:r>
        <w:t>EPI-04 · Metodología: lo declarado no se corresponde con lo citado ni con el proceso real</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6-7 / impr. v-vi — Methodology y New references</w:t>
      </w:r>
    </w:p>
    <w:p>
      <w:pPr>
        <w:pStyle w:val="ListBullet"/>
      </w:pPr>
      <w:r>
        <w:rPr>
          <w:b/>
        </w:rPr>
        <w:t>Cita:</w:t>
      </w:r>
      <w:r>
        <w:t xml:space="preserve"> «Only high-quality systematic reviews and meta-analyses that provide strong evidence for changing clinical practice are cited in the GOLD report…»; «key peer-reviewed research publications from January 2024 to July 2025. In total, 338 new references»</w:t>
      </w:r>
    </w:p>
    <w:p>
      <w:pPr>
        <w:pStyle w:val="ListBullet"/>
      </w:pPr>
      <w:r>
        <w:rPr>
          <w:b/>
        </w:rPr>
        <w:t>Problema:</w:t>
      </w:r>
    </w:p>
    <w:p>
      <w:pPr>
        <w:pStyle w:val="ListNumber"/>
        <w:numPr>
          <w:ilvl w:val="0"/>
          <w:numId w:val="38"/>
        </w:numPr>
      </w:pPr>
      <w:r>
        <w:rPr>
          <w:b/>
        </w:rPr>
        <w:t>El cap. 1 cita sistemáticamente fuentes que no son revisiones ni metaanálisis de alta calidad:</w:t>
      </w:r>
      <w:r>
        <w:t xml:space="preserve"> comunicación personal (ref 295), un blog (ref 90), webs (refs 43 y 91), revisiones narrativas y opiniones.</w:t>
      </w:r>
    </w:p>
    <w:p>
      <w:pPr>
        <w:pStyle w:val="ListNumber"/>
        <w:numPr>
          <w:ilvl w:val="0"/>
          <w:numId w:val="38"/>
        </w:numPr>
      </w:pPr>
      <w:r>
        <w:rPr>
          <w:b/>
        </w:rPr>
        <w:t>La estrategia de búsqueda no capta la evidencia epidemiológica observacional</w:t>
      </w:r>
      <w:r>
        <w:t xml:space="preserve"> en la que se basa el cap. 1. Se limita a «Clinical Trials or Meta-analysis» o a las «top 20 … journals (available on request)», lista no publicada.</w:t>
      </w:r>
    </w:p>
    <w:p>
      <w:pPr>
        <w:pStyle w:val="ListNumber"/>
        <w:numPr>
          <w:ilvl w:val="0"/>
          <w:numId w:val="38"/>
        </w:numPr>
      </w:pPr>
      <w:r>
        <w:rPr>
          <w:b/>
        </w:rPr>
        <w:t>El historial de revisiones omite las actualizaciones 2024 y 2025</w:t>
      </w:r>
      <w:r>
        <w:t xml:space="preserve"> del informe de 2023.</w:t>
      </w:r>
    </w:p>
    <w:p>
      <w:pPr>
        <w:pStyle w:val="ListNumber"/>
        <w:numPr>
          <w:ilvl w:val="0"/>
          <w:numId w:val="38"/>
        </w:numPr>
      </w:pPr>
      <w:r>
        <w:rPr>
          <w:b/>
        </w:rPr>
        <w:t>La ventana declarada (enero 2024-julio 2025) no se respeta:</w:t>
      </w:r>
      <w:r>
        <w:t xml:space="preserve"> la ref 74 (GBD 2023 Causes of Death, </w:t>
      </w:r>
      <w:r>
        <w:rPr>
          <w:i/>
        </w:rPr>
        <w:t>Lancet</w:t>
      </w:r>
      <w:r>
        <w:t xml:space="preserve"> 2025;406:1811-72) se publicó en octubre de 2025.</w:t>
      </w:r>
    </w:p>
    <w:p>
      <w:pPr>
        <w:pStyle w:val="ListNumber"/>
        <w:numPr>
          <w:ilvl w:val="0"/>
          <w:numId w:val="38"/>
        </w:numPr>
      </w:pPr>
      <w:r>
        <w:rPr>
          <w:b/>
        </w:rPr>
        <w:t>La cifra de «338» referencias nuevas no es verificable:</w:t>
      </w:r>
      <w:r>
        <w:t xml:space="preserve"> al parsear la lista hallé unas 190 referencias con año 2024-2025.</w:t>
      </w:r>
    </w:p>
    <w:p>
      <w:pPr>
        <w:pStyle w:val="ListNumber"/>
        <w:numPr>
          <w:ilvl w:val="0"/>
          <w:numId w:val="38"/>
        </w:numPr>
      </w:pPr>
      <w:r>
        <w:rPr>
          <w:b/>
        </w:rPr>
        <w:t>«double-blind review» no es un término aplicable</w:t>
      </w:r>
      <w:r>
        <w:t xml:space="preserve"> a la evaluación de resúmenes, en la que los evaluadores conocen la autoría.</w:t>
      </w:r>
    </w:p>
    <w:p>
      <w:pPr>
        <w:pStyle w:val="ListNumber"/>
        <w:numPr>
          <w:ilvl w:val="0"/>
          <w:numId w:val="38"/>
        </w:numPr>
      </w:pPr>
      <w:r>
        <w:rPr>
          <w:b/>
        </w:rPr>
        <w:t>No se describen</w:t>
      </w:r>
      <w:r>
        <w:t xml:space="preserve"> la gestión de conflictos de interés, la evaluación del riesgo de sesgo, la formulación PICO ni ningún estándar (GRADE, AGREE II, RIGHT).</w:t>
      </w:r>
    </w:p>
    <w:p>
      <w:pPr>
        <w:pStyle w:val="ListBullet"/>
      </w:pPr>
      <w:r>
        <w:rPr>
          <w:b/>
        </w:rPr>
        <w:t>Evidencia/justificación:</w:t>
      </w:r>
      <w:r>
        <w:t xml:space="preserve"> La comprobación se hizo directamente sobre la lista de referencias (PDF 175-248). Estándares: AGREE II (Brouwers et al., </w:t>
      </w:r>
      <w:r>
        <w:rPr>
          <w:i/>
        </w:rPr>
        <w:t>CMAJ</w:t>
      </w:r>
      <w:r>
        <w:t xml:space="preserve"> 2010;182:E839-42); GRADE (Guyatt et al., </w:t>
      </w:r>
      <w:r>
        <w:rPr>
          <w:i/>
        </w:rPr>
        <w:t>BMJ</w:t>
      </w:r>
      <w:r>
        <w:t xml:space="preserve"> 2008;336:924-6).</w:t>
      </w:r>
    </w:p>
    <w:p>
      <w:pPr>
        <w:pStyle w:val="ListBullet"/>
      </w:pPr>
      <w:r>
        <w:rPr>
          <w:b/>
        </w:rPr>
        <w:t>Recomendación:</w:t>
      </w:r>
    </w:p>
    <w:p>
      <w:pPr>
        <w:pStyle w:val="ListBullet2"/>
      </w:pPr>
      <w:r>
        <w:t>Reescribir la metodología describiendo procesos diferenciados para la evidencia terapéutica y la epidemiológica.</w:t>
      </w:r>
    </w:p>
    <w:p>
      <w:pPr>
        <w:pStyle w:val="ListBullet2"/>
      </w:pPr>
      <w:r>
        <w:t>Publicar la lista de revistas y la estrategia de búsqueda.</w:t>
      </w:r>
    </w:p>
    <w:p>
      <w:pPr>
        <w:pStyle w:val="ListBullet2"/>
      </w:pPr>
      <w:r>
        <w:t>Actualizar el historial de versiones.</w:t>
      </w:r>
    </w:p>
    <w:p>
      <w:pPr>
        <w:pStyle w:val="ListBullet2"/>
      </w:pPr>
      <w:r>
        <w:t>Fijar y respetar la fecha de corte, o declarar las excepciones.</w:t>
      </w:r>
    </w:p>
    <w:p>
      <w:pPr>
        <w:pStyle w:val="ListBullet2"/>
      </w:pPr>
      <w:r>
        <w:t>Sustituir «double-blind» por «revisión independiente por dos miembros».</w:t>
      </w:r>
    </w:p>
    <w:p>
      <w:pPr>
        <w:pStyle w:val="ListBullet2"/>
      </w:pPr>
      <w:r>
        <w:t>Declarar la política de conflictos de interés y adoptar AGREE II/RIGHT como lista de comprobación.</w:t>
      </w:r>
    </w:p>
    <w:p>
      <w:pPr>
        <w:pStyle w:val="ListBullet"/>
      </w:pPr>
      <w:r>
        <w:rPr>
          <w:b/>
        </w:rPr>
        <w:t>Confianza:</w:t>
      </w:r>
      <w:r>
        <w:t xml:space="preserve"> 4/5</w:t>
      </w:r>
    </w:p>
    <w:p>
      <w:pPr>
        <w:pStyle w:val="Heading4"/>
      </w:pPr>
      <w:r>
        <w:t>EPI-05 · Table A (niveles de evidencia): definiciones internamente incoherentes y aplicación heterogénea</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 PARCIAL):</w:t>
      </w:r>
      <w:r>
        <w:t xml:space="preserve"> El mismo matiz sobre los metaanálisis.</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14 / impr. 3 — Table A; PDF 13 / impr. 2 — Levels of evidence; ejemplo de aplicación en PDF 160 / impr. 149 (Figure A3.3)</w:t>
      </w:r>
    </w:p>
    <w:p>
      <w:pPr>
        <w:pStyle w:val="ListBullet"/>
      </w:pPr>
      <w:r>
        <w:rPr>
          <w:b/>
        </w:rPr>
        <w:t>Cita:</w:t>
      </w:r>
      <w:r>
        <w:t xml:space="preserve"> Nivel B: «Evidence is from RCTs that include only a limited number of patients, </w:t>
      </w:r>
      <w:r>
        <w:rPr>
          <w:i/>
        </w:rPr>
        <w:t>post hoc</w:t>
      </w:r>
      <w:r>
        <w:t xml:space="preserve"> or subgroup analyses of RCTs or meta-analyses of RCTs.»; Nivel A: «…a single high quality RCT involving substantial numbers of patient without any bias.»</w:t>
      </w:r>
    </w:p>
    <w:p>
      <w:pPr>
        <w:pStyle w:val="ListBullet"/>
      </w:pPr>
      <w:r>
        <w:rPr>
          <w:b/>
        </w:rPr>
        <w:t>Problema:</w:t>
      </w:r>
    </w:p>
    <w:p>
      <w:pPr>
        <w:pStyle w:val="ListNumber"/>
        <w:numPr>
          <w:ilvl w:val="0"/>
          <w:numId w:val="39"/>
        </w:numPr>
      </w:pPr>
      <w:r>
        <w:rPr>
          <w:b/>
        </w:rPr>
        <w:t>Los metaanálisis de ECA quedan en B</w:t>
      </w:r>
      <w:r>
        <w:t>, junto a los análisis post hoc y de subgrupos, sin distinguir calidad ni consistencia. Esto choca con la Metodología, que dice citar preferentemente revisiones sistemáticas y metaanálisis de alta calidad, y con cualquier jerarquía moderna.</w:t>
      </w:r>
    </w:p>
    <w:p>
      <w:pPr>
        <w:pStyle w:val="ListNumber"/>
        <w:numPr>
          <w:ilvl w:val="0"/>
          <w:numId w:val="39"/>
        </w:numPr>
      </w:pPr>
      <w:r>
        <w:rPr>
          <w:b/>
        </w:rPr>
        <w:t>«Without any bias» es un criterio inalcanzable</w:t>
      </w:r>
      <w:r>
        <w:t>, y el nivel A mezcla «without any important limitations» con «without any significant limitation or bias».</w:t>
      </w:r>
    </w:p>
    <w:p>
      <w:pPr>
        <w:pStyle w:val="ListNumber"/>
        <w:numPr>
          <w:ilvl w:val="0"/>
          <w:numId w:val="39"/>
        </w:numPr>
      </w:pPr>
      <w:r>
        <w:rPr>
          <w:b/>
        </w:rPr>
        <w:t>El nivel C agrupa</w:t>
      </w:r>
      <w:r>
        <w:t xml:space="preserve"> ensayos no controlados y cualquier estudio observacional, sin posibilidad de ascender (gran efecto, gradiente dosis-respuesta) ni de descender.</w:t>
      </w:r>
    </w:p>
    <w:p>
      <w:pPr>
        <w:pStyle w:val="ListNumber"/>
        <w:numPr>
          <w:ilvl w:val="0"/>
          <w:numId w:val="39"/>
        </w:numPr>
      </w:pPr>
      <w:r>
        <w:rPr>
          <w:b/>
        </w:rPr>
        <w:t>No se separa la certeza de la evidencia de la fuerza de la recomendación.</w:t>
      </w:r>
      <w:r>
        <w:t xml:space="preserve"> PDF 13 dice que se asignan a «recommendations», pero se aplican a enunciados descriptivos, de daño o de ausencia de efecto. Ejemplos en la Figure A3.3: «no evidence of benefits </w:t>
      </w:r>
      <w:r>
        <w:rPr>
          <w:b/>
        </w:rPr>
        <w:t>(Evidence C)</w:t>
      </w:r>
      <w:r>
        <w:t>» (graduar la ausencia de evidencia es incoherente con la definición de C) y «Antioxidant mucolytics are recommended only in selected patients (Evidence A)».</w:t>
      </w:r>
    </w:p>
    <w:p>
      <w:pPr>
        <w:pStyle w:val="ListNumber"/>
        <w:numPr>
          <w:ilvl w:val="0"/>
          <w:numId w:val="39"/>
        </w:numPr>
      </w:pPr>
      <w:r>
        <w:rPr>
          <w:b/>
        </w:rPr>
        <w:t>Los cambios de práctica de 2026 que se basan en datos observacionales no llevan nivel de evidencia</w:t>
      </w:r>
      <w:r>
        <w:t xml:space="preserve"> (Highlight iv: umbral de una exacerbación moderada).</w:t>
      </w:r>
    </w:p>
    <w:p>
      <w:pPr>
        <w:pStyle w:val="ListBullet"/>
      </w:pPr>
      <w:r>
        <w:rPr>
          <w:b/>
        </w:rPr>
        <w:t>Evidencia/justificación:</w:t>
      </w:r>
      <w:r>
        <w:t xml:space="preserve"> Lectura directa de la Table A (PNG p014) y de la Figure A3.3 (PNG p160). En el texto narrativo solo encontré una etiqueta «(Evidence B)» (PDF 166); el resto está en figuras-imagen, lo que dificulta la trazabilidad. Esta última observación se basa en la extracción de texto, por lo que puede haber etiquetas dentro de imágenes del cap. 3 que no comprobé. Referencia: GRADE Working Group (Guyatt et al., </w:t>
      </w:r>
      <w:r>
        <w:rPr>
          <w:i/>
        </w:rPr>
        <w:t>BMJ</w:t>
      </w:r>
      <w:r>
        <w:t xml:space="preserve"> 2008;336:924-6).</w:t>
      </w:r>
    </w:p>
    <w:p>
      <w:pPr>
        <w:pStyle w:val="ListBullet"/>
      </w:pPr>
      <w:r>
        <w:rPr>
          <w:b/>
        </w:rPr>
        <w:t>Recomendación:</w:t>
      </w:r>
      <w:r>
        <w:t xml:space="preserve"> Migrar a GRADE, o como mínimo:</w:t>
      </w:r>
    </w:p>
    <w:p>
      <w:pPr>
        <w:pStyle w:val="ListBullet2"/>
      </w:pPr>
      <w:r>
        <w:t>situar los metaanálisis de ECA de alta calidad en A;</w:t>
      </w:r>
    </w:p>
    <w:p>
      <w:pPr>
        <w:pStyle w:val="ListBullet2"/>
      </w:pPr>
      <w:r>
        <w:t>eliminar «without any bias»;</w:t>
      </w:r>
    </w:p>
    <w:p>
      <w:pPr>
        <w:pStyle w:val="ListBullet2"/>
      </w:pPr>
      <w:r>
        <w:t>permitir ascender o descender la clasificación de los estudios observacionales;</w:t>
      </w:r>
    </w:p>
    <w:p>
      <w:pPr>
        <w:pStyle w:val="ListBullet2"/>
      </w:pPr>
      <w:r>
        <w:t>añadir la fuerza de la recomendación (fuerte/condicional);</w:t>
      </w:r>
    </w:p>
    <w:p>
      <w:pPr>
        <w:pStyle w:val="ListBullet2"/>
      </w:pPr>
      <w:r>
        <w:t>no asignar nivel a enunciados de ausencia de evidencia;</w:t>
      </w:r>
    </w:p>
    <w:p>
      <w:pPr>
        <w:pStyle w:val="ListBullet2"/>
      </w:pPr>
      <w:r>
        <w:t>etiquetar los nuevos umbrales (p. ej., Highlight iv = C/D).</w:t>
      </w:r>
    </w:p>
    <w:p>
      <w:pPr>
        <w:pStyle w:val="ListBullet"/>
      </w:pPr>
      <w:r>
        <w:rPr>
          <w:b/>
        </w:rPr>
        <w:t>Confianza:</w:t>
      </w:r>
      <w:r>
        <w:t xml:space="preserve"> 4/5</w:t>
      </w:r>
    </w:p>
    <w:p>
      <w:pPr>
        <w:pStyle w:val="Heading4"/>
      </w:pPr>
      <w:r>
        <w:t>MET-02 · Tabla A: jerarquía incoherente, sin evaluación del riesgo de sesgo y sin fuerza de recomendación</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 PARCIAL):</w:t>
      </w:r>
      <w:r>
        <w:t xml:space="preserve"> La «inversión» (metaanálisis = B) es una ambigüedad, no una regla explícita: el encabezado de B permite leer «metaanálisis de ECA limitados». La ausencia de fuerza de recomendación y de método formal de riesgo de sesgo se confirma.</w:t>
      </w:r>
    </w:p>
    <w:p>
      <w:pPr>
        <w:pStyle w:val="IntenseQuote"/>
      </w:pPr>
      <w:r>
        <w:rPr>
          <w:b/>
        </w:rPr>
        <w:t>Severidad ajustada en la consolidación:</w:t>
      </w:r>
      <w:r>
        <w:t xml:space="preserve"> ALTA → MEDIA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14 / impr. 3 (Tabla A); PDF 7 / impr. vi (política de citas)</w:t>
      </w:r>
    </w:p>
    <w:p>
      <w:pPr>
        <w:pStyle w:val="ListBullet"/>
      </w:pPr>
      <w:r>
        <w:rPr>
          <w:b/>
        </w:rPr>
        <w:t>Cita:</w:t>
      </w:r>
      <w:r>
        <w:t xml:space="preserve"> «Evidence is from RCTs that include only a limited number of patients, post hoc or subgroup analyses of RCTs or meta-analyses of RCTs»</w:t>
      </w:r>
    </w:p>
    <w:p>
      <w:pPr>
        <w:pStyle w:val="ListBullet"/>
      </w:pPr>
      <w:r>
        <w:rPr>
          <w:b/>
        </w:rPr>
        <w:t>Problema:</w:t>
      </w:r>
    </w:p>
    <w:p>
      <w:pPr>
        <w:pStyle w:val="ListNumber"/>
        <w:numPr>
          <w:ilvl w:val="0"/>
          <w:numId w:val="40"/>
        </w:numPr>
      </w:pPr>
      <w:r>
        <w:rPr>
          <w:b/>
        </w:rPr>
        <w:t>Jerarquía invertida.</w:t>
      </w:r>
    </w:p>
    <w:p>
      <w:pPr>
        <w:pStyle w:val="ListBullet2"/>
      </w:pPr>
      <w:r>
        <w:t>Los metaanálisis de ECA quedan en B, mientras que para A basta «a single high quality RCT involving substantial numbers of patient without any bias».</w:t>
      </w:r>
    </w:p>
    <w:p>
      <w:pPr>
        <w:pStyle w:val="ListBullet2"/>
      </w:pPr>
      <w:r>
        <w:t>Esto contradice la política del propio documento de citar solo revisiones sistemáticas y metaanálisis de alta calidad «that provide strong evidence for changing clinical practice» (PDF 7).</w:t>
      </w:r>
    </w:p>
    <w:p>
      <w:pPr>
        <w:pStyle w:val="ListNumber"/>
        <w:numPr>
          <w:ilvl w:val="0"/>
          <w:numId w:val="40"/>
        </w:numPr>
      </w:pPr>
      <w:r>
        <w:rPr>
          <w:b/>
        </w:rPr>
        <w:t>Sin dominios de certeza formales.</w:t>
      </w:r>
      <w:r>
        <w:t xml:space="preserve"> No hay evaluación formal del riesgo de sesgo, la inconsistencia, la evidencia indirecta, la imprecisión ni el sesgo de publicación; «without any bias» no es un criterio operativo.</w:t>
      </w:r>
    </w:p>
    <w:p>
      <w:pPr>
        <w:pStyle w:val="ListNumber"/>
        <w:numPr>
          <w:ilvl w:val="0"/>
          <w:numId w:val="40"/>
        </w:numPr>
      </w:pPr>
      <w:r>
        <w:rPr>
          <w:b/>
        </w:rPr>
        <w:t>Una misma escala para todo.</w:t>
      </w:r>
      <w:r>
        <w:t xml:space="preserve"> La escala se aplica a:</w:t>
      </w:r>
    </w:p>
    <w:p>
      <w:pPr>
        <w:pStyle w:val="ListBullet2"/>
      </w:pPr>
      <w:r>
        <w:t>afirmaciones pronósticas («Physical activity is a strong predictor of mortality (Evidence A)»);</w:t>
      </w:r>
    </w:p>
    <w:p>
      <w:pPr>
        <w:pStyle w:val="ListBullet2"/>
      </w:pPr>
      <w:r>
        <w:t>afirmaciones de eficacia;</w:t>
      </w:r>
    </w:p>
    <w:p>
      <w:pPr>
        <w:pStyle w:val="ListBullet2"/>
      </w:pPr>
      <w:r>
        <w:t>recomendaciones («Statin therapy is not recommended… (Evidence A)»).</w:t>
      </w:r>
    </w:p>
    <w:p>
      <w:r>
        <w:t>No separa la certeza de la evidencia de la fuerza de la recomendación, ni hay un marco de evidencia a decisión que pondere beneficios, daños, valores, costes y equidad.</w:t>
      </w:r>
    </w:p>
    <w:p>
      <w:pPr>
        <w:pStyle w:val="ListNumber"/>
        <w:numPr>
          <w:ilvl w:val="0"/>
          <w:numId w:val="40"/>
        </w:numPr>
      </w:pPr>
      <w:r>
        <w:rPr>
          <w:b/>
        </w:rPr>
        <w:t>Consenso sin método.</w:t>
      </w:r>
      <w:r>
        <w:t xml:space="preserve"> El nivel D («panel consensus judgment») no tiene método de consenso documentado (Delphi, votación con umbrales).</w:t>
      </w:r>
    </w:p>
    <w:p>
      <w:pPr>
        <w:pStyle w:val="ListNumber"/>
        <w:numPr>
          <w:ilvl w:val="0"/>
          <w:numId w:val="40"/>
        </w:numPr>
      </w:pPr>
      <w:r>
        <w:rPr>
          <w:b/>
        </w:rPr>
        <w:t>Ejemplo.</w:t>
      </w:r>
      <w:r>
        <w:t xml:space="preserve"> La recomendación negativa sobre estatinas obtiene A con un único ECA (STATCOPE, ref 1613, PDF 241 / impr. 230).</w:t>
      </w:r>
    </w:p>
    <w:p>
      <w:pPr>
        <w:pStyle w:val="ListBullet"/>
      </w:pPr>
      <w:r>
        <w:rPr>
          <w:b/>
        </w:rPr>
        <w:t>Evidencia/justificación:</w:t>
      </w:r>
    </w:p>
    <w:p>
      <w:pPr>
        <w:pStyle w:val="ListBullet2"/>
      </w:pPr>
      <w:r>
        <w:t>GRADE: certeza alta/moderada/baja/muy baja y recomendación fuerte o condicional.</w:t>
      </w:r>
    </w:p>
    <w:p>
      <w:pPr>
        <w:pStyle w:val="ListBullet2"/>
      </w:pPr>
      <w:r>
        <w:t>AGREE II, ítems 9 (fortalezas y limitaciones de la evidencia), 10 (métodos de formulación), 11 (beneficios y daños) y 12.</w:t>
      </w:r>
    </w:p>
    <w:p>
      <w:pPr>
        <w:pStyle w:val="ListBullet2"/>
      </w:pPr>
      <w:r>
        <w:t>IOM, estándar 5 (fundamentos de la evidencia y calificación de la fuerza de la recomendación).</w:t>
      </w:r>
    </w:p>
    <w:p>
      <w:pPr>
        <w:pStyle w:val="ListBullet2"/>
      </w:pPr>
      <w:r>
        <w:t>RIGHT, ítems 12 y 13c.</w:t>
      </w:r>
    </w:p>
    <w:p>
      <w:pPr>
        <w:pStyle w:val="ListBullet"/>
      </w:pPr>
      <w:r>
        <w:rPr>
          <w:b/>
        </w:rPr>
        <w:t>Recomendación:</w:t>
      </w:r>
    </w:p>
    <w:p>
      <w:pPr>
        <w:pStyle w:val="ListBullet2"/>
      </w:pPr>
      <w:r>
        <w:t>Adoptar GRADE, o al menos marcos de evidencia a decisión con perfiles de evidencia, para las preguntas PICO prioritarias: inicio del tratamiento, ICS, biológicos, ensifentrina, CRVP/válvulas, oxigenoterapia y VNI.</w:t>
      </w:r>
    </w:p>
    <w:p>
      <w:pPr>
        <w:pStyle w:val="ListBullet2"/>
      </w:pPr>
      <w:r>
        <w:t>Usar etiquetas distintas para la certeza y para la fuerza de la recomendación.</w:t>
      </w:r>
    </w:p>
    <w:p>
      <w:pPr>
        <w:pStyle w:val="ListBullet2"/>
      </w:pPr>
      <w:r>
        <w:t>Documentar el método de consenso.</w:t>
      </w:r>
    </w:p>
    <w:p>
      <w:pPr>
        <w:pStyle w:val="ListBullet"/>
      </w:pPr>
      <w:r>
        <w:rPr>
          <w:b/>
        </w:rPr>
        <w:t>Confianza:</w:t>
      </w:r>
      <w:r>
        <w:t xml:space="preserve"> 5</w:t>
      </w:r>
    </w:p>
    <w:p>
      <w:pPr>
        <w:pStyle w:val="Heading4"/>
      </w:pPr>
      <w:r>
        <w:t>MET-05 · Sin participación de pacientes, revisión externa, consulta pública ni metodólogo</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6-7 / impr. v-vi</w:t>
      </w:r>
    </w:p>
    <w:p>
      <w:pPr>
        <w:pStyle w:val="ListBullet"/>
      </w:pPr>
      <w:r>
        <w:rPr>
          <w:b/>
        </w:rPr>
        <w:t>Cita:</w:t>
      </w:r>
      <w:r>
        <w:t xml:space="preserve"> «Its members are recognized leaders in COPD research and clinical practice with the scientific credentials to contribute to the task of the Committee and are invited to serve in a voluntary capacity.»</w:t>
      </w:r>
    </w:p>
    <w:p>
      <w:pPr>
        <w:pStyle w:val="ListBullet"/>
      </w:pPr>
      <w:r>
        <w:rPr>
          <w:b/>
        </w:rPr>
        <w:t>Problema:</w:t>
      </w:r>
    </w:p>
    <w:p>
      <w:pPr>
        <w:pStyle w:val="ListBullet2"/>
      </w:pPr>
      <w:r>
        <w:rPr>
          <w:b/>
        </w:rPr>
        <w:t>Composición.</w:t>
      </w:r>
      <w:r>
        <w:t xml:space="preserve"> El comité se forma por invitación y solo con clínicos-investigadores, sin criterios publicados de selección ni de rotación. No se describe la participación de:</w:t>
      </w:r>
    </w:p>
    <w:p>
      <w:pPr>
        <w:pStyle w:val="ListBullet2"/>
      </w:pPr>
      <w:r>
        <w:t>pacientes o cuidadores;</w:t>
      </w:r>
    </w:p>
    <w:p>
      <w:pPr>
        <w:pStyle w:val="ListBullet2"/>
      </w:pPr>
      <w:r>
        <w:t>atención primaria, enfermería, fisioterapia o farmacia;</w:t>
      </w:r>
    </w:p>
    <w:p>
      <w:pPr>
        <w:pStyle w:val="ListBullet2"/>
      </w:pPr>
      <w:r>
        <w:t>economía de la salud;</w:t>
      </w:r>
    </w:p>
    <w:p>
      <w:pPr>
        <w:pStyle w:val="ListBullet2"/>
      </w:pPr>
      <w:r>
        <w:t>metodólogos o documentalistas.</w:t>
      </w:r>
    </w:p>
    <w:p>
      <w:pPr>
        <w:pStyle w:val="ListBullet2"/>
      </w:pPr>
      <w:r>
        <w:rPr>
          <w:b/>
        </w:rPr>
        <w:t>Valores y preferencias.</w:t>
      </w:r>
      <w:r>
        <w:t xml:space="preserve"> No se recogen de forma sistemática.</w:t>
      </w:r>
    </w:p>
    <w:p>
      <w:pPr>
        <w:pStyle w:val="ListBullet2"/>
      </w:pPr>
      <w:r>
        <w:rPr>
          <w:b/>
        </w:rPr>
        <w:t>Revisión.</w:t>
      </w:r>
      <w:r>
        <w:t xml:space="preserve"> No hay revisión externa por pares ni periodo de consulta pública antes de publicar.</w:t>
      </w:r>
    </w:p>
    <w:p>
      <w:pPr>
        <w:pStyle w:val="ListBullet2"/>
      </w:pPr>
      <w:r>
        <w:rPr>
          <w:b/>
        </w:rPr>
        <w:t>Historial de versiones.</w:t>
      </w:r>
      <w:r>
        <w:t xml:space="preserve"> Está incompleto: tras la «5th major revision» de 2023 no se mencionan las actualizaciones de 2024 y 2025.</w:t>
      </w:r>
    </w:p>
    <w:p>
      <w:pPr>
        <w:pStyle w:val="ListBullet"/>
      </w:pPr>
      <w:r>
        <w:rPr>
          <w:b/>
        </w:rPr>
        <w:t>Evidencia/justificación:</w:t>
      </w:r>
    </w:p>
    <w:p>
      <w:pPr>
        <w:pStyle w:val="ListBullet2"/>
      </w:pPr>
      <w:r>
        <w:t>AGREE II, ítems 4 (grupo multidisciplinar), 5 (opiniones de la población diana) y 13 (revisión externa).</w:t>
      </w:r>
    </w:p>
    <w:p>
      <w:pPr>
        <w:pStyle w:val="ListBullet2"/>
      </w:pPr>
      <w:r>
        <w:t>IOM, estándares 3 (composición, incluidos pacientes) y 7 (revisión externa y comentario público).</w:t>
      </w:r>
    </w:p>
    <w:p>
      <w:pPr>
        <w:pStyle w:val="ListBullet2"/>
      </w:pPr>
      <w:r>
        <w:t>RIGHT, ítems 14a (valores y preferencias) y 16 (revisión externa).</w:t>
      </w:r>
    </w:p>
    <w:p>
      <w:pPr>
        <w:pStyle w:val="ListBullet"/>
      </w:pPr>
      <w:r>
        <w:rPr>
          <w:b/>
        </w:rPr>
        <w:t>Recomendación:</w:t>
      </w:r>
    </w:p>
    <w:p>
      <w:pPr>
        <w:pStyle w:val="ListBullet2"/>
      </w:pPr>
      <w:r>
        <w:t>Incorporar a representantes de pacientes, de atención primaria y un metodólogo GRADE.</w:t>
      </w:r>
    </w:p>
    <w:p>
      <w:pPr>
        <w:pStyle w:val="ListBullet2"/>
      </w:pPr>
      <w:r>
        <w:t>Someter el borrador a revisión externa y a consulta pública, documentando las respuestas.</w:t>
      </w:r>
    </w:p>
    <w:p>
      <w:pPr>
        <w:pStyle w:val="ListBullet"/>
      </w:pPr>
      <w:r>
        <w:rPr>
          <w:b/>
        </w:rPr>
        <w:t>Confianza:</w:t>
      </w:r>
      <w:r>
        <w:t xml:space="preserve"> 4</w:t>
      </w:r>
    </w:p>
    <w:p>
      <w:pPr>
        <w:pStyle w:val="Heading4"/>
      </w:pPr>
      <w:r>
        <w:t>MET-07 · Niveles inflados para afirmaciones observacionales o sin ECA en EPOC</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Fig A4.1 (PDF 172 / impr. 161); Fig 3.3 (PDF 64 / impr. 53) y texto (PDF 66 / impr. 55); Fig 3.6 (PDF 69 / impr. 58)</w:t>
      </w:r>
    </w:p>
    <w:p>
      <w:pPr>
        <w:pStyle w:val="ListBullet"/>
      </w:pPr>
      <w:r>
        <w:rPr>
          <w:b/>
        </w:rPr>
        <w:t>Cita:</w:t>
      </w:r>
      <w:r>
        <w:t xml:space="preserve"> «Physical activity is a strong predictor of mortality (Evidence A)»</w:t>
      </w:r>
    </w:p>
    <w:p>
      <w:pPr>
        <w:pStyle w:val="ListBullet"/>
      </w:pPr>
      <w:r>
        <w:rPr>
          <w:b/>
        </w:rPr>
        <w:t>Problema:</w:t>
      </w:r>
    </w:p>
    <w:p>
      <w:pPr>
        <w:pStyle w:val="ListBullet2"/>
      </w:pPr>
      <w:r>
        <w:rPr>
          <w:b/>
        </w:rPr>
        <w:t>Actividad física.</w:t>
      </w:r>
      <w:r>
        <w:t xml:space="preserve"> Es una afirmación pronóstica basada en una cohorte (Waschki 2011, ref 527, n≈170). Por la Tabla A sería C, y la escala no está diseñada para preguntas pronósticas.</w:t>
      </w:r>
    </w:p>
    <w:p>
      <w:pPr>
        <w:pStyle w:val="ListBullet2"/>
      </w:pPr>
      <w:r>
        <w:rPr>
          <w:b/>
        </w:rPr>
        <w:t>Ventilación y cocinas no contaminantes («should be recommended»).</w:t>
      </w:r>
    </w:p>
    <w:p>
      <w:pPr>
        <w:pStyle w:val="ListBullet2"/>
      </w:pPr>
      <w:r>
        <w:t>Tienen nivel B, pero el texto las apoya en un informe del propio comité y una revisión narrativa (refs 9, 10).</w:t>
      </w:r>
    </w:p>
    <w:p>
      <w:pPr>
        <w:pStyle w:val="ListBullet2"/>
      </w:pPr>
      <w:r>
        <w:t>La evidencia es predominantemente observacional (C).</w:t>
      </w:r>
    </w:p>
    <w:p>
      <w:pPr>
        <w:pStyle w:val="ListBullet2"/>
      </w:pPr>
      <w:r>
        <w:rPr>
          <w:b/>
        </w:rPr>
        <w:t>Tdap.</w:t>
      </w:r>
      <w:r>
        <w:t xml:space="preserve"> Tiene «(Evidence B)» sin ECA en EPOC; es una extrapolación de salud pública (D).</w:t>
      </w:r>
    </w:p>
    <w:p>
      <w:pPr>
        <w:pStyle w:val="ListBullet2"/>
      </w:pPr>
      <w:r>
        <w:t>La escala se aplica con laxitud en ambos sentidos.</w:t>
      </w:r>
    </w:p>
    <w:p>
      <w:pPr>
        <w:pStyle w:val="ListBullet"/>
      </w:pPr>
      <w:r>
        <w:rPr>
          <w:b/>
        </w:rPr>
        <w:t>Evidencia/justificación:</w:t>
      </w:r>
      <w:r>
        <w:t xml:space="preserve"> Tabla A (C = observacional; D = consenso); refs 9, 10 y 527 (PDF 175 y 196 / impr. 164 y 185).</w:t>
      </w:r>
    </w:p>
    <w:p>
      <w:pPr>
        <w:pStyle w:val="ListBullet"/>
      </w:pPr>
      <w:r>
        <w:rPr>
          <w:b/>
        </w:rPr>
        <w:t>Recomendación:</w:t>
      </w:r>
      <w:r>
        <w:t xml:space="preserve"> Recalificar estas afirmaciones. Usar un sistema que contemple las preguntas pronósticas (GRADE para pronóstico) o no etiquetar como «evidencia» lo que no es una recomendación.</w:t>
      </w:r>
    </w:p>
    <w:p>
      <w:pPr>
        <w:pStyle w:val="ListBullet"/>
      </w:pPr>
      <w:r>
        <w:rPr>
          <w:b/>
        </w:rPr>
        <w:t>Confianza:</w:t>
      </w:r>
      <w:r>
        <w:t xml:space="preserve"> 4</w:t>
      </w:r>
    </w:p>
    <w:p>
      <w:pPr>
        <w:pStyle w:val="Heading4"/>
      </w:pPr>
      <w:r>
        <w:t>MET-08 · Mucolíticos: la recomendación tiene un nivel mayor que la evidencia en la que se basa</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w:t>
      </w:r>
      <w:r>
        <w:t xml:space="preserve"> Se verifican los 4 puntos de NOV-15. Para MET-08 sugiero rebajar de ALTA a MEDIA: es una incoherencia de gradación con impacto clínico limitado.</w:t>
      </w:r>
    </w:p>
    <w:p>
      <w:pPr>
        <w:pStyle w:val="IntenseQuote"/>
      </w:pPr>
      <w:r>
        <w:rPr>
          <w:b/>
        </w:rPr>
        <w:t>Severidad ajustada en la consolidación:</w:t>
      </w:r>
      <w:r>
        <w:t xml:space="preserve"> ALTA → MEDIA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A3.3 (PDF 160 / impr. 149)</w:t>
      </w:r>
    </w:p>
    <w:p>
      <w:pPr>
        <w:pStyle w:val="ListBullet"/>
      </w:pPr>
      <w:r>
        <w:rPr>
          <w:b/>
        </w:rPr>
        <w:t>Cita:</w:t>
      </w:r>
      <w:r>
        <w:t xml:space="preserve"> «Regular treatment with mucolytics such as erdosteine, carbocysteine and N-acetylcysteine reduces the risk of exacerbations in select populations (Evidence B)» … «Antioxidant mucolytics are recommended only in selected patients (Evidence A)»</w:t>
      </w:r>
    </w:p>
    <w:p>
      <w:pPr>
        <w:pStyle w:val="ListBullet"/>
      </w:pPr>
      <w:r>
        <w:rPr>
          <w:b/>
        </w:rPr>
        <w:t>Problema:</w:t>
      </w:r>
    </w:p>
    <w:p>
      <w:pPr>
        <w:pStyle w:val="ListBullet2"/>
      </w:pPr>
      <w:r>
        <w:t>En la misma figura, el efecto (reducción de exacerbaciones) tiene B y la recomendación derivada tiene A. Una recomendación no puede tener mayor certeza que la evidencia que la sustenta.</w:t>
      </w:r>
    </w:p>
    <w:p>
      <w:pPr>
        <w:pStyle w:val="ListBullet2"/>
      </w:pPr>
      <w:r>
        <w:t>«Selected patients» no se define. Los ECA principales (PEACE, PANTHEON, RESTORE) tienen poblaciones particulares, por ejemplo muchos pacientes sin ICS o con población predominantemente china, lo que añade evidencia indirecta.</w:t>
      </w:r>
    </w:p>
    <w:p>
      <w:pPr>
        <w:pStyle w:val="ListBullet"/>
      </w:pPr>
      <w:r>
        <w:rPr>
          <w:b/>
        </w:rPr>
        <w:t>Evidencia/justificación:</w:t>
      </w:r>
      <w:r>
        <w:t xml:space="preserve"> Coherencia lógica básica de cualquier sistema de calificación; GRADE (la recomendación hereda la certeza de los desenlaces críticos); AGREE II, ítem 15 (especificidad).</w:t>
      </w:r>
    </w:p>
    <w:p>
      <w:pPr>
        <w:pStyle w:val="ListBullet"/>
      </w:pPr>
      <w:r>
        <w:rPr>
          <w:b/>
        </w:rPr>
        <w:t>Recomendación:</w:t>
      </w:r>
      <w:r>
        <w:t xml:space="preserve"> Unificar el nivel (B o inferior) y especificar la población (fenotipo, uso de ICS, exacerbaciones previas).</w:t>
      </w:r>
    </w:p>
    <w:p>
      <w:pPr>
        <w:pStyle w:val="ListBullet"/>
      </w:pPr>
      <w:r>
        <w:rPr>
          <w:b/>
        </w:rPr>
        <w:t>Confianza:</w:t>
      </w:r>
      <w:r>
        <w:t xml:space="preserve"> 5</w:t>
      </w:r>
    </w:p>
    <w:p>
      <w:pPr>
        <w:pStyle w:val="Heading4"/>
      </w:pPr>
      <w:r>
        <w:t>MET-10 · Recomendaciones clave sin nivel de evidencia</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Fig A3.3 (PDF 160 / impr. 149); Fig 5.6 (PDF 141 / impr. 130); Fig 4.11 (PDF 122 / impr. 111); Fig 3.15-3.16</w:t>
      </w:r>
    </w:p>
    <w:p>
      <w:pPr>
        <w:pStyle w:val="ListBullet"/>
      </w:pPr>
      <w:r>
        <w:rPr>
          <w:b/>
        </w:rPr>
        <w:t>Cita:</w:t>
      </w:r>
      <w:r>
        <w:t xml:space="preserve"> «If patients with COPD have features of asthma, treatment should always contain an ICS»</w:t>
      </w:r>
    </w:p>
    <w:p>
      <w:pPr>
        <w:pStyle w:val="ListBullet"/>
      </w:pPr>
      <w:r>
        <w:rPr>
          <w:b/>
        </w:rPr>
        <w:t>Problema:</w:t>
      </w:r>
    </w:p>
    <w:p>
      <w:pPr>
        <w:pStyle w:val="ListBullet2"/>
      </w:pPr>
      <w:r>
        <w:rPr>
          <w:b/>
        </w:rPr>
        <w:t>Sin nivel en la Fig A3.3</w:t>
      </w:r>
      <w:r>
        <w:t>, con impacto directo en la prescripción:</w:t>
      </w:r>
    </w:p>
    <w:p>
      <w:pPr>
        <w:pStyle w:val="ListBullet2"/>
      </w:pPr>
      <w:r>
        <w:t>«We do not encourage the use of a LABA+ICS combination»;</w:t>
      </w:r>
    </w:p>
    <w:p>
      <w:pPr>
        <w:pStyle w:val="ListBullet2"/>
      </w:pPr>
      <w:r>
        <w:t>el ICS «always» si hay rasgos de asma;</w:t>
      </w:r>
    </w:p>
    <w:p>
      <w:pPr>
        <w:pStyle w:val="ListBullet2"/>
      </w:pPr>
      <w:r>
        <w:t>la reducción de mortalidad con la triple terapia;</w:t>
      </w:r>
    </w:p>
    <w:p>
      <w:pPr>
        <w:pStyle w:val="ListBullet2"/>
      </w:pPr>
      <w:r>
        <w:t>la preferencia por el inhalador único;</w:t>
      </w:r>
    </w:p>
    <w:p>
      <w:pPr>
        <w:pStyle w:val="ListBullet2"/>
      </w:pPr>
      <w:r>
        <w:t>los antileucotrienos.</w:t>
      </w:r>
    </w:p>
    <w:p>
      <w:pPr>
        <w:pStyle w:val="ListBullet2"/>
      </w:pPr>
      <w:r>
        <w:rPr>
          <w:b/>
        </w:rPr>
        <w:t>Fig 5.6.</w:t>
      </w:r>
      <w:r>
        <w:t xml:space="preserve"> Es un «potential complementary approach» adaptado de un artículo del propio comité y propone «Yearly… chest HRCT (cancer screening)» sin nivel. Además discrepa del cribado validado (USPSTF 2021: TC de baja dosis, 50-80 años, ≥20 paquetes-año), porque la HRCT no es la técnica de cribado.</w:t>
      </w:r>
    </w:p>
    <w:p>
      <w:pPr>
        <w:pStyle w:val="ListBullet2"/>
      </w:pPr>
      <w:r>
        <w:rPr>
          <w:b/>
        </w:rPr>
        <w:t>Figuras de seguimiento tras el alta</w:t>
      </w:r>
      <w:r>
        <w:t xml:space="preserve"> (Fig 4.11) y de </w:t>
      </w:r>
      <w:r>
        <w:rPr>
          <w:b/>
        </w:rPr>
        <w:t>seguimiento farmacológico</w:t>
      </w:r>
      <w:r>
        <w:t xml:space="preserve"> (Fig 3.15-3.16): tampoco tienen nivel.</w:t>
      </w:r>
    </w:p>
    <w:p>
      <w:pPr>
        <w:pStyle w:val="ListBullet"/>
      </w:pPr>
      <w:r>
        <w:rPr>
          <w:b/>
        </w:rPr>
        <w:t>Evidencia/justificación:</w:t>
      </w:r>
      <w:r>
        <w:t xml:space="preserve"> AGREE II, ítem 12; IOM, estándar 6; la propia declaración de PDF 13.</w:t>
      </w:r>
    </w:p>
    <w:p>
      <w:pPr>
        <w:pStyle w:val="ListBullet"/>
      </w:pPr>
      <w:r>
        <w:rPr>
          <w:b/>
        </w:rPr>
        <w:t>Recomendación:</w:t>
      </w:r>
      <w:r>
        <w:t xml:space="preserve"> Asignar un nivel a toda recomendación accionable, D explícito si es por consenso, y alinear la Fig 5.6 con los criterios de cribado de cáncer de pulmón mediante TC de baja dosis.</w:t>
      </w:r>
    </w:p>
    <w:p>
      <w:pPr>
        <w:pStyle w:val="ListBullet"/>
      </w:pPr>
      <w:r>
        <w:rPr>
          <w:b/>
        </w:rPr>
        <w:t>Confianza:</w:t>
      </w:r>
      <w:r>
        <w:t xml:space="preserve"> 4</w:t>
      </w:r>
    </w:p>
    <w:p>
      <w:pPr>
        <w:pStyle w:val="Heading4"/>
      </w:pPr>
      <w:r>
        <w:t>NOV-15 · Mucolíticos: niveles de evidencia contradictorios y presentación sin restricciones en la Fig. 4.11</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w:t>
      </w:r>
      <w:r>
        <w:t xml:space="preserve"> Se verifican los 4 puntos de NOV-15. Para MET-08 sugiero rebajar de ALTA a MEDIA: es una incoherencia de gradación con impacto clínico limitado.</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p>
    <w:p>
      <w:pPr>
        <w:pStyle w:val="ListBullet2"/>
      </w:pPr>
      <w:r>
        <w:t>PDF 160 / impr. 149 — Fig. A3.3.</w:t>
      </w:r>
    </w:p>
    <w:p>
      <w:pPr>
        <w:pStyle w:val="ListBullet2"/>
      </w:pPr>
      <w:r>
        <w:t>PDF 163 / impr. 152 y PDF 167 / impr. 156 — Apéndice 3.</w:t>
      </w:r>
    </w:p>
    <w:p>
      <w:pPr>
        <w:pStyle w:val="ListBullet2"/>
      </w:pPr>
      <w:r>
        <w:t>PDF 122 / impr. 111 — Fig. 4.11.</w:t>
      </w:r>
    </w:p>
    <w:p>
      <w:pPr>
        <w:pStyle w:val="ListBullet"/>
      </w:pPr>
      <w:r>
        <w:rPr>
          <w:b/>
        </w:rPr>
        <w:t>Cita:</w:t>
      </w:r>
      <w:r>
        <w:t xml:space="preserve"> Fig. A3.3: "…reduces the risk of exacerbations in select populations (Evidence B)" y "Antioxidant mucolytics are recommended only in selected patients (Evidence A)"</w:t>
      </w:r>
    </w:p>
    <w:p>
      <w:pPr>
        <w:pStyle w:val="ListBullet"/>
      </w:pPr>
      <w:r>
        <w:rPr>
          <w:b/>
        </w:rPr>
        <w:t>Problema:</w:t>
      </w:r>
    </w:p>
    <w:p>
      <w:pPr>
        <w:pStyle w:val="ListNumber"/>
        <w:numPr>
          <w:ilvl w:val="0"/>
          <w:numId w:val="41"/>
        </w:numPr>
      </w:pPr>
      <w:r>
        <w:rPr>
          <w:b/>
        </w:rPr>
        <w:t>Grado contradictorio:</w:t>
      </w:r>
      <w:r>
        <w:t xml:space="preserve"> la misma figura gradúa la misma intervención como B (eficacia) y A (recomendación en pacientes seleccionados). La recomendación no puede tener mayor certeza que la evidencia de eficacia, sobre todo cuando el propio texto (ref. 1604, Cochrane 2019) dice que los datos "no permiten identificar con precisión la población diana".</w:t>
      </w:r>
    </w:p>
    <w:p>
      <w:pPr>
        <w:pStyle w:val="ListNumber"/>
        <w:numPr>
          <w:ilvl w:val="0"/>
          <w:numId w:val="41"/>
        </w:numPr>
      </w:pPr>
      <w:r>
        <w:rPr>
          <w:b/>
        </w:rPr>
        <w:t>Resultados negativos:</w:t>
      </w:r>
      <w:r>
        <w:t xml:space="preserve"> el texto incluye un ECA negativo con N-acetilcisteína a dosis altas (ref. 1603), pero la Fig. 4.11 enumera NAC, carbocisteína y erdosteína sin restricción entre las intervenciones que reducen exacerbaciones.</w:t>
      </w:r>
    </w:p>
    <w:p>
      <w:pPr>
        <w:pStyle w:val="ListNumber"/>
        <w:numPr>
          <w:ilvl w:val="0"/>
          <w:numId w:val="41"/>
        </w:numPr>
      </w:pPr>
      <w:r>
        <w:rPr>
          <w:b/>
        </w:rPr>
        <w:t>Cochrane desactualizado:</w:t>
      </w:r>
      <w:r>
        <w:t xml:space="preserve"> en PDF 167 se cita la versión Cochrane de 2015 (ref. 1600), con la primera persona de sus autores ("we are moderately confident"), en lugar de la de 2019 (ref. 1604).</w:t>
      </w:r>
    </w:p>
    <w:p>
      <w:pPr>
        <w:pStyle w:val="ListNumber"/>
        <w:numPr>
          <w:ilvl w:val="0"/>
          <w:numId w:val="41"/>
        </w:numPr>
      </w:pPr>
      <w:r>
        <w:rPr>
          <w:b/>
        </w:rPr>
        <w:t>Cita de RESTORE incorrecta:</w:t>
      </w:r>
      <w:r>
        <w:t xml:space="preserve"> la ref. 1601 figura con el código de resumen "PA675" en lugar del artículo completo (Eur Respir J 2017;50:1700711).</w:t>
      </w:r>
    </w:p>
    <w:p>
      <w:pPr>
        <w:pStyle w:val="ListBullet"/>
      </w:pPr>
      <w:r>
        <w:rPr>
          <w:b/>
        </w:rPr>
        <w:t>Evidencia/justificación:</w:t>
      </w:r>
    </w:p>
    <w:p>
      <w:pPr>
        <w:pStyle w:val="ListBullet2"/>
      </w:pPr>
      <w:r>
        <w:t>Poole P et al., Cochrane 2019, CD001287 (PMID 31107966).</w:t>
      </w:r>
    </w:p>
    <w:p>
      <w:pPr>
        <w:pStyle w:val="ListBullet2"/>
      </w:pPr>
      <w:r>
        <w:t>Zhou Y et al., Nat Commun 2024;15:8468 (PMID 39349461).</w:t>
      </w:r>
    </w:p>
    <w:p>
      <w:pPr>
        <w:pStyle w:val="ListBullet2"/>
      </w:pPr>
      <w:r>
        <w:t>Dal Negro RW et al., RESTORE, Eur Respir J 2017 (PMID 29025888).</w:t>
      </w:r>
    </w:p>
    <w:p>
      <w:pPr>
        <w:pStyle w:val="ListBullet"/>
      </w:pPr>
      <w:r>
        <w:rPr>
          <w:b/>
        </w:rPr>
        <w:t>Recomendación:</w:t>
      </w:r>
    </w:p>
    <w:p>
      <w:pPr>
        <w:pStyle w:val="ListBullet2"/>
      </w:pPr>
      <w:r>
        <w:t>Unificar en Evidencia B: "reducción modesta de exacerbaciones en pacientes seleccionados (bronquitis crónica, sin ICS para NAC/carbocisteína)".</w:t>
      </w:r>
    </w:p>
    <w:p>
      <w:pPr>
        <w:pStyle w:val="ListBullet2"/>
      </w:pPr>
      <w:r>
        <w:t>En la Fig. 4.11, añadir "en pacientes seleccionados".</w:t>
      </w:r>
    </w:p>
    <w:p>
      <w:pPr>
        <w:pStyle w:val="ListBullet2"/>
      </w:pPr>
      <w:r>
        <w:t>Actualizar la ref. 1600 a la versión de 2019 y corregir la ref. 1601.</w:t>
      </w:r>
    </w:p>
    <w:p>
      <w:pPr>
        <w:pStyle w:val="ListBullet"/>
      </w:pPr>
      <w:r>
        <w:rPr>
          <w:b/>
        </w:rPr>
        <w:t>Confianza:</w:t>
      </w:r>
      <w:r>
        <w:t xml:space="preserve"> 4/5</w:t>
      </w:r>
    </w:p>
    <w:p>
      <w:pPr>
        <w:pStyle w:val="Heading4"/>
      </w:pPr>
      <w:r>
        <w:t>REH-18 · Evidencia A asignada a una afirmación pronóstica observacional («physical activity is a strong predictor of mortality»)</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172 / impr. 161 — Figura A4.1, «Physical Activity»; Tabla A, PDF 14 / impr. 3.</w:t>
      </w:r>
    </w:p>
    <w:p>
      <w:pPr>
        <w:pStyle w:val="ListBullet"/>
      </w:pPr>
      <w:r>
        <w:rPr>
          <w:b/>
        </w:rPr>
        <w:t>Cita:</w:t>
      </w:r>
      <w:r>
        <w:t xml:space="preserve"> «Physical activity is a strong predictor of mortality (Evidence A).»</w:t>
      </w:r>
    </w:p>
    <w:p>
      <w:pPr>
        <w:pStyle w:val="ListBullet"/>
      </w:pPr>
      <w:r>
        <w:rPr>
          <w:b/>
        </w:rPr>
        <w:t>Problema:</w:t>
      </w:r>
      <w:r>
        <w:t xml:space="preserve"> La Tabla A reserva el nivel A para variables de resultado de ECA bien diseñados y asigna el nivel C a los estudios observacionales. Que la actividad física prediga la mortalidad es una asociación de cohortes. Etiquetarla como A induce a pensar que aumentar la actividad física reduce la mortalidad, lo que no se ha demostrado en ensayos. Los programas con contador de pasos solo aumentan la actividad «a corto plazo», como indica la propia figura.</w:t>
      </w:r>
    </w:p>
    <w:p>
      <w:pPr>
        <w:pStyle w:val="ListBullet"/>
      </w:pPr>
      <w:r>
        <w:rPr>
          <w:b/>
        </w:rPr>
        <w:t>Evidencia/justificación:</w:t>
      </w:r>
      <w:r>
        <w:t xml:space="preserve"> Tabla A de GOLD (PDF 14). Waschki B et al., Chest 2011;140:331-342 (cohorte). No hay ECA que demuestren reducción de mortalidad mediante intervenciones de actividad física en la EPOC.</w:t>
      </w:r>
    </w:p>
    <w:p>
      <w:pPr>
        <w:pStyle w:val="ListBullet"/>
      </w:pPr>
      <w:r>
        <w:rPr>
          <w:b/>
        </w:rPr>
        <w:t>Recomendación:</w:t>
      </w:r>
      <w:r>
        <w:t xml:space="preserve"> Recalificar como «asociación consistente en estudios observacionales (Evidencia C)» y añadir: «no se ha demostrado que las intervenciones para aumentar la actividad física reduzcan la mortalidad».</w:t>
      </w:r>
    </w:p>
    <w:p>
      <w:pPr>
        <w:pStyle w:val="ListBullet"/>
      </w:pPr>
      <w:r>
        <w:rPr>
          <w:b/>
        </w:rPr>
        <w:t>Confianza:</w:t>
      </w:r>
      <w:r>
        <w:t xml:space="preserve"> 5/5</w:t>
      </w:r>
    </w:p>
    <w:p>
      <w:pPr>
        <w:pStyle w:val="Heading4"/>
      </w:pPr>
      <w:r>
        <w:t>COH-14 · Referencias cruzadas a figuras erróneas o que no sostienen lo que se afirma</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Referencia cruzada</w:t>
      </w:r>
    </w:p>
    <w:p>
      <w:pPr>
        <w:pStyle w:val="ListBullet"/>
      </w:pPr>
      <w:r>
        <w:rPr>
          <w:b/>
        </w:rPr>
        <w:t>Severidad:</w:t>
      </w:r>
      <w:r>
        <w:t xml:space="preserve"> MEDIA</w:t>
      </w:r>
    </w:p>
    <w:p>
      <w:pPr>
        <w:pStyle w:val="ListBullet"/>
      </w:pPr>
      <w:r>
        <w:rPr>
          <w:b/>
        </w:rPr>
        <w:t>Ubicación:</w:t>
      </w:r>
      <w:r>
        <w:t xml:space="preserve"> PDF 78 / impr. 67; PDF 155 / impr. 144; PDF 94 / impr. 83; PDF 87 / impr. 76; PDF 5</w:t>
      </w:r>
    </w:p>
    <w:p>
      <w:pPr>
        <w:pStyle w:val="ListBullet"/>
      </w:pPr>
      <w:r>
        <w:rPr>
          <w:b/>
        </w:rPr>
        <w:t>Cita:</w:t>
      </w:r>
      <w:r>
        <w:t xml:space="preserve"> "Oxygen may offer some benefit even if the patient is not hypoxemic (SpO2 &gt; 92%) (Figure 3.17)" (PDF 94).</w:t>
      </w:r>
    </w:p>
    <w:p>
      <w:pPr>
        <w:pStyle w:val="ListBullet"/>
      </w:pPr>
      <w:r>
        <w:rPr>
          <w:b/>
        </w:rPr>
        <w:t>Problema:</w:t>
      </w:r>
    </w:p>
    <w:p>
      <w:pPr>
        <w:pStyle w:val="ListBullet2"/>
      </w:pPr>
      <w:r>
        <w:rPr>
          <w:b/>
        </w:rPr>
        <w:t>(a)</w:t>
      </w:r>
      <w:r>
        <w:t xml:space="preserve"> El pie de la Fig 3.10 remite a "(see Figures 3.8 &amp; A3.1 for recommendations)", pero A3.1 es el listado de fármacos (PDF 156). Probablemente debería decir Fig 3.9.</w:t>
      </w:r>
    </w:p>
    <w:p>
      <w:pPr>
        <w:pStyle w:val="ListBullet2"/>
      </w:pPr>
      <w:r>
        <w:rPr>
          <w:b/>
        </w:rPr>
        <w:t>(b)</w:t>
      </w:r>
      <w:r>
        <w:t xml:space="preserve"> "Toxicity is also dose-related (Figure A3.1)": la Fig A3.1 no trata ni la toxicidad ni la relación dosis-respuesta.</w:t>
      </w:r>
    </w:p>
    <w:p>
      <w:pPr>
        <w:pStyle w:val="ListBullet2"/>
      </w:pPr>
      <w:r>
        <w:rPr>
          <w:b/>
        </w:rPr>
        <w:t>(c)</w:t>
      </w:r>
      <w:r>
        <w:t xml:space="preserve"> La Fig 3.17 (PDF 88) dice que no hay beneficio sostenido en la desaturación moderada, lo contrario de lo que se le atribuye en PDF 87 y PDF 94. Además, "no hipoxémico" se define como SpO2 &gt;92 %, cuando el umbral de la LTOT es ≤88 %.</w:t>
      </w:r>
    </w:p>
    <w:p>
      <w:pPr>
        <w:pStyle w:val="ListBullet2"/>
      </w:pPr>
      <w:r>
        <w:rPr>
          <w:b/>
        </w:rPr>
        <w:t>(d)</w:t>
      </w:r>
      <w:r>
        <w:t xml:space="preserve"> Highlights iv omite la Fig 2.13 (ver COH-09).</w:t>
      </w:r>
    </w:p>
    <w:p>
      <w:pPr>
        <w:pStyle w:val="ListBullet"/>
      </w:pPr>
      <w:r>
        <w:rPr>
          <w:b/>
        </w:rPr>
        <w:t>Evidencia/justificación:</w:t>
      </w:r>
      <w:r>
        <w:t xml:space="preserve"> apertura de las PNG de PDF 78, 88 y 156.</w:t>
      </w:r>
    </w:p>
    <w:p>
      <w:pPr>
        <w:pStyle w:val="ListBullet"/>
      </w:pPr>
      <w:r>
        <w:rPr>
          <w:b/>
        </w:rPr>
        <w:t>Recomendación:</w:t>
      </w:r>
      <w:r>
        <w:t xml:space="preserve"> corregir los destinos de las remisiones y generarlas como hipervínculos automáticos.</w:t>
      </w:r>
    </w:p>
    <w:p>
      <w:pPr>
        <w:pStyle w:val="ListBullet"/>
      </w:pPr>
      <w:r>
        <w:rPr>
          <w:b/>
        </w:rPr>
        <w:t>Confianza:</w:t>
      </w:r>
      <w:r>
        <w:t xml:space="preserve"> 4</w:t>
      </w:r>
    </w:p>
    <w:p>
      <w:pPr>
        <w:pStyle w:val="Heading4"/>
      </w:pPr>
      <w:r>
        <w:t>COH-15 · Citas bibliográficas que no corresponden a la afirmación (cap. 4)</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Referencia bibliográfica</w:t>
      </w:r>
    </w:p>
    <w:p>
      <w:pPr>
        <w:pStyle w:val="ListBullet"/>
      </w:pPr>
      <w:r>
        <w:rPr>
          <w:b/>
        </w:rPr>
        <w:t>Severidad:</w:t>
      </w:r>
      <w:r>
        <w:t xml:space="preserve"> MEDIA</w:t>
      </w:r>
    </w:p>
    <w:p>
      <w:pPr>
        <w:pStyle w:val="ListBullet"/>
      </w:pPr>
      <w:r>
        <w:rPr>
          <w:b/>
        </w:rPr>
        <w:t>Ubicación:</w:t>
      </w:r>
      <w:r>
        <w:t xml:space="preserve"> PDF 115 / impr. 104; PDF 117-118 / impr. 106-107</w:t>
      </w:r>
    </w:p>
    <w:p>
      <w:pPr>
        <w:pStyle w:val="ListBullet"/>
      </w:pPr>
      <w:r>
        <w:rPr>
          <w:b/>
        </w:rPr>
        <w:t>Cita:</w:t>
      </w:r>
      <w:r>
        <w:t xml:space="preserve"> "One RCT found a marked reduction in antibiotic prescriptions without impaired outcomes in UK primary care outpatients… guided by point-of-care CRP testing.(1047)"</w:t>
      </w:r>
    </w:p>
    <w:p>
      <w:pPr>
        <w:pStyle w:val="ListBullet"/>
      </w:pPr>
      <w:r>
        <w:rPr>
          <w:b/>
        </w:rPr>
        <w:t>Problema:</w:t>
      </w:r>
    </w:p>
    <w:p>
      <w:pPr>
        <w:pStyle w:val="ListBullet2"/>
      </w:pPr>
      <w:r>
        <w:rPr>
          <w:b/>
        </w:rPr>
        <w:t>(a)</w:t>
      </w:r>
      <w:r>
        <w:t xml:space="preserve"> La ref 1047 es Prins et al. (hospitalizados en los Países Bajos), que se describe en la frase siguiente; el ensayo británico es Butler et al., </w:t>
      </w:r>
      <w:r>
        <w:rPr>
          <w:i/>
        </w:rPr>
        <w:t>NEJM</w:t>
      </w:r>
      <w:r>
        <w:t xml:space="preserve"> 2019, que ya figura en la bibliografía.</w:t>
      </w:r>
    </w:p>
    <w:p>
      <w:pPr>
        <w:pStyle w:val="ListBullet2"/>
      </w:pPr>
      <w:r>
        <w:rPr>
          <w:b/>
        </w:rPr>
        <w:t>(b)</w:t>
      </w:r>
      <w:r>
        <w:t xml:space="preserve"> La ref 1077 (Cortegiani) es un </w:t>
      </w:r>
      <w:r>
        <w:rPr>
          <w:i/>
        </w:rPr>
        <w:t>protocolo</w:t>
      </w:r>
      <w:r>
        <w:t xml:space="preserve"> de estudio y se cita para resultados.</w:t>
      </w:r>
    </w:p>
    <w:p>
      <w:pPr>
        <w:pStyle w:val="ListBullet2"/>
      </w:pPr>
      <w:r>
        <w:rPr>
          <w:b/>
        </w:rPr>
        <w:t>(c)</w:t>
      </w:r>
      <w:r>
        <w:t xml:space="preserve"> "In a subsequent study, post-extubation HFNT with NIV was again non-inferior to HFNT alone… (1082)": la ref 1082 compara HFNT con NIV (Hernández 2016).</w:t>
      </w:r>
    </w:p>
    <w:p>
      <w:pPr>
        <w:pStyle w:val="ListBullet2"/>
      </w:pPr>
      <w:r>
        <w:t xml:space="preserve">La frase siguiente, que cita a Thille (1083), dice que HFNT+NIV fue </w:t>
      </w:r>
      <w:r>
        <w:rPr>
          <w:i/>
        </w:rPr>
        <w:t>superior</w:t>
      </w:r>
      <w:r>
        <w:t>.</w:t>
      </w:r>
    </w:p>
    <w:p>
      <w:pPr>
        <w:pStyle w:val="ListBullet2"/>
      </w:pPr>
      <w:r>
        <w:t>El porcentaje de pacientes con EPOC del mismo estudio se da como "18-22%" y como "21-25%".</w:t>
      </w:r>
    </w:p>
    <w:p>
      <w:pPr>
        <w:pStyle w:val="ListBullet"/>
      </w:pPr>
      <w:r>
        <w:rPr>
          <w:b/>
        </w:rPr>
        <w:t>Evidencia/justificación:</w:t>
      </w:r>
      <w:r>
        <w:t xml:space="preserve"> cotejo del texto con la lista de referencias del propio documento.</w:t>
      </w:r>
    </w:p>
    <w:p>
      <w:pPr>
        <w:pStyle w:val="ListBullet"/>
      </w:pPr>
      <w:r>
        <w:rPr>
          <w:b/>
        </w:rPr>
        <w:t>Recomendación:</w:t>
      </w:r>
      <w:r>
        <w:t xml:space="preserve"> revisar y reasignar las citas 1047, 1077 y 1082, y corregir la conclusión post-extubación.</w:t>
      </w:r>
    </w:p>
    <w:p>
      <w:pPr>
        <w:pStyle w:val="ListBullet"/>
      </w:pPr>
      <w:r>
        <w:rPr>
          <w:b/>
        </w:rPr>
        <w:t>Confianza:</w:t>
      </w:r>
      <w:r>
        <w:t xml:space="preserve"> 4</w:t>
      </w:r>
    </w:p>
    <w:p>
      <w:pPr>
        <w:pStyle w:val="Heading4"/>
      </w:pPr>
      <w:r>
        <w:t>EQ-04 · La única cita de evidencia de LMIC sobre instrumentos de cribado está mal atribuida</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43 / impr. 32 — párrafo sobre la EPOC no diagnosticada.</w:t>
      </w:r>
    </w:p>
    <w:p>
      <w:pPr>
        <w:pStyle w:val="ListBullet"/>
      </w:pPr>
      <w:r>
        <w:rPr>
          <w:b/>
        </w:rPr>
        <w:t>Cita:</w:t>
      </w:r>
      <w:r>
        <w:t xml:space="preserve"> "A Danish study showed… In addition, adults with undiagnosed, symptomatic COPD had a 4.3 times greater risk of death from respiratory causes, and a 2.0 times greater risk of death from any cause… (377)"</w:t>
      </w:r>
    </w:p>
    <w:p>
      <w:pPr>
        <w:pStyle w:val="ListBullet"/>
      </w:pPr>
      <w:r>
        <w:rPr>
          <w:b/>
        </w:rPr>
        <w:t>Problema:</w:t>
      </w:r>
      <w:r>
        <w:t xml:space="preserve"> La ref. 377 es Siddharthan T et al., "Discriminative Accuracy of COPD Screening Instruments in 3 Low- and Middle-Income Country Settings", JAMA 2022 (PMID 35015039). Se trata de un estudio de precisión diagnóstica en Nepal, Perú y Uganda, no de mortalidad en una cohorte danesa. Así, el texto atribuye a un estudio de LMIC datos que no contiene y, a la vez, no usa ese estudio para lo que realmente aporta: el rendimiento de los instrumentos de cribado en LMIC.</w:t>
      </w:r>
    </w:p>
    <w:p>
      <w:pPr>
        <w:pStyle w:val="ListBullet"/>
      </w:pPr>
      <w:r>
        <w:rPr>
          <w:b/>
        </w:rPr>
        <w:t>Evidencia/justificación:</w:t>
      </w:r>
      <w:r>
        <w:t xml:space="preserve"> Verificado en PubMed. Las cuatro cifras (15,5, 2,8, 4,3 y 2,0) proceden de Çolak Y et al., Lancet Respir Med 2017;5:426-34, PMID 28389225 (Copenhagen General Population Study). Además, GOLD atribuye los HR de 15,5 y 2,8 a la EPOC no diagnosticada en general, cuando en el estudio original corresponden solo a la EPOC no diagnosticada sintomática. En la asintomática fueron 5,0 y 1,7.</w:t>
      </w:r>
    </w:p>
    <w:p>
      <w:pPr>
        <w:pStyle w:val="ListBullet"/>
      </w:pPr>
      <w:r>
        <w:rPr>
          <w:b/>
        </w:rPr>
        <w:t>Recomendación:</w:t>
      </w:r>
      <w:r>
        <w:t xml:space="preserve"> Citar Çolak 2017 para las cifras danesas, precisando que se refieren a la EPOC sintomática, y usar Siddharthan 2022 en el apartado de instrumentos de búsqueda de casos y en la vía para entornos sin espirometría (EQ-03).</w:t>
      </w:r>
    </w:p>
    <w:p>
      <w:pPr>
        <w:pStyle w:val="ListBullet"/>
      </w:pPr>
      <w:r>
        <w:rPr>
          <w:b/>
        </w:rPr>
        <w:t>Confianza:</w:t>
      </w:r>
      <w:r>
        <w:t xml:space="preserve"> 5/5</w:t>
      </w:r>
    </w:p>
    <w:p>
      <w:pPr>
        <w:pStyle w:val="Heading4"/>
      </w:pPr>
      <w:r>
        <w:t>EXA-23 · Referencias citadas que no sustentan la afirmación (CRP, rehabilitación, antibióticos)</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115 / impr. 104; PDF 116 / impr. 105; PDF 120 / impr. 109.</w:t>
      </w:r>
    </w:p>
    <w:p>
      <w:pPr>
        <w:pStyle w:val="ListBullet"/>
      </w:pPr>
      <w:r>
        <w:rPr>
          <w:b/>
        </w:rPr>
        <w:t>Cita:</w:t>
      </w:r>
    </w:p>
    <w:p>
      <w:pPr>
        <w:pStyle w:val="ListBullet2"/>
      </w:pPr>
      <w:r>
        <w:t>"of-care CRP testing.(1047) Another trial in patients hospitalized… in The Netherlands found similar results… (1047)".</w:t>
      </w:r>
    </w:p>
    <w:p>
      <w:pPr>
        <w:pStyle w:val="ListBullet2"/>
      </w:pPr>
      <w:r>
        <w:t>"may be associated with decreased readmission rate and improved survival,(1108)".</w:t>
      </w:r>
    </w:p>
    <w:p>
      <w:pPr>
        <w:pStyle w:val="ListBullet"/>
      </w:pPr>
      <w:r>
        <w:rPr>
          <w:b/>
        </w:rPr>
        <w:t>Problema:</w:t>
      </w:r>
    </w:p>
    <w:p>
      <w:pPr>
        <w:pStyle w:val="ListBullet2"/>
      </w:pPr>
      <w:r>
        <w:rPr>
          <w:b/>
        </w:rPr>
        <w:t>Ref. 1047 (Prins, ensayo neerlandés en hospitalizados):</w:t>
      </w:r>
      <w:r>
        <w:t xml:space="preserve"> se usa tanto para el ensayo británico de atención primaria como para el neerlandés. El ensayo británico es Butler CC et al., NEJM 2019;381:111-20 (PACE), presente en la guía como ref. 938.</w:t>
      </w:r>
    </w:p>
    <w:p>
      <w:pPr>
        <w:pStyle w:val="ListBullet2"/>
      </w:pPr>
      <w:r>
        <w:rPr>
          <w:b/>
        </w:rPr>
        <w:t>Ref. 1108 (Stergiopoulos, Front Digit Health 2024):</w:t>
      </w:r>
      <w:r>
        <w:t xml:space="preserve"> una revisión sistemática sobre telemonitorización y reingresos en insuficiencia cardiaca y EPOC, citada para la rehabilitación precoz tras el alta.</w:t>
      </w:r>
    </w:p>
    <w:p>
      <w:pPr>
        <w:pStyle w:val="ListBullet2"/>
      </w:pPr>
      <w:r>
        <w:rPr>
          <w:b/>
        </w:rPr>
        <w:t>Ref. 1043 (MAESTRAL):</w:t>
      </w:r>
      <w:r>
        <w:t xml:space="preserve"> ensayo con comparador activo (moxifloxacino frente a amoxicilina-clavulánico), citado como apoyo al beneficio del antibiótico frente a placebo.</w:t>
      </w:r>
    </w:p>
    <w:p>
      <w:pPr>
        <w:pStyle w:val="ListBullet2"/>
      </w:pPr>
      <w:r>
        <w:rPr>
          <w:b/>
        </w:rPr>
        <w:t>Ref. 1054:</w:t>
      </w:r>
      <w:r>
        <w:t xml:space="preserve"> citada para la duración del tratamiento ambulatorio (véase EXA-11).</w:t>
      </w:r>
    </w:p>
    <w:p>
      <w:pPr>
        <w:pStyle w:val="ListBullet2"/>
      </w:pPr>
      <w:r>
        <w:rPr>
          <w:b/>
        </w:rPr>
        <w:t>Ref. 565:</w:t>
      </w:r>
      <w:r>
        <w:t xml:space="preserve"> véase EXA-20.</w:t>
      </w:r>
    </w:p>
    <w:p>
      <w:pPr>
        <w:pStyle w:val="ListBullet"/>
      </w:pPr>
      <w:r>
        <w:rPr>
          <w:b/>
        </w:rPr>
        <w:t>Evidencia/justificación:</w:t>
      </w:r>
      <w:r>
        <w:t xml:space="preserve"> Verificación de títulos con </w:t>
      </w:r>
      <w:r>
        <w:rPr>
          <w:rFonts w:ascii="Consolas" w:hAnsi="Consolas"/>
        </w:rPr>
        <w:t>refs.py</w:t>
      </w:r>
      <w:r>
        <w:t xml:space="preserve"> sobre la lista de referencias (PDF 175-248).</w:t>
      </w:r>
    </w:p>
    <w:p>
      <w:pPr>
        <w:pStyle w:val="ListBullet"/>
      </w:pPr>
      <w:r>
        <w:rPr>
          <w:b/>
        </w:rPr>
        <w:t>Recomendación:</w:t>
      </w:r>
    </w:p>
    <w:p>
      <w:pPr>
        <w:pStyle w:val="ListBullet2"/>
      </w:pPr>
      <w:r>
        <w:t>Corregir las asignaciones: 938 para PACE y 1047 para Prins.</w:t>
      </w:r>
    </w:p>
    <w:p>
      <w:pPr>
        <w:pStyle w:val="ListBullet2"/>
      </w:pPr>
      <w:r>
        <w:t>Para la rehabilitación precoz, citar a Puhan MA et al. (Cochrane 2016, CD005305) o a Ryrsø 2018.</w:t>
      </w:r>
    </w:p>
    <w:p>
      <w:pPr>
        <w:pStyle w:val="ListBullet2"/>
      </w:pPr>
      <w:r>
        <w:t>Para el beneficio frente a placebo, citar a Vollenweider (Cochrane 2018).</w:t>
      </w:r>
    </w:p>
    <w:p>
      <w:pPr>
        <w:pStyle w:val="ListBullet2"/>
      </w:pPr>
      <w:r>
        <w:t>Revisar sistemáticamente las referencias del capítulo.</w:t>
      </w:r>
    </w:p>
    <w:p>
      <w:pPr>
        <w:pStyle w:val="ListBullet"/>
      </w:pPr>
      <w:r>
        <w:rPr>
          <w:b/>
        </w:rPr>
        <w:t>Confianza:</w:t>
      </w:r>
      <w:r>
        <w:t xml:space="preserve"> 5/5</w:t>
      </w:r>
    </w:p>
    <w:p>
      <w:pPr>
        <w:pStyle w:val="Heading4"/>
      </w:pPr>
      <w:r>
        <w:t>MET-15 · Se cita un artículo retractado (ref 241)</w:t>
      </w:r>
    </w:p>
    <w:p>
      <w:r>
        <w:rPr>
          <w:i/>
        </w:rPr>
        <w:t xml:space="preserve">Severidad final: </w:t>
      </w:r>
      <w:r>
        <w:rPr>
          <w:i/>
          <w:color w:val="FFC000"/>
        </w:rPr>
        <w:t>🟡</w:t>
      </w:r>
      <w:r>
        <w:rPr>
          <w:i/>
        </w:rPr>
        <w:t xml:space="preserve"> MEDIA · Tema T23: Integridad de citas y referencias</w:t>
      </w:r>
    </w:p>
    <w:p>
      <w:pPr>
        <w:pStyle w:val="IntenseQuote"/>
      </w:pPr>
      <w:r>
        <w:rPr>
          <w:b/>
        </w:rPr>
        <w:t>Verificación independiente (CONFIRMADO):</w:t>
      </w:r>
      <w:r>
        <w:t xml:space="preserve"> 1. Eliminar la ref. 241. 2. Sustituir las refs. 215 y 241 por fuentes válidas, por ejemplo la ref. 240 (Domej 2014) o una revisión actual. 3. Implantar un cribado de retractaciones mediante PubMed, Retraction Watch o Crossref.</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28 / impr. 17 (cita); ref 241 (PDF 184 / impr. 173)</w:t>
      </w:r>
    </w:p>
    <w:p>
      <w:pPr>
        <w:pStyle w:val="ListBullet"/>
      </w:pPr>
      <w:r>
        <w:rPr>
          <w:b/>
        </w:rPr>
        <w:t>Cita:</w:t>
      </w:r>
      <w:r>
        <w:t xml:space="preserve"> «Oxidants are both generated by cigarette smoke and other inhaled particulates and released from activated inflammatory cells such as macrophages and neutrophils.(215,241)»</w:t>
      </w:r>
    </w:p>
    <w:p>
      <w:pPr>
        <w:pStyle w:val="ListBullet"/>
      </w:pPr>
      <w:r>
        <w:rPr>
          <w:b/>
        </w:rPr>
        <w:t>Problema:</w:t>
      </w:r>
    </w:p>
    <w:p>
      <w:pPr>
        <w:pStyle w:val="ListBullet2"/>
      </w:pPr>
      <w:r>
        <w:t>La ref 241 es Malhotra D et al., Am J Respir Crit Care Med 2009;180:1196-207 (PMID 19797762).</w:t>
      </w:r>
    </w:p>
    <w:p>
      <w:pPr>
        <w:pStyle w:val="ListBullet2"/>
      </w:pPr>
      <w:r>
        <w:t>Recibió una expresión de preocupación en 2014 y fue retractada en 2016 (AJRCCM 2016;193:344).</w:t>
      </w:r>
    </w:p>
    <w:p>
      <w:pPr>
        <w:pStyle w:val="ListBullet2"/>
      </w:pPr>
      <w:r>
        <w:t>El impacto clínico es mínimo porque la afirmación se sostiene con la ref 215, pero indica que no se cribaron retractaciones.</w:t>
      </w:r>
    </w:p>
    <w:p>
      <w:pPr>
        <w:pStyle w:val="ListBullet"/>
      </w:pPr>
      <w:r>
        <w:rPr>
          <w:b/>
        </w:rPr>
        <w:t>Evidencia/justificación:</w:t>
      </w:r>
      <w:r>
        <w:t xml:space="preserve"> Estado «Retracted Publication» del PMID 19797762 en NCBI esummary. Única retractación entre los 1696 PMIDs consultados.</w:t>
      </w:r>
    </w:p>
    <w:p>
      <w:pPr>
        <w:pStyle w:val="ListBullet"/>
      </w:pPr>
      <w:r>
        <w:rPr>
          <w:b/>
        </w:rPr>
        <w:t>Recomendación:</w:t>
      </w:r>
      <w:r>
        <w:t xml:space="preserve"> Eliminar la ref 241 e incorporar un cribado sistemático de retractaciones (PubMed, Retraction Watch/Crossref) antes de cada edición.</w:t>
      </w:r>
    </w:p>
    <w:p>
      <w:pPr>
        <w:pStyle w:val="ListBullet"/>
      </w:pPr>
      <w:r>
        <w:rPr>
          <w:b/>
        </w:rPr>
        <w:t>Confianza:</w:t>
      </w:r>
      <w:r>
        <w:t xml:space="preserve"> 5</w:t>
      </w:r>
    </w:p>
    <w:p>
      <w:pPr>
        <w:pStyle w:val="Heading4"/>
      </w:pPr>
      <w:r>
        <w:t>MET-17 · Otras citas que no respaldan la afirmación (refs 309, 1025, 1605, 319)</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34 / impr. 23; PDF 93 / impr. 82; PDF 114 / impr. 103; PDF 163 / impr. 152</w:t>
      </w:r>
    </w:p>
    <w:p>
      <w:pPr>
        <w:pStyle w:val="ListBullet"/>
      </w:pPr>
      <w:r>
        <w:rPr>
          <w:b/>
        </w:rPr>
        <w:t>Cita:</w:t>
      </w:r>
      <w:r>
        <w:t xml:space="preserve"> «Immediate-release morphine extended exercise endurance time in over half of the patients with advanced COPD in one study.(309)»</w:t>
      </w:r>
    </w:p>
    <w:p>
      <w:pPr>
        <w:pStyle w:val="ListBullet"/>
      </w:pPr>
      <w:r>
        <w:rPr>
          <w:b/>
        </w:rPr>
        <w:t>Problema:</w:t>
      </w:r>
    </w:p>
    <w:p>
      <w:pPr>
        <w:pStyle w:val="ListBullet2"/>
      </w:pPr>
      <w:r>
        <w:rPr>
          <w:b/>
        </w:rPr>
        <w:t>Ref 309</w:t>
      </w:r>
      <w:r>
        <w:t xml:space="preserve"> (MORDYC, Verberkt 2020, PMID 32804188).</w:t>
      </w:r>
    </w:p>
    <w:p>
      <w:pPr>
        <w:pStyle w:val="ListBullet2"/>
      </w:pPr>
      <w:r>
        <w:t>Evaluó morfina de liberación sostenida durante 4 semanas, con la disnea y el estado de salud como desenlaces. No estudió la morfina de liberación inmediata ni la resistencia al ejercicio.</w:t>
      </w:r>
    </w:p>
    <w:p>
      <w:pPr>
        <w:pStyle w:val="ListBullet2"/>
      </w:pPr>
      <w:r>
        <w:t>Tampoco sustenta la frase de PDF 34: «patients with high dyspnea scores incur higher healthcare resource utilization and costs.(309)».</w:t>
      </w:r>
    </w:p>
    <w:p>
      <w:pPr>
        <w:pStyle w:val="ListBullet2"/>
      </w:pPr>
      <w:r>
        <w:rPr>
          <w:b/>
        </w:rPr>
        <w:t>Ref 1025</w:t>
      </w:r>
      <w:r>
        <w:t xml:space="preserve"> (Aaron 2003, NEJM). Estudió pacientes dados de alta desde urgencias (ambulatorios), con la recaída como desenlace, pero se cita para la reducción de la estancia hospitalaria en PDF 114 («the length of hospitalization.(1020,1022,1025)»).</w:t>
      </w:r>
    </w:p>
    <w:p>
      <w:pPr>
        <w:pStyle w:val="ListBullet2"/>
      </w:pPr>
      <w:r>
        <w:rPr>
          <w:b/>
        </w:rPr>
        <w:t>Ref 1605</w:t>
      </w:r>
      <w:r>
        <w:t xml:space="preserve"> (ENHANCE, ensayo de eficacia). Se cita para un mecanismo, además enunciado de forma imprecisa: «PDE3 inhibition, through modulation of cyclic guanosine monophosphate levels, causes smooth muscle relaxation». La relajación del músculo liso bronquial mediada por PDE3 depende sobre todo del AMPc.</w:t>
      </w:r>
    </w:p>
    <w:p>
      <w:pPr>
        <w:pStyle w:val="ListBullet2"/>
      </w:pPr>
      <w:r>
        <w:rPr>
          <w:b/>
        </w:rPr>
        <w:t>Ref 319.</w:t>
      </w:r>
      <w:r>
        <w:t xml:space="preserve"> Es un protocolo de estudio observacional, citado para un dato epidemiológico (PDF 34).</w:t>
      </w:r>
    </w:p>
    <w:p>
      <w:pPr>
        <w:pStyle w:val="ListBullet"/>
      </w:pPr>
      <w:r>
        <w:rPr>
          <w:b/>
        </w:rPr>
        <w:t>Evidencia/justificación:</w:t>
      </w:r>
      <w:r>
        <w:t xml:space="preserve"> Abstracts de PubMed (efetch) de los PMIDs 32804188 y 12826636 y de la ref 1605.</w:t>
      </w:r>
    </w:p>
    <w:p>
      <w:pPr>
        <w:pStyle w:val="ListBullet"/>
      </w:pPr>
      <w:r>
        <w:rPr>
          <w:b/>
        </w:rPr>
        <w:t>Recomendación:</w:t>
      </w:r>
      <w:r>
        <w:t xml:space="preserve"> Sustituir por las fuentes adecuadas (p. ej., el ECA cruzado de morfina de liberación inmediata y ejercicio, y estudios de costes de la disnea) y corregir el mecanismo de la PDE3.</w:t>
      </w:r>
    </w:p>
    <w:p>
      <w:pPr>
        <w:pStyle w:val="ListBullet"/>
      </w:pPr>
      <w:r>
        <w:rPr>
          <w:b/>
        </w:rPr>
        <w:t>Confianza:</w:t>
      </w:r>
      <w:r>
        <w:t xml:space="preserve"> 4</w:t>
      </w:r>
    </w:p>
    <w:p>
      <w:pPr>
        <w:pStyle w:val="Heading4"/>
      </w:pPr>
      <w:r>
        <w:t>EPI-06 · Mortalidad: rango, cifras, años y fuentes incoherentes entre Background y el cap. 1</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 / Desactualización</w:t>
      </w:r>
    </w:p>
    <w:p>
      <w:pPr>
        <w:pStyle w:val="ListBullet"/>
      </w:pPr>
      <w:r>
        <w:rPr>
          <w:b/>
        </w:rPr>
        <w:t>Severidad:</w:t>
      </w:r>
      <w:r>
        <w:t xml:space="preserve"> MEDIA</w:t>
      </w:r>
    </w:p>
    <w:p>
      <w:pPr>
        <w:pStyle w:val="ListBullet"/>
      </w:pPr>
      <w:r>
        <w:rPr>
          <w:b/>
        </w:rPr>
        <w:t>Ubicación:</w:t>
      </w:r>
      <w:r>
        <w:t xml:space="preserve"> PDF 12 / impr. 1 (Background) y PDF 20 / impr. 9 (Mortality)</w:t>
      </w:r>
    </w:p>
    <w:p>
      <w:pPr>
        <w:pStyle w:val="ListBullet"/>
      </w:pPr>
      <w:r>
        <w:rPr>
          <w:b/>
        </w:rPr>
        <w:t>Cita:</w:t>
      </w:r>
      <w:r>
        <w:t xml:space="preserve"> PDF 12: «one of the top three causes of death worldwide and nearly 90% of these deaths occur in LMICs.(1,2) More than 3 million people died of COPD in 2021 accounting for 5%…(3)»; PDF 20: «COPD is the third leading cause of death worldwide.(74)… 3.72 million in 2021»</w:t>
      </w:r>
    </w:p>
    <w:p>
      <w:pPr>
        <w:pStyle w:val="ListBullet"/>
      </w:pPr>
      <w:r>
        <w:rPr>
          <w:b/>
        </w:rPr>
        <w:t>Problema:</w:t>
      </w:r>
    </w:p>
    <w:p>
      <w:pPr>
        <w:pStyle w:val="ListBullet2"/>
      </w:pPr>
      <w:r>
        <w:rPr>
          <w:b/>
        </w:rPr>
        <w:t>Tres cifras distintas de muertes en 2021:</w:t>
      </w:r>
      <w:r>
        <w:t xml:space="preserve"> «&gt;3 M» (OMS), 3,5 M (fact sheet OMS citado como «2024») y 3,72 M (GBD 2021).</w:t>
      </w:r>
    </w:p>
    <w:p>
      <w:pPr>
        <w:pStyle w:val="ListBullet2"/>
      </w:pPr>
      <w:r>
        <w:rPr>
          <w:b/>
        </w:rPr>
        <w:t>El rango («third», ref 74) procede del GBD 2023, publicado después de la ventana de búsqueda</w:t>
      </w:r>
      <w:r>
        <w:t>, mientras que el recuento de muertes es del GBD 2021. En el GBD 2021 la EPOC era la 4.ª causa, por detrás de la COVID-19.</w:t>
      </w:r>
    </w:p>
    <w:p>
      <w:pPr>
        <w:pStyle w:val="ListBullet2"/>
      </w:pPr>
      <w:r>
        <w:rPr>
          <w:b/>
        </w:rPr>
        <w:t>El dato del 90% omite el calificativo de la OMS</w:t>
      </w:r>
      <w:r>
        <w:t>: según el fact sheet, se refiere a las muertes en menores de 70 años, no a todas las muertes por EPOC.</w:t>
      </w:r>
    </w:p>
    <w:p>
      <w:pPr>
        <w:pStyle w:val="ListBullet2"/>
      </w:pPr>
      <w:r>
        <w:rPr>
          <w:b/>
        </w:rPr>
        <w:t>La versión web vigente del fact sheet de la OMS</w:t>
      </w:r>
      <w:r>
        <w:t xml:space="preserve"> (consultada en «Oct 2025», ref 3) indica «third leading cause… 3.4 million deaths in 2023, approximately 6%», no lo que dice el Background.</w:t>
      </w:r>
    </w:p>
    <w:p>
      <w:pPr>
        <w:pStyle w:val="ListBullet"/>
      </w:pPr>
      <w:r>
        <w:rPr>
          <w:b/>
        </w:rPr>
        <w:t>Evidencia/justificación:</w:t>
      </w:r>
    </w:p>
    <w:p>
      <w:pPr>
        <w:pStyle w:val="ListBullet2"/>
      </w:pPr>
      <w:r>
        <w:t>Fact sheet de la OMS sobre EPOC (who.int/news-room/fact-sheets/detail/chronic-obstructive-pulmonary-disease-(copd)): «Nearly 90% of COPD deaths in those under 70 years of age occur in LMIC». Según mi conocimiento, la versión de 2024 decía «fourth… 3.5 million deaths in 2021». No pude fechar con exactitud la actualización.</w:t>
      </w:r>
    </w:p>
    <w:p>
      <w:pPr>
        <w:pStyle w:val="ListBullet2"/>
      </w:pPr>
      <w:r>
        <w:t xml:space="preserve">Wang Z et al., </w:t>
      </w:r>
      <w:r>
        <w:rPr>
          <w:i/>
        </w:rPr>
        <w:t>Respir Res</w:t>
      </w:r>
      <w:r>
        <w:t xml:space="preserve"> 2025;26:2 (GBD 2021, PMID 39748260): 3,72 M muertes.</w:t>
      </w:r>
    </w:p>
    <w:p>
      <w:pPr>
        <w:pStyle w:val="ListBullet2"/>
      </w:pPr>
      <w:r>
        <w:t xml:space="preserve">GBD 2023 Causes of Death Collaborators, </w:t>
      </w:r>
      <w:r>
        <w:rPr>
          <w:i/>
        </w:rPr>
        <w:t>Lancet</w:t>
      </w:r>
      <w:r>
        <w:t xml:space="preserve"> 2025;406:1811-72.</w:t>
      </w:r>
    </w:p>
    <w:p>
      <w:pPr>
        <w:pStyle w:val="ListBullet"/>
      </w:pPr>
      <w:r>
        <w:rPr>
          <w:b/>
        </w:rPr>
        <w:t>Recomendación:</w:t>
      </w:r>
    </w:p>
    <w:p>
      <w:pPr>
        <w:pStyle w:val="ListBullet2"/>
      </w:pPr>
      <w:r>
        <w:t>Armonizar todo el informe con una única fuente y año (preferiblemente el GBD 2023, ya citado, o el fact sheet vigente), indicando si son muertes absolutas, tasa bruta o estandarizada.</w:t>
      </w:r>
    </w:p>
    <w:p>
      <w:pPr>
        <w:pStyle w:val="ListBullet2"/>
      </w:pPr>
      <w:r>
        <w:t>Añadir «en menores de 70 años» al dato del 90%.</w:t>
      </w:r>
    </w:p>
    <w:p>
      <w:pPr>
        <w:pStyle w:val="ListBullet2"/>
      </w:pPr>
      <w:r>
        <w:t>Actualizar la fecha de la ref 3.</w:t>
      </w:r>
    </w:p>
    <w:p>
      <w:pPr>
        <w:pStyle w:val="ListBullet"/>
      </w:pPr>
      <w:r>
        <w:rPr>
          <w:b/>
        </w:rPr>
        <w:t>Confianza:</w:t>
      </w:r>
      <w:r>
        <w:t xml:space="preserve"> 4/5</w:t>
      </w:r>
    </w:p>
    <w:p>
      <w:pPr>
        <w:pStyle w:val="Heading4"/>
      </w:pPr>
      <w:r>
        <w:t>EPI-07 · Prevalencia GBD 2021: error de unidades y cambio no significativo presentado como tendencia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«2.513 por 100.000 (≈2,5 %)». Indicar que la variación desde 1990 no es significativa. Matiz: la guía no habla expresamente de «tendencia», así que esa parte del hallazgo es menor.</w:t>
      </w:r>
    </w:p>
    <w:p>
      <w:pPr>
        <w:pStyle w:val="ListBullet"/>
      </w:pPr>
      <w:r>
        <w:rPr>
          <w:b/>
        </w:rPr>
        <w:t>Tipo:</w:t>
      </w:r>
      <w:r>
        <w:t xml:space="preserve"> Error factual / Evidencia mal representada</w:t>
      </w:r>
    </w:p>
    <w:p>
      <w:pPr>
        <w:pStyle w:val="ListBullet"/>
      </w:pPr>
      <w:r>
        <w:rPr>
          <w:b/>
        </w:rPr>
        <w:t>Severidad:</w:t>
      </w:r>
      <w:r>
        <w:t xml:space="preserve"> MEDIA</w:t>
      </w:r>
    </w:p>
    <w:p>
      <w:pPr>
        <w:pStyle w:val="ListBullet"/>
      </w:pPr>
      <w:r>
        <w:rPr>
          <w:b/>
        </w:rPr>
        <w:t>Ubicación:</w:t>
      </w:r>
      <w:r>
        <w:t xml:space="preserve"> PDF 19 / impr. 8 — Prevalence</w:t>
      </w:r>
    </w:p>
    <w:p>
      <w:pPr>
        <w:pStyle w:val="ListBullet"/>
      </w:pPr>
      <w:r>
        <w:rPr>
          <w:b/>
        </w:rPr>
        <w:t>Cita:</w:t>
      </w:r>
      <w:r>
        <w:t xml:space="preserve"> «213.39 million cases of COPD of all ages, which represents a prevalence of 2.7% (2.5 age-standardized prevalence per 100,000) a change of −1.46% since 1990.(70)»</w:t>
      </w:r>
    </w:p>
    <w:p>
      <w:pPr>
        <w:pStyle w:val="ListBullet"/>
      </w:pPr>
      <w:r>
        <w:rPr>
          <w:b/>
        </w:rPr>
        <w:t>Problema:</w:t>
      </w:r>
    </w:p>
    <w:p>
      <w:pPr>
        <w:pStyle w:val="ListNumber"/>
        <w:numPr>
          <w:ilvl w:val="0"/>
          <w:numId w:val="42"/>
        </w:numPr>
      </w:pPr>
      <w:r>
        <w:rPr>
          <w:b/>
        </w:rPr>
        <w:t>«2.5 per 100,000» es erróneo:</w:t>
      </w:r>
      <w:r>
        <w:t xml:space="preserve"> la prevalencia estandarizada es del orden de 2.500 por 100.000 (≈2,5%). El propio párrafo siguiente habla de «more than 3,000 cases per 100,000» en algunas regiones.</w:t>
      </w:r>
    </w:p>
    <w:p>
      <w:pPr>
        <w:pStyle w:val="ListNumber"/>
        <w:numPr>
          <w:ilvl w:val="0"/>
          <w:numId w:val="42"/>
        </w:numPr>
      </w:pPr>
      <w:r>
        <w:rPr>
          <w:b/>
        </w:rPr>
        <w:t>El −1,46% no es estadísticamente distinto de cero</w:t>
      </w:r>
      <w:r>
        <w:t>, y el texto lo presenta como cambio.</w:t>
      </w:r>
    </w:p>
    <w:p>
      <w:pPr>
        <w:pStyle w:val="ListNumber"/>
        <w:numPr>
          <w:ilvl w:val="0"/>
          <w:numId w:val="42"/>
        </w:numPr>
      </w:pPr>
      <w:r>
        <w:rPr>
          <w:b/>
        </w:rPr>
        <w:t>Contradicción en las edades incluidas:</w:t>
      </w:r>
      <w:r>
        <w:t xml:space="preserve"> el párrafo previo atribuye las discrepancias a que el GBD incluye a personas «≥ 15 years», mientras la cifra se da para «all ages».</w:t>
      </w:r>
    </w:p>
    <w:p>
      <w:pPr>
        <w:pStyle w:val="ListBullet"/>
      </w:pPr>
      <w:r>
        <w:rPr>
          <w:b/>
        </w:rPr>
        <w:t>Evidencia/justificación:</w:t>
      </w:r>
      <w:r>
        <w:t xml:space="preserve"> Wang Z et al., </w:t>
      </w:r>
      <w:r>
        <w:rPr>
          <w:i/>
        </w:rPr>
        <w:t>Respir Res</w:t>
      </w:r>
      <w:r>
        <w:t xml:space="preserve"> 2025;26:2 (doi:10.1186/s12931-024-03051-2): variación de la prevalencia estandarizada de −1,46% (UI 95% −3,36 a 0,39).</w:t>
      </w:r>
    </w:p>
    <w:p>
      <w:pPr>
        <w:pStyle w:val="ListBullet"/>
      </w:pPr>
      <w:r>
        <w:rPr>
          <w:b/>
        </w:rPr>
        <w:t>Recomendación:</w:t>
      </w:r>
    </w:p>
    <w:p>
      <w:pPr>
        <w:pStyle w:val="ListBullet2"/>
      </w:pPr>
      <w:r>
        <w:t>Corregir a «≈2.500 por 100.000 (2,5%)».</w:t>
      </w:r>
    </w:p>
    <w:p>
      <w:pPr>
        <w:pStyle w:val="ListBullet2"/>
      </w:pPr>
      <w:r>
        <w:t>Reportar el intervalo de incertidumbre y describir la tendencia como «estable».</w:t>
      </w:r>
    </w:p>
    <w:p>
      <w:pPr>
        <w:pStyle w:val="ListBullet2"/>
      </w:pPr>
      <w:r>
        <w:t>Aclarar el rango de edad del GBD.</w:t>
      </w:r>
    </w:p>
    <w:p>
      <w:pPr>
        <w:pStyle w:val="ListBullet"/>
      </w:pPr>
      <w:r>
        <w:rPr>
          <w:b/>
        </w:rPr>
        <w:t>Confianza:</w:t>
      </w:r>
      <w:r>
        <w:t xml:space="preserve"> 5/5</w:t>
      </w:r>
    </w:p>
    <w:p>
      <w:pPr>
        <w:pStyle w:val="Heading4"/>
      </w:pPr>
      <w:r>
        <w:t>EPI-08 · Figure 1.1: eje mal rotulado y comparación de estimaciones no comparables</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Error factual / Ambigüedad</w:t>
      </w:r>
    </w:p>
    <w:p>
      <w:pPr>
        <w:pStyle w:val="ListBullet"/>
      </w:pPr>
      <w:r>
        <w:rPr>
          <w:b/>
        </w:rPr>
        <w:t>Severidad:</w:t>
      </w:r>
      <w:r>
        <w:t xml:space="preserve"> MEDIA</w:t>
      </w:r>
    </w:p>
    <w:p>
      <w:pPr>
        <w:pStyle w:val="ListBullet"/>
      </w:pPr>
      <w:r>
        <w:rPr>
          <w:b/>
        </w:rPr>
        <w:t>Ubicación:</w:t>
      </w:r>
      <w:r>
        <w:t xml:space="preserve"> PDF 20 / impr. 9 — Figure 1.1 (prevalencia según fuentes)</w:t>
      </w:r>
    </w:p>
    <w:p>
      <w:pPr>
        <w:pStyle w:val="ListBullet"/>
      </w:pPr>
      <w:r>
        <w:rPr>
          <w:b/>
        </w:rPr>
        <w:t>Cita:</w:t>
      </w:r>
      <w:r>
        <w:t xml:space="preserve"> Rótulo del eje: «Number of cases (per million)»</w:t>
      </w:r>
    </w:p>
    <w:p>
      <w:pPr>
        <w:pStyle w:val="ListBullet"/>
      </w:pPr>
      <w:r>
        <w:rPr>
          <w:b/>
        </w:rPr>
        <w:t>Problema:</w:t>
      </w:r>
    </w:p>
    <w:p>
      <w:pPr>
        <w:pStyle w:val="ListBullet2"/>
      </w:pPr>
      <w:r>
        <w:rPr>
          <w:b/>
        </w:rPr>
        <w:t>Error de unidad:</w:t>
      </w:r>
      <w:r>
        <w:t xml:space="preserve"> la tabla de la figura da 212, 213, 392 y 479 «per million»; son millones de casos, no casos «por millón».</w:t>
      </w:r>
    </w:p>
    <w:p>
      <w:pPr>
        <w:pStyle w:val="ListBullet2"/>
      </w:pPr>
      <w:r>
        <w:rPr>
          <w:b/>
        </w:rPr>
        <w:t>Se yuxtaponen estimaciones con poblaciones, definiciones y tipos de tasa distintos sin indicarlo</w:t>
      </w:r>
      <w:r>
        <w:t xml:space="preserve"> (solo figura el año): GBD 2019 (Safiri, prevalencia estandarizada 2,6%, todas las edades), GBD 2021 (2,5% estandarizada frente a 2,7% bruta en el texto), Adeloye 2019 (30-79 años, espirometría con cociente fijo, 10,3%, 392 M) y Boers 2020 («Other sources»: ≥25 años, 10,6%, ≈479 M).</w:t>
      </w:r>
    </w:p>
    <w:p>
      <w:pPr>
        <w:pStyle w:val="ListBullet2"/>
      </w:pPr>
      <w:r>
        <w:rPr>
          <w:b/>
        </w:rPr>
        <w:t>El lector puede interpretar la diferencia (≈213 M frente a ≈392-479 M) como una tendencia</w:t>
      </w:r>
      <w:r>
        <w:t xml:space="preserve"> cuando es un artefacto de método.</w:t>
      </w:r>
    </w:p>
    <w:p>
      <w:pPr>
        <w:pStyle w:val="ListBullet"/>
      </w:pPr>
      <w:r>
        <w:rPr>
          <w:b/>
        </w:rPr>
        <w:t>Evidencia/justificación:</w:t>
      </w:r>
    </w:p>
    <w:p>
      <w:pPr>
        <w:pStyle w:val="ListBullet2"/>
      </w:pPr>
      <w:r>
        <w:t xml:space="preserve">Safiri S et al., </w:t>
      </w:r>
      <w:r>
        <w:rPr>
          <w:i/>
        </w:rPr>
        <w:t>BMJ</w:t>
      </w:r>
      <w:r>
        <w:t xml:space="preserve"> 2022;378:e069679.</w:t>
      </w:r>
    </w:p>
    <w:p>
      <w:pPr>
        <w:pStyle w:val="ListBullet2"/>
      </w:pPr>
      <w:r>
        <w:t xml:space="preserve">Adeloye D et al., </w:t>
      </w:r>
      <w:r>
        <w:rPr>
          <w:i/>
        </w:rPr>
        <w:t>Lancet Respir Med</w:t>
      </w:r>
      <w:r>
        <w:t xml:space="preserve"> 2022;10:447-58 (PMID 35279265).</w:t>
      </w:r>
    </w:p>
    <w:p>
      <w:pPr>
        <w:pStyle w:val="ListBullet2"/>
      </w:pPr>
      <w:r>
        <w:t xml:space="preserve">Boers E et al., </w:t>
      </w:r>
      <w:r>
        <w:rPr>
          <w:i/>
        </w:rPr>
        <w:t>JAMA Netw Open</w:t>
      </w:r>
      <w:r>
        <w:t xml:space="preserve"> 2023;6:e2346598 (PMID 38060225).</w:t>
      </w:r>
    </w:p>
    <w:p>
      <w:pPr>
        <w:pStyle w:val="ListBullet"/>
      </w:pPr>
      <w:r>
        <w:rPr>
          <w:b/>
        </w:rPr>
        <w:t>Recomendación:</w:t>
      </w:r>
      <w:r>
        <w:t xml:space="preserve"> Corregir la unidad a «millones de casos» y añadir para cada columna:</w:t>
      </w:r>
    </w:p>
    <w:p>
      <w:pPr>
        <w:pStyle w:val="ListBullet2"/>
      </w:pPr>
      <w:r>
        <w:t>el rango de edad;</w:t>
      </w:r>
    </w:p>
    <w:p>
      <w:pPr>
        <w:pStyle w:val="ListBullet2"/>
      </w:pPr>
      <w:r>
        <w:t>la definición (diagnóstico médico/modelado frente a espirometría con FEV1/FVC &lt;0,7 o LLN);</w:t>
      </w:r>
    </w:p>
    <w:p>
      <w:pPr>
        <w:pStyle w:val="ListBullet2"/>
      </w:pPr>
      <w:r>
        <w:t>el tipo de tasa;</w:t>
      </w:r>
    </w:p>
    <w:p>
      <w:pPr>
        <w:pStyle w:val="ListBullet2"/>
      </w:pPr>
      <w:r>
        <w:t>una nota explicando por qué las estimaciones del GBD son menores.</w:t>
      </w:r>
    </w:p>
    <w:p>
      <w:pPr>
        <w:pStyle w:val="ListBullet"/>
      </w:pPr>
      <w:r>
        <w:rPr>
          <w:b/>
        </w:rPr>
        <w:t>Confianza:</w:t>
      </w:r>
      <w:r>
        <w:t xml:space="preserve"> 5/5</w:t>
      </w:r>
    </w:p>
    <w:p>
      <w:pPr>
        <w:pStyle w:val="Heading4"/>
      </w:pPr>
      <w:r>
        <w:t>EPI-09 · Fracciones atribuibles a tabaco y contaminación: cifras heterogéneas, no aditivas y de fuentes débiles</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16 / impr. 5; PDF 17 / impr. 6; PDF 20 / impr. 9</w:t>
      </w:r>
    </w:p>
    <w:p>
      <w:pPr>
        <w:pStyle w:val="ListBullet"/>
      </w:pPr>
      <w:r>
        <w:rPr>
          <w:b/>
        </w:rPr>
        <w:t>Cita:</w:t>
      </w:r>
      <w:r>
        <w:t xml:space="preserve"> PDF 16: «half of all COPD cases worldwide are due to risk factors other than tobacco»; PDF 17: «responsible for approximately 50% of the attributable risk for COPD in LMICs.(43)»; PDF 20: «Smoking contributes to 35% of the COPD deaths globally»</w:t>
      </w:r>
    </w:p>
    <w:p>
      <w:pPr>
        <w:pStyle w:val="ListBullet"/>
      </w:pPr>
      <w:r>
        <w:rPr>
          <w:b/>
        </w:rPr>
        <w:t>Problema:</w:t>
      </w:r>
      <w:r>
        <w:t xml:space="preserve"> Se mezclan métricas distintas sin explicarlas:</w:t>
      </w:r>
    </w:p>
    <w:p>
      <w:pPr>
        <w:pStyle w:val="ListBullet2"/>
      </w:pPr>
      <w:r>
        <w:t>casos (PDF 16);</w:t>
      </w:r>
    </w:p>
    <w:p>
      <w:pPr>
        <w:pStyle w:val="ListBullet2"/>
      </w:pPr>
      <w:r>
        <w:t>«total burden» (PDF 16);</w:t>
      </w:r>
    </w:p>
    <w:p>
      <w:pPr>
        <w:pStyle w:val="ListBullet2"/>
      </w:pPr>
      <w:r>
        <w:t>riesgo atribuible en LMIC (PDF 17, con una web como fuente, ref 43 GBD Viz Hub);</w:t>
      </w:r>
    </w:p>
    <w:p>
      <w:pPr>
        <w:pStyle w:val="ListBullet2"/>
      </w:pPr>
      <w:r>
        <w:t>muertes (PDF 20).</w:t>
      </w:r>
    </w:p>
    <w:p>
      <w:r>
        <w:t>Además, se infiere que «non-smoking risk factors now contribute to over 50%» a partir de que los LMIC aportan «over 85% of the total burden», cifra distinta del 80,5% de casos de Adeloye que el propio capítulo cita en PDF 19. Las fracciones atribuibles poblacionales (PAF) de distintos factores no son aditivas, y el texto no lo advierte.</w:t>
      </w:r>
    </w:p>
    <w:p>
      <w:pPr>
        <w:pStyle w:val="ListBullet"/>
      </w:pPr>
      <w:r>
        <w:rPr>
          <w:b/>
        </w:rPr>
        <w:t>Evidencia/justificación:</w:t>
      </w:r>
      <w:r>
        <w:t xml:space="preserve"> Wang 2025 (GBD 2021) da las PAF de los DALY por EPOC: tabaco ≈34,8%, PM ambiental ≈22,2%, contaminación doméstica ≈19,5% y exposición ocupacional ≈15,8%. Su suma supera el 90% porque se solapan. Adeloye 2022: 80,5% de los casos en LMIC.</w:t>
      </w:r>
    </w:p>
    <w:p>
      <w:pPr>
        <w:pStyle w:val="ListBullet"/>
      </w:pPr>
      <w:r>
        <w:rPr>
          <w:b/>
        </w:rPr>
        <w:t>Recomendación:</w:t>
      </w:r>
      <w:r>
        <w:t xml:space="preserve"> Sustituir estas frases por una tabla única de PAF del GBD 2021/2023 (muertes y DALY, global y por nivel de ingresos/SDI), con una nota explícita de no aditividad. Citar fuentes revisadas por pares en lugar de la web del IHME.</w:t>
      </w:r>
    </w:p>
    <w:p>
      <w:pPr>
        <w:pStyle w:val="ListBullet"/>
      </w:pPr>
      <w:r>
        <w:rPr>
          <w:b/>
        </w:rPr>
        <w:t>Confianza:</w:t>
      </w:r>
      <w:r>
        <w:t xml:space="preserve"> 4/5</w:t>
      </w:r>
    </w:p>
    <w:p>
      <w:pPr>
        <w:pStyle w:val="Heading4"/>
      </w:pPr>
      <w:r>
        <w:t>EPI-10 · Códigos CIE-10 erróneos («J42-46», «COPD and allied conditions»)</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«CIE-10 J40-J44 (EPOC); CIE-9 490-496 "COPD and allied conditions"». Corrección al hallazgo: el GBD incluye J47, no solo J41-J44.</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21 / impr. 10 — Mortality</w:t>
      </w:r>
    </w:p>
    <w:p>
      <w:pPr>
        <w:pStyle w:val="ListBullet"/>
      </w:pPr>
      <w:r>
        <w:rPr>
          <w:b/>
        </w:rPr>
        <w:t>Cita:</w:t>
      </w:r>
      <w:r>
        <w:t xml:space="preserve"> «included in the broad category of “COPD and allied conditions” (ICD-10 codes J42-46).»</w:t>
      </w:r>
    </w:p>
    <w:p>
      <w:pPr>
        <w:pStyle w:val="ListBullet"/>
      </w:pPr>
      <w:r>
        <w:rPr>
          <w:b/>
        </w:rPr>
        <w:t>Problema:</w:t>
      </w:r>
    </w:p>
    <w:p>
      <w:pPr>
        <w:pStyle w:val="ListBullet2"/>
      </w:pPr>
      <w:r>
        <w:rPr>
          <w:b/>
        </w:rPr>
        <w:t>«COPD and allied conditions» es la terminología de la CIE-9</w:t>
      </w:r>
      <w:r>
        <w:t xml:space="preserve"> (códigos 490-496), no de la CIE-10.</w:t>
      </w:r>
    </w:p>
    <w:p>
      <w:pPr>
        <w:pStyle w:val="ListBullet2"/>
      </w:pPr>
      <w:r>
        <w:rPr>
          <w:b/>
        </w:rPr>
        <w:t>En la CIE-10, J45-J46 son asma y estado asmático.</w:t>
      </w:r>
      <w:r>
        <w:t xml:space="preserve"> La EPOC se codifica en J44 (J40-J43 bronquitis/enfisema; J47 bronquiectasias).</w:t>
      </w:r>
    </w:p>
    <w:p>
      <w:pPr>
        <w:pStyle w:val="ListBullet2"/>
      </w:pPr>
      <w:r>
        <w:rPr>
          <w:b/>
        </w:rPr>
        <w:t>Usar J42-46 como definición de mortalidad por EPOC incluiría el asma</w:t>
      </w:r>
      <w:r>
        <w:t xml:space="preserve"> y excluiría parte del enfisema/bronquitis, lo que sesgaría cualquier análisis que siga esta indicación.</w:t>
      </w:r>
    </w:p>
    <w:p>
      <w:pPr>
        <w:pStyle w:val="ListBullet"/>
      </w:pPr>
      <w:r>
        <w:rPr>
          <w:b/>
        </w:rPr>
        <w:t>Evidencia/justificación:</w:t>
      </w:r>
      <w:r>
        <w:t xml:space="preserve"> CIE-10 de la OMS (versión 2019), capítulo X, bloque J40-J47 «Chronic lower respiratory diseases». El GBD define la EPOC con J41-J44.</w:t>
      </w:r>
    </w:p>
    <w:p>
      <w:pPr>
        <w:pStyle w:val="ListBullet"/>
      </w:pPr>
      <w:r>
        <w:rPr>
          <w:b/>
        </w:rPr>
        <w:t>Recomendación:</w:t>
      </w:r>
      <w:r>
        <w:t xml:space="preserve"> Corregir a «CIE-10 J40-J44 (principalmente J44); en la CIE-9, 490-492 y 496 ("COPD and allied conditions", 490-496)». Añadir una advertencia sobre la codificación como causa contribuyente frente a causa básica.</w:t>
      </w:r>
    </w:p>
    <w:p>
      <w:pPr>
        <w:pStyle w:val="ListBullet"/>
      </w:pPr>
      <w:r>
        <w:rPr>
          <w:b/>
        </w:rPr>
        <w:t>Confianza:</w:t>
      </w:r>
      <w:r>
        <w:t xml:space="preserve"> 5/5</w:t>
      </w:r>
    </w:p>
    <w:p>
      <w:pPr>
        <w:pStyle w:val="Heading4"/>
      </w:pPr>
      <w:r>
        <w:t>EPI-11 · Boers 2025: las exacerbaciones son un número de episodios, no dólares</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Cambiar a «15.600 millones de exacerbaciones acumuladas». Revisar también «trillion»/«billion» en todo el párrafo. Mencionar la financiación del estudio (industria).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21 / impr. 10 — Economic burden</w:t>
      </w:r>
    </w:p>
    <w:p>
      <w:pPr>
        <w:pStyle w:val="ListBullet"/>
      </w:pPr>
      <w:r>
        <w:rPr>
          <w:b/>
        </w:rPr>
        <w:t>Cita:</w:t>
      </w:r>
      <w:r>
        <w:t xml:space="preserve"> «and exacerbations are estimated to be $15.60 billion (a relative growth of 584% compared with 2025).(100)»</w:t>
      </w:r>
    </w:p>
    <w:p>
      <w:pPr>
        <w:pStyle w:val="ListBullet"/>
      </w:pPr>
      <w:r>
        <w:rPr>
          <w:b/>
        </w:rPr>
        <w:t>Problema:</w:t>
      </w:r>
    </w:p>
    <w:p>
      <w:pPr>
        <w:pStyle w:val="ListBullet2"/>
      </w:pPr>
      <w:r>
        <w:rPr>
          <w:b/>
        </w:rPr>
        <w:t>Confunde la métrica:</w:t>
      </w:r>
      <w:r>
        <w:t xml:space="preserve"> Boers et al. estiman unos </w:t>
      </w:r>
      <w:r>
        <w:rPr>
          <w:b/>
        </w:rPr>
        <w:t>15.600 millones de exacerbaciones</w:t>
      </w:r>
      <w:r>
        <w:t xml:space="preserve"> acumuladas en 2025-2050, no un coste de 15.600 M$.</w:t>
      </w:r>
    </w:p>
    <w:p>
      <w:pPr>
        <w:pStyle w:val="ListBullet2"/>
      </w:pPr>
      <w:r>
        <w:rPr>
          <w:b/>
        </w:rPr>
        <w:t>La frase, situada entre billones (trillions) de dólares, sugiere que las exacerbaciones son económicamente marginales.</w:t>
      </w:r>
      <w:r>
        <w:t xml:space="preserve"> Esto contradice la frase siguiente: «Exacerbations account for the greatest proportion of the total COPD burden».</w:t>
      </w:r>
    </w:p>
    <w:p>
      <w:pPr>
        <w:pStyle w:val="ListBullet2"/>
      </w:pPr>
      <w:r>
        <w:rPr>
          <w:b/>
        </w:rPr>
        <w:t>Faltan aclaraciones metodológicas:</w:t>
      </w:r>
      <w:r>
        <w:t xml:space="preserve"> que son cifras </w:t>
      </w:r>
      <w:r>
        <w:rPr>
          <w:b/>
        </w:rPr>
        <w:t>acumuladas</w:t>
      </w:r>
      <w:r>
        <w:t xml:space="preserve"> 2025-2050 y en qué unidad monetaria están (dólares internacionales de 2025).</w:t>
      </w:r>
    </w:p>
    <w:p>
      <w:pPr>
        <w:pStyle w:val="ListBullet"/>
      </w:pPr>
      <w:r>
        <w:rPr>
          <w:b/>
        </w:rPr>
        <w:t>Evidencia/justificación:</w:t>
      </w:r>
      <w:r>
        <w:t xml:space="preserve"> Boers E et al., «Forecasting the Global Economic and Health Burden of COPD From 2025 Through 2050», </w:t>
      </w:r>
      <w:r>
        <w:rPr>
          <w:i/>
        </w:rPr>
        <w:t>Chest</w:t>
      </w:r>
      <w:r>
        <w:t xml:space="preserve"> 2025;168(4):880-9 (PMID 40254152): costes directos acumulados de 24,35 billones de dólares e indirectos de 15,43 billones; 15,6 mil millones de exacerbaciones.</w:t>
      </w:r>
    </w:p>
    <w:p>
      <w:pPr>
        <w:pStyle w:val="ListBullet"/>
      </w:pPr>
      <w:r>
        <w:rPr>
          <w:b/>
        </w:rPr>
        <w:t>Recomendación:</w:t>
      </w:r>
      <w:r>
        <w:t xml:space="preserve"> Reescribir como «se estiman 15.600 millones de exacerbaciones acumuladas (2025-2050)». Indicar el carácter acumulado, el año y el tipo de dólar.</w:t>
      </w:r>
    </w:p>
    <w:p>
      <w:pPr>
        <w:pStyle w:val="ListBullet"/>
      </w:pPr>
      <w:r>
        <w:rPr>
          <w:b/>
        </w:rPr>
        <w:t>Confianza:</w:t>
      </w:r>
      <w:r>
        <w:t xml:space="preserve"> 5/5</w:t>
      </w:r>
    </w:p>
    <w:p>
      <w:pPr>
        <w:pStyle w:val="Heading4"/>
      </w:pPr>
      <w:r>
        <w:t>EPI-12 · Carga económica y proyecciones desactualizadas pese al Highlight i</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Desactualización / Incongruencia con Highlights</w:t>
      </w:r>
    </w:p>
    <w:p>
      <w:pPr>
        <w:pStyle w:val="ListBullet"/>
      </w:pPr>
      <w:r>
        <w:rPr>
          <w:b/>
        </w:rPr>
        <w:t>Severidad:</w:t>
      </w:r>
      <w:r>
        <w:t xml:space="preserve"> MEDIA</w:t>
      </w:r>
    </w:p>
    <w:p>
      <w:pPr>
        <w:pStyle w:val="ListBullet"/>
      </w:pPr>
      <w:r>
        <w:rPr>
          <w:b/>
        </w:rPr>
        <w:t>Ubicación:</w:t>
      </w:r>
      <w:r>
        <w:t xml:space="preserve"> PDF 21 / impr. 10 (Economic burden; proyecciones); Highlight i (PDF 5 / impr. iv)</w:t>
      </w:r>
    </w:p>
    <w:p>
      <w:pPr>
        <w:pStyle w:val="ListBullet"/>
      </w:pPr>
      <w:r>
        <w:rPr>
          <w:b/>
        </w:rPr>
        <w:t>Cita:</w:t>
      </w:r>
      <w:r>
        <w:t xml:space="preserve"> «about 6% of the total annual healthcare budget, with COPD accounting for 56% (38.6 billion Euros)…(97)»; «over 5.4 million annual deaths… by 2060.(90)»</w:t>
      </w:r>
    </w:p>
    <w:p>
      <w:pPr>
        <w:pStyle w:val="ListBullet"/>
      </w:pPr>
      <w:r>
        <w:rPr>
          <w:b/>
        </w:rPr>
        <w:t>Problema:</w:t>
      </w:r>
    </w:p>
    <w:p>
      <w:pPr>
        <w:pStyle w:val="ListBullet2"/>
      </w:pPr>
      <w:r>
        <w:rPr>
          <w:b/>
        </w:rPr>
        <w:t>El Highlight i afirma</w:t>
      </w:r>
      <w:r>
        <w:t xml:space="preserve"> que la sección de carga se ha actualizado «with the latest epidemiological statistics».</w:t>
      </w:r>
    </w:p>
    <w:p>
      <w:pPr>
        <w:pStyle w:val="ListBullet2"/>
      </w:pPr>
      <w:r>
        <w:rPr>
          <w:b/>
        </w:rPr>
        <w:t>El dato de la UE procede del European Lung White Book (2013)</w:t>
      </w:r>
      <w:r>
        <w:t>, con estimaciones de alrededor de 2011, reproducido por FIRS 2021 (ref 97).</w:t>
      </w:r>
    </w:p>
    <w:p>
      <w:pPr>
        <w:pStyle w:val="ListBullet2"/>
      </w:pPr>
      <w:r>
        <w:rPr>
          <w:b/>
        </w:rPr>
        <w:t>La proyección a 2060 procede de un blog personal</w:t>
      </w:r>
      <w:r>
        <w:t xml:space="preserve"> atribuido a la OMS (ref 90).</w:t>
      </w:r>
    </w:p>
    <w:p>
      <w:pPr>
        <w:pStyle w:val="ListBullet2"/>
      </w:pPr>
      <w:r>
        <w:rPr>
          <w:b/>
        </w:rPr>
        <w:t>En el Background se mantiene la ref 4 (Mathers &amp; Loncar 2006).</w:t>
      </w:r>
    </w:p>
    <w:p>
      <w:pPr>
        <w:pStyle w:val="ListBullet2"/>
      </w:pPr>
      <w:r>
        <w:rPr>
          <w:b/>
        </w:rPr>
        <w:t>Hay disponibles proyecciones revisadas por pares y más recientes:</w:t>
      </w:r>
      <w:r>
        <w:t xml:space="preserve"> Boers 2023 y 2025, ya citadas, y GBD Forecasting 2050.</w:t>
      </w:r>
    </w:p>
    <w:p>
      <w:pPr>
        <w:pStyle w:val="ListBullet"/>
      </w:pPr>
      <w:r>
        <w:rPr>
          <w:b/>
        </w:rPr>
        <w:t>Evidencia/justificación:</w:t>
      </w:r>
      <w:r>
        <w:t xml:space="preserve"> El contenido de las refs 4, 90 y 97 se comprobó en la lista de referencias. GBD 2021 Forecasting Collaborators, </w:t>
      </w:r>
      <w:r>
        <w:rPr>
          <w:i/>
        </w:rPr>
        <w:t>Lancet</w:t>
      </w:r>
      <w:r>
        <w:t xml:space="preserve"> 2024;403:2204-56 (previsiones de carga a 2050).</w:t>
      </w:r>
    </w:p>
    <w:p>
      <w:pPr>
        <w:pStyle w:val="ListBullet"/>
      </w:pPr>
      <w:r>
        <w:rPr>
          <w:b/>
        </w:rPr>
        <w:t>Recomendación:</w:t>
      </w:r>
    </w:p>
    <w:p>
      <w:pPr>
        <w:pStyle w:val="ListBullet2"/>
      </w:pPr>
      <w:r>
        <w:t>Fechar explícitamente las cifras económicas («datos de 2011») o sustituirlas por estimaciones recientes (p. ej., Boers 2025, desglosado por región).</w:t>
      </w:r>
    </w:p>
    <w:p>
      <w:pPr>
        <w:pStyle w:val="ListBullet2"/>
      </w:pPr>
      <w:r>
        <w:t>Retirar el blog y la referencia de 2006, o declararlas como históricas.</w:t>
      </w:r>
    </w:p>
    <w:p>
      <w:pPr>
        <w:pStyle w:val="ListBullet2"/>
      </w:pPr>
      <w:r>
        <w:t>Ajustar la redacción del Highlight i.</w:t>
      </w:r>
    </w:p>
    <w:p>
      <w:pPr>
        <w:pStyle w:val="ListBullet"/>
      </w:pPr>
      <w:r>
        <w:rPr>
          <w:b/>
        </w:rPr>
        <w:t>Confianza:</w:t>
      </w:r>
      <w:r>
        <w:t xml:space="preserve"> 4/5</w:t>
      </w:r>
    </w:p>
    <w:p>
      <w:pPr>
        <w:pStyle w:val="Heading4"/>
      </w:pPr>
      <w:r>
        <w:t>EPI-13 · Sexo: el capítulo se contradice sobre la prevalencia por sexo</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27 / impr. 16 (Sex), frente a PDF 19 / impr. 8 (Prevalence)</w:t>
      </w:r>
    </w:p>
    <w:p>
      <w:pPr>
        <w:pStyle w:val="ListBullet"/>
      </w:pPr>
      <w:r>
        <w:rPr>
          <w:b/>
        </w:rPr>
        <w:t>Cita:</w:t>
      </w:r>
      <w:r>
        <w:t xml:space="preserve"> PDF 27: «later data from developed countries has shown that the prevalence of COPD is almost equal in males and females…(222)»; PDF 19: «the COPD prevalence in men was more than double that in women… (14.1% vs. 6.5%).(71)»</w:t>
      </w:r>
    </w:p>
    <w:p>
      <w:pPr>
        <w:pStyle w:val="ListBullet"/>
      </w:pPr>
      <w:r>
        <w:rPr>
          <w:b/>
        </w:rPr>
        <w:t>Problema:</w:t>
      </w:r>
    </w:p>
    <w:p>
      <w:pPr>
        <w:pStyle w:val="ListBullet2"/>
      </w:pPr>
      <w:r>
        <w:rPr>
          <w:b/>
        </w:rPr>
        <w:t>Las dos páginas transmiten mensajes opuestos sin reconciliarlos.</w:t>
      </w:r>
      <w:r>
        <w:t xml:space="preserve"> La propia PDF 20 añade que la prevalencia es «appreciably higher… in men compared to women» (83-85).</w:t>
      </w:r>
    </w:p>
    <w:p>
      <w:pPr>
        <w:pStyle w:val="ListBullet2"/>
      </w:pPr>
      <w:r>
        <w:rPr>
          <w:b/>
        </w:rPr>
        <w:t>La afirmación de igualdad se apoya en una encuesta en línea</w:t>
      </w:r>
      <w:r>
        <w:t xml:space="preserve"> de 12 países, 2012-2013 (Landis 2014, ref 222), de diseño débil.</w:t>
      </w:r>
    </w:p>
    <w:p>
      <w:pPr>
        <w:pStyle w:val="ListBullet2"/>
      </w:pPr>
      <w:r>
        <w:rPr>
          <w:b/>
        </w:rPr>
        <w:t>El GBD 2021 muestra una prevalencia estandarizada mayor en varones</w:t>
      </w:r>
      <w:r>
        <w:t xml:space="preserve"> y más casos absolutos en mujeres; el texto lo menciona en PDF 19 pero no lo integra en la sección de sexo.</w:t>
      </w:r>
    </w:p>
    <w:p>
      <w:pPr>
        <w:pStyle w:val="ListBullet2"/>
      </w:pPr>
      <w:r>
        <w:rPr>
          <w:b/>
        </w:rPr>
        <w:t>La frase sobre la revisión sistemática de prevalencia por sexo y subregión de la OMS carece de cita.</w:t>
      </w:r>
    </w:p>
    <w:p>
      <w:pPr>
        <w:pStyle w:val="ListBullet2"/>
      </w:pPr>
      <w:r>
        <w:rPr>
          <w:b/>
        </w:rPr>
        <w:t>El texto alterna «sex» y «female gender»</w:t>
      </w:r>
      <w:r>
        <w:t xml:space="preserve"> (PDF 25).</w:t>
      </w:r>
    </w:p>
    <w:p>
      <w:pPr>
        <w:pStyle w:val="ListBullet"/>
      </w:pPr>
      <w:r>
        <w:rPr>
          <w:b/>
        </w:rPr>
        <w:t>Evidencia/justificación:</w:t>
      </w:r>
    </w:p>
    <w:p>
      <w:pPr>
        <w:pStyle w:val="ListBullet2"/>
      </w:pPr>
      <w:r>
        <w:t>Adeloye 2022 (OR varón ≈2,1).</w:t>
      </w:r>
    </w:p>
    <w:p>
      <w:pPr>
        <w:pStyle w:val="ListBullet2"/>
      </w:pPr>
      <w:r>
        <w:t>Wang 2025 (prevalencia estandarizada mayor en varones).</w:t>
      </w:r>
    </w:p>
    <w:p>
      <w:pPr>
        <w:pStyle w:val="ListBullet2"/>
      </w:pPr>
      <w:r>
        <w:t>Boers 2023 (crecimiento 2020-2050 del 47,1% en mujeres frente al 9,4% en varones).</w:t>
      </w:r>
    </w:p>
    <w:p>
      <w:pPr>
        <w:pStyle w:val="ListBullet"/>
      </w:pPr>
      <w:r>
        <w:rPr>
          <w:b/>
        </w:rPr>
        <w:t>Recomendación:</w:t>
      </w:r>
      <w:r>
        <w:t xml:space="preserve"> Reescribir la sección distinguiendo:</w:t>
      </w:r>
    </w:p>
    <w:p>
      <w:pPr>
        <w:pStyle w:val="ListBullet2"/>
      </w:pPr>
      <w:r>
        <w:t>prevalencia estandarizada frente a número absoluto;</w:t>
      </w:r>
    </w:p>
    <w:p>
      <w:pPr>
        <w:pStyle w:val="ListBullet2"/>
      </w:pPr>
      <w:r>
        <w:t>países de ingresos altos frente al conjunto global;</w:t>
      </w:r>
    </w:p>
    <w:p>
      <w:pPr>
        <w:pStyle w:val="ListBullet2"/>
      </w:pPr>
      <w:r>
        <w:t>tendencia al alza en mujeres (Boers 2023).</w:t>
      </w:r>
    </w:p>
    <w:p>
      <w:r>
        <w:t>Citar la revisión sistemática aludida y unificar la terminología (sexo).</w:t>
      </w:r>
    </w:p>
    <w:p>
      <w:pPr>
        <w:pStyle w:val="ListBullet"/>
      </w:pPr>
      <w:r>
        <w:rPr>
          <w:b/>
        </w:rPr>
        <w:t>Confianza:</w:t>
      </w:r>
      <w:r>
        <w:t xml:space="preserve"> 4/5</w:t>
      </w:r>
    </w:p>
    <w:p>
      <w:pPr>
        <w:pStyle w:val="Heading4"/>
      </w:pPr>
      <w:r>
        <w:t>EQ-23 · Costes futuros de la EPOC: cifras de Boers et al. mal transcritas y sin contexto</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21 / impr. 10 — "Economic burden".</w:t>
      </w:r>
    </w:p>
    <w:p>
      <w:pPr>
        <w:pStyle w:val="ListBullet"/>
      </w:pPr>
      <w:r>
        <w:rPr>
          <w:b/>
        </w:rPr>
        <w:t>Cita:</w:t>
      </w:r>
      <w:r>
        <w:t xml:space="preserve"> "direct costs related to COPD are estimated to be $24.35 trillion… and exacerbations are estimated to be $15.60 billion (a relative growth of 584% compared with 2025).(100)"</w:t>
      </w:r>
    </w:p>
    <w:p>
      <w:pPr>
        <w:pStyle w:val="ListBullet"/>
      </w:pPr>
      <w:r>
        <w:rPr>
          <w:b/>
        </w:rPr>
        <w:t>Problema:</w:t>
      </w:r>
    </w:p>
    <w:p>
      <w:pPr>
        <w:pStyle w:val="ListBullet2"/>
      </w:pPr>
      <w:r>
        <w:t>En Boers et al. (Chest 2025, ref. 100, PMID 40254152), 15,60 mil millones es el número acumulado de exacerbaciones previstas, no un coste en dólares.</w:t>
      </w:r>
    </w:p>
    <w:p>
      <w:pPr>
        <w:pStyle w:val="ListBullet2"/>
      </w:pPr>
      <w:r>
        <w:t>Las cifras en billones (trillions) son acumuladas para 2025-2050, no anuales, y esto no se aclara.</w:t>
      </w:r>
    </w:p>
    <w:p>
      <w:pPr>
        <w:pStyle w:val="ListBullet2"/>
      </w:pPr>
      <w:r>
        <w:t>No se señala que los autores son empleados de un fabricante de dispositivos respiratorios (ResMed), lo que es relevante en un documento que se apoya en estas cifras para su argumento de política sanitaria.</w:t>
      </w:r>
    </w:p>
    <w:p>
      <w:pPr>
        <w:pStyle w:val="ListBullet"/>
      </w:pPr>
      <w:r>
        <w:rPr>
          <w:b/>
        </w:rPr>
        <w:t>Evidencia/justificación:</w:t>
      </w:r>
      <w:r>
        <w:t xml:space="preserve"> El resumen de Boers et al. habla de 24,35 billones de dólares de forma acumulada y de 15,60 mil millones de exacerbaciones (comprobado en PubMed).</w:t>
      </w:r>
    </w:p>
    <w:p>
      <w:pPr>
        <w:pStyle w:val="ListBullet"/>
      </w:pPr>
      <w:r>
        <w:rPr>
          <w:b/>
        </w:rPr>
        <w:t>Recomendación:</w:t>
      </w:r>
      <w:r>
        <w:t xml:space="preserve"> Corregir: "se proyectan 15.600 millones de exacerbaciones acumuladas entre 2025 y 2050". Indicar que las cifras económicas son acumuladas, y añadir estimaciones independientes, por ejemplo de GBD o de la OMS.</w:t>
      </w:r>
    </w:p>
    <w:p>
      <w:pPr>
        <w:pStyle w:val="ListBullet"/>
      </w:pPr>
      <w:r>
        <w:rPr>
          <w:b/>
        </w:rPr>
        <w:t>Confianza:</w:t>
      </w:r>
      <w:r>
        <w:t xml:space="preserve"> 4/5</w:t>
      </w:r>
    </w:p>
    <w:p>
      <w:pPr>
        <w:pStyle w:val="Heading4"/>
      </w:pPr>
      <w:r>
        <w:t>EXA-15 · Mortalidad hospitalaria "17 %-49 %" atribuida a un estudio que no la reporta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«mortalidad hospitalaria del 8,3 % y mortalidad acumulada del 33-49 % a 1-3 años (n = 205)». Retirar «large». Puede añadirse como referencia pooled la mortalidad hospitalaria del 6,2 % de Waeijen-Smit 2024.</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119 / impr. 108.</w:t>
      </w:r>
    </w:p>
    <w:p>
      <w:pPr>
        <w:pStyle w:val="ListBullet"/>
      </w:pPr>
      <w:r>
        <w:rPr>
          <w:b/>
        </w:rPr>
        <w:t>Cita:</w:t>
      </w:r>
      <w:r>
        <w:t xml:space="preserve"> "A large study of patients with COPD and acute respiratory failure reported in-hospital mortality of 17% to 49%.(1100)".</w:t>
      </w:r>
    </w:p>
    <w:p>
      <w:pPr>
        <w:pStyle w:val="ListBullet"/>
      </w:pPr>
      <w:r>
        <w:rPr>
          <w:b/>
        </w:rPr>
        <w:t>Problema:</w:t>
      </w:r>
    </w:p>
    <w:p>
      <w:pPr>
        <w:pStyle w:val="ListBullet2"/>
      </w:pPr>
      <w:r>
        <w:t>La ref. 1100 (Gunen H et al., Eur Respir J 2005;26:234-41) no es "a large study" ni un estudio de insuficiencia respiratoria aguda: es una cohorte unicéntrica de 205 hospitalizados en Turquía.</w:t>
      </w:r>
    </w:p>
    <w:p>
      <w:pPr>
        <w:pStyle w:val="ListBullet2"/>
      </w:pPr>
      <w:r>
        <w:t>La mortalidad hospitalaria fue del 8,3 %; el 49 % corresponde a la mortalidad a 3 años.</w:t>
      </w:r>
    </w:p>
    <w:p>
      <w:pPr>
        <w:pStyle w:val="ListBullet2"/>
      </w:pPr>
      <w:r>
        <w:t>Presentar 17-49 % como mortalidad hospitalaria contradice el mensaje de la frase anterior contra el "unwarranted prognostic pessimism" y puede alimentar la limitación de esfuerzo terapéutico.</w:t>
      </w:r>
    </w:p>
    <w:p>
      <w:pPr>
        <w:pStyle w:val="ListBullet"/>
      </w:pPr>
      <w:r>
        <w:rPr>
          <w:b/>
        </w:rPr>
        <w:t>Evidencia/justificación:</w:t>
      </w:r>
      <w:r>
        <w:t xml:space="preserve"> Resumen de Gunen 2005, verificado en PubMed.</w:t>
      </w:r>
    </w:p>
    <w:p>
      <w:pPr>
        <w:pStyle w:val="ListBullet"/>
      </w:pPr>
      <w:r>
        <w:rPr>
          <w:b/>
        </w:rPr>
        <w:t>Recomendación:</w:t>
      </w:r>
      <w:r>
        <w:t xml:space="preserve"> Sustituir por datos actuales de mortalidad hospitalaria en la exacerbación con VMI/VNI:</w:t>
      </w:r>
    </w:p>
    <w:p>
      <w:pPr>
        <w:pStyle w:val="ListBullet2"/>
      </w:pPr>
      <w:r>
        <w:t>Waeijen-Smit 2024: 6,2 % en el conjunto de hospitalizados.</w:t>
      </w:r>
    </w:p>
    <w:p>
      <w:pPr>
        <w:pStyle w:val="ListBullet2"/>
      </w:pPr>
      <w:r>
        <w:t>Series de UCI con VMI: ≈20-30 %.</w:t>
      </w:r>
    </w:p>
    <w:p>
      <w:r>
        <w:t>Citar correctamente cada cifra.</w:t>
      </w:r>
    </w:p>
    <w:p>
      <w:pPr>
        <w:pStyle w:val="ListBullet"/>
      </w:pPr>
      <w:r>
        <w:rPr>
          <w:b/>
        </w:rPr>
        <w:t>Confianza:</w:t>
      </w:r>
      <w:r>
        <w:t xml:space="preserve"> 5/5</w:t>
      </w:r>
    </w:p>
    <w:p>
      <w:pPr>
        <w:pStyle w:val="Heading4"/>
      </w:pPr>
      <w:r>
        <w:t>MUL-14 · Depresión por sexo: dato contrario a la fuente citada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Confirmado: - la afirmación «more common in men» contradice la ref. 327; - «all approximately 34%» es falso para la ansiedad sola (20 %); - el 61/39 parece la composición por sexo de un subgrupo pequeño (depresión sola ≈5 % de 734, es decir, ≈37 personas), no una prevalencia. No pude verificarlo en el texto completo, que es de pago. Corrección: «La depresión es más prevalente en mujeres con EPOC (ECLIPSE); ≈1 de cada…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133 / impr. 122 — Anxiety, depression and psychosis</w:t>
      </w:r>
    </w:p>
    <w:p>
      <w:pPr>
        <w:pStyle w:val="ListBullet"/>
      </w:pPr>
      <w:r>
        <w:rPr>
          <w:b/>
        </w:rPr>
        <w:t>Cita:</w:t>
      </w:r>
      <w:r>
        <w:t xml:space="preserve"> "whereas depression alone is more common in men than women (61% versus 39%).(88,327,1276,1278)"</w:t>
      </w:r>
    </w:p>
    <w:p>
      <w:pPr>
        <w:pStyle w:val="ListBullet"/>
      </w:pPr>
      <w:r>
        <w:rPr>
          <w:b/>
        </w:rPr>
        <w:t>Problema:</w:t>
      </w:r>
      <w:r>
        <w:t xml:space="preserve"> El cociente 61/39 parece describir la distribución por sexo de los deprimidos en cohortes con predominio masculino, no la prevalencia. Afirmar que la depresión es más frecuente en hombres contradice la literatura.</w:t>
      </w:r>
    </w:p>
    <w:p>
      <w:pPr>
        <w:pStyle w:val="ListBullet"/>
      </w:pPr>
      <w:r>
        <w:rPr>
          <w:b/>
        </w:rPr>
        <w:t>Evidencia/justificación:</w:t>
      </w:r>
    </w:p>
    <w:p>
      <w:pPr>
        <w:pStyle w:val="ListBullet2"/>
      </w:pPr>
      <w:r>
        <w:t>La ref. 327 (Hanania NA, AJRCCM 2011, ECLIPSE; PMID 20889909) dice textualmente que hubo «higher depression prevalence … in females» y que el sexo femenino es un determinante independiente.</w:t>
      </w:r>
    </w:p>
    <w:p>
      <w:pPr>
        <w:pStyle w:val="ListBullet2"/>
      </w:pPr>
      <w:r>
        <w:t>La ref. 88 trata de comorbilidad CV, no de depresión.</w:t>
      </w:r>
    </w:p>
    <w:p>
      <w:pPr>
        <w:pStyle w:val="ListBullet"/>
      </w:pPr>
      <w:r>
        <w:rPr>
          <w:b/>
        </w:rPr>
        <w:t>Recomendación:</w:t>
      </w:r>
      <w:r>
        <w:t xml:space="preserve"> Corregir: «La depresión es más prevalente en mujeres con EPOC (ECLIPSE)». Verificar la fuente del 61/39 o eliminar el dato.</w:t>
      </w:r>
    </w:p>
    <w:p>
      <w:pPr>
        <w:pStyle w:val="ListBullet"/>
      </w:pPr>
      <w:r>
        <w:rPr>
          <w:b/>
        </w:rPr>
        <w:t>Confianza:</w:t>
      </w:r>
      <w:r>
        <w:t xml:space="preserve"> 4/5</w:t>
      </w:r>
    </w:p>
    <w:p>
      <w:pPr>
        <w:pStyle w:val="Heading4"/>
      </w:pPr>
      <w:r>
        <w:t>EPI-18 · Raza/etnia y nivel socioeconómico: tratamiento mínimo y etiqueta incorrecta de la fuente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 / Omisión</w:t>
      </w:r>
    </w:p>
    <w:p>
      <w:pPr>
        <w:pStyle w:val="ListBullet"/>
      </w:pPr>
      <w:r>
        <w:rPr>
          <w:b/>
        </w:rPr>
        <w:t>Severidad:</w:t>
      </w:r>
      <w:r>
        <w:t xml:space="preserve"> MEDIA</w:t>
      </w:r>
    </w:p>
    <w:p>
      <w:pPr>
        <w:pStyle w:val="ListBullet"/>
      </w:pPr>
      <w:r>
        <w:rPr>
          <w:b/>
        </w:rPr>
        <w:t>Ubicación:</w:t>
      </w:r>
      <w:r>
        <w:t xml:space="preserve"> PDF 27 / impr. 16 — Race and ethnicity; Socioeconomic status</w:t>
      </w:r>
    </w:p>
    <w:p>
      <w:pPr>
        <w:pStyle w:val="ListBullet"/>
      </w:pPr>
      <w:r>
        <w:rPr>
          <w:b/>
        </w:rPr>
        <w:t>Cita:</w:t>
      </w:r>
      <w:r>
        <w:t xml:space="preserve"> «An ATS workshop report(229) has recommended replacing race- and ethnicity-specific equations with race-neutral average reference equations…»</w:t>
      </w:r>
    </w:p>
    <w:p>
      <w:pPr>
        <w:pStyle w:val="ListBullet"/>
      </w:pPr>
      <w:r>
        <w:rPr>
          <w:b/>
        </w:rPr>
        <w:t>Problema:</w:t>
      </w:r>
    </w:p>
    <w:p>
      <w:pPr>
        <w:pStyle w:val="ListBullet2"/>
      </w:pPr>
      <w:r>
        <w:rPr>
          <w:b/>
        </w:rPr>
        <w:t>La sección de raza/etnia se reduce a dos frases</w:t>
      </w:r>
      <w:r>
        <w:t xml:space="preserve"> sobre ecuaciones espirométricas.</w:t>
      </w:r>
    </w:p>
    <w:p>
      <w:pPr>
        <w:pStyle w:val="ListBullet2"/>
      </w:pPr>
      <w:r>
        <w:rPr>
          <w:b/>
        </w:rPr>
        <w:t>La ref 229 está mal etiquetada:</w:t>
      </w:r>
      <w:r>
        <w:t xml:space="preserve"> es un «Official ATS Statement» (Bhakta 2023), no un «workshop report».</w:t>
      </w:r>
    </w:p>
    <w:p>
      <w:pPr>
        <w:pStyle w:val="ListBullet2"/>
      </w:pPr>
      <w:r>
        <w:rPr>
          <w:b/>
        </w:rPr>
        <w:t>Se omiten aspectos relevantes:</w:t>
      </w:r>
    </w:p>
    <w:p>
      <w:pPr>
        <w:pStyle w:val="ListBullet2"/>
      </w:pPr>
      <w:r>
        <w:t>las disparidades en exposición (ocupación, vivienda, contaminación);</w:t>
      </w:r>
    </w:p>
    <w:p>
      <w:pPr>
        <w:pStyle w:val="ListBullet2"/>
      </w:pPr>
      <w:r>
        <w:t>las disparidades en acceso a espirometría y tratamiento, y en infradiagnóstico;</w:t>
      </w:r>
    </w:p>
    <w:p>
      <w:pPr>
        <w:pStyle w:val="ListBullet2"/>
      </w:pPr>
      <w:r>
        <w:t>el hallazgo de Regan 2024 (ref 49), que el capítulo cita sin explicarlo: las ecuaciones específicas por raza ocultan EPOC temprana en personas negras.</w:t>
      </w:r>
    </w:p>
    <w:p>
      <w:pPr>
        <w:pStyle w:val="ListBullet2"/>
      </w:pPr>
      <w:r>
        <w:rPr>
          <w:b/>
        </w:rPr>
        <w:t>El cap. 2 (PDF 42) trata el tema con mucha más profundidad, y el cap. 1 no remite a él.</w:t>
      </w:r>
    </w:p>
    <w:p>
      <w:pPr>
        <w:pStyle w:val="ListBullet2"/>
      </w:pPr>
      <w:r>
        <w:rPr>
          <w:b/>
        </w:rPr>
        <w:t>La sección socioeconómica no cuantifica el efecto ni menciona las barreras de acceso</w:t>
      </w:r>
      <w:r>
        <w:t xml:space="preserve"> a pesar de que el capítulo enfatiza los LMIC.</w:t>
      </w:r>
    </w:p>
    <w:p>
      <w:pPr>
        <w:pStyle w:val="ListBullet"/>
      </w:pPr>
      <w:r>
        <w:rPr>
          <w:b/>
        </w:rPr>
        <w:t>Evidencia/justificación:</w:t>
      </w:r>
    </w:p>
    <w:p>
      <w:pPr>
        <w:pStyle w:val="ListBullet2"/>
      </w:pPr>
      <w:r>
        <w:t xml:space="preserve">Bhakta NR et al., </w:t>
      </w:r>
      <w:r>
        <w:rPr>
          <w:i/>
        </w:rPr>
        <w:t>AJRCCM</w:t>
      </w:r>
      <w:r>
        <w:t xml:space="preserve"> 2023;207:978-95.</w:t>
      </w:r>
    </w:p>
    <w:p>
      <w:pPr>
        <w:pStyle w:val="ListBullet2"/>
      </w:pPr>
      <w:r>
        <w:t xml:space="preserve">Regan EA et al., </w:t>
      </w:r>
      <w:r>
        <w:rPr>
          <w:i/>
        </w:rPr>
        <w:t>AJRCCM</w:t>
      </w:r>
      <w:r>
        <w:t xml:space="preserve"> 2024;209:59-69.</w:t>
      </w:r>
    </w:p>
    <w:p>
      <w:pPr>
        <w:pStyle w:val="ListBullet"/>
      </w:pPr>
      <w:r>
        <w:rPr>
          <w:b/>
        </w:rPr>
        <w:t>Recomendación:</w:t>
      </w:r>
      <w:r>
        <w:t xml:space="preserve"> Corregir la descripción de la ref 229 y resumir Regan 2024. Añadir disparidades estructurales (exposición, acceso, infradiagnóstico) y remitir al cap. 2 para la interpretación espirométrica.</w:t>
      </w:r>
    </w:p>
    <w:p>
      <w:pPr>
        <w:pStyle w:val="ListBullet"/>
      </w:pPr>
      <w:r>
        <w:rPr>
          <w:b/>
        </w:rPr>
        <w:t>Confianza:</w:t>
      </w:r>
      <w:r>
        <w:t xml:space="preserve"> 4/5</w:t>
      </w:r>
    </w:p>
    <w:p>
      <w:pPr>
        <w:pStyle w:val="Heading4"/>
      </w:pPr>
      <w:r>
        <w:t>EQ-06 · Tratamientos de alto coste presentados sin consideraciones de coste-efectividad y con un marco regulatorio estadounidense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p>
    <w:p>
      <w:pPr>
        <w:pStyle w:val="ListBullet2"/>
      </w:pPr>
      <w:r>
        <w:t>PDF 79 / impr. 68 — figura 3.11 (biológicos).</w:t>
      </w:r>
    </w:p>
    <w:p>
      <w:pPr>
        <w:pStyle w:val="ListBullet2"/>
      </w:pPr>
      <w:r>
        <w:t>PDF 77 / impr. 66 — ensifentrina.</w:t>
      </w:r>
    </w:p>
    <w:p>
      <w:pPr>
        <w:pStyle w:val="ListBullet2"/>
      </w:pPr>
      <w:r>
        <w:t>PDF 158 / impr. 147 — afirmación sobre el inhalador único.</w:t>
      </w:r>
    </w:p>
    <w:p>
      <w:pPr>
        <w:pStyle w:val="ListBullet"/>
      </w:pPr>
      <w:r>
        <w:rPr>
          <w:b/>
        </w:rPr>
        <w:t>Cita:</w:t>
      </w:r>
      <w:r>
        <w:t xml:space="preserve"> "*Molecules are listed in order of approval in the US." (fig. 3.11); "Considering adding ensifentrine if available." (PDF 77)</w:t>
      </w:r>
    </w:p>
    <w:p>
      <w:pPr>
        <w:pStyle w:val="ListBullet"/>
      </w:pPr>
      <w:r>
        <w:rPr>
          <w:b/>
        </w:rPr>
        <w:t>Problema:</w:t>
      </w:r>
    </w:p>
    <w:p>
      <w:pPr>
        <w:pStyle w:val="ListBullet2"/>
      </w:pPr>
      <w:r>
        <w:t>Los biológicos (dupilumab, mepolizumab) y la ensifentrina se presentan solo con datos de eficacia, sin mencionar el coste, el número necesario a tratar en términos económicos, los umbrales de coste-efectividad ni la equidad de acceso.</w:t>
      </w:r>
    </w:p>
    <w:p>
      <w:pPr>
        <w:pStyle w:val="ListBullet2"/>
      </w:pPr>
      <w:r>
        <w:t>El orden de la figura se basa en la aprobación en EE. UU.</w:t>
      </w:r>
    </w:p>
    <w:p>
      <w:pPr>
        <w:pStyle w:val="ListBullet2"/>
      </w:pPr>
      <w:r>
        <w:t>La única afirmación sobre coste-efectividad del inhalador único se apoya en un estudio con perspectiva alemana (ref. 1533), extrapolado de forma implícita a todos los contextos.</w:t>
      </w:r>
    </w:p>
    <w:p>
      <w:pPr>
        <w:pStyle w:val="ListBullet"/>
      </w:pPr>
      <w:r>
        <w:rPr>
          <w:b/>
        </w:rPr>
        <w:t>Evidencia/justificación:</w:t>
      </w:r>
      <w:r>
        <w:t xml:space="preserve"> Las agencias de evaluación de tecnologías sanitarias (NICE, ICER, entre otras) han evaluado los biológicos en EPOC con precios muy superiores a los del tratamiento inhalado. En LMIC, el coste anual de un biológico puede superar el PIB per cápita. </w:t>
      </w:r>
      <w:r>
        <w:rPr>
          <w:i/>
        </w:rPr>
        <w:t>Punto debatible:</w:t>
      </w:r>
      <w:r>
        <w:t xml:space="preserve"> no cuantificamos los precios por país.</w:t>
      </w:r>
    </w:p>
    <w:p>
      <w:pPr>
        <w:pStyle w:val="ListBullet"/>
      </w:pPr>
      <w:r>
        <w:rPr>
          <w:b/>
        </w:rPr>
        <w:t>Recomendación:</w:t>
      </w:r>
    </w:p>
    <w:p>
      <w:pPr>
        <w:pStyle w:val="ListBullet2"/>
      </w:pPr>
      <w:r>
        <w:t>Añadir a la figura 3.11 una columna o nota sobre el coste y el acceso.</w:t>
      </w:r>
    </w:p>
    <w:p>
      <w:pPr>
        <w:pStyle w:val="ListBullet2"/>
      </w:pPr>
      <w:r>
        <w:t>Citar evaluaciones de tecnologías sanitarias de más de una región.</w:t>
      </w:r>
    </w:p>
    <w:p>
      <w:pPr>
        <w:pStyle w:val="ListBullet2"/>
      </w:pPr>
      <w:r>
        <w:t>Ordenar las moléculas por evidencia y no por fecha de aprobación en EE. UU.</w:t>
      </w:r>
    </w:p>
    <w:p>
      <w:pPr>
        <w:pStyle w:val="ListBullet2"/>
      </w:pPr>
      <w:r>
        <w:t>Indicar de forma explícita que la ausencia de biológicos no constituye una atención deficiente cuando se han optimizado los tratamientos esenciales.</w:t>
      </w:r>
    </w:p>
    <w:p>
      <w:pPr>
        <w:pStyle w:val="ListBullet"/>
      </w:pPr>
      <w:r>
        <w:rPr>
          <w:b/>
        </w:rPr>
        <w:t>Confianza:</w:t>
      </w:r>
      <w:r>
        <w:t xml:space="preserve"> 4/5</w:t>
      </w:r>
    </w:p>
    <w:p>
      <w:pPr>
        <w:pStyle w:val="Heading4"/>
      </w:pPr>
      <w:r>
        <w:t>EQ-10 · Lenguaje no centrado en la persona y potencialmente estigmatizante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Todo el documento. Ejemplos: PDF 133 / impr. 122; PDF 19 / impr. 8; PDF 121 / impr. 110.</w:t>
      </w:r>
    </w:p>
    <w:p>
      <w:pPr>
        <w:pStyle w:val="ListBullet"/>
      </w:pPr>
      <w:r>
        <w:rPr>
          <w:b/>
        </w:rPr>
        <w:t>Cita:</w:t>
      </w:r>
      <w:r>
        <w:t xml:space="preserve"> "people with COPD are twice as likely to commit suicide" (PDF 133); "approaching nearly 600 million COPD patients by 2050" (PDF 19).</w:t>
      </w:r>
    </w:p>
    <w:p>
      <w:pPr>
        <w:pStyle w:val="ListBullet"/>
      </w:pPr>
      <w:r>
        <w:rPr>
          <w:b/>
        </w:rPr>
        <w:t>Problema:</w:t>
      </w:r>
      <w:r>
        <w:t xml:space="preserve"> El documento usa a veces "people with COPD" (71 veces), pero conviven:</w:t>
      </w:r>
    </w:p>
    <w:p>
      <w:pPr>
        <w:pStyle w:val="ListBullet2"/>
      </w:pPr>
      <w:r>
        <w:t>"COPD patients" (53) y "patients with COPD" (284), incluso para referirse a población no atendida ("600 million COPD patients");</w:t>
      </w:r>
    </w:p>
    <w:p>
      <w:pPr>
        <w:pStyle w:val="ListBullet2"/>
      </w:pPr>
      <w:r>
        <w:t>"suffer" (14) y "complain" (5);</w:t>
      </w:r>
    </w:p>
    <w:p>
      <w:pPr>
        <w:pStyle w:val="ListBullet2"/>
      </w:pPr>
      <w:r>
        <w:t>"elderly" (10);</w:t>
      </w:r>
    </w:p>
    <w:p>
      <w:pPr>
        <w:pStyle w:val="ListBullet2"/>
      </w:pPr>
      <w:r>
        <w:t>"patient compliance" (PDF 121);</w:t>
      </w:r>
    </w:p>
    <w:p>
      <w:pPr>
        <w:pStyle w:val="ListBullet2"/>
      </w:pPr>
      <w:r>
        <w:t>"commit suicide" (PDF 133);</w:t>
      </w:r>
    </w:p>
    <w:p>
      <w:pPr>
        <w:pStyle w:val="ListBullet2"/>
      </w:pPr>
      <w:r>
        <w:t>"smokers" (72) como etiqueta de identidad.</w:t>
      </w:r>
    </w:p>
    <w:p>
      <w:r>
        <w:t>La EPOC es una enfermedad muy estigmatizada (se asocia a la "culpa" del fumador), lo que retrasa la consulta y el diagnóstico.</w:t>
      </w:r>
    </w:p>
    <w:p>
      <w:pPr>
        <w:pStyle w:val="ListBullet"/>
      </w:pPr>
      <w:r>
        <w:rPr>
          <w:b/>
        </w:rPr>
        <w:t>Evidencia/justificación:</w:t>
      </w:r>
    </w:p>
    <w:p>
      <w:pPr>
        <w:pStyle w:val="ListBullet2"/>
      </w:pPr>
      <w:r>
        <w:t>Las guías de comunicación responsable sobre suicidio (OMS/IASP, actualización de 2023) desaconsejan "commit suicide", porque connota delito.</w:t>
      </w:r>
    </w:p>
    <w:p>
      <w:pPr>
        <w:pStyle w:val="ListBullet2"/>
      </w:pPr>
      <w:r>
        <w:t>En otras enfermedades crónicas existen guías consensuadas de lenguaje centrado en la persona (Dickinson JK et al., "The Use of Language in Diabetes Care and Education", Diabetes Care 2017;40:1790-9).</w:t>
      </w:r>
    </w:p>
    <w:p>
      <w:pPr>
        <w:pStyle w:val="ListBullet2"/>
      </w:pPr>
      <w:r>
        <w:t>"Adherence" es el término preferido frente a "compliance". El propio GOLD usa "adherence" en el apéndice 3.</w:t>
      </w:r>
    </w:p>
    <w:p>
      <w:pPr>
        <w:pStyle w:val="ListBullet"/>
      </w:pPr>
      <w:r>
        <w:rPr>
          <w:b/>
        </w:rPr>
        <w:t>Recomendación:</w:t>
      </w:r>
    </w:p>
    <w:p>
      <w:pPr>
        <w:pStyle w:val="ListBullet2"/>
      </w:pPr>
      <w:r>
        <w:t>Revisión editorial con un glosario de estilo: "personas con EPOC", "personas que fuman", "personas mayores", "adherencia", "morir por suicidio", "refiere" en lugar de "se queja", y evitar "sufrir".</w:t>
      </w:r>
    </w:p>
    <w:p>
      <w:pPr>
        <w:pStyle w:val="ListBullet2"/>
      </w:pPr>
      <w:r>
        <w:t>Añadir un párrafo sobre el estigma y el nihilismo terapéutico como barreras al diagnóstico.</w:t>
      </w:r>
    </w:p>
    <w:p>
      <w:pPr>
        <w:pStyle w:val="ListBullet"/>
      </w:pPr>
      <w:r>
        <w:rPr>
          <w:b/>
        </w:rPr>
        <w:t>Confianza:</w:t>
      </w:r>
      <w:r>
        <w:t xml:space="preserve"> 5/5</w:t>
      </w:r>
    </w:p>
    <w:p>
      <w:pPr>
        <w:pStyle w:val="Heading4"/>
      </w:pPr>
      <w:r>
        <w:t>EQ-11 · Escasa atención a la alfabetización en salud y a la perspectiva del paciente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p>
    <w:p>
      <w:pPr>
        <w:pStyle w:val="ListBullet2"/>
      </w:pPr>
      <w:r>
        <w:t>PDF 170 / impr. 159 — la única aparición de "health literacy".</w:t>
      </w:r>
    </w:p>
    <w:p>
      <w:pPr>
        <w:pStyle w:val="ListBullet2"/>
      </w:pPr>
      <w:r>
        <w:t>PDF 82-83 / impr. 71-72 — toma de decisiones compartida en la elección del dispositivo.</w:t>
      </w:r>
    </w:p>
    <w:p>
      <w:pPr>
        <w:pStyle w:val="ListBullet2"/>
      </w:pPr>
      <w:r>
        <w:t>Capítulo 3 — objetivos del tratamiento.</w:t>
      </w:r>
    </w:p>
    <w:p>
      <w:pPr>
        <w:pStyle w:val="ListBullet"/>
      </w:pPr>
      <w:r>
        <w:rPr>
          <w:b/>
        </w:rPr>
        <w:t>Cita:</w:t>
      </w:r>
      <w:r>
        <w:t xml:space="preserve"> "integrated care needs to be individualized to the stage of the person's illness and health literacy." (PDF 170)</w:t>
      </w:r>
    </w:p>
    <w:p>
      <w:pPr>
        <w:pStyle w:val="ListBullet"/>
      </w:pPr>
      <w:r>
        <w:rPr>
          <w:b/>
        </w:rPr>
        <w:t>Problema:</w:t>
      </w:r>
    </w:p>
    <w:p>
      <w:pPr>
        <w:pStyle w:val="ListBullet2"/>
      </w:pPr>
      <w:r>
        <w:t>La alfabetización en salud aparece una sola vez y la decisión compartida se limita a la elección del inhalador.</w:t>
      </w:r>
    </w:p>
    <w:p>
      <w:pPr>
        <w:pStyle w:val="ListBullet2"/>
      </w:pPr>
      <w:r>
        <w:t>No se discuten los resultados que priorizan las personas con EPOC (disnea en la vida diaria, actividad, independencia, sueño, participación social, carga del tratamiento, coste de bolsillo) ni el uso de herramientas de ayuda a la decisión (por ejemplo, para escalar a terapia triple o biológicos, OCD, VMNI o planificación anticipada).</w:t>
      </w:r>
    </w:p>
    <w:p>
      <w:pPr>
        <w:pStyle w:val="ListBullet2"/>
      </w:pPr>
      <w:r>
        <w:t>Los planes de acción escritos no se adaptan a personas con baja alfabetización ni se ofrecen formatos pictográficos.</w:t>
      </w:r>
    </w:p>
    <w:p>
      <w:pPr>
        <w:pStyle w:val="ListBullet"/>
      </w:pPr>
      <w:r>
        <w:rPr>
          <w:b/>
        </w:rPr>
        <w:t>Evidencia/justificación:</w:t>
      </w:r>
      <w:r>
        <w:t xml:space="preserve"> La baja alfabetización en salud es frecuente en la EPOC y se asocia a peor técnica inhalatoria y a más reingresos, según varias revisiones. Las guías de calidad exigen tener en cuenta los valores y preferencias de los pacientes (marco GRADE/EtD). GOLD sí recoge el método "teach-back" y la figura de educadores no profesionales ("lay health coaching") (PDF 82), lo cual es positivo pero aislado.</w:t>
      </w:r>
    </w:p>
    <w:p>
      <w:pPr>
        <w:pStyle w:val="ListBullet"/>
      </w:pPr>
      <w:r>
        <w:rPr>
          <w:b/>
        </w:rPr>
        <w:t>Recomendación:</w:t>
      </w:r>
    </w:p>
    <w:p>
      <w:pPr>
        <w:pStyle w:val="ListBullet2"/>
      </w:pPr>
      <w:r>
        <w:t>Incluir una sección breve sobre "Resultados importantes para las personas con EPOC y toma de decisiones compartida".</w:t>
      </w:r>
    </w:p>
    <w:p>
      <w:pPr>
        <w:pStyle w:val="ListBullet2"/>
      </w:pPr>
      <w:r>
        <w:t>Recomendar la detección de baja alfabetización, el uso de "teach-back" de forma sistemática y materiales en lenguaje sencillo y pictográficos.</w:t>
      </w:r>
    </w:p>
    <w:p>
      <w:pPr>
        <w:pStyle w:val="ListBullet2"/>
      </w:pPr>
      <w:r>
        <w:t>Publicar una versión de GOLD para pacientes, elaborada con ellos.</w:t>
      </w:r>
    </w:p>
    <w:p>
      <w:pPr>
        <w:pStyle w:val="ListBullet"/>
      </w:pPr>
      <w:r>
        <w:rPr>
          <w:b/>
        </w:rPr>
        <w:t>Confianza:</w:t>
      </w:r>
      <w:r>
        <w:t xml:space="preserve"> 4/5</w:t>
      </w:r>
    </w:p>
    <w:p>
      <w:pPr>
        <w:pStyle w:val="Heading4"/>
      </w:pPr>
      <w:r>
        <w:t>EQ-15 · EPOC post-TB: se reconoce, pero sin estándares de seguimiento y con la precaución sobre los ICS ausente de los algoritmos</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p>
    <w:p>
      <w:pPr>
        <w:pStyle w:val="ListBullet2"/>
      </w:pPr>
      <w:r>
        <w:t>PDF 131-132 / impr. 120-121 ("Pulmonary tuberculosis").</w:t>
      </w:r>
    </w:p>
    <w:p>
      <w:pPr>
        <w:pStyle w:val="ListBullet2"/>
      </w:pPr>
      <w:r>
        <w:t>PDF 78 / impr. 67 (figura 3.10).</w:t>
      </w:r>
    </w:p>
    <w:p>
      <w:pPr>
        <w:pStyle w:val="ListBullet2"/>
      </w:pPr>
      <w:r>
        <w:t>PDF 73 / impr. 62 (figura 3.8).</w:t>
      </w:r>
    </w:p>
    <w:p>
      <w:pPr>
        <w:pStyle w:val="ListBullet"/>
      </w:pPr>
      <w:r>
        <w:rPr>
          <w:b/>
        </w:rPr>
        <w:t>Cita:</w:t>
      </w:r>
      <w:r>
        <w:t xml:space="preserve"> "In such settings, ICS should be used with caution and active TB must be excluded before initiation" (PDF 132)</w:t>
      </w:r>
    </w:p>
    <w:p>
      <w:pPr>
        <w:pStyle w:val="ListBullet"/>
      </w:pPr>
      <w:r>
        <w:rPr>
          <w:b/>
        </w:rPr>
        <w:t>Problema:</w:t>
      </w:r>
    </w:p>
    <w:p>
      <w:pPr>
        <w:pStyle w:val="ListBullet2"/>
      </w:pPr>
      <w:r>
        <w:t>La precaución sobre ICS en zonas endémicas o con secuelas radiológicas de TB solo aparece en el capítulo 5. La figura 3.10 recoge únicamente "History of mycobacterial infection" como factor en contra, y la figura 3.8 no la menciona.</w:t>
      </w:r>
    </w:p>
    <w:p>
      <w:pPr>
        <w:pStyle w:val="ListBullet2"/>
      </w:pPr>
      <w:r>
        <w:t>El médico de AP que usa los algoritmos, y no el capítulo de comorbilidades, no verá la indicación de descartar TB activa antes de iniciar ICS en zonas endémicas.</w:t>
      </w:r>
    </w:p>
    <w:p>
      <w:pPr>
        <w:pStyle w:val="ListBullet2"/>
      </w:pPr>
      <w:r>
        <w:t>No se recogen los estándares clínicos de enfermedad pulmonar post-TB: evaluación funcional al terminar el tratamiento antituberculoso, rehabilitación, vacunación, cesación tabáquica y seguimiento.</w:t>
      </w:r>
    </w:p>
    <w:p>
      <w:pPr>
        <w:pStyle w:val="ListBullet2"/>
      </w:pPr>
      <w:r>
        <w:t>Tampoco se aborda que la obstrucción post-TB pueda tener una respuesta diferente a broncodilatadores e ICS.</w:t>
      </w:r>
    </w:p>
    <w:p>
      <w:pPr>
        <w:pStyle w:val="ListBullet"/>
      </w:pPr>
      <w:r>
        <w:rPr>
          <w:b/>
        </w:rPr>
        <w:t>Evidencia/justificación:</w:t>
      </w:r>
      <w:r>
        <w:t xml:space="preserve"> Migliori GB et al., "Clinical standards for the assessment, management and rehabilitation of post-TB lung disease", Int J Tuberc Lung Dis 2021;25(10):797-813, doi:10.5588/ijtld.21.0425. Recomiendan evaluar a todos los pacientes al completar el tratamiento de la TB, con espirometría cuando sea posible, e incluirlos en rehabilitación.</w:t>
      </w:r>
    </w:p>
    <w:p>
      <w:pPr>
        <w:pStyle w:val="ListBullet"/>
      </w:pPr>
      <w:r>
        <w:rPr>
          <w:b/>
        </w:rPr>
        <w:t>Recomendación:</w:t>
      </w:r>
    </w:p>
    <w:p>
      <w:pPr>
        <w:pStyle w:val="ListBullet2"/>
      </w:pPr>
      <w:r>
        <w:t>Añadir a la figura 3.10, en "Against use / caution", la residencia en zona endémica de TB y las secuelas radiológicas de TB, con una nota sobre la exclusión de TB activa.</w:t>
      </w:r>
    </w:p>
    <w:p>
      <w:pPr>
        <w:pStyle w:val="ListBullet2"/>
      </w:pPr>
      <w:r>
        <w:t>Remitir a los estándares post-TB en el capítulo 5.</w:t>
      </w:r>
    </w:p>
    <w:p>
      <w:pPr>
        <w:pStyle w:val="ListBullet2"/>
      </w:pPr>
      <w:r>
        <w:t>Recomendar espirometría (o PEF si no hay) al terminar el tratamiento antituberculoso.</w:t>
      </w:r>
    </w:p>
    <w:p>
      <w:pPr>
        <w:pStyle w:val="ListBullet"/>
      </w:pPr>
      <w:r>
        <w:rPr>
          <w:b/>
        </w:rPr>
        <w:t>Confianza:</w:t>
      </w:r>
      <w:r>
        <w:t xml:space="preserve"> 4/5</w:t>
      </w:r>
    </w:p>
    <w:p>
      <w:pPr>
        <w:pStyle w:val="Heading4"/>
      </w:pPr>
      <w:r>
        <w:t>EQ-16 · Biomasa: recomendación genérica, no accionable y sin reflejar los ensayos de intervención</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 / Evidencia mal representada</w:t>
      </w:r>
    </w:p>
    <w:p>
      <w:pPr>
        <w:pStyle w:val="ListBullet"/>
      </w:pPr>
      <w:r>
        <w:rPr>
          <w:b/>
        </w:rPr>
        <w:t>Severidad:</w:t>
      </w:r>
      <w:r>
        <w:t xml:space="preserve"> MEDIA</w:t>
      </w:r>
    </w:p>
    <w:p>
      <w:pPr>
        <w:pStyle w:val="ListBullet"/>
      </w:pPr>
      <w:r>
        <w:rPr>
          <w:b/>
        </w:rPr>
        <w:t>Ubicación:</w:t>
      </w:r>
      <w:r>
        <w:t xml:space="preserve"> PDF 66 / impr. 55 (reducción de riesgo) y PDF 16 / impr. 5 (combustibles).</w:t>
      </w:r>
    </w:p>
    <w:p>
      <w:pPr>
        <w:pStyle w:val="ListBullet"/>
      </w:pPr>
      <w:r>
        <w:rPr>
          <w:b/>
        </w:rPr>
        <w:t>Cita:</w:t>
      </w:r>
      <w:r>
        <w:t xml:space="preserve"> "Efficient ventilation, non-polluting cooking stoves and similar interventions are feasible and should be recommended.(9,10)"</w:t>
      </w:r>
    </w:p>
    <w:p>
      <w:pPr>
        <w:pStyle w:val="ListBullet"/>
      </w:pPr>
      <w:r>
        <w:rPr>
          <w:b/>
        </w:rPr>
        <w:t>Problema:</w:t>
      </w:r>
    </w:p>
    <w:p>
      <w:pPr>
        <w:pStyle w:val="ListBullet2"/>
      </w:pPr>
      <w:r>
        <w:t>La exposición a la biomasa se reconoce como causa principal de EPOC en LMIC, pero la recomendación se limita a una frase.</w:t>
      </w:r>
    </w:p>
    <w:p>
      <w:pPr>
        <w:pStyle w:val="ListBullet2"/>
      </w:pPr>
      <w:r>
        <w:t>No distingue entre cocinas "mejoradas" de biomasa, que en ensayos reducen poco la exposición, y la transición a combustibles limpios (electricidad, GLP o biogás).</w:t>
      </w:r>
    </w:p>
    <w:p>
      <w:pPr>
        <w:pStyle w:val="ListBullet2"/>
      </w:pPr>
      <w:r>
        <w:t>No da orientación individual al médico (preguntar por el combustible, cocinar en exterior, ventilación, reducir el tiempo de exposición de mujeres y niños).</w:t>
      </w:r>
    </w:p>
    <w:p>
      <w:pPr>
        <w:pStyle w:val="ListBullet2"/>
      </w:pPr>
      <w:r>
        <w:t>Presenta el gas como "transitional fuel" (PDF 16), mientras que la OMS clasifica el GLP y el gas natural como combustibles limpios en el punto de uso.</w:t>
      </w:r>
    </w:p>
    <w:p>
      <w:pPr>
        <w:pStyle w:val="ListBullet"/>
      </w:pPr>
      <w:r>
        <w:rPr>
          <w:b/>
        </w:rPr>
        <w:t>Evidencia/justificación:</w:t>
      </w:r>
    </w:p>
    <w:p>
      <w:pPr>
        <w:pStyle w:val="ListBullet2"/>
      </w:pPr>
      <w:r>
        <w:t>CAPS (Mortimer K et al., Lancet 2017;389:167-75, PMID 27939058): una cocina de biomasa "más limpia" no redujo la neumonía infantil en Malaui.</w:t>
      </w:r>
    </w:p>
    <w:p>
      <w:pPr>
        <w:pStyle w:val="ListBullet2"/>
      </w:pPr>
      <w:r>
        <w:t xml:space="preserve">El ensayo multinacional HAPIN, que proporcionó cocinas y GLP, logró grandes reducciones de exposición, pero con efectos neutros en sus resultados primarios. </w:t>
      </w:r>
      <w:r>
        <w:rPr>
          <w:i/>
        </w:rPr>
        <w:t>Punto debatible</w:t>
      </w:r>
      <w:r>
        <w:t xml:space="preserve"> en cuanto a los resultados respiratorios de adultos, que no hemos verificado al detalle.</w:t>
      </w:r>
    </w:p>
    <w:p>
      <w:pPr>
        <w:pStyle w:val="ListBullet2"/>
      </w:pPr>
      <w:r>
        <w:t>Directrices de la OMS sobre calidad del aire interior y combustión doméstica de 2014.</w:t>
      </w:r>
    </w:p>
    <w:p>
      <w:pPr>
        <w:pStyle w:val="ListBullet"/>
      </w:pPr>
      <w:r>
        <w:rPr>
          <w:b/>
        </w:rPr>
        <w:t>Recomendación:</w:t>
      </w:r>
    </w:p>
    <w:p>
      <w:pPr>
        <w:pStyle w:val="ListBullet2"/>
      </w:pPr>
      <w:r>
        <w:t>Reescribir la sección distinguiendo entre cocinas mejoradas y combustibles limpios, con un resumen honesto de los ensayos.</w:t>
      </w:r>
    </w:p>
    <w:p>
      <w:pPr>
        <w:pStyle w:val="ListBullet2"/>
      </w:pPr>
      <w:r>
        <w:t>Incorporar una anamnesis estándar de exposición doméstica y consejos individuales.</w:t>
      </w:r>
    </w:p>
    <w:p>
      <w:pPr>
        <w:pStyle w:val="ListBullet2"/>
      </w:pPr>
      <w:r>
        <w:t>Alinear la terminología con la OMS.</w:t>
      </w:r>
    </w:p>
    <w:p>
      <w:pPr>
        <w:pStyle w:val="ListBullet2"/>
      </w:pPr>
      <w:r>
        <w:t>Indicar que la transición energética es una intervención de salud pública que requiere políticas.</w:t>
      </w:r>
    </w:p>
    <w:p>
      <w:pPr>
        <w:pStyle w:val="ListBullet"/>
      </w:pPr>
      <w:r>
        <w:rPr>
          <w:b/>
        </w:rPr>
        <w:t>Confianza:</w:t>
      </w:r>
      <w:r>
        <w:t xml:space="preserve"> 3/5</w:t>
      </w:r>
    </w:p>
    <w:p>
      <w:pPr>
        <w:pStyle w:val="Heading4"/>
      </w:pPr>
      <w:r>
        <w:t>EQ-17 · Exposición ocupacional: referencias desactualizadas, ausente en la anamnesis y con un mensaje débil</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Desactualización / Omisión</w:t>
      </w:r>
    </w:p>
    <w:p>
      <w:pPr>
        <w:pStyle w:val="ListBullet"/>
      </w:pPr>
      <w:r>
        <w:rPr>
          <w:b/>
        </w:rPr>
        <w:t>Severidad:</w:t>
      </w:r>
      <w:r>
        <w:t xml:space="preserve"> MEDIA</w:t>
      </w:r>
    </w:p>
    <w:p>
      <w:pPr>
        <w:pStyle w:val="ListBullet"/>
      </w:pPr>
      <w:r>
        <w:rPr>
          <w:b/>
        </w:rPr>
        <w:t>Ubicación:</w:t>
      </w:r>
    </w:p>
    <w:p>
      <w:pPr>
        <w:pStyle w:val="ListBullet2"/>
      </w:pPr>
      <w:r>
        <w:t>PDF 17 / impr. 6 (ref. 42, ATS 2003).</w:t>
      </w:r>
    </w:p>
    <w:p>
      <w:pPr>
        <w:pStyle w:val="ListBullet2"/>
      </w:pPr>
      <w:r>
        <w:t>PDF 66-67 / impr. 55-56.</w:t>
      </w:r>
    </w:p>
    <w:p>
      <w:pPr>
        <w:pStyle w:val="ListBullet2"/>
      </w:pPr>
      <w:r>
        <w:t>PDF 36 / impr. 25 ("Medical history").</w:t>
      </w:r>
    </w:p>
    <w:p>
      <w:pPr>
        <w:pStyle w:val="ListBullet"/>
      </w:pPr>
      <w:r>
        <w:rPr>
          <w:b/>
        </w:rPr>
        <w:t>Cita:</w:t>
      </w:r>
      <w:r>
        <w:t xml:space="preserve"> "There are no studies that demonstrate whether interventions that reduce occupational exposure also reduce the burden…" (PDF 66). En la anamnesis: "Patient's exposure to risk factors, such as smoking and environmental exposures (household/outdoor)." (PDF 36)</w:t>
      </w:r>
    </w:p>
    <w:p>
      <w:pPr>
        <w:pStyle w:val="ListBullet"/>
      </w:pPr>
      <w:r>
        <w:rPr>
          <w:b/>
        </w:rPr>
        <w:t>Problema:</w:t>
      </w:r>
    </w:p>
    <w:p>
      <w:pPr>
        <w:pStyle w:val="ListBullet2"/>
      </w:pPr>
      <w:r>
        <w:t>La anamnesis recomendada no incluye la historia laboral, pese a que más adelante se reconoce que el riesgo ocupacional es "much higher" en zonas poco reguladas.</w:t>
      </w:r>
    </w:p>
    <w:p>
      <w:pPr>
        <w:pStyle w:val="ListBullet2"/>
      </w:pPr>
      <w:r>
        <w:t>La estimación de la fracción atribuible se apoya en una declaración de la ATS de 2003 y omite la declaración oficial ATS/ERS más reciente.</w:t>
      </w:r>
    </w:p>
    <w:p>
      <w:pPr>
        <w:pStyle w:val="ListBullet2"/>
      </w:pPr>
      <w:r>
        <w:t>El mensaje práctico ("it seems logical to advise… if possible") no menciona la notificación como enfermedad profesional, la compensación ni la protección respiratoria. Son aspectos relevantes para la equidad, sobre todo en trabajadores informales, agrícolas y mineros.</w:t>
      </w:r>
    </w:p>
    <w:p>
      <w:pPr>
        <w:pStyle w:val="ListBullet"/>
      </w:pPr>
      <w:r>
        <w:rPr>
          <w:b/>
        </w:rPr>
        <w:t>Evidencia/justificación:</w:t>
      </w:r>
      <w:r>
        <w:t xml:space="preserve"> Blanc PD et al., "The Occupational Burden of Nonmalignant Respiratory Disease. An Official ATS/ERS Statement", AJRCCM 2019;199:1312-34, PMID 31149852: fracción atribuible poblacional del 14 % para la EPOC. Esta referencia no figura en la bibliografía de GOLD 2026.</w:t>
      </w:r>
    </w:p>
    <w:p>
      <w:pPr>
        <w:pStyle w:val="ListBullet"/>
      </w:pPr>
      <w:r>
        <w:rPr>
          <w:b/>
        </w:rPr>
        <w:t>Recomendación:</w:t>
      </w:r>
    </w:p>
    <w:p>
      <w:pPr>
        <w:pStyle w:val="ListBullet2"/>
      </w:pPr>
      <w:r>
        <w:t>Añadir "ocupación actual y previa (polvo, humos, gases, sílice, agricultura, minería)" a la anamnesis de PDF 36.</w:t>
      </w:r>
    </w:p>
    <w:p>
      <w:pPr>
        <w:pStyle w:val="ListBullet2"/>
      </w:pPr>
      <w:r>
        <w:t>Actualizar la referencia a Blanc 2019.</w:t>
      </w:r>
    </w:p>
    <w:p>
      <w:pPr>
        <w:pStyle w:val="ListBullet2"/>
      </w:pPr>
      <w:r>
        <w:t>Recomendar la evaluación del puesto de trabajo, la reducción de la exposición y el reconocimiento como enfermedad profesional cuando corresponda.</w:t>
      </w:r>
    </w:p>
    <w:p>
      <w:pPr>
        <w:pStyle w:val="ListBullet"/>
      </w:pPr>
      <w:r>
        <w:rPr>
          <w:b/>
        </w:rPr>
        <w:t>Confianza:</w:t>
      </w:r>
      <w:r>
        <w:t xml:space="preserve"> 5/5</w:t>
      </w:r>
    </w:p>
    <w:p>
      <w:pPr>
        <w:pStyle w:val="Heading4"/>
      </w:pPr>
      <w:r>
        <w:t>EQ-21 · La advertencia contra el cambio de dispositivo por motivos ambientales se basa en un único estudio observacional con factores de confusión</w:t>
      </w:r>
    </w:p>
    <w:p>
      <w:r>
        <w:rPr>
          <w:i/>
        </w:rPr>
        <w:t xml:space="preserve">Severidad final: </w:t>
      </w:r>
      <w:r>
        <w:rPr>
          <w:i/>
          <w:color w:val="FFC000"/>
        </w:rPr>
        <w:t>🟡</w:t>
      </w:r>
      <w:r>
        <w:rPr>
          <w:i/>
        </w:rPr>
        <w:t xml:space="preserve"> MEDIA · Tema T26: Sostenibilidad ambiental de los inhaladores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82-83 / impr. 71-72 ("Choice of inhaler device").</w:t>
      </w:r>
    </w:p>
    <w:p>
      <w:pPr>
        <w:pStyle w:val="ListBullet"/>
      </w:pPr>
      <w:r>
        <w:rPr>
          <w:b/>
        </w:rPr>
        <w:t>Cita:</w:t>
      </w:r>
      <w:r>
        <w:t xml:space="preserve"> "Mass switching of devices for cost or supply reasons driven by payors, or even for perceived impact of particular devices on the environment… has led to increased prednisolone use and higher healthcare utilization.(735)"</w:t>
      </w:r>
    </w:p>
    <w:p>
      <w:pPr>
        <w:pStyle w:val="ListBullet"/>
      </w:pPr>
      <w:r>
        <w:rPr>
          <w:b/>
        </w:rPr>
        <w:t>Problema:</w:t>
      </w:r>
    </w:p>
    <w:p>
      <w:pPr>
        <w:pStyle w:val="ListBullet2"/>
      </w:pPr>
      <w:r>
        <w:t>La ref. 735 estudia un cambio de formulario motivado por el coste en un único sistema (VA de EE. UU.). Se pasó de budesonida-formoterol en pMDI a fluticasona-salmeterol en DPI, de modo que cambiaron a la vez las moléculas y el dispositivo. Los efectos fueron de pequeña magnitud y se trata de un estudio observacional.</w:t>
      </w:r>
    </w:p>
    <w:p>
      <w:pPr>
        <w:pStyle w:val="ListBullet2"/>
      </w:pPr>
      <w:r>
        <w:t>Extrapolarlo al cambio por motivos ambientales ("perceived impact") resta legitimidad a una preocupación real y no menciona la evidencia de que un cambio bien acompañado puede mantener el control.</w:t>
      </w:r>
    </w:p>
    <w:p>
      <w:pPr>
        <w:pStyle w:val="ListBullet2"/>
      </w:pPr>
      <w:r>
        <w:t>Es razonable advertir contra los cambios masivos sin formación ni consentimiento, pero la frase mezcla conceptos distintos.</w:t>
      </w:r>
    </w:p>
    <w:p>
      <w:pPr>
        <w:pStyle w:val="ListBullet"/>
      </w:pPr>
      <w:r>
        <w:rPr>
          <w:b/>
        </w:rPr>
        <w:t>Evidencia/justificación:</w:t>
      </w:r>
    </w:p>
    <w:p>
      <w:pPr>
        <w:pStyle w:val="ListBullet2"/>
      </w:pPr>
      <w:r>
        <w:t>Rabin AS et al., JAMA Intern Med 2025, PMID 40622686: comparación de budesonida-formoterol pMDI frente a fluticasona-salmeterol DPI.</w:t>
      </w:r>
    </w:p>
    <w:p>
      <w:pPr>
        <w:pStyle w:val="ListBullet2"/>
      </w:pPr>
      <w:r>
        <w:t>Woodcock A et al., Thorax 2022;77:1187-92, PMID 35131893: el paso de pMDI a DPI redujo las emisiones sin pérdida de control (asma, análisis post hoc).</w:t>
      </w:r>
    </w:p>
    <w:p>
      <w:pPr>
        <w:pStyle w:val="ListBullet"/>
      </w:pPr>
      <w:r>
        <w:rPr>
          <w:b/>
        </w:rPr>
        <w:t>Recomendación:</w:t>
      </w:r>
    </w:p>
    <w:p>
      <w:pPr>
        <w:pStyle w:val="ListBullet2"/>
      </w:pPr>
      <w:r>
        <w:t>Reformular: "Los cambios de dispositivo, por cualquier motivo, deben ser individualizados, consensuados con la persona y acompañados de formación y revisión de la técnica."</w:t>
      </w:r>
    </w:p>
    <w:p>
      <w:pPr>
        <w:pStyle w:val="ListBullet2"/>
      </w:pPr>
      <w:r>
        <w:t>Eliminar "perceived" y describir con precisión las limitaciones de la ref. 735.</w:t>
      </w:r>
    </w:p>
    <w:p>
      <w:pPr>
        <w:pStyle w:val="ListBullet2"/>
      </w:pPr>
      <w:r>
        <w:t>Citar la evidencia de cambios bien acompañados.</w:t>
      </w:r>
    </w:p>
    <w:p>
      <w:pPr>
        <w:pStyle w:val="ListBullet"/>
      </w:pPr>
      <w:r>
        <w:rPr>
          <w:b/>
        </w:rPr>
        <w:t>Confianza:</w:t>
      </w:r>
      <w:r>
        <w:t xml:space="preserve"> 4/5</w:t>
      </w:r>
    </w:p>
    <w:p>
      <w:pPr>
        <w:pStyle w:val="Heading4"/>
      </w:pPr>
      <w:r>
        <w:t>FARM-22 · Contaminación y exposiciones: medidas individuales omitidas y huella de los inhaladores incompleta</w:t>
      </w:r>
    </w:p>
    <w:p>
      <w:r>
        <w:rPr>
          <w:i/>
        </w:rPr>
        <w:t xml:space="preserve">Severidad final: </w:t>
      </w:r>
      <w:r>
        <w:rPr>
          <w:i/>
          <w:color w:val="FFC000"/>
        </w:rPr>
        <w:t>🟡</w:t>
      </w:r>
      <w:r>
        <w:rPr>
          <w:i/>
        </w:rPr>
        <w:t xml:space="preserve"> MEDIA · Tema T26: Sostenibilidad ambiental de los inhaladores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64 / impr. 53 (Fig 3.3); PDF 66 / impr. 55 (contaminación); PDF 81 / impr. 70 (huella de carbono de dispositivos)</w:t>
      </w:r>
    </w:p>
    <w:p>
      <w:pPr>
        <w:pStyle w:val="ListBullet"/>
      </w:pPr>
      <w:r>
        <w:rPr>
          <w:b/>
        </w:rPr>
        <w:t>Cita:</w:t>
      </w:r>
      <w:r>
        <w:t xml:space="preserve"> "Efficient ventilation, non-polluting cooking stoves and similar interventions are feasible and should be recommended.(9,10)"</w:t>
      </w:r>
    </w:p>
    <w:p>
      <w:pPr>
        <w:pStyle w:val="ListBullet"/>
      </w:pPr>
      <w:r>
        <w:rPr>
          <w:b/>
        </w:rPr>
        <w:t>Problema:</w:t>
      </w:r>
    </w:p>
    <w:p>
      <w:pPr>
        <w:pStyle w:val="ListBullet2"/>
      </w:pPr>
      <w:r>
        <w:t>Las medidas de reducción del riesgo se limitan a la biomasa y la ventilación. No hay recomendaciones prácticas frente a la contaminación exterior y el humo de incendios forestales, cada vez más relevantes y coherentes con la sección de clima:</w:t>
      </w:r>
    </w:p>
    <w:p>
      <w:pPr>
        <w:pStyle w:val="ListBullet2"/>
      </w:pPr>
      <w:r>
        <w:t>Consultar índices de calidad del aire y adaptar la actividad.</w:t>
      </w:r>
    </w:p>
    <w:p>
      <w:pPr>
        <w:pStyle w:val="ListBullet2"/>
      </w:pPr>
      <w:r>
        <w:t>Usar purificadores HEPA en el domicilio.</w:t>
      </w:r>
    </w:p>
    <w:p>
      <w:pPr>
        <w:pStyle w:val="ListBullet2"/>
      </w:pPr>
      <w:r>
        <w:t>Usar mascarillas FFP2/N95 en episodios de humo.</w:t>
      </w:r>
    </w:p>
    <w:p>
      <w:pPr>
        <w:pStyle w:val="ListBullet2"/>
      </w:pPr>
      <w:r>
        <w:t>Al hablar de huella de carbono de dispositivos no se menciona la transición en curso a propelentes de bajo potencial de calentamiento global (HFO-1234ze, HFA-152a). Esa transición permite reducir la huella sin cambiar de pMDI a DPI (evita cambios forzados de dispositivo, cf. ref 735).</w:t>
      </w:r>
    </w:p>
    <w:p>
      <w:pPr>
        <w:pStyle w:val="ListBullet"/>
      </w:pPr>
      <w:r>
        <w:rPr>
          <w:b/>
        </w:rPr>
        <w:t>Evidencia/justificación:</w:t>
      </w:r>
    </w:p>
    <w:p>
      <w:pPr>
        <w:pStyle w:val="ListBullet2"/>
      </w:pPr>
      <w:r>
        <w:t xml:space="preserve">Hansel NN et al., AJRCCM 2022;205:421-430 (CLEAN AIR): purificadores HEPA en EPOC con beneficio en el análisis por protocolo. </w:t>
      </w:r>
      <w:r>
        <w:rPr>
          <w:b/>
        </w:rPr>
        <w:t>Punto debatible:</w:t>
      </w:r>
      <w:r>
        <w:t xml:space="preserve"> el resultado por intención de tratar no fue significativo.</w:t>
      </w:r>
    </w:p>
    <w:p>
      <w:pPr>
        <w:pStyle w:val="ListBullet2"/>
      </w:pPr>
      <w:r>
        <w:t>Comunicados regulatorios de 2025: MHRA (mayo) y CHMP de la EMA (julio) sobre la triple terapia en pMDI con HFO-1234ze.</w:t>
      </w:r>
    </w:p>
    <w:p>
      <w:pPr>
        <w:pStyle w:val="ListBullet"/>
      </w:pPr>
      <w:r>
        <w:rPr>
          <w:b/>
        </w:rPr>
        <w:t>Recomendación:</w:t>
      </w:r>
      <w:r>
        <w:t xml:space="preserve"> añadir un recuadro de "medidas individuales frente a la contaminación exterior y el humo de incendios" con su nivel de evidencia, y una frase sobre los pMDI con propelentes de bajo PCG.</w:t>
      </w:r>
    </w:p>
    <w:p>
      <w:pPr>
        <w:pStyle w:val="ListBullet"/>
      </w:pPr>
      <w:r>
        <w:rPr>
          <w:b/>
        </w:rPr>
        <w:t>Confianza:</w:t>
      </w:r>
      <w:r>
        <w:t xml:space="preserve"> 3/5</w:t>
      </w:r>
    </w:p>
    <w:p>
      <w:pPr>
        <w:pStyle w:val="Heading4"/>
      </w:pPr>
      <w:r>
        <w:t>COH-12 · ICS al alta: "should" frente a "should be considered", sin umbral de eosinófilos</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Incoherencia de fuerza de recomendación</w:t>
      </w:r>
    </w:p>
    <w:p>
      <w:pPr>
        <w:pStyle w:val="ListBullet"/>
      </w:pPr>
      <w:r>
        <w:rPr>
          <w:b/>
        </w:rPr>
        <w:t>Severidad:</w:t>
      </w:r>
      <w:r>
        <w:t xml:space="preserve"> MEDIA</w:t>
      </w:r>
    </w:p>
    <w:p>
      <w:pPr>
        <w:pStyle w:val="ListBullet"/>
      </w:pPr>
      <w:r>
        <w:rPr>
          <w:b/>
        </w:rPr>
        <w:t>Ubicación:</w:t>
      </w:r>
      <w:r>
        <w:t xml:space="preserve"> Fig 4.10 (PDF 120 / impr. 109); key points en PDF 103 / impr. 92</w:t>
      </w:r>
    </w:p>
    <w:p>
      <w:pPr>
        <w:pStyle w:val="ListBullet"/>
      </w:pPr>
      <w:r>
        <w:rPr>
          <w:b/>
        </w:rPr>
        <w:t>Cita:</w:t>
      </w:r>
    </w:p>
    <w:p>
      <w:pPr>
        <w:pStyle w:val="ListBullet2"/>
      </w:pPr>
      <w:r>
        <w:t>Fig 4.10: "patients with elevated blood eosinophils should be discharged on LABA+LAMA+ICS".</w:t>
      </w:r>
    </w:p>
    <w:p>
      <w:pPr>
        <w:pStyle w:val="ListBullet2"/>
      </w:pPr>
      <w:r>
        <w:t>Key points: "the addition of ICSs to a dual bronchodilator regimen should be considered at discharge".</w:t>
      </w:r>
    </w:p>
    <w:p>
      <w:pPr>
        <w:pStyle w:val="ListBullet"/>
      </w:pPr>
      <w:r>
        <w:rPr>
          <w:b/>
        </w:rPr>
        <w:t>Problema:</w:t>
      </w:r>
    </w:p>
    <w:p>
      <w:pPr>
        <w:pStyle w:val="ListBullet2"/>
      </w:pPr>
      <w:r>
        <w:t>La fuerza de la recomendación difiere entre ambos sitios.</w:t>
      </w:r>
    </w:p>
    <w:p>
      <w:pPr>
        <w:pStyle w:val="ListBullet2"/>
      </w:pPr>
      <w:r>
        <w:t>"Elevated" no se cuantifica: en el cap. 3, ≥100 permite los ICS y ≥300 los favorece.</w:t>
      </w:r>
    </w:p>
    <w:p>
      <w:pPr>
        <w:pStyle w:val="ListBullet"/>
      </w:pPr>
      <w:r>
        <w:rPr>
          <w:b/>
        </w:rPr>
        <w:t>Evidencia/justificación:</w:t>
      </w:r>
      <w:r>
        <w:t xml:space="preserve"> PDF 77 y 161 (umbrales 100/300).</w:t>
      </w:r>
    </w:p>
    <w:p>
      <w:pPr>
        <w:pStyle w:val="ListBullet"/>
      </w:pPr>
      <w:r>
        <w:rPr>
          <w:b/>
        </w:rPr>
        <w:t>Recomendación:</w:t>
      </w:r>
      <w:r>
        <w:t xml:space="preserve"> especificar el umbral (≥100, con mayor beneficio a ≥300) y usar el mismo verbo en ambos sitios.</w:t>
      </w:r>
    </w:p>
    <w:p>
      <w:pPr>
        <w:pStyle w:val="ListBullet"/>
      </w:pPr>
      <w:r>
        <w:rPr>
          <w:b/>
        </w:rPr>
        <w:t>Confianza:</w:t>
      </w:r>
      <w:r>
        <w:t xml:space="preserve"> 4</w:t>
      </w:r>
    </w:p>
    <w:p>
      <w:pPr>
        <w:pStyle w:val="Heading4"/>
      </w:pPr>
      <w:r>
        <w:t>EXA-21 · Alta: eosinófilos sin umbral, ausencia de criterios objetivos de alta y de VNI domiciliaria, y evidencia observacional sesgada</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Ambigüedad/Claridad / Omisión / Incongruencia interna</w:t>
      </w:r>
    </w:p>
    <w:p>
      <w:pPr>
        <w:pStyle w:val="ListBullet"/>
      </w:pPr>
      <w:r>
        <w:rPr>
          <w:b/>
        </w:rPr>
        <w:t>Severidad:</w:t>
      </w:r>
      <w:r>
        <w:t xml:space="preserve"> MEDIA</w:t>
      </w:r>
    </w:p>
    <w:p>
      <w:pPr>
        <w:pStyle w:val="ListBullet"/>
      </w:pPr>
      <w:r>
        <w:rPr>
          <w:b/>
        </w:rPr>
        <w:t>Ubicación:</w:t>
      </w:r>
      <w:r>
        <w:t xml:space="preserve"> PDF 120 / impr. 109 (Fig. 4.10 y texto) y PDF 121 / impr. 110.</w:t>
      </w:r>
    </w:p>
    <w:p>
      <w:pPr>
        <w:pStyle w:val="ListBullet"/>
      </w:pPr>
      <w:r>
        <w:rPr>
          <w:b/>
        </w:rPr>
        <w:t>Cita:</w:t>
      </w:r>
      <w:r>
        <w:t xml:space="preserve"> "patients with elevated blood eosinophils should be discharged on LABA+LAMA+ICS" (Fig. 4.10). En los puntos clave: "the addition of ICSs… should be considered at discharge".</w:t>
      </w:r>
    </w:p>
    <w:p>
      <w:pPr>
        <w:pStyle w:val="ListBullet"/>
      </w:pPr>
      <w:r>
        <w:rPr>
          <w:b/>
        </w:rPr>
        <w:t>Problema:</w:t>
      </w:r>
    </w:p>
    <w:p>
      <w:pPr>
        <w:pStyle w:val="ListBullet2"/>
      </w:pPr>
      <w:r>
        <w:rPr>
          <w:b/>
        </w:rPr>
        <w:t>Eosinófilos:</w:t>
      </w:r>
    </w:p>
    <w:p>
      <w:pPr>
        <w:pStyle w:val="ListBullet2"/>
      </w:pPr>
      <w:r>
        <w:t>"Elevated" no está definido, frente a ≥300 en la Fig. 3.8 y ≥100 en la Fig. 3.9.</w:t>
      </w:r>
    </w:p>
    <w:p>
      <w:pPr>
        <w:pStyle w:val="ListBullet2"/>
      </w:pPr>
      <w:r>
        <w:t>Los eosinófilos medidos durante la exacerbación o tras corticoides sistémicos no son fiables, y no se dice cuándo medirlos.</w:t>
      </w:r>
    </w:p>
    <w:p>
      <w:pPr>
        <w:pStyle w:val="ListBullet2"/>
      </w:pPr>
      <w:r>
        <w:t>"Should" en la figura frente a "should be considered" en los puntos clave.</w:t>
      </w:r>
    </w:p>
    <w:p>
      <w:pPr>
        <w:pStyle w:val="ListBullet2"/>
      </w:pPr>
      <w:r>
        <w:rPr>
          <w:b/>
        </w:rPr>
        <w:t>Criterios de alta.</w:t>
      </w:r>
      <w:r>
        <w:t xml:space="preserve"> La figura se titula "Discharge Criteria" pero no contiene criterios objetivos de estabilidad:</w:t>
      </w:r>
    </w:p>
    <w:p>
      <w:pPr>
        <w:pStyle w:val="ListBullet2"/>
      </w:pPr>
      <w:r>
        <w:t>estabilidad clínica y gasométrica 12-24 h;</w:t>
      </w:r>
    </w:p>
    <w:p>
      <w:pPr>
        <w:pStyle w:val="ListBullet2"/>
      </w:pPr>
      <w:r>
        <w:t>uso de SABA no más de cada 4 h;</w:t>
      </w:r>
    </w:p>
    <w:p>
      <w:pPr>
        <w:pStyle w:val="ListBullet2"/>
      </w:pPr>
      <w:r>
        <w:t>capacidad de deambular y de usar los inhaladores;</w:t>
      </w:r>
    </w:p>
    <w:p>
      <w:pPr>
        <w:pStyle w:val="ListBullet2"/>
      </w:pPr>
      <w:r>
        <w:t>soporte domiciliario.</w:t>
      </w:r>
    </w:p>
    <w:p>
      <w:pPr>
        <w:pStyle w:val="ListBullet2"/>
      </w:pPr>
      <w:r>
        <w:rPr>
          <w:b/>
        </w:rPr>
        <w:t>VNI domiciliaria.</w:t>
      </w:r>
      <w:r>
        <w:t xml:space="preserve"> Falta la reevaluación a las 2-4 semanas del alta de la hipercapnia persistente (PaCO2 &gt;53 mmHg) para VNI domiciliaria (HOT-HMV), que sí se recoge en el cap. 3 (PDF 89).</w:t>
      </w:r>
    </w:p>
    <w:p>
      <w:pPr>
        <w:pStyle w:val="ListBullet2"/>
      </w:pPr>
      <w:r>
        <w:rPr>
          <w:b/>
        </w:rPr>
        <w:t>Rehabilitación, vacunación y tabaco.</w:t>
      </w:r>
      <w:r>
        <w:t xml:space="preserve"> La rehabilitación aparece solo como "consider eligibility". En la figura faltan la vacunación y la deshabituación tabáquica.</w:t>
      </w:r>
    </w:p>
    <w:p>
      <w:pPr>
        <w:pStyle w:val="ListBullet2"/>
      </w:pPr>
      <w:r>
        <w:rPr>
          <w:b/>
        </w:rPr>
        <w:t>Evidencia de la triple terapia precoz:</w:t>
      </w:r>
    </w:p>
    <w:p>
      <w:pPr>
        <w:pStyle w:val="ListBullet2"/>
      </w:pPr>
      <w:r>
        <w:t>Las refs. 1103-1105 son análisis de bases de reclamaciones con riesgo de sesgo de tiempo inmortal.</w:t>
      </w:r>
    </w:p>
    <w:p>
      <w:pPr>
        <w:pStyle w:val="ListBullet2"/>
      </w:pPr>
      <w:r>
        <w:t>La ref. 1117 es un póster de congreso (ATS).</w:t>
      </w:r>
    </w:p>
    <w:p>
      <w:pPr>
        <w:pStyle w:val="ListBullet2"/>
      </w:pPr>
      <w:r>
        <w:t>Se presentan como "showed a significant reduction" sin advertir de estas limitaciones.</w:t>
      </w:r>
    </w:p>
    <w:p>
      <w:pPr>
        <w:pStyle w:val="ListBullet"/>
      </w:pPr>
      <w:r>
        <w:rPr>
          <w:b/>
        </w:rPr>
        <w:t>Evidencia/justificación:</w:t>
      </w:r>
    </w:p>
    <w:p>
      <w:pPr>
        <w:pStyle w:val="ListBullet2"/>
      </w:pPr>
      <w:r>
        <w:t>Murphy PB et al., JAMA 2017;317:2177-86 (HOT-HMV: menos reingresos y muerte a 12 meses).</w:t>
      </w:r>
    </w:p>
    <w:p>
      <w:pPr>
        <w:pStyle w:val="ListBullet2"/>
      </w:pPr>
      <w:r>
        <w:t>Suissa S, sobre el sesgo de tiempo inmortal en estudios de fármacos respiratorios (Am J Respir Crit Care Med 2003;168:49-53).</w:t>
      </w:r>
    </w:p>
    <w:p>
      <w:pPr>
        <w:pStyle w:val="ListBullet"/>
      </w:pPr>
      <w:r>
        <w:rPr>
          <w:b/>
        </w:rPr>
        <w:t>Recomendación:</w:t>
      </w:r>
    </w:p>
    <w:p>
      <w:pPr>
        <w:pStyle w:val="ListBullet2"/>
      </w:pPr>
      <w:r>
        <w:t>Definir el umbral de eosinófilos (p. ej., ≥300/µL en situación estable o antes de los corticoides) y cuándo medirlos.</w:t>
      </w:r>
    </w:p>
    <w:p>
      <w:pPr>
        <w:pStyle w:val="ListBullet2"/>
      </w:pPr>
      <w:r>
        <w:t>Añadir criterios objetivos de alta.</w:t>
      </w:r>
    </w:p>
    <w:p>
      <w:pPr>
        <w:pStyle w:val="ListBullet2"/>
      </w:pPr>
      <w:r>
        <w:t>Incluir "gasometría a las 2-4 semanas; si PaCO2 &gt;53 mmHg, valorar VNI domiciliaria".</w:t>
      </w:r>
    </w:p>
    <w:p>
      <w:pPr>
        <w:pStyle w:val="ListBullet2"/>
      </w:pPr>
      <w:r>
        <w:t>Convertir la rehabilitación en una recomendación de derivación activa dentro de las 4 semanas.</w:t>
      </w:r>
    </w:p>
    <w:p>
      <w:pPr>
        <w:pStyle w:val="ListBullet2"/>
      </w:pPr>
      <w:r>
        <w:t>Añadir la vacunación y la deshabituación tabáquica.</w:t>
      </w:r>
    </w:p>
    <w:p>
      <w:pPr>
        <w:pStyle w:val="ListBullet2"/>
      </w:pPr>
      <w:r>
        <w:t>Calificar la evidencia observacional.</w:t>
      </w:r>
    </w:p>
    <w:p>
      <w:pPr>
        <w:pStyle w:val="ListBullet"/>
      </w:pPr>
      <w:r>
        <w:rPr>
          <w:b/>
        </w:rPr>
        <w:t>Confianza:</w:t>
      </w:r>
      <w:r>
        <w:t xml:space="preserve"> 4/5</w:t>
      </w:r>
    </w:p>
    <w:p>
      <w:pPr>
        <w:pStyle w:val="Heading4"/>
      </w:pPr>
      <w:r>
        <w:t>EXA-22 · Vitamina D: efecto sobrestimado e incoherente con el cap. 5</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111 / impr. 100; PDF 122 / impr. 111 (Fig. 4.11); PDF 138-139 / impr. 127-128 (cap. 5).</w:t>
      </w:r>
    </w:p>
    <w:p>
      <w:pPr>
        <w:pStyle w:val="ListBullet"/>
      </w:pPr>
      <w:r>
        <w:rPr>
          <w:b/>
        </w:rPr>
        <w:t>Cita:</w:t>
      </w:r>
      <w:r>
        <w:t xml:space="preserve"> "supplementation in people with severe deficiency results in a 50% reduction in episodes and hospital admission.(996,997) Therefore it is recommended that all patients hospitalized… should be assessed".</w:t>
      </w:r>
    </w:p>
    <w:p>
      <w:pPr>
        <w:pStyle w:val="ListBullet"/>
      </w:pPr>
      <w:r>
        <w:rPr>
          <w:b/>
        </w:rPr>
        <w:t>Problema:</w:t>
      </w:r>
    </w:p>
    <w:p>
      <w:pPr>
        <w:pStyle w:val="ListBullet2"/>
      </w:pPr>
      <w:r>
        <w:rPr>
          <w:b/>
        </w:rPr>
        <w:t>Ref. 996 (Jolliffe, Thorax 2019;74:337-45, metaanálisis con datos individuales):</w:t>
      </w:r>
      <w:r>
        <w:t xml:space="preserve"> la reducción se limitó a las exacerbaciones moderadas o graves en pacientes con 25(OH)D &lt;25 nmol/L. No demostró reducción de los ingresos hospitalarios.</w:t>
      </w:r>
    </w:p>
    <w:p>
      <w:pPr>
        <w:pStyle w:val="ListBullet2"/>
      </w:pPr>
      <w:r>
        <w:rPr>
          <w:b/>
        </w:rPr>
        <w:t>Ref. 997 (Rafiq 2022):</w:t>
      </w:r>
      <w:r>
        <w:t xml:space="preserve"> fue un ensayo aleatorizado negativo; no puede apoyar un "50 %".</w:t>
      </w:r>
    </w:p>
    <w:p>
      <w:pPr>
        <w:pStyle w:val="ListBullet2"/>
      </w:pPr>
      <w:r>
        <w:rPr>
          <w:b/>
        </w:rPr>
        <w:t>Discordancia de grado entre capítulos:</w:t>
      </w:r>
      <w:r>
        <w:t xml:space="preserve"> el cap. 4 lo recomienda para todos los hospitalizados, el cap. 5 (PDF 139) dice "consider checking… particularly if… frequent exacerbations" y la Fig. 4.11 incluye la vitamina D sin calificación.</w:t>
      </w:r>
    </w:p>
    <w:p>
      <w:pPr>
        <w:pStyle w:val="ListBullet"/>
      </w:pPr>
      <w:r>
        <w:rPr>
          <w:b/>
        </w:rPr>
        <w:t>Evidencia/justificación:</w:t>
      </w:r>
      <w:r>
        <w:t xml:space="preserve"> Jolliffe DA et al., Thorax 2019; Rafiq R et al., 2022 (ref. 997), verificados.</w:t>
      </w:r>
    </w:p>
    <w:p>
      <w:pPr>
        <w:pStyle w:val="ListBullet"/>
      </w:pPr>
      <w:r>
        <w:rPr>
          <w:b/>
        </w:rPr>
        <w:t>Recomendación:</w:t>
      </w:r>
    </w:p>
    <w:p>
      <w:pPr>
        <w:pStyle w:val="ListBullet2"/>
      </w:pPr>
      <w:r>
        <w:t>Reformular: "En pacientes con déficit grave (&lt;25 nmol/L) la suplementación redujo las exacerbaciones moderadas o graves en un metaanálisis con datos individuales; no hay evidencia de reducción de ingresos".</w:t>
      </w:r>
    </w:p>
    <w:p>
      <w:pPr>
        <w:pStyle w:val="ListBullet2"/>
      </w:pPr>
      <w:r>
        <w:t>Unificar el grado entre capítulos ("considerar") y matizar la Fig. 4.11.</w:t>
      </w:r>
    </w:p>
    <w:p>
      <w:pPr>
        <w:pStyle w:val="ListBullet"/>
      </w:pPr>
      <w:r>
        <w:rPr>
          <w:b/>
        </w:rPr>
        <w:t>Confianza:</w:t>
      </w:r>
      <w:r>
        <w:t xml:space="preserve"> 4/5</w:t>
      </w:r>
    </w:p>
    <w:p>
      <w:pPr>
        <w:pStyle w:val="Heading4"/>
      </w:pPr>
      <w:r>
        <w:t>FARM-18 · Vitamina D: la Fig 4.11 la presenta como intervención eficaz frente al Apéndice 3</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Incongruencia interna (entre capítulos)</w:t>
      </w:r>
    </w:p>
    <w:p>
      <w:pPr>
        <w:pStyle w:val="ListBullet"/>
      </w:pPr>
      <w:r>
        <w:rPr>
          <w:b/>
        </w:rPr>
        <w:t>Severidad:</w:t>
      </w:r>
      <w:r>
        <w:t xml:space="preserve"> MEDIA</w:t>
      </w:r>
    </w:p>
    <w:p>
      <w:pPr>
        <w:pStyle w:val="ListBullet"/>
      </w:pPr>
      <w:r>
        <w:rPr>
          <w:b/>
        </w:rPr>
        <w:t>Ubicación:</w:t>
      </w:r>
      <w:r>
        <w:t xml:space="preserve"> PDF 122 / impr. 111 (Fig 4.11) vs PDF 164 / impr. 153 (Apéndice 3) y PDF 138-139 / impr. 127-128 (cap. 5)</w:t>
      </w:r>
    </w:p>
    <w:p>
      <w:pPr>
        <w:pStyle w:val="ListBullet"/>
      </w:pPr>
      <w:r>
        <w:rPr>
          <w:b/>
        </w:rPr>
        <w:t>Cita:</w:t>
      </w:r>
    </w:p>
    <w:p>
      <w:pPr>
        <w:pStyle w:val="ListBullet2"/>
      </w:pPr>
      <w:r>
        <w:t>Fig 4.11: "Vitamin D", listada entre "Interventions that Reduce the Frequency of COPD Exacerbations".</w:t>
      </w:r>
    </w:p>
    <w:p>
      <w:pPr>
        <w:pStyle w:val="ListBullet2"/>
      </w:pPr>
      <w:r>
        <w:t>Apéndice: "There is no evidence that supplementation with vitamin D has a positive impact on exacerbations in unselected patients."</w:t>
      </w:r>
    </w:p>
    <w:p>
      <w:pPr>
        <w:pStyle w:val="ListBullet"/>
      </w:pPr>
      <w:r>
        <w:rPr>
          <w:b/>
        </w:rPr>
        <w:t>Problema:</w:t>
      </w:r>
    </w:p>
    <w:p>
      <w:pPr>
        <w:pStyle w:val="ListBullet2"/>
      </w:pPr>
      <w:r>
        <w:t>La Fig 4.11 la presenta sin restricción.</w:t>
      </w:r>
    </w:p>
    <w:p>
      <w:pPr>
        <w:pStyle w:val="ListBullet2"/>
      </w:pPr>
      <w:r>
        <w:t>El Apéndice 3 y el cap. 5 limitan el posible beneficio a pacientes con déficit grave (&lt;25 nmol/L), e incluso el Apéndice cita un estudio posterior sin efecto.</w:t>
      </w:r>
    </w:p>
    <w:p>
      <w:pPr>
        <w:pStyle w:val="ListBullet2"/>
      </w:pPr>
      <w:r>
        <w:t>La Fig 4.11 puede inducir suplementación indiscriminada.</w:t>
      </w:r>
    </w:p>
    <w:p>
      <w:pPr>
        <w:pStyle w:val="ListBullet"/>
      </w:pPr>
      <w:r>
        <w:rPr>
          <w:b/>
        </w:rPr>
        <w:t>Evidencia/justificación:</w:t>
      </w:r>
      <w:r>
        <w:t xml:space="preserve"> Jolliffe DA et al., Thorax 2019;74:337-345 (metaanálisis de datos individuales): beneficio solo si 25(OH)D &lt;25 nmol/L.</w:t>
      </w:r>
    </w:p>
    <w:p>
      <w:pPr>
        <w:pStyle w:val="ListBullet"/>
      </w:pPr>
      <w:r>
        <w:rPr>
          <w:b/>
        </w:rPr>
        <w:t>Recomendación:</w:t>
      </w:r>
      <w:r>
        <w:t xml:space="preserve"> en la Fig 4.11, cambiar a "Vitamina D (solo si déficit grave, &lt;25 nmol/L)".</w:t>
      </w:r>
    </w:p>
    <w:p>
      <w:pPr>
        <w:pStyle w:val="ListBullet"/>
      </w:pPr>
      <w:r>
        <w:rPr>
          <w:b/>
        </w:rPr>
        <w:t>Confianza:</w:t>
      </w:r>
      <w:r>
        <w:t xml:space="preserve"> 4/5</w:t>
      </w:r>
    </w:p>
    <w:p>
      <w:pPr>
        <w:pStyle w:val="Heading4"/>
      </w:pPr>
      <w:r>
        <w:t>NOV-16 · Vitamina D: listada sin restricción en la Fig. 4.11 y cita de apoyo contradictoria en el cap. 4</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p>
    <w:p>
      <w:pPr>
        <w:pStyle w:val="ListBullet2"/>
      </w:pPr>
      <w:r>
        <w:t>PDF 122 / impr. 111 — Fig. 4.11.</w:t>
      </w:r>
    </w:p>
    <w:p>
      <w:pPr>
        <w:pStyle w:val="ListBullet2"/>
      </w:pPr>
      <w:r>
        <w:t>PDF 111 / impr. 100 — cap. 4.</w:t>
      </w:r>
    </w:p>
    <w:p>
      <w:pPr>
        <w:pStyle w:val="ListBullet2"/>
      </w:pPr>
      <w:r>
        <w:t>PDF 164 / impr. 153 — Apéndice 3.</w:t>
      </w:r>
    </w:p>
    <w:p>
      <w:pPr>
        <w:pStyle w:val="ListBullet"/>
      </w:pPr>
      <w:r>
        <w:rPr>
          <w:b/>
        </w:rPr>
        <w:t>Cita:</w:t>
      </w:r>
      <w:r>
        <w:t xml:space="preserve"> Cap. 4: "Some, but not all studies have shown that supplementation in people with severe deficiency results in a 50% reduction in episodes and hospital admission.(996,997)"</w:t>
      </w:r>
    </w:p>
    <w:p>
      <w:pPr>
        <w:pStyle w:val="ListBullet"/>
      </w:pPr>
      <w:r>
        <w:rPr>
          <w:b/>
        </w:rPr>
        <w:t>Problema:</w:t>
      </w:r>
    </w:p>
    <w:p>
      <w:pPr>
        <w:pStyle w:val="ListBullet2"/>
      </w:pPr>
      <w:r>
        <w:rPr>
          <w:b/>
        </w:rPr>
        <w:t>Fig. 4.11:</w:t>
      </w:r>
      <w:r>
        <w:t xml:space="preserve"> incluye "Vitamin D" sin calificativo entre las intervenciones que reducen exacerbaciones. Sin embargo, el Apéndice 3 dice que no hay evidencia en pacientes no seleccionados y que el estudio más reciente (ref. 997) no mostró efecto.</w:t>
      </w:r>
    </w:p>
    <w:p>
      <w:pPr>
        <w:pStyle w:val="ListBullet2"/>
      </w:pPr>
      <w:r>
        <w:rPr>
          <w:b/>
        </w:rPr>
        <w:t>Cap. 4:</w:t>
      </w:r>
      <w:r>
        <w:t xml:space="preserve"> usa la ref. 997, un ensayo negativo, como apoyo de una reducción del 50 %.</w:t>
      </w:r>
    </w:p>
    <w:p>
      <w:pPr>
        <w:pStyle w:val="ListBullet2"/>
      </w:pPr>
      <w:r>
        <w:rPr>
          <w:b/>
        </w:rPr>
        <w:t>Hospitalizaciones:</w:t>
      </w:r>
      <w:r>
        <w:t xml:space="preserve"> la reducción de ~50 % procede de un subgrupo con 25(OH)D &lt;25 nmol/L de un metaanálisis de datos individuales y se refiere a exacerbaciones moderadas/graves, no demostradamente a hospitalizaciones.</w:t>
      </w:r>
    </w:p>
    <w:p>
      <w:pPr>
        <w:pStyle w:val="ListBullet"/>
      </w:pPr>
      <w:r>
        <w:rPr>
          <w:b/>
        </w:rPr>
        <w:t>Evidencia/justificación:</w:t>
      </w:r>
    </w:p>
    <w:p>
      <w:pPr>
        <w:pStyle w:val="ListBullet2"/>
      </w:pPr>
      <w:r>
        <w:t>Jolliffe DA et al., Thorax 2019;74:337-45: subgrupo &lt;25 nmol/L, RR ajustado ≈0,55; sin efecto global.</w:t>
      </w:r>
    </w:p>
    <w:p>
      <w:pPr>
        <w:pStyle w:val="ListBullet2"/>
      </w:pPr>
      <w:r>
        <w:t>Rafiq R et al. (ref. 997): sin efecto en pacientes con vitamina D baja.</w:t>
      </w:r>
    </w:p>
    <w:p>
      <w:pPr>
        <w:pStyle w:val="ListBullet"/>
      </w:pPr>
      <w:r>
        <w:rPr>
          <w:b/>
        </w:rPr>
        <w:t>Recomendación:</w:t>
      </w:r>
    </w:p>
    <w:p>
      <w:pPr>
        <w:pStyle w:val="ListBullet2"/>
      </w:pPr>
      <w:r>
        <w:t>En la Fig. 4.11, escribir "Vitamina D (solo si déficit grave &lt;25 nmol/L)".</w:t>
      </w:r>
    </w:p>
    <w:p>
      <w:pPr>
        <w:pStyle w:val="ListBullet2"/>
      </w:pPr>
      <w:r>
        <w:t>En el cap. 4, separar las citas (996 a favor, 997 en contra) y eliminar "hospital admission" salvo que haya fuente.</w:t>
      </w:r>
    </w:p>
    <w:p>
      <w:pPr>
        <w:pStyle w:val="ListBullet"/>
      </w:pPr>
      <w:r>
        <w:rPr>
          <w:b/>
        </w:rPr>
        <w:t>Confianza:</w:t>
      </w:r>
      <w:r>
        <w:t xml:space="preserve"> 4/5</w:t>
      </w:r>
    </w:p>
    <w:p>
      <w:pPr>
        <w:pStyle w:val="Heading4"/>
      </w:pPr>
      <w:r>
        <w:t>REH-19 · Componentes del entrenamiento: contradicción entre fuerza y resistencia, y sobreinterpretación de técnicas respiratorias</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170 / impr. 159 y PDF 171 / impr. 160 — Apéndice 4.</w:t>
      </w:r>
    </w:p>
    <w:p>
      <w:pPr>
        <w:pStyle w:val="ListBullet"/>
      </w:pPr>
      <w:r>
        <w:rPr>
          <w:b/>
        </w:rPr>
        <w:t>Cita:</w:t>
      </w:r>
    </w:p>
    <w:p>
      <w:pPr>
        <w:pStyle w:val="ListBullet2"/>
      </w:pPr>
      <w:r>
        <w:t>PDF 170: «…strength training provides better outcomes than either method alone.(1699)»</w:t>
      </w:r>
    </w:p>
    <w:p>
      <w:pPr>
        <w:pStyle w:val="ListBullet2"/>
      </w:pPr>
      <w:r>
        <w:t>PDF 171: «…strength training to aerobic training is effective in improving strength, but does not improve health status or exercise tolerance».</w:t>
      </w:r>
    </w:p>
    <w:p>
      <w:pPr>
        <w:pStyle w:val="ListBullet2"/>
      </w:pPr>
      <w:r>
        <w:t>PDF 170: «pursed lip breathing and diaphragmatic breathing have also been shown to improve pulmonary function».</w:t>
      </w:r>
    </w:p>
    <w:p>
      <w:pPr>
        <w:pStyle w:val="ListBullet"/>
      </w:pPr>
      <w:r>
        <w:rPr>
          <w:b/>
        </w:rPr>
        <w:t>Problema:</w:t>
      </w:r>
    </w:p>
    <w:p>
      <w:pPr>
        <w:pStyle w:val="ListBullet2"/>
      </w:pPr>
      <w:r>
        <w:t>El mismo apéndice afirma y niega que combinar fuerza y resistencia sea superior. Ortega 2002 y Bernard 1999 se presentan sin conciliar.</w:t>
      </w:r>
    </w:p>
    <w:p>
      <w:pPr>
        <w:pStyle w:val="ListBullet2"/>
      </w:pPr>
      <w:r>
        <w:t>Se atribuye mejora de la «función pulmonar» a la respiración con labios fruncidos y la diafragmática (y al Baduanjin) a partir de metaanálisis de baja calidad. Los ejercicios respiratorios no modifican el FEV1 de forma relevante, y la respiración diafragmática puede aumentar la disnea en la EPOC grave hiperinsuflada.</w:t>
      </w:r>
    </w:p>
    <w:p>
      <w:pPr>
        <w:pStyle w:val="ListBullet2"/>
      </w:pPr>
      <w:r>
        <w:t>Se dice que el entrenamiento muscular inspiratorio «not consistently translate» en beneficios clínicos. Es correcto, pero no se indica cuándo considerarlo (debilidad inspiratoria).</w:t>
      </w:r>
    </w:p>
    <w:p>
      <w:pPr>
        <w:pStyle w:val="ListBullet"/>
      </w:pPr>
      <w:r>
        <w:rPr>
          <w:b/>
        </w:rPr>
        <w:t>Evidencia/justificación:</w:t>
      </w:r>
    </w:p>
    <w:p>
      <w:pPr>
        <w:pStyle w:val="ListBullet2"/>
      </w:pPr>
      <w:r>
        <w:t>Holland AE et al., Cochrane 2012;CD008250 (ejercicios respiratorios en EPOC: sin efecto consistente en la función pulmonar; evidencia de baja calidad).</w:t>
      </w:r>
    </w:p>
    <w:p>
      <w:pPr>
        <w:pStyle w:val="ListBullet2"/>
      </w:pPr>
      <w:r>
        <w:t>Spruit MA et al., declaración ATS/ERS 2013 (ref. 674): el entrenamiento combinado mejora la fuerza y la masa muscular; beneficios adicionales modestos en capacidad de ejercicio y calidad de vida.</w:t>
      </w:r>
    </w:p>
    <w:p>
      <w:pPr>
        <w:pStyle w:val="ListBullet"/>
      </w:pPr>
      <w:r>
        <w:rPr>
          <w:b/>
        </w:rPr>
        <w:t>Recomendación:</w:t>
      </w:r>
      <w:r>
        <w:t xml:space="preserve"> Conciliar: «añadir entrenamiento de fuerza al de resistencia mejora la fuerza y la masa muscular; los beneficios adicionales en tolerancia al ejercicio o calidad de vida son inconsistentes». Sustituir «improve pulmonary function» por «mejoran el patrón respiratorio y la disnea durante el esfuerzo» y advertir sobre la respiración diafragmática en la hiperinsuflación grave. Indicar el entrenamiento muscular inspiratorio en pacientes con debilidad inspiratoria demostrada.</w:t>
      </w:r>
    </w:p>
    <w:p>
      <w:pPr>
        <w:pStyle w:val="ListBullet"/>
      </w:pPr>
      <w:r>
        <w:rPr>
          <w:b/>
        </w:rPr>
        <w:t>Confianza:</w:t>
      </w:r>
      <w:r>
        <w:t xml:space="preserve"> 4/5</w:t>
      </w:r>
    </w:p>
    <w:p>
      <w:pPr>
        <w:pStyle w:val="Heading4"/>
      </w:pPr>
      <w:r>
        <w:t>REH-20 · Evaluación en RR incompleta: faltan la desaturación de esfuerzo, el estado nutricional y la fragilidad</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86 / impr. 75 — cap. 3, «Assessment and follow-up of pulmonary rehabilitation»; Apéndice, PDF 171 y 173.</w:t>
      </w:r>
    </w:p>
    <w:p>
      <w:pPr>
        <w:pStyle w:val="ListBullet"/>
      </w:pPr>
      <w:r>
        <w:rPr>
          <w:b/>
        </w:rPr>
        <w:t>Cita:</w:t>
      </w:r>
      <w:r>
        <w:t xml:space="preserve"> Lista «Assessments should include:», que no menciona oxigenación, nutrición ni fragilidad. Apéndice: «Exercise-induced oxygen desaturation can be seen in a significant minority… associated with… mortality.(1717)»</w:t>
      </w:r>
    </w:p>
    <w:p>
      <w:pPr>
        <w:pStyle w:val="ListBullet"/>
      </w:pPr>
      <w:r>
        <w:rPr>
          <w:b/>
        </w:rPr>
        <w:t>Problema:</w:t>
      </w:r>
      <w:r>
        <w:t xml:space="preserve"> La lista de evaluación del cap. 3 omite:</w:t>
      </w:r>
    </w:p>
    <w:p>
      <w:pPr>
        <w:pStyle w:val="ListBullet2"/>
      </w:pPr>
      <w:r>
        <w:t xml:space="preserve">la </w:t>
      </w:r>
      <w:r>
        <w:rPr>
          <w:b/>
        </w:rPr>
        <w:t>pulsioximetría durante la prueba de campo y la titulación de O2 para el entrenamiento</w:t>
      </w:r>
      <w:r>
        <w:t>, que el Apéndice considera necesaria y relevante para la seguridad y la intensidad del ejercicio;</w:t>
      </w:r>
    </w:p>
    <w:p>
      <w:pPr>
        <w:pStyle w:val="ListBullet2"/>
      </w:pPr>
      <w:r>
        <w:t xml:space="preserve">el </w:t>
      </w:r>
      <w:r>
        <w:rPr>
          <w:b/>
        </w:rPr>
        <w:t>estado nutricional y la composición corporal</w:t>
      </w:r>
      <w:r>
        <w:t xml:space="preserve"> (IMC, pérdida de peso, FFMI);</w:t>
      </w:r>
    </w:p>
    <w:p>
      <w:pPr>
        <w:pStyle w:val="ListBullet2"/>
      </w:pPr>
      <w:r>
        <w:t xml:space="preserve">la </w:t>
      </w:r>
      <w:r>
        <w:rPr>
          <w:b/>
        </w:rPr>
        <w:t>fragilidad, el equilibrio y riesgo de caídas, y el estado cognitivo</w:t>
      </w:r>
      <w:r>
        <w:t>, que el cap. 5 (PDF 125 / impr. 114) considera relevantes.</w:t>
      </w:r>
    </w:p>
    <w:p>
      <w:r>
        <w:t>La lista tampoco coincide con el conjunto de resultados nucleares que cita (ref. 746).</w:t>
      </w:r>
    </w:p>
    <w:p>
      <w:pPr>
        <w:pStyle w:val="ListBullet"/>
      </w:pPr>
      <w:r>
        <w:rPr>
          <w:b/>
        </w:rPr>
        <w:t>Evidencia/justificación:</w:t>
      </w:r>
      <w:r>
        <w:t xml:space="preserve"> Declaración ATS/ERS 2013 (ref. 674) y guía ATS 2023 (ref. 736): evaluación de la oxigenación durante el ejercicio, de la composición corporal y de los factores psicosociales. Schols AM et al., declaración ERS sobre valoración y tratamiento nutricional en la EPOC, Eur Respir J 2014;44:1504-1520 (doi:10.1183/09031936.00070914).</w:t>
      </w:r>
    </w:p>
    <w:p>
      <w:pPr>
        <w:pStyle w:val="ListBullet"/>
      </w:pPr>
      <w:r>
        <w:rPr>
          <w:b/>
        </w:rPr>
        <w:t>Recomendación:</w:t>
      </w:r>
      <w:r>
        <w:t xml:space="preserve"> Añadir a la lista:</w:t>
      </w:r>
    </w:p>
    <w:p>
      <w:pPr>
        <w:pStyle w:val="ListBullet2"/>
      </w:pPr>
      <w:r>
        <w:t>«SpO2 durante la prueba de marcha y titulación de O2 para el entrenamiento si procede»;</w:t>
      </w:r>
    </w:p>
    <w:p>
      <w:pPr>
        <w:pStyle w:val="ListBullet2"/>
      </w:pPr>
      <w:r>
        <w:t>«cribado nutricional (IMC, pérdida de peso; FFMI si está disponible)»;</w:t>
      </w:r>
    </w:p>
    <w:p>
      <w:pPr>
        <w:pStyle w:val="ListBullet2"/>
      </w:pPr>
      <w:r>
        <w:t>«cribado de fragilidad, equilibrio, caídas y cognición».</w:t>
      </w:r>
    </w:p>
    <w:p>
      <w:pPr>
        <w:pStyle w:val="ListBullet"/>
      </w:pPr>
      <w:r>
        <w:rPr>
          <w:b/>
        </w:rPr>
        <w:t>Confianza:</w:t>
      </w:r>
      <w:r>
        <w:t xml:space="preserve"> 4/5</w:t>
      </w:r>
    </w:p>
    <w:p>
      <w:pPr>
        <w:pStyle w:val="Heading4"/>
      </w:pPr>
      <w:r>
        <w:t>REH-21 · Algoritmos no farmacológicos (Figuras 3.15 y 3.16): falta el rasgo de insuficiencia respiratoria y hay criterios de derivación dispares</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Omisión / Incongruencia interna</w:t>
      </w:r>
    </w:p>
    <w:p>
      <w:pPr>
        <w:pStyle w:val="ListBullet"/>
      </w:pPr>
      <w:r>
        <w:rPr>
          <w:b/>
        </w:rPr>
        <w:t>Severidad:</w:t>
      </w:r>
      <w:r>
        <w:t xml:space="preserve"> MEDIA</w:t>
      </w:r>
    </w:p>
    <w:p>
      <w:pPr>
        <w:pStyle w:val="ListBullet"/>
      </w:pPr>
      <w:r>
        <w:rPr>
          <w:b/>
        </w:rPr>
        <w:t>Ubicación:</w:t>
      </w:r>
      <w:r>
        <w:t xml:space="preserve"> PDF 84 / impr. 73 — Figura 3.15; PDF 85 / impr. 74 — Figura 3.16 y texto «Groups B and E»; Figura A4.1 (PDF 172).</w:t>
      </w:r>
    </w:p>
    <w:p>
      <w:pPr>
        <w:pStyle w:val="ListBullet"/>
      </w:pPr>
      <w:r>
        <w:rPr>
          <w:b/>
        </w:rPr>
        <w:t>Cita:</w:t>
      </w:r>
      <w:r>
        <w:t xml:space="preserve"> Figura 3.16: «2. If not, consider the predominant treatable trait to target», con solo dos rasgos: «DYSPNEA» y «EXACERBATIONS». Texto: «Patients with high symptom burden and risk of exacerbations (Groups B and E)…». Figura A4.1: «indicated in all patients with relevant symptoms and/or a high risk for exacerbation».</w:t>
      </w:r>
    </w:p>
    <w:p>
      <w:pPr>
        <w:pStyle w:val="ListBullet"/>
      </w:pPr>
      <w:r>
        <w:rPr>
          <w:b/>
        </w:rPr>
        <w:t>Problema:</w:t>
      </w:r>
    </w:p>
    <w:p>
      <w:pPr>
        <w:pStyle w:val="ListBullet2"/>
      </w:pPr>
      <w:r>
        <w:t xml:space="preserve">Los algoritmos de inicio y seguimiento no incluyen la </w:t>
      </w:r>
      <w:r>
        <w:rPr>
          <w:b/>
        </w:rPr>
        <w:t>hipoxemia ni la hipercapnia crónicas</w:t>
      </w:r>
      <w:r>
        <w:t xml:space="preserve"> como rasgo tratable, aunque LTOT y VMNI son las intervenciones con evidencia de mortalidad (Figura 3.19), ni la </w:t>
      </w:r>
      <w:r>
        <w:rPr>
          <w:b/>
        </w:rPr>
        <w:t>malnutrición</w:t>
      </w:r>
      <w:r>
        <w:t>.</w:t>
      </w:r>
    </w:p>
    <w:p>
      <w:pPr>
        <w:pStyle w:val="ListBullet2"/>
      </w:pPr>
      <w:r>
        <w:t>La Figura 3.15 no incluye educación ni autogestión, que la Figura 3.16 da por supuestas («maintain and offer»).</w:t>
      </w:r>
    </w:p>
    <w:p>
      <w:pPr>
        <w:pStyle w:val="ListBullet2"/>
      </w:pPr>
      <w:r>
        <w:t>El asterisco del título de la Figura 3.15 («Can include pharmacological treatment») duplica la nota interna y confunde.</w:t>
      </w:r>
    </w:p>
    <w:p>
      <w:pPr>
        <w:pStyle w:val="ListBullet2"/>
      </w:pPr>
      <w:r>
        <w:t>«Y» frente a «y/o» como criterio de derivación a RR genera ambigüedad: el grupo E se define por exacerbaciones, con o sin síntomas.</w:t>
      </w:r>
    </w:p>
    <w:p>
      <w:pPr>
        <w:pStyle w:val="ListBullet"/>
      </w:pPr>
      <w:r>
        <w:rPr>
          <w:b/>
        </w:rPr>
        <w:t>Evidencia/justificación:</w:t>
      </w:r>
      <w:r>
        <w:t xml:space="preserve"> Coherencia interna con las Figuras 3.17-3.19 y A4.1.</w:t>
      </w:r>
    </w:p>
    <w:p>
      <w:pPr>
        <w:pStyle w:val="ListBullet"/>
      </w:pPr>
      <w:r>
        <w:rPr>
          <w:b/>
        </w:rPr>
        <w:t>Recomendación:</w:t>
      </w:r>
    </w:p>
    <w:p>
      <w:pPr>
        <w:pStyle w:val="ListBullet2"/>
      </w:pPr>
      <w:r>
        <w:t>Añadir a la Figura 3.16 un tercer rasgo, «insuficiencia respiratoria crónica» («SpO2 ≤ 92 % → gasometría → LTOT/VMNI según criterios; reevaluación»), y una línea de cribado nutricional.</w:t>
      </w:r>
    </w:p>
    <w:p>
      <w:pPr>
        <w:pStyle w:val="ListBullet2"/>
      </w:pPr>
      <w:r>
        <w:t>Incluir la autogestión en la Figura 3.15.</w:t>
      </w:r>
    </w:p>
    <w:p>
      <w:pPr>
        <w:pStyle w:val="ListBullet2"/>
      </w:pPr>
      <w:r>
        <w:t>Usar «y/o» en el texto de PDF 85.</w:t>
      </w:r>
    </w:p>
    <w:p>
      <w:pPr>
        <w:pStyle w:val="ListBullet2"/>
      </w:pPr>
      <w:r>
        <w:t>Eliminar el asterisco del título.</w:t>
      </w:r>
    </w:p>
    <w:p>
      <w:pPr>
        <w:pStyle w:val="ListBullet"/>
      </w:pPr>
      <w:r>
        <w:rPr>
          <w:b/>
        </w:rPr>
        <w:t>Confianza:</w:t>
      </w:r>
      <w:r>
        <w:t xml:space="preserve"> 4/5</w:t>
      </w:r>
    </w:p>
    <w:p>
      <w:pPr>
        <w:pStyle w:val="Heading4"/>
      </w:pPr>
      <w:r>
        <w:t>REH-22 · Nutrición: métricas desactualizadas, sin criterios diagnósticos ni objetivos, y un subgrupo post hoc presentado como concluyente</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Desactualización / Evidencia mal representada / Omisión</w:t>
      </w:r>
    </w:p>
    <w:p>
      <w:pPr>
        <w:pStyle w:val="ListBullet"/>
      </w:pPr>
      <w:r>
        <w:rPr>
          <w:b/>
        </w:rPr>
        <w:t>Severidad:</w:t>
      </w:r>
      <w:r>
        <w:t xml:space="preserve"> MEDIA</w:t>
      </w:r>
    </w:p>
    <w:p>
      <w:pPr>
        <w:pStyle w:val="ListBullet"/>
      </w:pPr>
      <w:r>
        <w:rPr>
          <w:b/>
        </w:rPr>
        <w:t>Ubicación:</w:t>
      </w:r>
      <w:r>
        <w:t xml:space="preserve"> PDF 174 / impr. 163 — Apéndice 4, «Nutritional support»; PDF 94 / impr. 83 — cap. 3.</w:t>
      </w:r>
    </w:p>
    <w:p>
      <w:pPr>
        <w:pStyle w:val="ListBullet"/>
      </w:pPr>
      <w:r>
        <w:rPr>
          <w:b/>
        </w:rPr>
        <w:t>Cita:</w:t>
      </w:r>
    </w:p>
    <w:p>
      <w:pPr>
        <w:pStyle w:val="ListBullet2"/>
      </w:pPr>
      <w:r>
        <w:t>«up to 50% of people with COPD weigh less than 90% of ideal bodyweight.(1744)»</w:t>
      </w:r>
    </w:p>
    <w:p>
      <w:pPr>
        <w:pStyle w:val="ListBullet2"/>
      </w:pPr>
      <w:r>
        <w:t>«Among malnourished, hospitalized people with COPD, a protein enriched supplementation decreased mortality… (1756)»</w:t>
      </w:r>
    </w:p>
    <w:p>
      <w:pPr>
        <w:pStyle w:val="ListBullet2"/>
      </w:pPr>
      <w:r>
        <w:t>PDF 94: «Nutritional antioxidant supplementation (vitamin C and E, zinc, and selenium) has been shown to improve…»</w:t>
      </w:r>
    </w:p>
    <w:p>
      <w:pPr>
        <w:pStyle w:val="ListBullet"/>
      </w:pPr>
      <w:r>
        <w:rPr>
          <w:b/>
        </w:rPr>
        <w:t>Problema:</w:t>
      </w:r>
    </w:p>
    <w:p>
      <w:pPr>
        <w:pStyle w:val="ListBullet2"/>
      </w:pPr>
      <w:r>
        <w:t>Se usa el «% del peso ideal», una métrica en desuso.</w:t>
      </w:r>
    </w:p>
    <w:p>
      <w:pPr>
        <w:pStyle w:val="ListBullet2"/>
      </w:pPr>
      <w:r>
        <w:t>No se ofrecen criterios de cribado y diagnóstico (MUST/NRS-2002, criterios GLIM, FFMI bajo, sarcopenia) ni objetivos de energía y proteína (p. ej., 1,2-1,5 g/kg/día).</w:t>
      </w:r>
    </w:p>
    <w:p>
      <w:pPr>
        <w:pStyle w:val="ListBullet2"/>
      </w:pPr>
      <w:r>
        <w:t>El objetivo de IMC solo aparece en el cap. 5.</w:t>
      </w:r>
    </w:p>
    <w:p>
      <w:pPr>
        <w:pStyle w:val="ListBullet2"/>
      </w:pPr>
      <w:r>
        <w:t>Se omite la obesidad sarcopénica.</w:t>
      </w:r>
    </w:p>
    <w:p>
      <w:pPr>
        <w:pStyle w:val="ListBullet2"/>
      </w:pPr>
      <w:r>
        <w:t xml:space="preserve">El resultado de NOURISH procede de un </w:t>
      </w:r>
      <w:r>
        <w:rPr>
          <w:b/>
        </w:rPr>
        <w:t>análisis post hoc por subgrupos</w:t>
      </w:r>
      <w:r>
        <w:t xml:space="preserve"> de pacientes ≥ 65 años con un suplemento oral hiperproteico enriquecido con HMB (Evidencia B según la Tabla A), pero se presenta como concluyente.</w:t>
      </w:r>
    </w:p>
    <w:p>
      <w:pPr>
        <w:pStyle w:val="ListBullet2"/>
      </w:pPr>
      <w:r>
        <w:t>La afirmación sobre antioxidantes se apoya en un único ECA pequeño.</w:t>
      </w:r>
    </w:p>
    <w:p>
      <w:pPr>
        <w:pStyle w:val="ListBullet"/>
      </w:pPr>
      <w:r>
        <w:rPr>
          <w:b/>
        </w:rPr>
        <w:t>Evidencia/justificación:</w:t>
      </w:r>
    </w:p>
    <w:p>
      <w:pPr>
        <w:pStyle w:val="ListBullet2"/>
      </w:pPr>
      <w:r>
        <w:t>Deutz NE et al., Clin Nutr 2021 (ref. 1756; subgrupo con EPOC de NOURISH).</w:t>
      </w:r>
    </w:p>
    <w:p>
      <w:pPr>
        <w:pStyle w:val="ListBullet2"/>
      </w:pPr>
      <w:r>
        <w:t>Cederholm T et al., criterios GLIM, Clin Nutr 2019;38:1-9 (doi:10.1016/j.clnu.2018.08.002).</w:t>
      </w:r>
    </w:p>
    <w:p>
      <w:pPr>
        <w:pStyle w:val="ListBullet2"/>
      </w:pPr>
      <w:r>
        <w:t>Schols 2014 (declaración ERS).</w:t>
      </w:r>
    </w:p>
    <w:p>
      <w:pPr>
        <w:pStyle w:val="ListBullet2"/>
      </w:pPr>
      <w:r>
        <w:t>Collins PF et al., metaanálisis de suplementación nutricional en EPOC (Am J Clin Nutr 2012;95:1385-1395), coherente con la ref. 815.</w:t>
      </w:r>
    </w:p>
    <w:p>
      <w:pPr>
        <w:pStyle w:val="ListBullet"/>
      </w:pPr>
      <w:r>
        <w:rPr>
          <w:b/>
        </w:rPr>
        <w:t>Recomendación:</w:t>
      </w:r>
      <w:r>
        <w:t xml:space="preserve"> Sustituir la métrica por IMC &lt; 21 kg/m² o pérdida de peso no intencionada y FFMI bajo. Añadir el cribado y el diagnóstico (GLIM) y objetivos orientativos de energía y proteína combinados con ejercicio. Calificar NOURISH como «análisis de subgrupo (hipótesis)» y la suplementación antioxidante como «evidencia preliminar».</w:t>
      </w:r>
    </w:p>
    <w:p>
      <w:pPr>
        <w:pStyle w:val="ListBullet"/>
      </w:pPr>
      <w:r>
        <w:rPr>
          <w:b/>
        </w:rPr>
        <w:t>Confianza:</w:t>
      </w:r>
      <w:r>
        <w:t xml:space="preserve"> 4/5</w:t>
      </w:r>
    </w:p>
    <w:p>
      <w:pPr>
        <w:pStyle w:val="Heading4"/>
      </w:pPr>
      <w:r>
        <w:t>COH-16 · El checklist del Apéndice 2 está desalineado con los capítulos 2-4</w:t>
      </w:r>
    </w:p>
    <w:p>
      <w:r>
        <w:rPr>
          <w:i/>
        </w:rPr>
        <w:t xml:space="preserve">Severidad final: </w:t>
      </w:r>
      <w:r>
        <w:rPr>
          <w:i/>
          <w:color w:val="FFC000"/>
        </w:rPr>
        <w:t>🟡</w:t>
      </w:r>
      <w:r>
        <w:rPr>
          <w:i/>
        </w:rPr>
        <w:t xml:space="preserve"> MEDIA · Tema T29: Edición, erratas y estructura</w:t>
      </w:r>
    </w:p>
    <w:p>
      <w:pPr>
        <w:pStyle w:val="ListBullet"/>
      </w:pPr>
      <w:r>
        <w:rPr>
          <w:b/>
        </w:rPr>
        <w:t>Tipo:</w:t>
      </w:r>
      <w:r>
        <w:t xml:space="preserve"> Incoherencia apéndice-capítulos / obsolescencia</w:t>
      </w:r>
    </w:p>
    <w:p>
      <w:pPr>
        <w:pStyle w:val="ListBullet"/>
      </w:pPr>
      <w:r>
        <w:rPr>
          <w:b/>
        </w:rPr>
        <w:t>Severidad:</w:t>
      </w:r>
      <w:r>
        <w:t xml:space="preserve"> MEDIA</w:t>
      </w:r>
    </w:p>
    <w:p>
      <w:pPr>
        <w:pStyle w:val="ListBullet"/>
      </w:pPr>
      <w:r>
        <w:rPr>
          <w:b/>
        </w:rPr>
        <w:t>Ubicación:</w:t>
      </w:r>
      <w:r>
        <w:t xml:space="preserve"> PDF 151-152 / impr. 140-141</w:t>
      </w:r>
    </w:p>
    <w:p>
      <w:pPr>
        <w:pStyle w:val="ListBullet"/>
      </w:pPr>
      <w:r>
        <w:rPr>
          <w:b/>
        </w:rPr>
        <w:t>Cita:</w:t>
      </w:r>
      <w:r>
        <w:t xml:space="preserve"> "Non pharmacological Rx: O2: CPAP: BIPAP" y "Contact with someone positive for airborne virus?"</w:t>
      </w:r>
    </w:p>
    <w:p>
      <w:pPr>
        <w:pStyle w:val="ListBullet"/>
      </w:pPr>
      <w:r>
        <w:rPr>
          <w:b/>
        </w:rPr>
        <w:t>Problema:</w:t>
      </w:r>
    </w:p>
    <w:p>
      <w:pPr>
        <w:pStyle w:val="ListBullet2"/>
      </w:pPr>
      <w:r>
        <w:t>Solo registra ingresos y visitas a urgencias, no las exacerbaciones moderadas, que determinan el grupo E y la escalada.</w:t>
      </w:r>
    </w:p>
    <w:p>
      <w:pPr>
        <w:pStyle w:val="ListBullet2"/>
      </w:pPr>
      <w:r>
        <w:t>No recoge lo que pide el propio texto de seguimiento (PDF 74 / impr. 63; Fig 3.13; Fig 4.10):</w:t>
      </w:r>
    </w:p>
    <w:p>
      <w:pPr>
        <w:pStyle w:val="ListBullet2"/>
      </w:pPr>
      <w:r>
        <w:t>técnica inhalatoria y adherencia;</w:t>
      </w:r>
    </w:p>
    <w:p>
      <w:pPr>
        <w:pStyle w:val="ListBullet2"/>
      </w:pPr>
      <w:r>
        <w:t>tabaquismo activo;</w:t>
      </w:r>
    </w:p>
    <w:p>
      <w:pPr>
        <w:pStyle w:val="ListBullet2"/>
      </w:pPr>
      <w:r>
        <w:t>espirometría anual;</w:t>
      </w:r>
    </w:p>
    <w:p>
      <w:pPr>
        <w:pStyle w:val="ListBullet2"/>
      </w:pPr>
      <w:r>
        <w:t>eosinófilos;</w:t>
      </w:r>
    </w:p>
    <w:p>
      <w:pPr>
        <w:pStyle w:val="ListBullet2"/>
      </w:pPr>
      <w:r>
        <w:t>vacunas;</w:t>
      </w:r>
    </w:p>
    <w:p>
      <w:pPr>
        <w:pStyle w:val="ListBullet2"/>
      </w:pPr>
      <w:r>
        <w:t>SpO2;</w:t>
      </w:r>
    </w:p>
    <w:p>
      <w:pPr>
        <w:pStyle w:val="ListBullet2"/>
      </w:pPr>
      <w:r>
        <w:t>comorbilidades;</w:t>
      </w:r>
    </w:p>
    <w:p>
      <w:pPr>
        <w:pStyle w:val="ListBullet2"/>
      </w:pPr>
      <w:r>
        <w:t>derivación a rehabilitación;</w:t>
      </w:r>
    </w:p>
    <w:p>
      <w:pPr>
        <w:pStyle w:val="ListBullet2"/>
      </w:pPr>
      <w:r>
        <w:t>efectos adversos (neumonía con ICS).</w:t>
      </w:r>
    </w:p>
    <w:p>
      <w:pPr>
        <w:pStyle w:val="ListBullet2"/>
      </w:pPr>
      <w:r>
        <w:t>La lista de fármacos omite roflumilast, azitromicina, biológicos y ensifentrina.</w:t>
      </w:r>
    </w:p>
    <w:p>
      <w:pPr>
        <w:pStyle w:val="ListBullet2"/>
      </w:pPr>
      <w:r>
        <w:t>Usa "BIPAP" en lugar de NIV/NPPV.</w:t>
      </w:r>
    </w:p>
    <w:p>
      <w:pPr>
        <w:pStyle w:val="ListBullet2"/>
      </w:pPr>
      <w:r>
        <w:t>Conserva la sección COVID ("airborne virus") y unas instrucciones redactadas para visita remota.</w:t>
      </w:r>
    </w:p>
    <w:p>
      <w:pPr>
        <w:pStyle w:val="ListBullet"/>
      </w:pPr>
      <w:r>
        <w:rPr>
          <w:b/>
        </w:rPr>
        <w:t>Evidencia/justificación:</w:t>
      </w:r>
      <w:r>
        <w:t xml:space="preserve"> contraste con la viñeta de seguimiento de PDF 74: "Inhaler technique, adherence…, smoking status… Spirometry should be repeated at least annually."</w:t>
      </w:r>
    </w:p>
    <w:p>
      <w:pPr>
        <w:pStyle w:val="ListBullet"/>
      </w:pPr>
      <w:r>
        <w:rPr>
          <w:b/>
        </w:rPr>
        <w:t>Recomendación:</w:t>
      </w:r>
      <w:r>
        <w:t xml:space="preserve"> rediseñar el checklist a partir de la Fig 3.9, de PDF 74 y de la Fig 4.10, e incluir el número de exacerbaciones moderadas y graves.</w:t>
      </w:r>
    </w:p>
    <w:p>
      <w:pPr>
        <w:pStyle w:val="ListBullet"/>
      </w:pPr>
      <w:r>
        <w:rPr>
          <w:b/>
        </w:rPr>
        <w:t>Confianza:</w:t>
      </w:r>
      <w:r>
        <w:t xml:space="preserve"> 4</w:t>
      </w:r>
    </w:p>
    <w:p>
      <w:pPr>
        <w:pStyle w:val="Heading4"/>
      </w:pPr>
      <w:r>
        <w:t>COH-17 · Umbrales de FEV1 mezclados para la terapia de aumento en el DAAT</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166-167 / impr. 155-156</w:t>
      </w:r>
    </w:p>
    <w:p>
      <w:pPr>
        <w:pStyle w:val="ListBullet"/>
      </w:pPr>
      <w:r>
        <w:rPr>
          <w:b/>
        </w:rPr>
        <w:t>Cita:</w:t>
      </w:r>
      <w:r>
        <w:t xml:space="preserve"> "Never- or ex-smokers with an FEV1 of 35% to 60% predicted have been suggested as those most suitable for AATD augmentation therapy (Evidence B)".</w:t>
      </w:r>
    </w:p>
    <w:p>
      <w:pPr>
        <w:pStyle w:val="ListBullet"/>
      </w:pPr>
      <w:r>
        <w:rPr>
          <w:b/>
        </w:rPr>
        <w:t>Problema:</w:t>
      </w:r>
    </w:p>
    <w:p>
      <w:pPr>
        <w:pStyle w:val="ListBullet2"/>
      </w:pPr>
      <w:r>
        <w:t>Coexisten cuatro umbrales sin una recomendación operativa: 35-49 % ("most effective"), 35-60 % (Evidencia B), "≤ 65%" y "&gt; 65% should be considered".</w:t>
      </w:r>
    </w:p>
    <w:p>
      <w:pPr>
        <w:pStyle w:val="ListBullet2"/>
      </w:pPr>
      <w:r>
        <w:t>Se aplica Evidencia B a algo "suggested".</w:t>
      </w:r>
    </w:p>
    <w:p>
      <w:pPr>
        <w:pStyle w:val="ListBullet2"/>
      </w:pPr>
      <w:r>
        <w:t>Se dice que "one study… recommended", cuando un estudio no emite recomendaciones.</w:t>
      </w:r>
    </w:p>
    <w:p>
      <w:pPr>
        <w:pStyle w:val="ListBullet"/>
      </w:pPr>
      <w:r>
        <w:rPr>
          <w:b/>
        </w:rPr>
        <w:t>Evidencia/justificación:</w:t>
      </w:r>
      <w:r>
        <w:t xml:space="preserve"> lectura directa de PDF 166-167.</w:t>
      </w:r>
    </w:p>
    <w:p>
      <w:pPr>
        <w:pStyle w:val="ListBullet"/>
      </w:pPr>
      <w:r>
        <w:rPr>
          <w:b/>
        </w:rPr>
        <w:t>Recomendación:</w:t>
      </w:r>
      <w:r>
        <w:t xml:space="preserve"> redactar una frase de síntesis, por ejemplo: "considerar la terapia en PiZZ/null con enfisema progresivo, con la evidencia más sólida para FEV1 35-60 %".</w:t>
      </w:r>
    </w:p>
    <w:p>
      <w:pPr>
        <w:pStyle w:val="ListBullet"/>
      </w:pPr>
      <w:r>
        <w:rPr>
          <w:b/>
        </w:rPr>
        <w:t>Confianza:</w:t>
      </w:r>
      <w:r>
        <w:t xml:space="preserve"> 4</w:t>
      </w:r>
    </w:p>
    <w:p>
      <w:pPr>
        <w:pStyle w:val="Heading4"/>
      </w:pPr>
      <w:r>
        <w:t>DX-21 · Déficit de alfa-1 antitripsina: buena recomendación universal, pero sin método ni umbrales y con remisión errónea</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Omisión / Incongruencia entre capítulos</w:t>
      </w:r>
    </w:p>
    <w:p>
      <w:pPr>
        <w:pStyle w:val="ListBullet"/>
      </w:pPr>
      <w:r>
        <w:rPr>
          <w:b/>
        </w:rPr>
        <w:t>Severidad:</w:t>
      </w:r>
      <w:r>
        <w:t xml:space="preserve"> MEDIA</w:t>
      </w:r>
    </w:p>
    <w:p>
      <w:pPr>
        <w:pStyle w:val="ListBullet"/>
      </w:pPr>
      <w:r>
        <w:rPr>
          <w:b/>
        </w:rPr>
        <w:t>Ubicación:</w:t>
      </w:r>
      <w:r>
        <w:t xml:space="preserve"> PDF 59 / impr. 48 — «Alpha-1 antitrypsin deficiency». Cotejado con el cap. 1 (PDF 18) y el apéndice 3 (PDF 166-167 / impr. 155-156).</w:t>
      </w:r>
    </w:p>
    <w:p>
      <w:pPr>
        <w:pStyle w:val="ListBullet"/>
      </w:pPr>
      <w:r>
        <w:rPr>
          <w:b/>
        </w:rPr>
        <w:t>Cita:</w:t>
      </w:r>
      <w:r>
        <w:t xml:space="preserve"> «GOLD recommends that all patients with a diagnosis of COPD should be tested for AATD.(546,547)… A low concentration (&lt; 20% normal) is highly suggestive of homozygous deficiency… (see Chapter 3)».</w:t>
      </w:r>
    </w:p>
    <w:p>
      <w:pPr>
        <w:pStyle w:val="ListBullet"/>
      </w:pPr>
      <w:r>
        <w:rPr>
          <w:b/>
        </w:rPr>
        <w:t>Problema:</w:t>
      </w:r>
    </w:p>
    <w:p>
      <w:pPr>
        <w:pStyle w:val="ListBullet2"/>
      </w:pPr>
      <w:r>
        <w:rPr>
          <w:b/>
        </w:rPr>
        <w:t>Coherencia con las guías: correcta.</w:t>
      </w:r>
      <w:r>
        <w:t xml:space="preserve"> La recomendación universal es coherente con la OMS 1997 (ref. 546), ATS/ERS 2003 y ERS 2017 (ref. 547).</w:t>
      </w:r>
    </w:p>
    <w:p>
      <w:pPr>
        <w:pStyle w:val="ListBullet2"/>
      </w:pPr>
      <w:r>
        <w:rPr>
          <w:b/>
        </w:rPr>
        <w:t>Falta el cómo:</w:t>
      </w:r>
    </w:p>
    <w:p>
      <w:pPr>
        <w:pStyle w:val="ListBullet2"/>
      </w:pPr>
      <w:r>
        <w:t>medir AAT sérica (con PCR, porque es reactante de fase aguda);</w:t>
      </w:r>
    </w:p>
    <w:p>
      <w:pPr>
        <w:pStyle w:val="ListBullet2"/>
      </w:pPr>
      <w:r>
        <w:t>si es baja o limítrofe, hacer fenotipo o genotipo;</w:t>
      </w:r>
    </w:p>
    <w:p>
      <w:pPr>
        <w:pStyle w:val="ListBullet2"/>
      </w:pPr>
      <w:r>
        <w:t>umbral de déficit grave (&lt;11 µmol/L, ≈50 mg/dL por nefelometría) en lugar de un «&lt;20% normal» sin unidades;</w:t>
      </w:r>
    </w:p>
    <w:p>
      <w:pPr>
        <w:pStyle w:val="ListBullet2"/>
      </w:pPr>
      <w:r>
        <w:t>interpretación de los heterocigotos MZ y SZ.</w:t>
      </w:r>
    </w:p>
    <w:p>
      <w:pPr>
        <w:pStyle w:val="ListBullet2"/>
      </w:pPr>
      <w:r>
        <w:rPr>
          <w:b/>
        </w:rPr>
        <w:t>Remisión errónea.</w:t>
      </w:r>
      <w:r>
        <w:t xml:space="preserve"> «See Chapter 3» (y «Chapter 3» en el cap. 1, PDF 18) no lleva a ningún contenido sobre AATD: la terapia de aumento está en el apéndice 3.</w:t>
      </w:r>
    </w:p>
    <w:p>
      <w:pPr>
        <w:pStyle w:val="ListBullet2"/>
      </w:pPr>
      <w:r>
        <w:rPr>
          <w:b/>
        </w:rPr>
        <w:t>Criterios contradictorios en el apéndice 3.</w:t>
      </w:r>
      <w:r>
        <w:t xml:space="preserve"> El apéndice da a la vez FEV1 35-60% (Evidencia B) y ≤65%, además de «&gt;65% con progresión».</w:t>
      </w:r>
    </w:p>
    <w:p>
      <w:pPr>
        <w:pStyle w:val="ListBullet"/>
      </w:pPr>
      <w:r>
        <w:rPr>
          <w:b/>
        </w:rPr>
        <w:t>Evidencia/justificación:</w:t>
      </w:r>
    </w:p>
    <w:p>
      <w:pPr>
        <w:pStyle w:val="ListBullet2"/>
      </w:pPr>
      <w:r>
        <w:t>American Thoracic Society/European Respiratory Society Statement. AJRCCM 2003;168:818-900.</w:t>
      </w:r>
    </w:p>
    <w:p>
      <w:pPr>
        <w:pStyle w:val="ListBullet2"/>
      </w:pPr>
      <w:r>
        <w:t>Miravitlles M et al. ERS statement. ERJ 2017;50:1700610.</w:t>
      </w:r>
    </w:p>
    <w:p>
      <w:pPr>
        <w:pStyle w:val="ListBullet2"/>
      </w:pPr>
      <w:r>
        <w:t>Texto del apéndice 3 (PDF 166-167).</w:t>
      </w:r>
    </w:p>
    <w:p>
      <w:pPr>
        <w:pStyle w:val="ListBullet"/>
      </w:pPr>
      <w:r>
        <w:rPr>
          <w:b/>
        </w:rPr>
        <w:t>Recomendación:</w:t>
      </w:r>
    </w:p>
    <w:p>
      <w:pPr>
        <w:pStyle w:val="ListBullet2"/>
      </w:pPr>
      <w:r>
        <w:t>Añadir un mini-algoritmo de diagnóstico (nivel sérico + PCR → fenotipo/genotipo; umbral de 11 µM).</w:t>
      </w:r>
    </w:p>
    <w:p>
      <w:pPr>
        <w:pStyle w:val="ListBullet2"/>
      </w:pPr>
      <w:r>
        <w:t>Corregir la remisión a «Apéndice 3».</w:t>
      </w:r>
    </w:p>
    <w:p>
      <w:pPr>
        <w:pStyle w:val="ListBullet2"/>
      </w:pPr>
      <w:r>
        <w:t>Armonizar en el apéndice los criterios de elegibilidad para la terapia de aumento.</w:t>
      </w:r>
    </w:p>
    <w:p>
      <w:pPr>
        <w:pStyle w:val="ListBullet"/>
      </w:pPr>
      <w:r>
        <w:rPr>
          <w:b/>
        </w:rPr>
        <w:t>Confianza:</w:t>
      </w:r>
      <w:r>
        <w:t xml:space="preserve"> 4/5</w:t>
      </w:r>
    </w:p>
    <w:p>
      <w:pPr>
        <w:pStyle w:val="Heading4"/>
      </w:pPr>
      <w:r>
        <w:t>EPI-14 · Genética/AATD: errores conceptuales, duplicación y remisión obsoleta</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Error factual / Incongruencia interna / Editorial</w:t>
      </w:r>
    </w:p>
    <w:p>
      <w:pPr>
        <w:pStyle w:val="ListBullet"/>
      </w:pPr>
      <w:r>
        <w:rPr>
          <w:b/>
        </w:rPr>
        <w:t>Severidad:</w:t>
      </w:r>
      <w:r>
        <w:t xml:space="preserve"> MEDIA</w:t>
      </w:r>
    </w:p>
    <w:p>
      <w:pPr>
        <w:pStyle w:val="ListBullet"/>
      </w:pPr>
      <w:r>
        <w:rPr>
          <w:b/>
        </w:rPr>
        <w:t>Ubicación:</w:t>
      </w:r>
      <w:r>
        <w:t xml:space="preserve"> PDF 17-18 / impr. 6-7 — Genetic factors</w:t>
      </w:r>
    </w:p>
    <w:p>
      <w:pPr>
        <w:pStyle w:val="ListBullet"/>
      </w:pPr>
      <w:r>
        <w:rPr>
          <w:b/>
        </w:rPr>
        <w:t>Cita:</w:t>
      </w:r>
      <w:r>
        <w:t xml:space="preserve"> «hundreds of genetic variants associated with reduced lung function and risk of COPD have been identified (albeit epidemiologically rare)»; «is not an indication for augmentation therapy (discussed in more detail in Chapter 3)»</w:t>
      </w:r>
    </w:p>
    <w:p>
      <w:pPr>
        <w:pStyle w:val="ListBullet"/>
      </w:pPr>
      <w:r>
        <w:rPr>
          <w:b/>
        </w:rPr>
        <w:t>Problema:</w:t>
      </w:r>
    </w:p>
    <w:p>
      <w:pPr>
        <w:pStyle w:val="ListNumber"/>
        <w:numPr>
          <w:ilvl w:val="0"/>
          <w:numId w:val="43"/>
        </w:numPr>
      </w:pPr>
      <w:r>
        <w:rPr>
          <w:b/>
        </w:rPr>
        <w:t>Las variantes GWAS no son «epidemiologically rare»:</w:t>
      </w:r>
      <w:r>
        <w:t xml:space="preserve"> son variantes comunes de efecto pequeño. El calificativo procede de la frase sobre AATD y parece copiado por error.</w:t>
      </w:r>
    </w:p>
    <w:p>
      <w:pPr>
        <w:pStyle w:val="ListNumber"/>
        <w:numPr>
          <w:ilvl w:val="0"/>
          <w:numId w:val="43"/>
        </w:numPr>
      </w:pPr>
      <w:r>
        <w:rPr>
          <w:b/>
        </w:rPr>
        <w:t>AATD se trata dos veces</w:t>
      </w:r>
      <w:r>
        <w:t xml:space="preserve"> en párrafos casi consecutivos.</w:t>
      </w:r>
    </w:p>
    <w:p>
      <w:pPr>
        <w:pStyle w:val="ListNumber"/>
        <w:numPr>
          <w:ilvl w:val="0"/>
          <w:numId w:val="43"/>
        </w:numPr>
      </w:pPr>
      <w:r>
        <w:rPr>
          <w:b/>
        </w:rPr>
        <w:t>«acquisition bias» debería ser «ascertainment bias».</w:t>
      </w:r>
    </w:p>
    <w:p>
      <w:pPr>
        <w:pStyle w:val="ListNumber"/>
        <w:numPr>
          <w:ilvl w:val="0"/>
          <w:numId w:val="43"/>
        </w:numPr>
      </w:pPr>
      <w:r>
        <w:rPr>
          <w:b/>
        </w:rPr>
        <w:t>Las cifras de Blanco 2020 se presentan como dos datos distintos («…0.12%… and a prevalence ranging from 1 in 408… to 1 in 1,274»)</w:t>
      </w:r>
      <w:r>
        <w:t xml:space="preserve">, pero 1/408 ≈ 0,245% y 1/1.274 ≈ 0,078%: es el mismo rango de prevalencia de PiZZ </w:t>
      </w:r>
      <w:r>
        <w:rPr>
          <w:b/>
        </w:rPr>
        <w:t>en pacientes con EPOC</w:t>
      </w:r>
      <w:r>
        <w:t xml:space="preserve"> (0,08-0,24%), no prevalencias poblacionales.</w:t>
      </w:r>
    </w:p>
    <w:p>
      <w:pPr>
        <w:pStyle w:val="ListNumber"/>
        <w:numPr>
          <w:ilvl w:val="0"/>
          <w:numId w:val="43"/>
        </w:numPr>
      </w:pPr>
      <w:r>
        <w:rPr>
          <w:b/>
        </w:rPr>
        <w:t>Se extrapola a «heterozygotes (MZ and SZ)» una conclusión de estudios de hermanos sobre MZ.</w:t>
      </w:r>
      <w:r>
        <w:t xml:space="preserve"> El genotipo SZ tiene un riesgo claramente mayor y algunas guías contemplan el tratamiento de aumento según los niveles séricos. Punto debatible.</w:t>
      </w:r>
    </w:p>
    <w:p>
      <w:pPr>
        <w:pStyle w:val="ListNumber"/>
        <w:numPr>
          <w:ilvl w:val="0"/>
          <w:numId w:val="43"/>
        </w:numPr>
      </w:pPr>
      <w:r>
        <w:rPr>
          <w:b/>
        </w:rPr>
        <w:t>La terapia de aumento ya no está en el cap. 3</w:t>
      </w:r>
      <w:r>
        <w:t>, sino en el Apéndice 3 (PDF 166-167 / impr. 155-156).</w:t>
      </w:r>
    </w:p>
    <w:p>
      <w:pPr>
        <w:pStyle w:val="ListBullet"/>
      </w:pPr>
      <w:r>
        <w:rPr>
          <w:b/>
        </w:rPr>
        <w:t>Evidencia/justificación:</w:t>
      </w:r>
    </w:p>
    <w:p>
      <w:pPr>
        <w:pStyle w:val="ListBullet2"/>
      </w:pPr>
      <w:r>
        <w:t xml:space="preserve">Sakornsakolpat P et al., </w:t>
      </w:r>
      <w:r>
        <w:rPr>
          <w:i/>
        </w:rPr>
        <w:t>Nat Genet</w:t>
      </w:r>
      <w:r>
        <w:t xml:space="preserve"> 2019;51:494-505 (82 loci, variantes comunes).</w:t>
      </w:r>
    </w:p>
    <w:p>
      <w:pPr>
        <w:pStyle w:val="ListBullet2"/>
      </w:pPr>
      <w:r>
        <w:t xml:space="preserve">Dahl M et al., </w:t>
      </w:r>
      <w:r>
        <w:rPr>
          <w:i/>
        </w:rPr>
        <w:t>ERJ</w:t>
      </w:r>
      <w:r>
        <w:t xml:space="preserve"> 2005;26:67-76 (PI*SZ: OR de EPOC ≈3,3).</w:t>
      </w:r>
    </w:p>
    <w:p>
      <w:pPr>
        <w:pStyle w:val="ListBullet2"/>
      </w:pPr>
      <w:r>
        <w:t xml:space="preserve">Miravitlles M et al., ERS statement, </w:t>
      </w:r>
      <w:r>
        <w:rPr>
          <w:i/>
        </w:rPr>
        <w:t>ERJ</w:t>
      </w:r>
      <w:r>
        <w:t xml:space="preserve"> 2017;50:1700610.</w:t>
      </w:r>
    </w:p>
    <w:p>
      <w:pPr>
        <w:pStyle w:val="ListBullet2"/>
      </w:pPr>
      <w:r>
        <w:t xml:space="preserve">Blanco I et al., </w:t>
      </w:r>
      <w:r>
        <w:rPr>
          <w:i/>
        </w:rPr>
        <w:t>Eur Respir Rev</w:t>
      </w:r>
      <w:r>
        <w:t xml:space="preserve"> 2020;29:200014.</w:t>
      </w:r>
    </w:p>
    <w:p>
      <w:pPr>
        <w:pStyle w:val="ListBullet"/>
      </w:pPr>
      <w:r>
        <w:rPr>
          <w:b/>
        </w:rPr>
        <w:t>Recomendación:</w:t>
      </w:r>
    </w:p>
    <w:p>
      <w:pPr>
        <w:pStyle w:val="ListBullet2"/>
      </w:pPr>
      <w:r>
        <w:t>Eliminar «albeit epidemiologically rare» de la frase GWAS.</w:t>
      </w:r>
    </w:p>
    <w:p>
      <w:pPr>
        <w:pStyle w:val="ListBullet2"/>
      </w:pPr>
      <w:r>
        <w:t>Fusionar los párrafos de AATD.</w:t>
      </w:r>
    </w:p>
    <w:p>
      <w:pPr>
        <w:pStyle w:val="ListBullet2"/>
      </w:pPr>
      <w:r>
        <w:t>Corregir «ascertainment».</w:t>
      </w:r>
    </w:p>
    <w:p>
      <w:pPr>
        <w:pStyle w:val="ListBullet2"/>
      </w:pPr>
      <w:r>
        <w:t>Expresar la cifra de Blanco como «0,12% (0,08-0,24%; 1/1.274 a 1/408) de los pacientes con EPOC».</w:t>
      </w:r>
    </w:p>
    <w:p>
      <w:pPr>
        <w:pStyle w:val="ListBullet2"/>
      </w:pPr>
      <w:r>
        <w:t>Separar MZ y SZ en la conclusión.</w:t>
      </w:r>
    </w:p>
    <w:p>
      <w:pPr>
        <w:pStyle w:val="ListBullet2"/>
      </w:pPr>
      <w:r>
        <w:t>Remitir al Apéndice 3.</w:t>
      </w:r>
    </w:p>
    <w:p>
      <w:pPr>
        <w:pStyle w:val="ListBullet"/>
      </w:pPr>
      <w:r>
        <w:rPr>
          <w:b/>
        </w:rPr>
        <w:t>Confianza:</w:t>
      </w:r>
      <w:r>
        <w:t xml:space="preserve"> 4/5 (3/5 para el punto 5)</w:t>
      </w:r>
    </w:p>
    <w:p>
      <w:pPr>
        <w:pStyle w:val="Heading3"/>
      </w:pPr>
      <w:r>
        <w:rPr>
          <w:color w:val="A6A6A6"/>
        </w:rPr>
        <w:t>⚪</w:t>
      </w:r>
      <w:r>
        <w:t xml:space="preserve"> Hallazgos de severidad baja (37)</w:t>
      </w:r>
    </w:p>
    <w:p>
      <w:pPr>
        <w:pStyle w:val="Heading4"/>
      </w:pPr>
      <w:r>
        <w:t>FARM-19 · "Single inhaler… more… effective… improve adherence": afirmación sobredimensionada</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73 / impr. 62 (nota de la Fig 3.8); PDF 74 / impr. 63 (nota de la Fig 3.9); Figs A3.2/A3.3 (PDF 157 y 160); PDF 82 / impr. 71</w:t>
      </w:r>
    </w:p>
    <w:p>
      <w:pPr>
        <w:pStyle w:val="ListBullet"/>
      </w:pPr>
      <w:r>
        <w:rPr>
          <w:b/>
        </w:rPr>
        <w:t>Cita:</w:t>
      </w:r>
      <w:r>
        <w:t xml:space="preserve"> "Single inhaler therapy may be more convenient and effective than multiple inhalers; single inhalers improve adherence to treatment."</w:t>
      </w:r>
    </w:p>
    <w:p>
      <w:pPr>
        <w:pStyle w:val="ListBullet"/>
      </w:pPr>
      <w:r>
        <w:rPr>
          <w:b/>
        </w:rPr>
        <w:t>Problema:</w:t>
      </w:r>
    </w:p>
    <w:p>
      <w:pPr>
        <w:pStyle w:val="ListBullet2"/>
      </w:pPr>
      <w:r>
        <w:t>Los RCT doble ciego de inhalador único frente a múltiples muestran no inferioridad en FEV1 y en estado de salud.</w:t>
      </w:r>
    </w:p>
    <w:p>
      <w:pPr>
        <w:pStyle w:val="ListBullet2"/>
      </w:pPr>
      <w:r>
        <w:t>La mejora de la adherencia procede sobre todo de estudios observacionales.</w:t>
      </w:r>
    </w:p>
    <w:p>
      <w:pPr>
        <w:pStyle w:val="ListBullet2"/>
      </w:pPr>
      <w:r>
        <w:t>La única referencia del texto (INTREPID, ref 710) es un ensayo pragmático abierto y es más prudente ("may help improve health status").</w:t>
      </w:r>
    </w:p>
    <w:p>
      <w:pPr>
        <w:pStyle w:val="ListBullet"/>
      </w:pPr>
      <w:r>
        <w:rPr>
          <w:b/>
        </w:rPr>
        <w:t>Evidencia/justificación:</w:t>
      </w:r>
    </w:p>
    <w:p>
      <w:pPr>
        <w:pStyle w:val="ListBullet2"/>
      </w:pPr>
      <w:r>
        <w:t>Bremner PR et al., Respir Res 2018;19:19: FF/UMEC/VI en un solo inhalador frente a varios, no inferior.</w:t>
      </w:r>
    </w:p>
    <w:p>
      <w:pPr>
        <w:pStyle w:val="ListBullet2"/>
      </w:pPr>
      <w:r>
        <w:t>Halpin DMG et al., ERJ Open Res 2021 (INTREPID).</w:t>
      </w:r>
    </w:p>
    <w:p>
      <w:pPr>
        <w:pStyle w:val="ListBullet"/>
      </w:pPr>
      <w:r>
        <w:rPr>
          <w:b/>
        </w:rPr>
        <w:t>Recomendación:</w:t>
      </w:r>
      <w:r>
        <w:t xml:space="preserve"> "Un único inhalador simplifica el régimen y puede mejorar la adherencia (evidencia principalmente observacional); su eficacia es similar a la de varios inhaladores con las mismas moléculas".</w:t>
      </w:r>
    </w:p>
    <w:p>
      <w:pPr>
        <w:pStyle w:val="ListBullet"/>
      </w:pPr>
      <w:r>
        <w:rPr>
          <w:b/>
        </w:rPr>
        <w:t>Confianza:</w:t>
      </w:r>
      <w:r>
        <w:t xml:space="preserve"> 4/5</w:t>
      </w:r>
    </w:p>
    <w:p>
      <w:pPr>
        <w:pStyle w:val="Heading4"/>
      </w:pPr>
      <w:r>
        <w:t>FARM-21 · Nomenclatura CAT/CAAT y umbrales ambiguos en las Figs 3.2 y 3.8</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Ambigüedad / Editorial</w:t>
      </w:r>
    </w:p>
    <w:p>
      <w:pPr>
        <w:pStyle w:val="ListBullet"/>
      </w:pPr>
      <w:r>
        <w:rPr>
          <w:b/>
        </w:rPr>
        <w:t>Severidad:</w:t>
      </w:r>
      <w:r>
        <w:t xml:space="preserve"> BAJA</w:t>
      </w:r>
    </w:p>
    <w:p>
      <w:pPr>
        <w:pStyle w:val="ListBullet"/>
      </w:pPr>
      <w:r>
        <w:rPr>
          <w:b/>
        </w:rPr>
        <w:t>Ubicación:</w:t>
      </w:r>
      <w:r>
        <w:t xml:space="preserve"> PDF 63 / impr. 52 (Fig 3.2); PDF 73 / impr. 62 (Fig 3.8)</w:t>
      </w:r>
    </w:p>
    <w:p>
      <w:pPr>
        <w:pStyle w:val="ListBullet"/>
      </w:pPr>
      <w:r>
        <w:rPr>
          <w:b/>
        </w:rPr>
        <w:t>Cita:</w:t>
      </w:r>
    </w:p>
    <w:p>
      <w:pPr>
        <w:pStyle w:val="ListBullet2"/>
      </w:pPr>
      <w:r>
        <w:t>Fig 3.2: "Symptoms (CAAT™ or mMRC)" en la evaluación inicial y "Symptoms (CAT or mMRC)" en la revisión.</w:t>
      </w:r>
    </w:p>
    <w:p>
      <w:pPr>
        <w:pStyle w:val="ListBullet2"/>
      </w:pPr>
      <w:r>
        <w:t>Fig 3.8: "mMRC 0-1, CAAT &lt; 10" / "mMRC ≥ 2, CAAT ≥ 10".</w:t>
      </w:r>
    </w:p>
    <w:p>
      <w:pPr>
        <w:pStyle w:val="ListBullet"/>
      </w:pPr>
      <w:r>
        <w:rPr>
          <w:b/>
        </w:rPr>
        <w:t>Problema:</w:t>
      </w:r>
    </w:p>
    <w:p>
      <w:pPr>
        <w:pStyle w:val="ListBullet2"/>
      </w:pPr>
      <w:r>
        <w:t>Dentro de la misma figura se usan dos nombres. El cap. 2 aclara que son equivalentes, pero la Fig 3.2 no.</w:t>
      </w:r>
    </w:p>
    <w:p>
      <w:pPr>
        <w:pStyle w:val="ListBullet2"/>
      </w:pPr>
      <w:r>
        <w:t>En la Fig 3.8, la coma no deja claro si el criterio es "y" u "o", ni qué hacer cuando las escalas no concuerdan (situación frecuente: mMRC 1 con CAAT ≥10). Eso determina si el paciente es del grupo A o B (monoterapia frente a LABA+LAMA).</w:t>
      </w:r>
    </w:p>
    <w:p>
      <w:pPr>
        <w:pStyle w:val="ListBullet"/>
      </w:pPr>
      <w:r>
        <w:rPr>
          <w:b/>
        </w:rPr>
        <w:t>Evidencia/justificación:</w:t>
      </w:r>
      <w:r>
        <w:t xml:space="preserve"> el propio cap. 2 (PDF 50 / impr. 39) afirma que CAT y CAAT son equivalentes e intercambiables.</w:t>
      </w:r>
    </w:p>
    <w:p>
      <w:pPr>
        <w:pStyle w:val="ListBullet"/>
      </w:pPr>
      <w:r>
        <w:rPr>
          <w:b/>
        </w:rPr>
        <w:t>Recomendación:</w:t>
      </w:r>
      <w:r>
        <w:t xml:space="preserve"> usar un solo término (CAAT™/CAT™) y escribir "mMRC ≥2 </w:t>
      </w:r>
      <w:r>
        <w:rPr>
          <w:b/>
        </w:rPr>
        <w:t>o</w:t>
      </w:r>
      <w:r>
        <w:t xml:space="preserve"> CAAT ≥10 (si las escalas no concuerdan, priorizar CAAT)", o el criterio que GOLD considere.</w:t>
      </w:r>
    </w:p>
    <w:p>
      <w:pPr>
        <w:pStyle w:val="ListBullet"/>
      </w:pPr>
      <w:r>
        <w:rPr>
          <w:b/>
        </w:rPr>
        <w:t>Confianza:</w:t>
      </w:r>
      <w:r>
        <w:t xml:space="preserve"> 4/5</w:t>
      </w:r>
    </w:p>
    <w:p>
      <w:pPr>
        <w:pStyle w:val="Heading4"/>
      </w:pPr>
      <w:r>
        <w:t>FARM-23 · Referencia cruzada errónea en la Fig 3.10</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Editorial / Incongruencia interna</w:t>
      </w:r>
    </w:p>
    <w:p>
      <w:pPr>
        <w:pStyle w:val="ListBullet"/>
      </w:pPr>
      <w:r>
        <w:rPr>
          <w:b/>
        </w:rPr>
        <w:t>Severidad:</w:t>
      </w:r>
      <w:r>
        <w:t xml:space="preserve"> BAJA</w:t>
      </w:r>
    </w:p>
    <w:p>
      <w:pPr>
        <w:pStyle w:val="ListBullet"/>
      </w:pPr>
      <w:r>
        <w:rPr>
          <w:b/>
        </w:rPr>
        <w:t>Ubicación:</w:t>
      </w:r>
      <w:r>
        <w:t xml:space="preserve"> PDF 78 / impr. 67 (nota al pie de la Fig 3.10)</w:t>
      </w:r>
    </w:p>
    <w:p>
      <w:pPr>
        <w:pStyle w:val="ListBullet"/>
      </w:pPr>
      <w:r>
        <w:rPr>
          <w:b/>
        </w:rPr>
        <w:t>Cita:</w:t>
      </w:r>
      <w:r>
        <w:t xml:space="preserve"> "despite appropriate long-acting bronchodilator maintenance therapy (see Figures 3.8 &amp; A3.1 for recommendations)".</w:t>
      </w:r>
    </w:p>
    <w:p>
      <w:pPr>
        <w:pStyle w:val="ListBullet"/>
      </w:pPr>
      <w:r>
        <w:rPr>
          <w:b/>
        </w:rPr>
        <w:t>Problema:</w:t>
      </w:r>
      <w:r>
        <w:t xml:space="preserve"> la Fig A3.1 es la tabla de fármacos y no contiene recomendaciones. La remisión correcta sería a las Figs 3.8 y 3.9 (o a la A3.3).</w:t>
      </w:r>
    </w:p>
    <w:p>
      <w:pPr>
        <w:pStyle w:val="ListBullet"/>
      </w:pPr>
      <w:r>
        <w:rPr>
          <w:b/>
        </w:rPr>
        <w:t>Evidencia/justificación:</w:t>
      </w:r>
      <w:r>
        <w:t xml:space="preserve"> contenido de la Fig A3.1 (PDF 156).</w:t>
      </w:r>
    </w:p>
    <w:p>
      <w:pPr>
        <w:pStyle w:val="ListBullet"/>
      </w:pPr>
      <w:r>
        <w:rPr>
          <w:b/>
        </w:rPr>
        <w:t>Recomendación:</w:t>
      </w:r>
      <w:r>
        <w:t xml:space="preserve"> cambiar a "see Figures 3.8 &amp; 3.9".</w:t>
      </w:r>
    </w:p>
    <w:p>
      <w:pPr>
        <w:pStyle w:val="ListBullet"/>
      </w:pPr>
      <w:r>
        <w:rPr>
          <w:b/>
        </w:rPr>
        <w:t>Confianza:</w:t>
      </w:r>
      <w:r>
        <w:t xml:space="preserve"> 5/5</w:t>
      </w:r>
    </w:p>
    <w:p>
      <w:pPr>
        <w:pStyle w:val="Heading4"/>
      </w:pPr>
      <w:r>
        <w:t>NOV-05 · Fig. 3.19 y referencias de ETHOS: cita inexistente, referencias duplicadas y erratas</w:t>
      </w:r>
    </w:p>
    <w:p>
      <w:r>
        <w:rPr>
          <w:i/>
        </w:rPr>
        <w:t xml:space="preserve">Severidad final: </w:t>
      </w:r>
      <w:r>
        <w:rPr>
          <w:i/>
          <w:color w:val="A6A6A6"/>
        </w:rPr>
        <w:t>⚪</w:t>
      </w:r>
      <w:r>
        <w:rPr>
          <w:i/>
        </w:rPr>
        <w:t xml:space="preserve"> BAJA · Tema T08: Terapia triple y mortalidad</w:t>
      </w:r>
    </w:p>
    <w:p>
      <w:pPr>
        <w:pStyle w:val="IntenseQuote"/>
      </w:pPr>
      <w:r>
        <w:rPr>
          <w:b/>
        </w:rPr>
        <w:t>Verificación independiente (CONFIRMADO PARCIAL):</w:t>
      </w:r>
      <w:r>
        <w:t xml:space="preserve"> 1. Añadir Martinez 2021 a la lista de referencias. 2. Fusionar las refs. 492 y 694. 3. Sustituir la ref. 791 por la 1181. 4. Corregir "suggesta". 5. No cambiar CAAT™.</w:t>
      </w:r>
    </w:p>
    <w:p>
      <w:pPr>
        <w:pStyle w:val="ListBullet"/>
      </w:pPr>
      <w:r>
        <w:rPr>
          <w:b/>
        </w:rPr>
        <w:t>Tipo:</w:t>
      </w:r>
      <w:r>
        <w:t xml:space="preserve"> Editorial / Incongruencia interna</w:t>
      </w:r>
    </w:p>
    <w:p>
      <w:pPr>
        <w:pStyle w:val="ListBullet"/>
      </w:pPr>
      <w:r>
        <w:rPr>
          <w:b/>
        </w:rPr>
        <w:t>Severidad:</w:t>
      </w:r>
      <w:r>
        <w:t xml:space="preserve"> BAJA</w:t>
      </w:r>
    </w:p>
    <w:p>
      <w:pPr>
        <w:pStyle w:val="ListBullet"/>
      </w:pPr>
      <w:r>
        <w:rPr>
          <w:b/>
        </w:rPr>
        <w:t>Ubicación:</w:t>
      </w:r>
    </w:p>
    <w:p>
      <w:pPr>
        <w:pStyle w:val="ListBullet2"/>
      </w:pPr>
      <w:r>
        <w:t>PDF 91 / impr. 80 — Fig. 3.19.</w:t>
      </w:r>
    </w:p>
    <w:p>
      <w:pPr>
        <w:pStyle w:val="ListBullet2"/>
      </w:pPr>
      <w:r>
        <w:t>Lista de referencias: 492 y 694.</w:t>
      </w:r>
    </w:p>
    <w:p>
      <w:pPr>
        <w:pStyle w:val="ListBullet2"/>
      </w:pPr>
      <w:r>
        <w:t>PDF 92 / impr. 81 — texto del cap. 3.</w:t>
      </w:r>
    </w:p>
    <w:p>
      <w:pPr>
        <w:pStyle w:val="ListBullet2"/>
      </w:pPr>
      <w:r>
        <w:t>PDF 160 — Fig. A3.3.</w:t>
      </w:r>
    </w:p>
    <w:p>
      <w:pPr>
        <w:pStyle w:val="ListBullet"/>
      </w:pPr>
      <w:r>
        <w:rPr>
          <w:b/>
        </w:rPr>
        <w:t>Cita:</w:t>
      </w:r>
      <w:r>
        <w:t xml:space="preserve"> "b) ETHOS trials (Martinez et al. 2021)"; "CAAT™ ≥ 10"; "Recent data suggesta beneficial effect"</w:t>
      </w:r>
    </w:p>
    <w:p>
      <w:pPr>
        <w:pStyle w:val="ListBullet"/>
      </w:pPr>
      <w:r>
        <w:rPr>
          <w:b/>
        </w:rPr>
        <w:t>Problema:</w:t>
      </w:r>
    </w:p>
    <w:p>
      <w:pPr>
        <w:pStyle w:val="ListBullet2"/>
      </w:pPr>
      <w:r>
        <w:rPr>
          <w:b/>
        </w:rPr>
        <w:t>Cita inexistente:</w:t>
      </w:r>
      <w:r>
        <w:t xml:space="preserve"> el artículo de mortalidad de ETHOS (Martinez, AJRCCM 2021) se cita en la figura, pero no figura en la lista numerada. El texto cita en su lugar la ref. 492 (NEJM 2020), que daba HR 0,54 y no 0,51.</w:t>
      </w:r>
    </w:p>
    <w:p>
      <w:pPr>
        <w:pStyle w:val="ListBullet2"/>
      </w:pPr>
      <w:r>
        <w:rPr>
          <w:b/>
        </w:rPr>
        <w:t>Duplicado:</w:t>
      </w:r>
      <w:r>
        <w:t xml:space="preserve"> las refs. 492 y 694 son el mismo artículo (Rabe, NEJM 2020).</w:t>
      </w:r>
    </w:p>
    <w:p>
      <w:pPr>
        <w:pStyle w:val="ListBullet2"/>
      </w:pPr>
      <w:r>
        <w:rPr>
          <w:b/>
        </w:rPr>
        <w:t>Erratas:</w:t>
      </w:r>
      <w:r>
        <w:t xml:space="preserve"> "CAAT™" en lugar de "CAT™" y "suggesta" en lugar de "suggest a".</w:t>
      </w:r>
    </w:p>
    <w:p>
      <w:pPr>
        <w:pStyle w:val="ListBullet2"/>
      </w:pPr>
      <w:r>
        <w:rPr>
          <w:b/>
        </w:rPr>
        <w:t>SUMMIT:</w:t>
      </w:r>
      <w:r>
        <w:t xml:space="preserve"> en el cap. 3 (PDF 92) se cita por su protocolo (ref. 791, ERJ 2013) para afirmar un resultado de mortalidad; el artículo de resultados es la ref. 1181 (Lancet 2016), que sí se usa en el Apéndice 3.</w:t>
      </w:r>
    </w:p>
    <w:p>
      <w:pPr>
        <w:pStyle w:val="ListBullet"/>
      </w:pPr>
      <w:r>
        <w:rPr>
          <w:b/>
        </w:rPr>
        <w:t>Evidencia/justificación:</w:t>
      </w:r>
      <w:r>
        <w:t xml:space="preserve"> Comprobación directa en la lista de referencias:</w:t>
      </w:r>
    </w:p>
    <w:p>
      <w:pPr>
        <w:pStyle w:val="ListBullet2"/>
      </w:pPr>
      <w:r>
        <w:t>"Martinez FJ, Rabe KF…" y el título "Reduced all-cause mortality in the ETHOS trial" no aparecen.</w:t>
      </w:r>
    </w:p>
    <w:p>
      <w:pPr>
        <w:pStyle w:val="ListBullet2"/>
      </w:pPr>
      <w:r>
        <w:t>Ref. 791 = "SUMMIT study protocol".</w:t>
      </w:r>
    </w:p>
    <w:p>
      <w:pPr>
        <w:pStyle w:val="ListBullet"/>
      </w:pPr>
      <w:r>
        <w:rPr>
          <w:b/>
        </w:rPr>
        <w:t>Recomendación:</w:t>
      </w:r>
    </w:p>
    <w:p>
      <w:pPr>
        <w:pStyle w:val="ListBullet2"/>
      </w:pPr>
      <w:r>
        <w:t>Añadir Martinez 2021 (PMID 33252985) como referencia numerada y citarla en el texto y la figura.</w:t>
      </w:r>
    </w:p>
    <w:p>
      <w:pPr>
        <w:pStyle w:val="ListBullet2"/>
      </w:pPr>
      <w:r>
        <w:t>Fusionar las refs. 492 y 694.</w:t>
      </w:r>
    </w:p>
    <w:p>
      <w:pPr>
        <w:pStyle w:val="ListBullet2"/>
      </w:pPr>
      <w:r>
        <w:t>Sustituir la ref. 791 por la 1181.</w:t>
      </w:r>
    </w:p>
    <w:p>
      <w:pPr>
        <w:pStyle w:val="ListBullet2"/>
      </w:pPr>
      <w:r>
        <w:t>Corregir las erratas.</w:t>
      </w:r>
    </w:p>
    <w:p>
      <w:pPr>
        <w:pStyle w:val="ListBullet"/>
      </w:pPr>
      <w:r>
        <w:rPr>
          <w:b/>
        </w:rPr>
        <w:t>Confianza:</w:t>
      </w:r>
      <w:r>
        <w:t xml:space="preserve"> 4/5</w:t>
      </w:r>
    </w:p>
    <w:p>
      <w:pPr>
        <w:pStyle w:val="Heading4"/>
      </w:pPr>
      <w:r>
        <w:t>COH-18 · Biológicos: imprecisiones en la Fig. 3.11 y la Fig. A3.3</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Exactitud de datos / coherencia</w:t>
      </w:r>
    </w:p>
    <w:p>
      <w:pPr>
        <w:pStyle w:val="ListBullet"/>
      </w:pPr>
      <w:r>
        <w:rPr>
          <w:b/>
        </w:rPr>
        <w:t>Severidad:</w:t>
      </w:r>
      <w:r>
        <w:t xml:space="preserve"> BAJA</w:t>
      </w:r>
    </w:p>
    <w:p>
      <w:pPr>
        <w:pStyle w:val="ListBullet"/>
      </w:pPr>
      <w:r>
        <w:rPr>
          <w:b/>
        </w:rPr>
        <w:t>Ubicación:</w:t>
      </w:r>
      <w:r>
        <w:t xml:space="preserve"> Fig 3.11 (PDF 79 / impr. 68); Fig A3.3 (PDF 160 / impr. 149); PDF 163 / impr. 152</w:t>
      </w:r>
    </w:p>
    <w:p>
      <w:pPr>
        <w:pStyle w:val="ListBullet"/>
      </w:pPr>
      <w:r>
        <w:rPr>
          <w:b/>
        </w:rPr>
        <w:t>Cita:</w:t>
      </w:r>
      <w:r>
        <w:t xml:space="preserve"> BOREAS: "83mL; P &lt; 0.001 (95% CI: 42, 125)" con la nota "d: at 52 weeks".</w:t>
      </w:r>
    </w:p>
    <w:p>
      <w:pPr>
        <w:pStyle w:val="ListBullet"/>
      </w:pPr>
      <w:r>
        <w:rPr>
          <w:b/>
        </w:rPr>
        <w:t>Problema:</w:t>
      </w:r>
    </w:p>
    <w:p>
      <w:pPr>
        <w:pStyle w:val="ListBullet2"/>
      </w:pPr>
      <w:r>
        <w:t>El IC 42-125 corresponde a la semana 12. En la semana 52, BOREAS comunicó una diferencia de ~83 mL con IC 36-130.</w:t>
      </w:r>
    </w:p>
    <w:p>
      <w:pPr>
        <w:pStyle w:val="ListBullet2"/>
      </w:pPr>
      <w:r>
        <w:t>La línea de referencias termina en "…392:1710-1720; .".</w:t>
      </w:r>
    </w:p>
    <w:p>
      <w:pPr>
        <w:pStyle w:val="ListBullet2"/>
      </w:pPr>
      <w:r>
        <w:t>La Fig A3.3 habla de biológicos en "moderate to severe COPD", mientras que la inclusión de los ensayos fue GOLD 2-3 (dupilumab) y 2-4 (mepolizumab) (PDF 163). Contiene además la errata "suggesta".</w:t>
      </w:r>
    </w:p>
    <w:p>
      <w:pPr>
        <w:pStyle w:val="ListBullet"/>
      </w:pPr>
      <w:r>
        <w:rPr>
          <w:b/>
        </w:rPr>
        <w:t>Evidencia/justificación:</w:t>
      </w:r>
      <w:r>
        <w:t xml:space="preserve"> Bhatt SP et al., </w:t>
      </w:r>
      <w:r>
        <w:rPr>
          <w:i/>
        </w:rPr>
        <w:t>NEJM</w:t>
      </w:r>
      <w:r>
        <w:t xml:space="preserve"> 2023;389:205-14 (verificado por web, resumen secundario).</w:t>
      </w:r>
    </w:p>
    <w:p>
      <w:pPr>
        <w:pStyle w:val="ListBullet"/>
      </w:pPr>
      <w:r>
        <w:rPr>
          <w:b/>
        </w:rPr>
        <w:t>Recomendación:</w:t>
      </w:r>
      <w:r>
        <w:t xml:space="preserve"> corregir el IC o la nota d, limpiar la referencia y alinear la población de A3.3.</w:t>
      </w:r>
    </w:p>
    <w:p>
      <w:pPr>
        <w:pStyle w:val="ListBullet"/>
      </w:pPr>
      <w:r>
        <w:rPr>
          <w:b/>
        </w:rPr>
        <w:t>Confianza:</w:t>
      </w:r>
      <w:r>
        <w:t xml:space="preserve"> 3</w:t>
      </w:r>
    </w:p>
    <w:p>
      <w:pPr>
        <w:pStyle w:val="Heading4"/>
      </w:pPr>
      <w:r>
        <w:t>NOV-10 · Ensifentrina: grado de evidencia sobre estado de salud inconsistente entre la Fig. A3.2 y el texto</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Incongruencia interna</w:t>
      </w:r>
    </w:p>
    <w:p>
      <w:pPr>
        <w:pStyle w:val="ListBullet"/>
      </w:pPr>
      <w:r>
        <w:rPr>
          <w:b/>
        </w:rPr>
        <w:t>Severidad:</w:t>
      </w:r>
      <w:r>
        <w:t xml:space="preserve"> BAJA</w:t>
      </w:r>
    </w:p>
    <w:p>
      <w:pPr>
        <w:pStyle w:val="ListBullet"/>
      </w:pPr>
      <w:r>
        <w:rPr>
          <w:b/>
        </w:rPr>
        <w:t>Ubicación:</w:t>
      </w:r>
    </w:p>
    <w:p>
      <w:pPr>
        <w:pStyle w:val="ListBullet2"/>
      </w:pPr>
      <w:r>
        <w:t>PDF 157 / impr. 146 — Fig. A3.2.</w:t>
      </w:r>
    </w:p>
    <w:p>
      <w:pPr>
        <w:pStyle w:val="ListBullet2"/>
      </w:pPr>
      <w:r>
        <w:t>PDF 163 / impr. 152 — texto.</w:t>
      </w:r>
    </w:p>
    <w:p>
      <w:pPr>
        <w:pStyle w:val="ListBullet"/>
      </w:pPr>
      <w:r>
        <w:rPr>
          <w:b/>
        </w:rPr>
        <w:t>Cita:</w:t>
      </w:r>
      <w:r>
        <w:t xml:space="preserve"> Fig. A3.2: "improves lung function (Evidence A), dyspnea (Evidence A) and health status (Evidence B)"; texto: "inconsistent effects on quality of life"</w:t>
      </w:r>
    </w:p>
    <w:p>
      <w:pPr>
        <w:pStyle w:val="ListBullet"/>
      </w:pPr>
      <w:r>
        <w:rPr>
          <w:b/>
        </w:rPr>
        <w:t>Problema:</w:t>
      </w:r>
    </w:p>
    <w:p>
      <w:pPr>
        <w:pStyle w:val="ListBullet2"/>
      </w:pPr>
      <w:r>
        <w:rPr>
          <w:b/>
        </w:rPr>
        <w:t>Disnea:</w:t>
      </w:r>
      <w:r>
        <w:t xml:space="preserve"> la Evidencia A es defendible. El TDI mejoró en ambos ensayos (+1,0 y +0,9 frente a placebo; P&lt;0,001), aunque el E-RS solo fue significativo en ENHANCE-1.</w:t>
      </w:r>
    </w:p>
    <w:p>
      <w:pPr>
        <w:pStyle w:val="ListBullet2"/>
      </w:pPr>
      <w:r>
        <w:rPr>
          <w:b/>
        </w:rPr>
        <w:t>Estado de salud:</w:t>
      </w:r>
      <w:r>
        <w:t xml:space="preserve"> el SGRQ solo fue significativo en ENHANCE-1. La figura dice "improves health status" y el texto "inconsistent". El mensaje es contradictorio para el mismo dato.</w:t>
      </w:r>
    </w:p>
    <w:p>
      <w:pPr>
        <w:pStyle w:val="ListBullet2"/>
      </w:pPr>
      <w:r>
        <w:rPr>
          <w:b/>
        </w:rPr>
        <w:t>Exacerbaciones:</w:t>
      </w:r>
      <w:r>
        <w:t xml:space="preserve"> la figura no menciona la reducción observada en el análisis combinado (RR 0,64 y 0,57 a 24 semanas en población no enriquecida), que el texto sí recoge como "sugerida".</w:t>
      </w:r>
    </w:p>
    <w:p>
      <w:pPr>
        <w:pStyle w:val="ListBullet"/>
      </w:pPr>
      <w:r>
        <w:rPr>
          <w:b/>
        </w:rPr>
        <w:t>Evidencia/justificación:</w:t>
      </w:r>
      <w:r>
        <w:t xml:space="preserve"> Anzueto 2023 (texto completo PMC10449067), tabla 2.</w:t>
      </w:r>
    </w:p>
    <w:p>
      <w:pPr>
        <w:pStyle w:val="ListBullet"/>
      </w:pPr>
      <w:r>
        <w:rPr>
          <w:b/>
        </w:rPr>
        <w:t>Recomendación:</w:t>
      </w:r>
      <w:r>
        <w:t xml:space="preserve"> En la Fig. A3.2, sustituir por "health status: resultados inconsistentes entre ensayos (Evidencia B)" y homogeneizar con el texto.</w:t>
      </w:r>
    </w:p>
    <w:p>
      <w:pPr>
        <w:pStyle w:val="ListBullet"/>
      </w:pPr>
      <w:r>
        <w:rPr>
          <w:b/>
        </w:rPr>
        <w:t>Confianza:</w:t>
      </w:r>
      <w:r>
        <w:t xml:space="preserve"> 4/5</w:t>
      </w:r>
    </w:p>
    <w:p>
      <w:pPr>
        <w:pStyle w:val="Heading4"/>
      </w:pPr>
      <w:r>
        <w:t>NOV-18 · Umbral de eosinófilos en porcentaje en la Fig. A3.3 frente a valores absolutos en el resto</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Incongruencia interna / Editorial</w:t>
      </w:r>
    </w:p>
    <w:p>
      <w:pPr>
        <w:pStyle w:val="ListBullet"/>
      </w:pPr>
      <w:r>
        <w:rPr>
          <w:b/>
        </w:rPr>
        <w:t>Severidad:</w:t>
      </w:r>
      <w:r>
        <w:t xml:space="preserve"> BAJA</w:t>
      </w:r>
    </w:p>
    <w:p>
      <w:pPr>
        <w:pStyle w:val="ListBullet"/>
      </w:pPr>
      <w:r>
        <w:rPr>
          <w:b/>
        </w:rPr>
        <w:t>Ubicación:</w:t>
      </w:r>
      <w:r>
        <w:t xml:space="preserve"> PDF 160 / impr. 149 — Fig. A3.3, bloque ICS.</w:t>
      </w:r>
    </w:p>
    <w:p>
      <w:pPr>
        <w:pStyle w:val="ListBullet"/>
      </w:pPr>
      <w:r>
        <w:rPr>
          <w:b/>
        </w:rPr>
        <w:t>Cita:</w:t>
      </w:r>
      <w:r>
        <w:t xml:space="preserve"> "Independent of ICS use, there is evidence that a blood eosinophil count &lt; 2% increases the risk of pneumonia (Evidence C)"</w:t>
      </w:r>
    </w:p>
    <w:p>
      <w:pPr>
        <w:pStyle w:val="ListBullet"/>
      </w:pPr>
      <w:r>
        <w:rPr>
          <w:b/>
        </w:rPr>
        <w:t>Problema:</w:t>
      </w:r>
      <w:r>
        <w:t xml:space="preserve"> Toda la guía expresa los umbrales en células/µL (100/300), y la Fig. A3.3 introduce un umbral en porcentaje sin equivalencia. Además, la relación entre eosinófilos bajos y neumonía procede de estudios observacionales heterogéneos y no se aclara si los eosinófilos bajos deben influir en la decisión sobre ICS.</w:t>
      </w:r>
    </w:p>
    <w:p>
      <w:pPr>
        <w:pStyle w:val="ListBullet"/>
      </w:pPr>
      <w:r>
        <w:rPr>
          <w:b/>
        </w:rPr>
        <w:t>Evidencia/justificación:</w:t>
      </w:r>
      <w:r>
        <w:t xml:space="preserve"> Coherencia interna (Figs. 3.9, 3.10 y A3.3). La revisión de GOLD sobre eosinófilos (Singh 2022, ref. 453) usa células/µL.</w:t>
      </w:r>
    </w:p>
    <w:p>
      <w:pPr>
        <w:pStyle w:val="ListBullet"/>
      </w:pPr>
      <w:r>
        <w:rPr>
          <w:b/>
        </w:rPr>
        <w:t>Recomendación:</w:t>
      </w:r>
      <w:r>
        <w:t xml:space="preserve"> Expresar el umbral también en células/µL (p. ej., "&lt;2 % [≈&lt;100-150 células/µL]") o explicar por qué se mantiene en porcentaje.</w:t>
      </w:r>
    </w:p>
    <w:p>
      <w:pPr>
        <w:pStyle w:val="ListBullet"/>
      </w:pPr>
      <w:r>
        <w:rPr>
          <w:b/>
        </w:rPr>
        <w:t>Confianza:</w:t>
      </w:r>
      <w:r>
        <w:t xml:space="preserve"> 3/5</w:t>
      </w:r>
    </w:p>
    <w:p>
      <w:pPr>
        <w:pStyle w:val="Heading4"/>
      </w:pPr>
      <w:r>
        <w:t>EXA-12 · Especificidad del esputo purulento mal transcrita</w:t>
      </w:r>
    </w:p>
    <w:p>
      <w:r>
        <w:rPr>
          <w:i/>
        </w:rPr>
        <w:t xml:space="preserve">Severidad final: </w:t>
      </w:r>
      <w:r>
        <w:rPr>
          <w:i/>
          <w:color w:val="A6A6A6"/>
        </w:rPr>
        <w:t>⚪</w:t>
      </w:r>
      <w:r>
        <w:rPr>
          <w:i/>
        </w:rPr>
        <w:t xml:space="preserve"> BAJA · Tema T11: Tratamiento de la exacerbación: antimicrobianos, corticoides, TEP, riesgo CV</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115 / impr. 104.</w:t>
      </w:r>
    </w:p>
    <w:p>
      <w:pPr>
        <w:pStyle w:val="ListBullet"/>
      </w:pPr>
      <w:r>
        <w:rPr>
          <w:b/>
        </w:rPr>
        <w:t>Cita:</w:t>
      </w:r>
      <w:r>
        <w:t xml:space="preserve"> "94.4% sensitivity and 52% specificity for high bacterial load.(318)".</w:t>
      </w:r>
    </w:p>
    <w:p>
      <w:pPr>
        <w:pStyle w:val="ListBullet"/>
      </w:pPr>
      <w:r>
        <w:rPr>
          <w:b/>
        </w:rPr>
        <w:t>Problema:</w:t>
      </w:r>
      <w:r>
        <w:t xml:space="preserve"> Stockley et al. (Chest 2000;117:1638-45, ref. 318) comunican una sensibilidad del 94,4 % y una especificidad del 77,0 % del esputo verde (purulento) para carga bacteriana alta. El 52 % no aparece en el resumen original.</w:t>
      </w:r>
    </w:p>
    <w:p>
      <w:pPr>
        <w:pStyle w:val="ListBullet"/>
      </w:pPr>
      <w:r>
        <w:rPr>
          <w:b/>
        </w:rPr>
        <w:t>Evidencia/justificación:</w:t>
      </w:r>
      <w:r>
        <w:t xml:space="preserve"> Resumen de PubMed (PMID 10858396), verificado.</w:t>
      </w:r>
    </w:p>
    <w:p>
      <w:pPr>
        <w:pStyle w:val="ListBullet"/>
      </w:pPr>
      <w:r>
        <w:rPr>
          <w:b/>
        </w:rPr>
        <w:t>Recomendación:</w:t>
      </w:r>
      <w:r>
        <w:t xml:space="preserve"> Corregir a "77 % de especificidad".</w:t>
      </w:r>
    </w:p>
    <w:p>
      <w:pPr>
        <w:pStyle w:val="ListBullet"/>
      </w:pPr>
      <w:r>
        <w:rPr>
          <w:b/>
        </w:rPr>
        <w:t>Confianza:</w:t>
      </w:r>
      <w:r>
        <w:t xml:space="preserve"> 5/5</w:t>
      </w:r>
    </w:p>
    <w:p>
      <w:pPr>
        <w:pStyle w:val="Heading4"/>
      </w:pPr>
      <w:r>
        <w:t>EXA-24 · Duración del exceso de riesgo cardiovascular tras la exacerbación: cifras distintas en el mismo capítulo</w:t>
      </w:r>
    </w:p>
    <w:p>
      <w:r>
        <w:rPr>
          <w:i/>
        </w:rPr>
        <w:t xml:space="preserve">Severidad final: </w:t>
      </w:r>
      <w:r>
        <w:rPr>
          <w:i/>
          <w:color w:val="A6A6A6"/>
        </w:rPr>
        <w:t>⚪</w:t>
      </w:r>
      <w:r>
        <w:rPr>
          <w:i/>
        </w:rPr>
        <w:t xml:space="preserve"> BAJA · Tema T11: Tratamiento de la exacerbación: antimicrobianos, corticoides, TEP, riesgo CV</w:t>
      </w:r>
    </w:p>
    <w:p>
      <w:pPr>
        <w:pStyle w:val="ListBullet"/>
      </w:pPr>
      <w:r>
        <w:rPr>
          <w:b/>
        </w:rPr>
        <w:t>Tipo:</w:t>
      </w:r>
      <w:r>
        <w:t xml:space="preserve"> Incongruencia interna</w:t>
      </w:r>
    </w:p>
    <w:p>
      <w:pPr>
        <w:pStyle w:val="ListBullet"/>
      </w:pPr>
      <w:r>
        <w:rPr>
          <w:b/>
        </w:rPr>
        <w:t>Severidad:</w:t>
      </w:r>
      <w:r>
        <w:t xml:space="preserve"> BAJA</w:t>
      </w:r>
    </w:p>
    <w:p>
      <w:pPr>
        <w:pStyle w:val="ListBullet"/>
      </w:pPr>
      <w:r>
        <w:rPr>
          <w:b/>
        </w:rPr>
        <w:t>Ubicación:</w:t>
      </w:r>
    </w:p>
    <w:p>
      <w:pPr>
        <w:pStyle w:val="ListBullet2"/>
      </w:pPr>
      <w:r>
        <w:t>PDF 108 / impr. 97.</w:t>
      </w:r>
    </w:p>
    <w:p>
      <w:pPr>
        <w:pStyle w:val="ListBullet2"/>
      </w:pPr>
      <w:r>
        <w:t>PDF 112 / impr. 101.</w:t>
      </w:r>
    </w:p>
    <w:p>
      <w:pPr>
        <w:pStyle w:val="ListBullet2"/>
      </w:pPr>
      <w:r>
        <w:t>Cap. 2: PDF 53 / impr. 42.</w:t>
      </w:r>
    </w:p>
    <w:p>
      <w:pPr>
        <w:pStyle w:val="ListBullet2"/>
      </w:pPr>
      <w:r>
        <w:t>Cap. 5: PDF 123 / impr. 112.</w:t>
      </w:r>
    </w:p>
    <w:p>
      <w:pPr>
        <w:pStyle w:val="ListBullet"/>
      </w:pPr>
      <w:r>
        <w:rPr>
          <w:b/>
        </w:rPr>
        <w:t>Cita:</w:t>
      </w:r>
      <w:r>
        <w:t xml:space="preserve"> "remains elevated up to one year after the exacerbation.(484,485)" (PDF 108) frente a "heightened risk in the first 30 days persisting for up to 1–2 years(1005)" (PDF 112).</w:t>
      </w:r>
    </w:p>
    <w:p>
      <w:pPr>
        <w:pStyle w:val="ListBullet"/>
      </w:pPr>
      <w:r>
        <w:rPr>
          <w:b/>
        </w:rPr>
        <w:t>Problema:</w:t>
      </w:r>
    </w:p>
    <w:p>
      <w:pPr>
        <w:pStyle w:val="ListBullet2"/>
      </w:pPr>
      <w:r>
        <w:t>El mismo capítulo da dos horizontes distintos (1 año frente a 1-2 años); los caps. 2 y 5 usan "up to one year".</w:t>
      </w:r>
    </w:p>
    <w:p>
      <w:pPr>
        <w:pStyle w:val="ListBullet2"/>
      </w:pPr>
      <w:r>
        <w:t>No se traduce en ninguna acción concreta tras el alta: revisión de las estatinas y antiagregantes, control de la presión arterial, o cribado de FA o IC con NT-proBNP. Solo hay un genérico "Follow-up comorbidities such as cardiovascular disease" (Fig. 4.10).</w:t>
      </w:r>
    </w:p>
    <w:p>
      <w:pPr>
        <w:pStyle w:val="ListBullet"/>
      </w:pPr>
      <w:r>
        <w:rPr>
          <w:b/>
        </w:rPr>
        <w:t>Evidencia/justificación:</w:t>
      </w:r>
      <w:r>
        <w:t xml:space="preserve"> Lectura cruzada; EXACOS-CV (refs. 484 y 485) y ref. 1005.</w:t>
      </w:r>
    </w:p>
    <w:p>
      <w:pPr>
        <w:pStyle w:val="ListBullet"/>
      </w:pPr>
      <w:r>
        <w:rPr>
          <w:b/>
        </w:rPr>
        <w:t>Recomendación:</w:t>
      </w:r>
    </w:p>
    <w:p>
      <w:pPr>
        <w:pStyle w:val="ListBullet2"/>
      </w:pPr>
      <w:r>
        <w:t>Unificar la frase: "máximo en los primeros 30 días y persistente al menos 1 año (hasta 2 años en algunos estudios)".</w:t>
      </w:r>
    </w:p>
    <w:p>
      <w:pPr>
        <w:pStyle w:val="ListBullet2"/>
      </w:pPr>
      <w:r>
        <w:t>Añadir en la Fig. 4.10 acciones cardiovasculares concretas.</w:t>
      </w:r>
    </w:p>
    <w:p>
      <w:pPr>
        <w:pStyle w:val="ListBullet"/>
      </w:pPr>
      <w:r>
        <w:rPr>
          <w:b/>
        </w:rPr>
        <w:t>Confianza:</w:t>
      </w:r>
      <w:r>
        <w:t xml:space="preserve"> 5/5</w:t>
      </w:r>
    </w:p>
    <w:p>
      <w:pPr>
        <w:pStyle w:val="Heading4"/>
      </w:pPr>
      <w:r>
        <w:t>REH-23 · Datos de NOTT y MRC simplificados de forma imprecisa (Figura 3.19 y PDF 92)</w:t>
      </w:r>
    </w:p>
    <w:p>
      <w:r>
        <w:rPr>
          <w:i/>
        </w:rPr>
        <w:t xml:space="preserve">Severidad final: </w:t>
      </w:r>
      <w:r>
        <w:rPr>
          <w:i/>
          <w:color w:val="A6A6A6"/>
        </w:rPr>
        <w:t>⚪</w:t>
      </w:r>
      <w:r>
        <w:rPr>
          <w:i/>
        </w:rPr>
        <w:t xml:space="preserve"> BAJA · Tema T12: Oxigenoterapia crónica domiciliaria (LTOT)</w:t>
      </w:r>
    </w:p>
    <w:p>
      <w:pPr>
        <w:pStyle w:val="ListBullet"/>
      </w:pPr>
      <w:r>
        <w:rPr>
          <w:b/>
        </w:rPr>
        <w:t>Tipo:</w:t>
      </w:r>
      <w:r>
        <w:t xml:space="preserve"> Error factual (menor)</w:t>
      </w:r>
    </w:p>
    <w:p>
      <w:pPr>
        <w:pStyle w:val="ListBullet"/>
      </w:pPr>
      <w:r>
        <w:rPr>
          <w:b/>
        </w:rPr>
        <w:t>Severidad:</w:t>
      </w:r>
      <w:r>
        <w:t xml:space="preserve"> BAJA</w:t>
      </w:r>
    </w:p>
    <w:p>
      <w:pPr>
        <w:pStyle w:val="ListBullet"/>
      </w:pPr>
      <w:r>
        <w:rPr>
          <w:b/>
        </w:rPr>
        <w:t>Ubicación:</w:t>
      </w:r>
      <w:r>
        <w:t xml:space="preserve"> PDF 91 / impr. 80 — Figura 3.19, fila «Long-term oxygen therapy»; PDF 92 / impr. 81 — texto.</w:t>
      </w:r>
    </w:p>
    <w:p>
      <w:pPr>
        <w:pStyle w:val="ListBullet"/>
      </w:pPr>
      <w:r>
        <w:rPr>
          <w:b/>
        </w:rPr>
        <w:t>Cita:</w:t>
      </w:r>
      <w:r>
        <w:t xml:space="preserve"> «NOTT: ≥ 19 hours of continuous oxygen vs ≤ 13 hours: 50% reduction; MRC: ≥ 15 hours vs no oxygen: 50% reduction».</w:t>
      </w:r>
    </w:p>
    <w:p>
      <w:pPr>
        <w:pStyle w:val="ListBullet"/>
      </w:pPr>
      <w:r>
        <w:rPr>
          <w:b/>
        </w:rPr>
        <w:t>Problema:</w:t>
      </w:r>
      <w:r>
        <w:t xml:space="preserve"> En NOTT, el grupo de oxígeno continuo lo usó de media unas 17,7 h/día, frente a unas 12 h del nocturno; la mortalidad del grupo nocturno fue 1,94 veces mayor. El uso de «≥ 19 h» no se corresponde con la media publicada. Atribuir una reducción idéntica del «50 %» a ambos ensayos simplifica en exceso resultados con distinta métrica y seguimiento. La nota al pie escribe «Kohlein» por «Köhnlein».</w:t>
      </w:r>
    </w:p>
    <w:p>
      <w:pPr>
        <w:pStyle w:val="ListBullet"/>
      </w:pPr>
      <w:r>
        <w:rPr>
          <w:b/>
        </w:rPr>
        <w:t>Evidencia/justificación:</w:t>
      </w:r>
      <w:r>
        <w:t xml:space="preserve"> NOTT Group, Ann Intern Med 1980;93:391-398 (PMID 6776858). Report of the MRC Working Party, Lancet 1981;1:681-686.</w:t>
      </w:r>
    </w:p>
    <w:p>
      <w:pPr>
        <w:pStyle w:val="ListBullet"/>
      </w:pPr>
      <w:r>
        <w:rPr>
          <w:b/>
        </w:rPr>
        <w:t>Recomendación:</w:t>
      </w:r>
      <w:r>
        <w:t xml:space="preserve"> Indicar «O2 continuo (media ≈ 18 h/día) frente a nocturno (≈ 12 h): mortalidad ≈ 2 veces mayor con el nocturno» y expresar el resultado de MRC con su métrica real. Corregir la grafía del nombre.</w:t>
      </w:r>
    </w:p>
    <w:p>
      <w:pPr>
        <w:pStyle w:val="ListBullet"/>
      </w:pPr>
      <w:r>
        <w:rPr>
          <w:b/>
        </w:rPr>
        <w:t>Confianza:</w:t>
      </w:r>
      <w:r>
        <w:t xml:space="preserve"> 3/5</w:t>
      </w:r>
    </w:p>
    <w:p>
      <w:pPr>
        <w:pStyle w:val="Heading4"/>
      </w:pPr>
      <w:r>
        <w:t>INT-19 · La afirmación sobre morfina de liberación inmediata y resistencia al ejercicio cita el estudio equivocado (309 en vez de 806)</w:t>
      </w:r>
    </w:p>
    <w:p>
      <w:r>
        <w:rPr>
          <w:i/>
        </w:rPr>
        <w:t xml:space="preserve">Severidad final: </w:t>
      </w:r>
      <w:r>
        <w:rPr>
          <w:i/>
          <w:color w:val="A6A6A6"/>
        </w:rPr>
        <w:t>⚪</w:t>
      </w:r>
      <w:r>
        <w:rPr>
          <w:i/>
        </w:rPr>
        <w:t xml:space="preserve"> BAJA · Tema T14: Cuidados paliativos y disnea refractaria</w:t>
      </w:r>
    </w:p>
    <w:p>
      <w:pPr>
        <w:pStyle w:val="ListBullet"/>
      </w:pPr>
      <w:r>
        <w:rPr>
          <w:b/>
        </w:rPr>
        <w:t>Tipo:</w:t>
      </w:r>
      <w:r>
        <w:t xml:space="preserve"> Error factual (cita)</w:t>
      </w:r>
    </w:p>
    <w:p>
      <w:pPr>
        <w:pStyle w:val="ListBullet"/>
      </w:pPr>
      <w:r>
        <w:rPr>
          <w:b/>
        </w:rPr>
        <w:t>Severidad:</w:t>
      </w:r>
      <w:r>
        <w:t xml:space="preserve"> BAJA</w:t>
      </w:r>
    </w:p>
    <w:p>
      <w:pPr>
        <w:pStyle w:val="ListBullet"/>
      </w:pPr>
      <w:r>
        <w:rPr>
          <w:b/>
        </w:rPr>
        <w:t>Ubicación:</w:t>
      </w:r>
      <w:r>
        <w:t xml:space="preserve"> PDF 93 / impr. 82</w:t>
      </w:r>
    </w:p>
    <w:p>
      <w:pPr>
        <w:pStyle w:val="ListBullet"/>
      </w:pPr>
      <w:r>
        <w:rPr>
          <w:b/>
        </w:rPr>
        <w:t>Cita:</w:t>
      </w:r>
      <w:r>
        <w:t xml:space="preserve"> "Immediate-release morphine extended exercise endurance time in over half of the patients with advanced COPD in one study.(309)"</w:t>
      </w:r>
    </w:p>
    <w:p>
      <w:pPr>
        <w:pStyle w:val="ListBullet"/>
      </w:pPr>
      <w:r>
        <w:rPr>
          <w:b/>
        </w:rPr>
        <w:t>Problema:</w:t>
      </w:r>
      <w:r>
        <w:t xml:space="preserve"> La ref. 309 es MORDYC (Verberkt 2020, morfina de liberación sostenida durante 4 semanas, desenlace CAT). El estudio que describe la frase es Abdallah 2017 (ref. 806): ensayo cruzado con 20 pacientes, en el que 11/20 respondieron, con unos +2,5 min de resistencia. Dar el dato sin el tamaño muestral exagera su peso.</w:t>
      </w:r>
    </w:p>
    <w:p>
      <w:pPr>
        <w:pStyle w:val="ListBullet"/>
      </w:pPr>
      <w:r>
        <w:rPr>
          <w:b/>
        </w:rPr>
        <w:t>Evidencia/justificación:</w:t>
      </w:r>
      <w:r>
        <w:t xml:space="preserve"> Abdallah SJ et al., </w:t>
      </w:r>
      <w:r>
        <w:rPr>
          <w:i/>
        </w:rPr>
        <w:t>Eur Respir J</w:t>
      </w:r>
      <w:r>
        <w:t xml:space="preserve"> 2017;50:1701235.</w:t>
      </w:r>
    </w:p>
    <w:p>
      <w:pPr>
        <w:pStyle w:val="ListBullet"/>
      </w:pPr>
      <w:r>
        <w:rPr>
          <w:b/>
        </w:rPr>
        <w:t>Recomendación:</w:t>
      </w:r>
      <w:r>
        <w:t xml:space="preserve"> Cambiar la cita a la ref. 806 y añadir «ensayo cruzado, n = 20».</w:t>
      </w:r>
    </w:p>
    <w:p>
      <w:pPr>
        <w:pStyle w:val="ListBullet"/>
      </w:pPr>
      <w:r>
        <w:rPr>
          <w:b/>
        </w:rPr>
        <w:t>Confianza:</w:t>
      </w:r>
      <w:r>
        <w:t xml:space="preserve"> 5/5</w:t>
      </w:r>
    </w:p>
    <w:p>
      <w:pPr>
        <w:pStyle w:val="Heading4"/>
      </w:pPr>
      <w:r>
        <w:t>INT-20 · Citas erróneas o inadecuadas que respaldan afirmaciones clave</w:t>
      </w:r>
    </w:p>
    <w:p>
      <w:r>
        <w:rPr>
          <w:i/>
        </w:rPr>
        <w:t xml:space="preserve">Severidad final: </w:t>
      </w:r>
      <w:r>
        <w:rPr>
          <w:i/>
          <w:color w:val="A6A6A6"/>
        </w:rPr>
        <w:t>⚪</w:t>
      </w:r>
      <w:r>
        <w:rPr>
          <w:i/>
        </w:rPr>
        <w:t xml:space="preserve"> BAJA · Tema T14: Cuidados paliativos y disnea refractaria</w:t>
      </w:r>
    </w:p>
    <w:p>
      <w:pPr>
        <w:pStyle w:val="ListBullet"/>
      </w:pPr>
      <w:r>
        <w:rPr>
          <w:b/>
        </w:rPr>
        <w:t>Tipo:</w:t>
      </w:r>
      <w:r>
        <w:t xml:space="preserve"> Error factual (citas) / Editorial</w:t>
      </w:r>
    </w:p>
    <w:p>
      <w:pPr>
        <w:pStyle w:val="ListBullet"/>
      </w:pPr>
      <w:r>
        <w:rPr>
          <w:b/>
        </w:rPr>
        <w:t>Severidad:</w:t>
      </w:r>
      <w:r>
        <w:t xml:space="preserve"> BAJA</w:t>
      </w:r>
    </w:p>
    <w:p>
      <w:pPr>
        <w:pStyle w:val="ListBullet"/>
      </w:pPr>
      <w:r>
        <w:rPr>
          <w:b/>
        </w:rPr>
        <w:t>Ubicación:</w:t>
      </w:r>
      <w:r>
        <w:t xml:space="preserve"> PDF 93, 95, 92, 98, 99-100 / impr. 82, 84, 81, 87, 88-89</w:t>
      </w:r>
    </w:p>
    <w:p>
      <w:pPr>
        <w:pStyle w:val="ListBullet"/>
      </w:pPr>
      <w:r>
        <w:rPr>
          <w:b/>
        </w:rPr>
        <w:t>Cita:</w:t>
      </w:r>
      <w:r>
        <w:t xml:space="preserve"> "approved for treatment in many countries ... (862,872,873)"; "even prolong survival for patients with advanced lung cancer.(794)"</w:t>
      </w:r>
    </w:p>
    <w:p>
      <w:pPr>
        <w:pStyle w:val="ListBullet"/>
      </w:pPr>
      <w:r>
        <w:rPr>
          <w:b/>
        </w:rPr>
        <w:t>Problema:</w:t>
      </w:r>
    </w:p>
    <w:p>
      <w:pPr>
        <w:pStyle w:val="ListBullet2"/>
      </w:pPr>
      <w:r>
        <w:rPr>
          <w:b/>
        </w:rPr>
        <w:t>Aprobación de las EBV:</w:t>
      </w:r>
      <w:r>
        <w:t xml:space="preserve"> se apoya en las refs. 872 y 873, que son artículos del NETT sobre LVRS quirúrgica.</w:t>
      </w:r>
    </w:p>
    <w:p>
      <w:pPr>
        <w:pStyle w:val="ListBullet2"/>
      </w:pPr>
      <w:r>
        <w:rPr>
          <w:b/>
        </w:rPr>
        <w:t>Supervivencia con paliativos precoces en cáncer de pulmón:</w:t>
      </w:r>
      <w:r>
        <w:t xml:space="preserve"> se cita la ref. 794 (guía NCCN 2012) en lugar del ECA de Temel 2010.</w:t>
      </w:r>
    </w:p>
    <w:p>
      <w:pPr>
        <w:pStyle w:val="ListBullet2"/>
      </w:pPr>
      <w:r>
        <w:rPr>
          <w:b/>
        </w:rPr>
        <w:t>Criterios NHPCO de hospice:</w:t>
      </w:r>
      <w:r>
        <w:t xml:space="preserve"> se citan con las refs. 793 (utilización de recursos) y 794 (NCCN, cáncer).</w:t>
      </w:r>
    </w:p>
    <w:p>
      <w:pPr>
        <w:pStyle w:val="ListBullet2"/>
      </w:pPr>
      <w:r>
        <w:rPr>
          <w:b/>
        </w:rPr>
        <w:t>Recuadro de LVR:</w:t>
      </w:r>
      <w:r>
        <w:t xml:space="preserve"> se apoya en la ref. 859 (Cochrane 2006 de LVRS) para técnicas broncoscópicas.</w:t>
      </w:r>
    </w:p>
    <w:p>
      <w:pPr>
        <w:pStyle w:val="ListBullet2"/>
      </w:pPr>
      <w:r>
        <w:rPr>
          <w:b/>
        </w:rPr>
        <w:t>SUMMIT:</w:t>
      </w:r>
      <w:r>
        <w:t xml:space="preserve"> se cita con su </w:t>
      </w:r>
      <w:r>
        <w:rPr>
          <w:b/>
        </w:rPr>
        <w:t>protocolo</w:t>
      </w:r>
      <w:r>
        <w:t xml:space="preserve"> (ref. 791), no con los resultados (Vestbo, </w:t>
      </w:r>
      <w:r>
        <w:rPr>
          <w:i/>
        </w:rPr>
        <w:t>Lancet</w:t>
      </w:r>
      <w:r>
        <w:t xml:space="preserve"> 2016).</w:t>
      </w:r>
    </w:p>
    <w:p>
      <w:pPr>
        <w:pStyle w:val="ListBullet2"/>
      </w:pPr>
      <w:r>
        <w:rPr>
          <w:b/>
        </w:rPr>
        <w:t>UPLIFT:</w:t>
      </w:r>
      <w:r>
        <w:t xml:space="preserve"> aparece sin referencia.</w:t>
      </w:r>
    </w:p>
    <w:p>
      <w:pPr>
        <w:pStyle w:val="ListBullet2"/>
      </w:pPr>
      <w:r>
        <w:rPr>
          <w:b/>
        </w:rPr>
        <w:t>«Lower number of exacerbations … compared to usual care» (PDF 99):</w:t>
      </w:r>
      <w:r>
        <w:t xml:space="preserve"> no tiene cita.</w:t>
      </w:r>
    </w:p>
    <w:p>
      <w:pPr>
        <w:pStyle w:val="ListBullet2"/>
      </w:pPr>
      <w:r>
        <w:rPr>
          <w:b/>
        </w:rPr>
        <w:t>NHPCO:</w:t>
      </w:r>
      <w:r>
        <w:t xml:space="preserve"> la ref. 831 es una web de 2019 consultada en 2022.</w:t>
      </w:r>
    </w:p>
    <w:p>
      <w:pPr>
        <w:pStyle w:val="ListBullet"/>
      </w:pPr>
      <w:r>
        <w:rPr>
          <w:b/>
        </w:rPr>
        <w:t>Evidencia/justificación:</w:t>
      </w:r>
    </w:p>
    <w:p>
      <w:pPr>
        <w:pStyle w:val="ListBullet2"/>
      </w:pPr>
      <w:r>
        <w:t>Lista de referencias de GOLD (comprobada).</w:t>
      </w:r>
    </w:p>
    <w:p>
      <w:pPr>
        <w:pStyle w:val="ListBullet2"/>
      </w:pPr>
      <w:r>
        <w:t xml:space="preserve">Temel JS et al., </w:t>
      </w:r>
      <w:r>
        <w:rPr>
          <w:i/>
        </w:rPr>
        <w:t>NEJM</w:t>
      </w:r>
      <w:r>
        <w:t xml:space="preserve"> 2010;363:733-42.</w:t>
      </w:r>
    </w:p>
    <w:p>
      <w:pPr>
        <w:pStyle w:val="ListBullet2"/>
      </w:pPr>
      <w:r>
        <w:t xml:space="preserve">Vestbo J et al., </w:t>
      </w:r>
      <w:r>
        <w:rPr>
          <w:i/>
        </w:rPr>
        <w:t>Lancet</w:t>
      </w:r>
      <w:r>
        <w:t xml:space="preserve"> 2016;387:1817-26.</w:t>
      </w:r>
    </w:p>
    <w:p>
      <w:pPr>
        <w:pStyle w:val="ListBullet2"/>
      </w:pPr>
      <w:r>
        <w:t xml:space="preserve">Tashkin DP et al., </w:t>
      </w:r>
      <w:r>
        <w:rPr>
          <w:i/>
        </w:rPr>
        <w:t>NEJM</w:t>
      </w:r>
      <w:r>
        <w:t xml:space="preserve"> 2008;359:1543-54.</w:t>
      </w:r>
    </w:p>
    <w:p>
      <w:pPr>
        <w:pStyle w:val="ListBullet"/>
      </w:pPr>
      <w:r>
        <w:rPr>
          <w:b/>
        </w:rPr>
        <w:t>Recomendación:</w:t>
      </w:r>
      <w:r>
        <w:t xml:space="preserve"> Corregir cada cita. Para la aprobación de las EBV, citar las aprobaciones de la FDA (Zephyr, jun-2018; Spiration, dic-2018) y LIBERATE/EMPROVE.</w:t>
      </w:r>
    </w:p>
    <w:p>
      <w:pPr>
        <w:pStyle w:val="ListBullet"/>
      </w:pPr>
      <w:r>
        <w:rPr>
          <w:b/>
        </w:rPr>
        <w:t>Confianza:</w:t>
      </w:r>
      <w:r>
        <w:t xml:space="preserve"> 5/5</w:t>
      </w:r>
    </w:p>
    <w:p>
      <w:pPr>
        <w:pStyle w:val="Heading4"/>
      </w:pPr>
      <w:r>
        <w:t>INT-21 · Frase confusa sobre las EBV en enfisema heterogéneo y homogéneo</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Ambigüedad/Claridad</w:t>
      </w:r>
    </w:p>
    <w:p>
      <w:pPr>
        <w:pStyle w:val="ListBullet"/>
      </w:pPr>
      <w:r>
        <w:rPr>
          <w:b/>
        </w:rPr>
        <w:t>Severidad:</w:t>
      </w:r>
      <w:r>
        <w:t xml:space="preserve"> BAJA</w:t>
      </w:r>
    </w:p>
    <w:p>
      <w:pPr>
        <w:pStyle w:val="ListBullet"/>
      </w:pPr>
      <w:r>
        <w:rPr>
          <w:b/>
        </w:rPr>
        <w:t>Ubicación:</w:t>
      </w:r>
      <w:r>
        <w:t xml:space="preserve"> PDF 99 / impr. 88</w:t>
      </w:r>
    </w:p>
    <w:p>
      <w:pPr>
        <w:pStyle w:val="ListBullet"/>
      </w:pPr>
      <w:r>
        <w:rPr>
          <w:b/>
        </w:rPr>
        <w:t>Cita:</w:t>
      </w:r>
      <w:r>
        <w:t xml:space="preserve"> "But benefits have also been shown in patients with heterogeneous compared to those with homogenous emphysema in one study.(528)"</w:t>
      </w:r>
    </w:p>
    <w:p>
      <w:pPr>
        <w:pStyle w:val="ListBullet"/>
      </w:pPr>
      <w:r>
        <w:rPr>
          <w:b/>
        </w:rPr>
        <w:t>Problema:</w:t>
      </w:r>
      <w:r>
        <w:t xml:space="preserve"> La frase sugiere una comparación de beneficio entre fenotipos que no existe como tal. STELVIO (ref. 528) incluyó ambos fenotipos, y el ECA específico en enfisema </w:t>
      </w:r>
      <w:r>
        <w:rPr>
          <w:b/>
        </w:rPr>
        <w:t>homogéneo</w:t>
      </w:r>
      <w:r>
        <w:t xml:space="preserve"> es IMPACT (ref. 864), que no se menciona aquí. Además, las referencias de eficacia omiten TRANSFORM (863) y EMPROVE (865).</w:t>
      </w:r>
    </w:p>
    <w:p>
      <w:pPr>
        <w:pStyle w:val="ListBullet"/>
      </w:pPr>
      <w:r>
        <w:rPr>
          <w:b/>
        </w:rPr>
        <w:t>Evidencia/justificación:</w:t>
      </w:r>
    </w:p>
    <w:p>
      <w:pPr>
        <w:pStyle w:val="ListBullet2"/>
      </w:pPr>
      <w:r>
        <w:t xml:space="preserve">Klooster K et al., </w:t>
      </w:r>
      <w:r>
        <w:rPr>
          <w:i/>
        </w:rPr>
        <w:t>NEJM</w:t>
      </w:r>
      <w:r>
        <w:t xml:space="preserve"> 2015 (ref. 528).</w:t>
      </w:r>
    </w:p>
    <w:p>
      <w:pPr>
        <w:pStyle w:val="ListBullet2"/>
      </w:pPr>
      <w:r>
        <w:t xml:space="preserve">Valipour A et al., </w:t>
      </w:r>
      <w:r>
        <w:rPr>
          <w:i/>
        </w:rPr>
        <w:t>AJRCCM</w:t>
      </w:r>
      <w:r>
        <w:t xml:space="preserve"> 2016 (ref. 864).</w:t>
      </w:r>
    </w:p>
    <w:p>
      <w:pPr>
        <w:pStyle w:val="ListBullet"/>
      </w:pPr>
      <w:r>
        <w:rPr>
          <w:b/>
        </w:rPr>
        <w:t>Recomendación:</w:t>
      </w:r>
      <w:r>
        <w:t xml:space="preserve"> Reescribir: «El beneficio se ha demostrado tanto en enfisema heterogéneo (LIBERATE, TRANSFORM, EMPROVE) como homogéneo (IMPACT), siempre en ausencia de ventilación colateral».</w:t>
      </w:r>
    </w:p>
    <w:p>
      <w:pPr>
        <w:pStyle w:val="ListBullet"/>
      </w:pPr>
      <w:r>
        <w:rPr>
          <w:b/>
        </w:rPr>
        <w:t>Confianza:</w:t>
      </w:r>
      <w:r>
        <w:t xml:space="preserve"> 4/5</w:t>
      </w:r>
    </w:p>
    <w:p>
      <w:pPr>
        <w:pStyle w:val="Heading4"/>
      </w:pPr>
      <w:r>
        <w:t>INT-22 · Se equiparan colapso dinámico excesivo de la vía aérea (EDAC) y traqueobroncomalacia</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Error conceptual</w:t>
      </w:r>
    </w:p>
    <w:p>
      <w:pPr>
        <w:pStyle w:val="ListBullet"/>
      </w:pPr>
      <w:r>
        <w:rPr>
          <w:b/>
        </w:rPr>
        <w:t>Severidad:</w:t>
      </w:r>
      <w:r>
        <w:t xml:space="preserve"> BAJA</w:t>
      </w:r>
    </w:p>
    <w:p>
      <w:pPr>
        <w:pStyle w:val="ListBullet"/>
      </w:pPr>
      <w:r>
        <w:rPr>
          <w:b/>
        </w:rPr>
        <w:t>Ubicación:</w:t>
      </w:r>
      <w:r>
        <w:t xml:space="preserve"> PDF 101 / impr. 90 — «Excessive dynamic airway collapse»</w:t>
      </w:r>
    </w:p>
    <w:p>
      <w:pPr>
        <w:pStyle w:val="ListBullet"/>
      </w:pPr>
      <w:r>
        <w:rPr>
          <w:b/>
        </w:rPr>
        <w:t>Cita:</w:t>
      </w:r>
      <w:r>
        <w:t xml:space="preserve"> "Excessive dynamic airway collapse or tracheobronchomalacia is a disorder of the large airways"</w:t>
      </w:r>
    </w:p>
    <w:p>
      <w:pPr>
        <w:pStyle w:val="ListBullet"/>
      </w:pPr>
      <w:r>
        <w:rPr>
          <w:b/>
        </w:rPr>
        <w:t>Problema:</w:t>
      </w:r>
    </w:p>
    <w:p>
      <w:pPr>
        <w:pStyle w:val="ListBullet2"/>
      </w:pPr>
      <w:r>
        <w:t>EDAC (abombamiento de la membrana posterior) y traqueobroncomalacia (debilidad del cartílago) son entidades distintas, con implicaciones terapéuticas diferentes.</w:t>
      </w:r>
    </w:p>
    <w:p>
      <w:pPr>
        <w:pStyle w:val="ListBullet2"/>
      </w:pPr>
      <w:r>
        <w:t>El 5 % de Bhatt 2016 se refiere al «expiratory central airway collapse» en TC.</w:t>
      </w:r>
    </w:p>
    <w:p>
      <w:pPr>
        <w:pStyle w:val="ListBullet2"/>
      </w:pPr>
      <w:r>
        <w:t>El stent y la traqueobroncoplastia solo deben considerarse tras una prueba con CPAP y una broncoscopia dinámica en centros expertos.</w:t>
      </w:r>
    </w:p>
    <w:p>
      <w:pPr>
        <w:pStyle w:val="ListBullet"/>
      </w:pPr>
      <w:r>
        <w:rPr>
          <w:b/>
        </w:rPr>
        <w:t>Evidencia/justificación:</w:t>
      </w:r>
    </w:p>
    <w:p>
      <w:pPr>
        <w:pStyle w:val="ListBullet2"/>
      </w:pPr>
      <w:r>
        <w:t xml:space="preserve">Bhatt SP et al., </w:t>
      </w:r>
      <w:r>
        <w:rPr>
          <w:i/>
        </w:rPr>
        <w:t>JAMA</w:t>
      </w:r>
      <w:r>
        <w:t xml:space="preserve"> 2016;315:498-505 (ref. 893).</w:t>
      </w:r>
    </w:p>
    <w:p>
      <w:pPr>
        <w:pStyle w:val="ListBullet2"/>
      </w:pPr>
      <w:r>
        <w:t>Revisiones de Murgu S y Colt H (</w:t>
      </w:r>
      <w:r>
        <w:rPr>
          <w:i/>
        </w:rPr>
        <w:t>Chest</w:t>
      </w:r>
      <w:r>
        <w:t xml:space="preserve"> 2006) y de Kheir F y Majid A (</w:t>
      </w:r>
      <w:r>
        <w:rPr>
          <w:i/>
        </w:rPr>
        <w:t>Semin Respir Crit Care Med</w:t>
      </w:r>
      <w:r>
        <w:t xml:space="preserve"> 2018). Conf. 4.</w:t>
      </w:r>
    </w:p>
    <w:p>
      <w:pPr>
        <w:pStyle w:val="ListBullet"/>
      </w:pPr>
      <w:r>
        <w:rPr>
          <w:b/>
        </w:rPr>
        <w:t>Recomendación:</w:t>
      </w:r>
      <w:r>
        <w:t xml:space="preserve"> Diferenciar las dos entidades y definir la secuencia diagnóstica y terapéutica: broncoscopia dinámica, CPAP, prueba con stent temporal y cirugía en casos seleccionados.</w:t>
      </w:r>
    </w:p>
    <w:p>
      <w:pPr>
        <w:pStyle w:val="ListBullet"/>
      </w:pPr>
      <w:r>
        <w:rPr>
          <w:b/>
        </w:rPr>
        <w:t>Confianza:</w:t>
      </w:r>
      <w:r>
        <w:t xml:space="preserve"> 4/5</w:t>
      </w:r>
    </w:p>
    <w:p>
      <w:pPr>
        <w:pStyle w:val="Heading4"/>
      </w:pPr>
      <w:r>
        <w:t>INT-23 · Coste de la LVRS presentado de forma sesgada</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98 / impr. 87</w:t>
      </w:r>
    </w:p>
    <w:p>
      <w:pPr>
        <w:pStyle w:val="ListBullet"/>
      </w:pPr>
      <w:r>
        <w:rPr>
          <w:b/>
        </w:rPr>
        <w:t>Cita:</w:t>
      </w:r>
      <w:r>
        <w:t xml:space="preserve"> "A prospective economic analysis in NETT indicated that LVRS is costly relative to healthcare programs that do not include surgery.(852)"</w:t>
      </w:r>
    </w:p>
    <w:p>
      <w:pPr>
        <w:pStyle w:val="ListBullet"/>
      </w:pPr>
      <w:r>
        <w:rPr>
          <w:b/>
        </w:rPr>
        <w:t>Problema:</w:t>
      </w:r>
      <w:r>
        <w:t xml:space="preserve"> Ramsey 2003 concluyó que la LVRS es cara a 3 años, pero que su coste-efectividad mejora claramente a 10 años y es más favorable en el subgrupo de lóbulo superior y baja capacidad de ejercicio. Citar solo «costly» desincentiva una intervención infrautilizada, algo que el propio texto lamenta en el párrafo siguiente.</w:t>
      </w:r>
    </w:p>
    <w:p>
      <w:pPr>
        <w:pStyle w:val="ListBullet"/>
      </w:pPr>
      <w:r>
        <w:rPr>
          <w:b/>
        </w:rPr>
        <w:t>Evidencia/justificación:</w:t>
      </w:r>
      <w:r>
        <w:t xml:space="preserve"> Ramsey SD et al., </w:t>
      </w:r>
      <w:r>
        <w:rPr>
          <w:i/>
        </w:rPr>
        <w:t>NEJM</w:t>
      </w:r>
      <w:r>
        <w:t xml:space="preserve"> 2003;348:2092-102: aproximadamente 190.000 USD/AVAC a 3 años, proyectado a unos 53.000 USD/AVAC a 10 años. Las cifras son aproximadas (conf. 3).</w:t>
      </w:r>
    </w:p>
    <w:p>
      <w:pPr>
        <w:pStyle w:val="ListBullet"/>
      </w:pPr>
      <w:r>
        <w:rPr>
          <w:b/>
        </w:rPr>
        <w:t>Recomendación:</w:t>
      </w:r>
      <w:r>
        <w:t xml:space="preserve"> Añadir que el coste-efectividad es aceptable a largo plazo en los subgrupos seleccionados.</w:t>
      </w:r>
    </w:p>
    <w:p>
      <w:pPr>
        <w:pStyle w:val="ListBullet"/>
      </w:pPr>
      <w:r>
        <w:rPr>
          <w:b/>
        </w:rPr>
        <w:t>Confianza:</w:t>
      </w:r>
      <w:r>
        <w:t xml:space="preserve"> 3/5</w:t>
      </w:r>
    </w:p>
    <w:p>
      <w:pPr>
        <w:pStyle w:val="Heading4"/>
      </w:pPr>
      <w:r>
        <w:t>DX-06 · PURE: cifra de población sana errónea y confusión región/raza</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42 / impr. 31</w:t>
      </w:r>
    </w:p>
    <w:p>
      <w:pPr>
        <w:pStyle w:val="ListBullet"/>
      </w:pPr>
      <w:r>
        <w:rPr>
          <w:b/>
        </w:rPr>
        <w:t>Cita:</w:t>
      </w:r>
      <w:r>
        <w:t xml:space="preserve"> «…analyzed pre-bronchodilator spirometry data from 153,996 healthy people with &lt; 5 pack-year smoking histories in 17 countries and observed wide variation by region.(92)»</w:t>
      </w:r>
    </w:p>
    <w:p>
      <w:pPr>
        <w:pStyle w:val="ListBullet"/>
      </w:pPr>
      <w:r>
        <w:rPr>
          <w:b/>
        </w:rPr>
        <w:t>Problema:</w:t>
      </w:r>
    </w:p>
    <w:p>
      <w:pPr>
        <w:pStyle w:val="ListBullet2"/>
      </w:pPr>
      <w:r>
        <w:t>153.996 es el total de participantes de PURE. El análisis de valores de referencia se hizo en un subgrupo sano y asintomático de unos 38.500 no fumadores.</w:t>
      </w:r>
    </w:p>
    <w:p>
      <w:pPr>
        <w:pStyle w:val="ListBullet2"/>
      </w:pPr>
      <w:r>
        <w:t>El párrafo usa diferencias geográficas o socioeconómicas por región para argumentar sobre la «race-correction», mezclando región de residencia con raza/etnia.</w:t>
      </w:r>
    </w:p>
    <w:p>
      <w:pPr>
        <w:pStyle w:val="ListBullet"/>
      </w:pPr>
      <w:r>
        <w:rPr>
          <w:b/>
        </w:rPr>
        <w:t>Evidencia/justificación:</w:t>
      </w:r>
      <w:r>
        <w:t xml:space="preserve"> Duong M et al. </w:t>
      </w:r>
      <w:r>
        <w:rPr>
          <w:i/>
        </w:rPr>
        <w:t>Global differences in lung function by region (PURE)</w:t>
      </w:r>
      <w:r>
        <w:t>. Lancet Respir Med 2013;1:599-609 (doi:10.1016/S2213-2600(13)70164-4). En los resultados, los análisis de función pulmonar sana se limitan a 38.517 participantes asintomáticos no fumadores de 153.996 cribados.</w:t>
      </w:r>
    </w:p>
    <w:p>
      <w:pPr>
        <w:pStyle w:val="ListBullet"/>
      </w:pPr>
      <w:r>
        <w:rPr>
          <w:b/>
        </w:rPr>
        <w:t>Recomendación:</w:t>
      </w:r>
    </w:p>
    <w:p>
      <w:pPr>
        <w:pStyle w:val="ListBullet2"/>
      </w:pPr>
      <w:r>
        <w:t>Corregir a «de 153.996 participantes, ~38.500 adultos sanos asintomáticos no fumadores».</w:t>
      </w:r>
    </w:p>
    <w:p>
      <w:pPr>
        <w:pStyle w:val="ListBullet2"/>
      </w:pPr>
      <w:r>
        <w:t>Aclarar que las diferencias son regionales (en parte socioeconómicas y nutricionales), lo que de hecho refuerza el argumento race-neutral.</w:t>
      </w:r>
    </w:p>
    <w:p>
      <w:pPr>
        <w:pStyle w:val="ListBullet"/>
      </w:pPr>
      <w:r>
        <w:rPr>
          <w:b/>
        </w:rPr>
        <w:t>Confianza:</w:t>
      </w:r>
      <w:r>
        <w:t xml:space="preserve"> 4/5</w:t>
      </w:r>
    </w:p>
    <w:p>
      <w:pPr>
        <w:pStyle w:val="Heading4"/>
      </w:pPr>
      <w:r>
        <w:t>DX-23 · Fig. 2.5B: los valores rotulados no corresponden a la curva dibujada</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Editorial / Incongruencia texto-figura</w:t>
      </w:r>
    </w:p>
    <w:p>
      <w:pPr>
        <w:pStyle w:val="ListBullet"/>
      </w:pPr>
      <w:r>
        <w:rPr>
          <w:b/>
        </w:rPr>
        <w:t>Severidad:</w:t>
      </w:r>
      <w:r>
        <w:t xml:space="preserve"> BAJA</w:t>
      </w:r>
    </w:p>
    <w:p>
      <w:pPr>
        <w:pStyle w:val="ListBullet"/>
      </w:pPr>
      <w:r>
        <w:rPr>
          <w:b/>
        </w:rPr>
        <w:t>Ubicación:</w:t>
      </w:r>
      <w:r>
        <w:t xml:space="preserve"> Fig. 2.5B (PDF 39 / impr. 28)</w:t>
      </w:r>
    </w:p>
    <w:p>
      <w:pPr>
        <w:pStyle w:val="ListBullet"/>
      </w:pPr>
      <w:r>
        <w:rPr>
          <w:b/>
        </w:rPr>
        <w:t>Cita:</w:t>
      </w:r>
      <w:r>
        <w:t xml:space="preserve"> Rótulos de la figura: «FEV1 = 1.8 L», «FVC = 3.2 L», «FEV1/FVC = 0.56».</w:t>
      </w:r>
    </w:p>
    <w:p>
      <w:pPr>
        <w:pStyle w:val="ListBullet"/>
      </w:pPr>
      <w:r>
        <w:rPr>
          <w:b/>
        </w:rPr>
        <w:t>Problema:</w:t>
      </w:r>
    </w:p>
    <w:p>
      <w:pPr>
        <w:pStyle w:val="ListBullet2"/>
      </w:pPr>
      <w:r>
        <w:t>En la curva volumen-tiempo trazada, el FEV1 a 1 s queda en ≈1,5 L y la meseta de la FVC en ≈3,05 L, lo que da un cociente gráfico ≈0,49 frente al 0,56 rotulado (verificado con recorte ampliado).</w:t>
      </w:r>
    </w:p>
    <w:p>
      <w:pPr>
        <w:pStyle w:val="ListBullet2"/>
      </w:pPr>
      <w:r>
        <w:t>La Fig. 2.5A sí es coherente.</w:t>
      </w:r>
    </w:p>
    <w:p>
      <w:pPr>
        <w:pStyle w:val="ListBullet2"/>
      </w:pPr>
      <w:r>
        <w:t>En una figura docente, esta discrepancia confunde a quien aprende a leer la curva.</w:t>
      </w:r>
    </w:p>
    <w:p>
      <w:pPr>
        <w:pStyle w:val="ListBullet"/>
      </w:pPr>
      <w:r>
        <w:rPr>
          <w:b/>
        </w:rPr>
        <w:t>Evidencia/justificación:</w:t>
      </w:r>
      <w:r>
        <w:t xml:space="preserve"> Inspección visual ampliada del PNG p039.</w:t>
      </w:r>
    </w:p>
    <w:p>
      <w:pPr>
        <w:pStyle w:val="ListBullet"/>
      </w:pPr>
      <w:r>
        <w:rPr>
          <w:b/>
        </w:rPr>
        <w:t>Recomendación:</w:t>
      </w:r>
      <w:r>
        <w:t xml:space="preserve"> Redibujar la curva o ajustar los rótulos para que coincidan.</w:t>
      </w:r>
    </w:p>
    <w:p>
      <w:pPr>
        <w:pStyle w:val="ListBullet"/>
      </w:pPr>
      <w:r>
        <w:rPr>
          <w:b/>
        </w:rPr>
        <w:t>Confianza:</w:t>
      </w:r>
      <w:r>
        <w:t xml:space="preserve"> 4/5</w:t>
      </w:r>
    </w:p>
    <w:p>
      <w:pPr>
        <w:pStyle w:val="Heading4"/>
      </w:pPr>
      <w:r>
        <w:t>DX-24 · Fig. 2.3: insuficiencia cardiaca descrita como «restricción, no obstrucción»</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Ambigüedad / Omisión</w:t>
      </w:r>
    </w:p>
    <w:p>
      <w:pPr>
        <w:pStyle w:val="ListBullet"/>
      </w:pPr>
      <w:r>
        <w:rPr>
          <w:b/>
        </w:rPr>
        <w:t>Severidad:</w:t>
      </w:r>
      <w:r>
        <w:t xml:space="preserve"> BAJA</w:t>
      </w:r>
    </w:p>
    <w:p>
      <w:pPr>
        <w:pStyle w:val="ListBullet"/>
      </w:pPr>
      <w:r>
        <w:rPr>
          <w:b/>
        </w:rPr>
        <w:t>Ubicación:</w:t>
      </w:r>
      <w:r>
        <w:t xml:space="preserve"> Fig. 2.3 «Differential Diagnosis of COPD» (PDF 36 / impr. 25)</w:t>
      </w:r>
    </w:p>
    <w:p>
      <w:pPr>
        <w:pStyle w:val="ListBullet"/>
      </w:pPr>
      <w:r>
        <w:rPr>
          <w:b/>
        </w:rPr>
        <w:t>Cita:</w:t>
      </w:r>
      <w:r>
        <w:t xml:space="preserve"> Entrada de insuficiencia cardiaca congestiva: «…Pulmonary function tests indicate volume restriction, not airflow obstruction».</w:t>
      </w:r>
    </w:p>
    <w:p>
      <w:pPr>
        <w:pStyle w:val="ListBullet"/>
      </w:pPr>
      <w:r>
        <w:rPr>
          <w:b/>
        </w:rPr>
        <w:t>Problema:</w:t>
      </w:r>
    </w:p>
    <w:p>
      <w:pPr>
        <w:pStyle w:val="ListBullet2"/>
      </w:pPr>
      <w:r>
        <w:t>La congestión pulmonar puede producir obstrucción espirométrica (cociente &lt;0,7) que revierte con la euvolemia. Esto causa falsos diagnósticos de EPOC en pacientes con insuficiencia cardiaca, y a la inversa la EPOC se infradiagnostica en ellos.</w:t>
      </w:r>
    </w:p>
    <w:p>
      <w:pPr>
        <w:pStyle w:val="ListBullet2"/>
      </w:pPr>
      <w:r>
        <w:t>La figura no aconseja hacer la espirometría en situación de euvolemia.</w:t>
      </w:r>
    </w:p>
    <w:p>
      <w:pPr>
        <w:pStyle w:val="ListBullet2"/>
      </w:pPr>
      <w:r>
        <w:t>Faltan diagnósticos diferenciales espirométricos relevantes: obstrucción de vía aérea central (morfología de la curva flujo-volumen) y EPID/CPFE.</w:t>
      </w:r>
    </w:p>
    <w:p>
      <w:pPr>
        <w:pStyle w:val="ListBullet"/>
      </w:pPr>
      <w:r>
        <w:rPr>
          <w:b/>
        </w:rPr>
        <w:t>Evidencia/justificación:</w:t>
      </w:r>
    </w:p>
    <w:p>
      <w:pPr>
        <w:pStyle w:val="ListBullet2"/>
      </w:pPr>
      <w:r>
        <w:t>Güder G et al. Eur J Heart Fail 2014;16:1273-1282 (PMID 25345927): obstrucción espirométrica y sobrediagnóstico de EPOC en la insuficiencia cardiaca.</w:t>
      </w:r>
    </w:p>
    <w:p>
      <w:pPr>
        <w:pStyle w:val="ListBullet2"/>
      </w:pPr>
      <w:r>
        <w:t>Güder G et al. J Card Fail 2012;18:637-644 (PMID 22858080): la insuficiencia cardiaca modifica la clasificación de gravedad de la EPOC.</w:t>
      </w:r>
    </w:p>
    <w:p>
      <w:pPr>
        <w:pStyle w:val="ListBullet2"/>
      </w:pPr>
      <w:r>
        <w:t>Minasian AG et al. Heart Lung 2013;42:365-371 (PMID 23998385) y Transl Respir Med 2014;2:12 (PMID 25285269): en la IC crónica la obstrucción es menos frecuente de lo supuesto y deben usarse pruebas seriadas en estabilidad.</w:t>
      </w:r>
    </w:p>
    <w:p>
      <w:pPr>
        <w:pStyle w:val="ListBullet"/>
      </w:pPr>
      <w:r>
        <w:rPr>
          <w:b/>
        </w:rPr>
        <w:t>Recomendación:</w:t>
      </w:r>
      <w:r>
        <w:t xml:space="preserve"> Cambiar a «puede mostrar restricción u obstrucción reversible con diuresis; realizar la espirometría en euvolemia». Añadir la obstrucción de vía aérea central y la CPFE al diagnóstico diferencial.</w:t>
      </w:r>
    </w:p>
    <w:p>
      <w:pPr>
        <w:pStyle w:val="ListBullet"/>
      </w:pPr>
      <w:r>
        <w:rPr>
          <w:b/>
        </w:rPr>
        <w:t>Confianza:</w:t>
      </w:r>
      <w:r>
        <w:t xml:space="preserve"> 3/5</w:t>
      </w:r>
    </w:p>
    <w:p>
      <w:pPr>
        <w:pStyle w:val="Heading4"/>
      </w:pPr>
      <w:r>
        <w:t>EPI-21 · VIH y EPOC: inferencia causal no respaldada</w:t>
      </w:r>
    </w:p>
    <w:p>
      <w:r>
        <w:rPr>
          <w:i/>
        </w:rPr>
        <w:t xml:space="preserve">Severidad final: </w:t>
      </w:r>
      <w:r>
        <w:rPr>
          <w:i/>
          <w:color w:val="A6A6A6"/>
        </w:rPr>
        <w:t>⚪</w:t>
      </w:r>
      <w:r>
        <w:rPr>
          <w:i/>
        </w:rPr>
        <w:t xml:space="preserve"> BAJA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26 / impr. 15 — Infections</w:t>
      </w:r>
    </w:p>
    <w:p>
      <w:pPr>
        <w:pStyle w:val="ListBullet"/>
      </w:pPr>
      <w:r>
        <w:rPr>
          <w:b/>
        </w:rPr>
        <w:t>Cita:</w:t>
      </w:r>
      <w:r>
        <w:t xml:space="preserve"> «patients with HIV are at increased risk of COPD… probably due to methylation disruptions in airway epithelium.(164,220,221)»</w:t>
      </w:r>
    </w:p>
    <w:p>
      <w:pPr>
        <w:pStyle w:val="ListBullet"/>
      </w:pPr>
      <w:r>
        <w:rPr>
          <w:b/>
        </w:rPr>
        <w:t>Problema:</w:t>
      </w:r>
    </w:p>
    <w:p>
      <w:pPr>
        <w:pStyle w:val="ListBullet2"/>
      </w:pPr>
      <w:r>
        <w:rPr>
          <w:b/>
        </w:rPr>
        <w:t>La única referencia pertinente (ref 220) es transversal y asociativa.</w:t>
      </w:r>
      <w:r>
        <w:t xml:space="preserve"> Las otras dos son erróneas (EPI-01).</w:t>
      </w:r>
    </w:p>
    <w:p>
      <w:pPr>
        <w:pStyle w:val="ListBullet2"/>
      </w:pPr>
      <w:r>
        <w:rPr>
          <w:b/>
        </w:rPr>
        <w:t>Atribuir el exceso de riesgo «probablemente» a la metilación</w:t>
      </w:r>
      <w:r>
        <w:t xml:space="preserve"> ignora mecanismos mejor documentados: tabaquismo muy prevalente, infecciones respiratorias recurrentes, TB, inflamación crónica e inicio tardío del tratamiento antirretroviral.</w:t>
      </w:r>
    </w:p>
    <w:p>
      <w:pPr>
        <w:pStyle w:val="ListBullet"/>
      </w:pPr>
      <w:r>
        <w:rPr>
          <w:b/>
        </w:rPr>
        <w:t>Evidencia/justificación:</w:t>
      </w:r>
      <w:r>
        <w:t xml:space="preserve"> Hernández Cordero AI et al., </w:t>
      </w:r>
      <w:r>
        <w:rPr>
          <w:i/>
        </w:rPr>
        <w:t>Thorax</w:t>
      </w:r>
      <w:r>
        <w:t xml:space="preserve"> 2021;76(5) (ref 220; asociación de la metilación con la obstrucción en personas con VIH). Bigna JJ et al., revisión sistemática de la prevalencia de EPOC en VIH (ref 218).</w:t>
      </w:r>
    </w:p>
    <w:p>
      <w:pPr>
        <w:pStyle w:val="ListBullet"/>
      </w:pPr>
      <w:r>
        <w:rPr>
          <w:b/>
        </w:rPr>
        <w:t>Recomendación:</w:t>
      </w:r>
      <w:r>
        <w:t xml:space="preserve"> Sustituir por «posiblemente multifactorial (tabaco, infecciones, inflamación persistente; se han descrito alteraciones epigenéticas)».</w:t>
      </w:r>
    </w:p>
    <w:p>
      <w:pPr>
        <w:pStyle w:val="ListBullet"/>
      </w:pPr>
      <w:r>
        <w:rPr>
          <w:b/>
        </w:rPr>
        <w:t>Confianza:</w:t>
      </w:r>
      <w:r>
        <w:t xml:space="preserve"> 4/5</w:t>
      </w:r>
    </w:p>
    <w:p>
      <w:pPr>
        <w:pStyle w:val="Heading4"/>
      </w:pPr>
      <w:r>
        <w:t>IA-24 · Definición de IA y taxonomía de la Figura 6.1, imprecisas</w:t>
      </w:r>
    </w:p>
    <w:p>
      <w:r>
        <w:rPr>
          <w:i/>
        </w:rPr>
        <w:t xml:space="preserve">Severidad final: </w:t>
      </w:r>
      <w:r>
        <w:rPr>
          <w:i/>
          <w:color w:val="A6A6A6"/>
        </w:rPr>
        <w:t>⚪</w:t>
      </w:r>
      <w:r>
        <w:rPr>
          <w:i/>
        </w:rPr>
        <w:t xml:space="preserve"> BAJA · Tema T20: Telesalud e inteligencia artificial</w:t>
      </w:r>
    </w:p>
    <w:p>
      <w:pPr>
        <w:pStyle w:val="ListBullet"/>
      </w:pPr>
      <w:r>
        <w:rPr>
          <w:b/>
        </w:rPr>
        <w:t>Tipo:</w:t>
      </w:r>
      <w:r>
        <w:t xml:space="preserve"> Ambigüedad/Claridad</w:t>
      </w:r>
    </w:p>
    <w:p>
      <w:pPr>
        <w:pStyle w:val="ListBullet"/>
      </w:pPr>
      <w:r>
        <w:rPr>
          <w:b/>
        </w:rPr>
        <w:t>Severidad:</w:t>
      </w:r>
      <w:r>
        <w:t xml:space="preserve"> BAJA</w:t>
      </w:r>
    </w:p>
    <w:p>
      <w:pPr>
        <w:pStyle w:val="ListBullet"/>
      </w:pPr>
      <w:r>
        <w:rPr>
          <w:b/>
        </w:rPr>
        <w:t>Ubicación:</w:t>
      </w:r>
      <w:r>
        <w:t xml:space="preserve"> Cap. 6, PDF 142 / impr. 131; Figura 6.1, PDF 143 / impr. 132</w:t>
      </w:r>
    </w:p>
    <w:p>
      <w:pPr>
        <w:pStyle w:val="ListBullet"/>
      </w:pPr>
      <w:r>
        <w:rPr>
          <w:b/>
        </w:rPr>
        <w:t>Cita:</w:t>
      </w:r>
      <w:r>
        <w:t xml:space="preserve"> "The term artificial intelligence refers to a set of rules (algorithms) that enable computers to learn…"; Figura 6.1: NLP "focused on analyzing and generating human language from medical text"</w:t>
      </w:r>
    </w:p>
    <w:p>
      <w:pPr>
        <w:pStyle w:val="ListBullet"/>
      </w:pPr>
      <w:r>
        <w:rPr>
          <w:b/>
        </w:rPr>
        <w:t>Problema:</w:t>
      </w:r>
    </w:p>
    <w:p>
      <w:pPr>
        <w:pStyle w:val="ListBullet2"/>
      </w:pPr>
      <w:r>
        <w:t>La definición confunde la IA con el aprendizaje automático (la IA incluye también sistemas basados en reglas que no "aprenden").</w:t>
      </w:r>
    </w:p>
    <w:p>
      <w:pPr>
        <w:pStyle w:val="ListBullet2"/>
      </w:pPr>
      <w:r>
        <w:t>La Figura 6.1 mezcla en una misma lista paradigmas de aprendizaje (supervisado, no supervisado, por refuerzo), arquitecturas (redes neuronales, aprendizaje profundo) y familias de aplicación (procesamiento del lenguaje natural, LLM, IA generativa) sin jerarquía.</w:t>
      </w:r>
    </w:p>
    <w:p>
      <w:pPr>
        <w:pStyle w:val="ListBullet2"/>
      </w:pPr>
      <w:r>
        <w:t>Restringe el procesamiento del lenguaje natural a "medical text".</w:t>
      </w:r>
    </w:p>
    <w:p>
      <w:pPr>
        <w:pStyle w:val="ListBullet"/>
      </w:pPr>
      <w:r>
        <w:rPr>
          <w:b/>
        </w:rPr>
        <w:t>Evidencia/justificación:</w:t>
      </w:r>
      <w:r>
        <w:t xml:space="preserve"> Hay definiciones estándar: OCDE y Ley de IA de la UE, art. 3(1).</w:t>
      </w:r>
    </w:p>
    <w:p>
      <w:pPr>
        <w:pStyle w:val="ListBullet"/>
      </w:pPr>
      <w:r>
        <w:rPr>
          <w:b/>
        </w:rPr>
        <w:t>Recomendación:</w:t>
      </w:r>
    </w:p>
    <w:p>
      <w:pPr>
        <w:pStyle w:val="ListBullet2"/>
      </w:pPr>
      <w:r>
        <w:t>Adoptar la definición de la OCDE o de la Ley de IA.</w:t>
      </w:r>
    </w:p>
    <w:p>
      <w:pPr>
        <w:pStyle w:val="ListBullet2"/>
      </w:pPr>
      <w:r>
        <w:t>Reorganizar la figura de forma jerárquica (paradigmas, arquitecturas, aplicaciones).</w:t>
      </w:r>
    </w:p>
    <w:p>
      <w:pPr>
        <w:pStyle w:val="ListBullet"/>
      </w:pPr>
      <w:r>
        <w:rPr>
          <w:b/>
        </w:rPr>
        <w:t>Confianza:</w:t>
      </w:r>
      <w:r>
        <w:t xml:space="preserve"> 4/5</w:t>
      </w:r>
    </w:p>
    <w:p>
      <w:pPr>
        <w:pStyle w:val="Heading4"/>
      </w:pPr>
      <w:r>
        <w:t>MET-21 · Erratas y redundancias en las figuras con niveles de evidencia</w:t>
      </w:r>
    </w:p>
    <w:p>
      <w:r>
        <w:rPr>
          <w:i/>
        </w:rPr>
        <w:t xml:space="preserve">Severidad final: </w:t>
      </w:r>
      <w:r>
        <w:rPr>
          <w:i/>
          <w:color w:val="A6A6A6"/>
        </w:rPr>
        <w:t>⚪</w:t>
      </w:r>
      <w:r>
        <w:rPr>
          <w:i/>
        </w:rPr>
        <w:t xml:space="preserve"> BAJA · Tema T21: Metodología y niveles de evidencia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Fig 3.22 (PDF 97 / impr. 86); Fig 3.17 (PDF 88 / impr. 77); Fig 3.20 (PDF 93 / impr. 82); Fig A3.3 (PDF 160 / impr. 149); Fig 3.19 (PDF 91 / impr. 80); texto (PDF 117 / impr. 106)</w:t>
      </w:r>
    </w:p>
    <w:p>
      <w:pPr>
        <w:pStyle w:val="ListBullet"/>
      </w:pPr>
      <w:r>
        <w:rPr>
          <w:b/>
        </w:rPr>
        <w:t>Cita:</w:t>
      </w:r>
      <w:r>
        <w:t xml:space="preserve"> «Nutritional supplementation should be considered in malnourished patients with COPD (Evidence B) as it may improve respiratory muscle strength and overall health status (Evidence B)»</w:t>
      </w:r>
    </w:p>
    <w:p>
      <w:pPr>
        <w:pStyle w:val="ListBullet"/>
      </w:pPr>
      <w:r>
        <w:rPr>
          <w:b/>
        </w:rPr>
        <w:t>Problema:</w:t>
      </w:r>
    </w:p>
    <w:p>
      <w:pPr>
        <w:pStyle w:val="ListBullet2"/>
      </w:pPr>
      <w:r>
        <w:rPr>
          <w:b/>
        </w:rPr>
        <w:t>Fig 3.22.</w:t>
      </w:r>
      <w:r>
        <w:t xml:space="preserve"> «upper-lobe» aparece sin sustantivo (falta «emphysema»).</w:t>
      </w:r>
    </w:p>
    <w:p>
      <w:pPr>
        <w:pStyle w:val="ListBullet2"/>
      </w:pPr>
      <w:r>
        <w:rPr>
          <w:b/>
        </w:rPr>
        <w:t>Duplicaciones:</w:t>
      </w:r>
    </w:p>
    <w:p>
      <w:pPr>
        <w:pStyle w:val="ListBullet2"/>
      </w:pPr>
      <w:r>
        <w:t>dos viñetas de NPPV en la Fig 3.17;</w:t>
      </w:r>
    </w:p>
    <w:p>
      <w:pPr>
        <w:pStyle w:val="ListBullet2"/>
      </w:pPr>
      <w:r>
        <w:t>un «(Evidence B)» repetido en la misma viñeta de la Fig 3.20;</w:t>
      </w:r>
    </w:p>
    <w:p>
      <w:pPr>
        <w:pStyle w:val="ListBullet2"/>
      </w:pPr>
      <w:r>
        <w:t>dos viñetas de estatinas con nivel A en la Fig A3.3.</w:t>
      </w:r>
    </w:p>
    <w:p>
      <w:pPr>
        <w:pStyle w:val="ListBullet2"/>
      </w:pPr>
      <w:r>
        <w:rPr>
          <w:b/>
        </w:rPr>
        <w:t>PDF 117.</w:t>
      </w:r>
      <w:r>
        <w:t xml:space="preserve"> Errata «cardon dioxide».</w:t>
      </w:r>
    </w:p>
    <w:p>
      <w:pPr>
        <w:pStyle w:val="ListBullet2"/>
      </w:pPr>
      <w:r>
        <w:rPr>
          <w:b/>
        </w:rPr>
        <w:t>Fig 3.19.</w:t>
      </w:r>
      <w:r>
        <w:t xml:space="preserve"> Bajo el título «Evidence Supporting a Reduction in Mortality» incluye la rehabilitación pulmonar con «New trials: RR 0.68 (95% CI 0.28, 1.67)», un resultado no significativo, aunque matizado por una nota al pie.</w:t>
      </w:r>
    </w:p>
    <w:p>
      <w:pPr>
        <w:pStyle w:val="ListBullet"/>
      </w:pPr>
      <w:r>
        <w:rPr>
          <w:b/>
        </w:rPr>
        <w:t>Evidencia/justificación:</w:t>
      </w:r>
      <w:r>
        <w:t xml:space="preserve"> Inspección visual de las figuras.</w:t>
      </w:r>
    </w:p>
    <w:p>
      <w:pPr>
        <w:pStyle w:val="ListBullet"/>
      </w:pPr>
      <w:r>
        <w:rPr>
          <w:b/>
        </w:rPr>
        <w:t>Recomendación:</w:t>
      </w:r>
      <w:r>
        <w:t xml:space="preserve"> Corrección editorial; para la rehabilitación pulmonar en la Fig 3.19, indicar «evidencia inconsistente» en la propia celda.</w:t>
      </w:r>
    </w:p>
    <w:p>
      <w:pPr>
        <w:pStyle w:val="ListBullet"/>
      </w:pPr>
      <w:r>
        <w:rPr>
          <w:b/>
        </w:rPr>
        <w:t>Confianza:</w:t>
      </w:r>
      <w:r>
        <w:t xml:space="preserve"> 5</w:t>
      </w:r>
    </w:p>
    <w:p>
      <w:pPr>
        <w:pStyle w:val="Heading4"/>
      </w:pPr>
      <w:r>
        <w:t>MET-19 · Referencias duplicadas y versiones Cochrane superadas</w:t>
      </w:r>
    </w:p>
    <w:p>
      <w:r>
        <w:rPr>
          <w:i/>
        </w:rPr>
        <w:t xml:space="preserve">Severidad final: </w:t>
      </w:r>
      <w:r>
        <w:rPr>
          <w:i/>
          <w:color w:val="A6A6A6"/>
        </w:rPr>
        <w:t>⚪</w:t>
      </w:r>
      <w:r>
        <w:rPr>
          <w:i/>
        </w:rPr>
        <w:t xml:space="preserve"> BAJA · Tema T23: Integridad de citas y referencias</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Lista de referencias (PDF 175-248 / impr. 164-237), p. ej. refs 1345 y 1363 (ambas en PDF 230 / impr. 219)</w:t>
      </w:r>
    </w:p>
    <w:p>
      <w:pPr>
        <w:pStyle w:val="ListBullet"/>
      </w:pPr>
      <w:r>
        <w:rPr>
          <w:b/>
        </w:rPr>
        <w:t>Cita:</w:t>
      </w:r>
      <w:r>
        <w:t xml:space="preserve"> «Incalzi RA, Corsonello A, Pedone C, et al. Chronic renal failure: a neglected comorbidity of COPD. Chest 2010» (idéntica en las refs 1345 y 1363)</w:t>
      </w:r>
    </w:p>
    <w:p>
      <w:pPr>
        <w:pStyle w:val="ListBullet"/>
      </w:pPr>
      <w:r>
        <w:rPr>
          <w:b/>
        </w:rPr>
        <w:t>Problema:</w:t>
      </w:r>
    </w:p>
    <w:p>
      <w:pPr>
        <w:pStyle w:val="ListBullet2"/>
      </w:pPr>
      <w:r>
        <w:rPr>
          <w:b/>
        </w:rPr>
        <w:t>Cinco referencias duplicadas</w:t>
      </w:r>
      <w:r>
        <w:t xml:space="preserve"> con dos números:</w:t>
      </w:r>
    </w:p>
    <w:p>
      <w:pPr>
        <w:pStyle w:val="ListBullet2"/>
      </w:pPr>
      <w:r>
        <w:t>114 = 423 (Melén, Lancet 2024);</w:t>
      </w:r>
    </w:p>
    <w:p>
      <w:pPr>
        <w:pStyle w:val="ListBullet2"/>
      </w:pPr>
      <w:r>
        <w:t>414 = 1209 (NLST, NEJM 2011);</w:t>
      </w:r>
    </w:p>
    <w:p>
      <w:pPr>
        <w:pStyle w:val="ListBullet2"/>
      </w:pPr>
      <w:r>
        <w:t>1345 = 1363 (Incalzi, Chest 2010);</w:t>
      </w:r>
    </w:p>
    <w:p>
      <w:pPr>
        <w:pStyle w:val="ListBullet2"/>
      </w:pPr>
      <w:r>
        <w:t>492 = 694 (ETHOS, NEJM 2020; la 694 sin URL);</w:t>
      </w:r>
    </w:p>
    <w:p>
      <w:pPr>
        <w:pStyle w:val="ListBullet2"/>
      </w:pPr>
      <w:r>
        <w:t>752 = 1718 (LOTT, NEJM 2016; la 752 sin URL y con la paginación truncada «1617»).</w:t>
      </w:r>
    </w:p>
    <w:p>
      <w:pPr>
        <w:pStyle w:val="ListBullet2"/>
      </w:pPr>
      <w:r>
        <w:rPr>
          <w:b/>
        </w:rPr>
        <w:t>Versiones Cochrane superadas</w:t>
      </w:r>
      <w:r>
        <w:t xml:space="preserve"> citadas junto a su actualización: 684/1531, 780/781, 1038/1042 y 1600/1604.</w:t>
      </w:r>
    </w:p>
    <w:p>
      <w:pPr>
        <w:pStyle w:val="ListBullet"/>
      </w:pPr>
      <w:r>
        <w:rPr>
          <w:b/>
        </w:rPr>
        <w:t>Evidencia/justificación:</w:t>
      </w:r>
      <w:r>
        <w:t xml:space="preserve"> Script de deduplicación por PMID, DOI y título normalizado.</w:t>
      </w:r>
    </w:p>
    <w:p>
      <w:pPr>
        <w:pStyle w:val="ListBullet"/>
      </w:pPr>
      <w:r>
        <w:rPr>
          <w:b/>
        </w:rPr>
        <w:t>Recomendación:</w:t>
      </w:r>
      <w:r>
        <w:t xml:space="preserve"> Fusionar los duplicados, citar solo la versión Cochrane vigente y usar un gestor bibliográfico con deduplicación.</w:t>
      </w:r>
    </w:p>
    <w:p>
      <w:pPr>
        <w:pStyle w:val="ListBullet"/>
      </w:pPr>
      <w:r>
        <w:rPr>
          <w:b/>
        </w:rPr>
        <w:t>Confianza:</w:t>
      </w:r>
      <w:r>
        <w:t xml:space="preserve"> 5</w:t>
      </w:r>
    </w:p>
    <w:p>
      <w:pPr>
        <w:pStyle w:val="Heading4"/>
      </w:pPr>
      <w:r>
        <w:t>MET-20 · Referencias nunca citadas, fuentes no verificables y accesos web caducados</w:t>
      </w:r>
    </w:p>
    <w:p>
      <w:r>
        <w:rPr>
          <w:i/>
        </w:rPr>
        <w:t xml:space="preserve">Severidad final: </w:t>
      </w:r>
      <w:r>
        <w:rPr>
          <w:i/>
          <w:color w:val="A6A6A6"/>
        </w:rPr>
        <w:t>⚪</w:t>
      </w:r>
      <w:r>
        <w:rPr>
          <w:i/>
        </w:rPr>
        <w:t xml:space="preserve"> BAJA · Tema T23: Integridad de citas y referencias</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p>
    <w:p>
      <w:pPr>
        <w:pStyle w:val="ListBullet2"/>
      </w:pPr>
      <w:r>
        <w:t>Refs 1269-1270: PDF 227 / impr. 216.</w:t>
      </w:r>
    </w:p>
    <w:p>
      <w:pPr>
        <w:pStyle w:val="ListBullet2"/>
      </w:pPr>
      <w:r>
        <w:t>Ref 295: PDF 186 / impr. 175.</w:t>
      </w:r>
    </w:p>
    <w:p>
      <w:pPr>
        <w:pStyle w:val="ListBullet2"/>
      </w:pPr>
      <w:r>
        <w:t>Ref 1393: PDF 232 / impr. 221.</w:t>
      </w:r>
    </w:p>
    <w:p>
      <w:pPr>
        <w:pStyle w:val="ListBullet2"/>
      </w:pPr>
      <w:r>
        <w:t>Ref 1117: PDF 220 / impr. 209.</w:t>
      </w:r>
    </w:p>
    <w:p>
      <w:pPr>
        <w:pStyle w:val="ListBullet2"/>
      </w:pPr>
      <w:r>
        <w:t>Refs 831 y 1161: PDF 208 y 222 / impr. 197 y 211.</w:t>
      </w:r>
    </w:p>
    <w:p>
      <w:pPr>
        <w:pStyle w:val="ListBullet"/>
      </w:pPr>
      <w:r>
        <w:rPr>
          <w:b/>
        </w:rPr>
        <w:t>Cita:</w:t>
      </w:r>
      <w:r>
        <w:t xml:space="preserve"> «Dharmage S, Agusti A. Personal communication. 2022» y «Artificial Intelligence in COPD: a view from the GOLD science committee (submitted). 2025»</w:t>
      </w:r>
    </w:p>
    <w:p>
      <w:pPr>
        <w:pStyle w:val="ListBullet"/>
      </w:pPr>
      <w:r>
        <w:rPr>
          <w:b/>
        </w:rPr>
        <w:t>Problema:</w:t>
      </w:r>
    </w:p>
    <w:p>
      <w:pPr>
        <w:pStyle w:val="ListBullet2"/>
      </w:pPr>
      <w:r>
        <w:rPr>
          <w:b/>
        </w:rPr>
        <w:t>Nunca citadas en el texto:</w:t>
      </w:r>
      <w:r>
        <w:t xml:space="preserve"> refs 1269 (escala de Epworth) y 1270 (cuestionarios de AOS). Probablemente son restos de la sección de AOS (PDF 133).</w:t>
      </w:r>
    </w:p>
    <w:p>
      <w:pPr>
        <w:pStyle w:val="ListBullet2"/>
      </w:pPr>
      <w:r>
        <w:rPr>
          <w:b/>
        </w:rPr>
        <w:t>No verificables:</w:t>
      </w:r>
    </w:p>
    <w:p>
      <w:pPr>
        <w:pStyle w:val="ListBullet2"/>
      </w:pPr>
      <w:r>
        <w:t>una comunicación personal (ref 295) y un manuscrito «submitted» del propio comité (ref 1393), ambos en la lista de referencias;</w:t>
      </w:r>
    </w:p>
    <w:p>
      <w:pPr>
        <w:pStyle w:val="ListBullet2"/>
      </w:pPr>
      <w:r>
        <w:t>un póster sin título («Noorduyn SG ea.», ref 1117).</w:t>
      </w:r>
    </w:p>
    <w:p>
      <w:pPr>
        <w:pStyle w:val="ListBullet2"/>
      </w:pPr>
      <w:r>
        <w:rPr>
          <w:b/>
        </w:rPr>
        <w:t>Sin PMID:</w:t>
      </w:r>
      <w:r>
        <w:t xml:space="preserve"> 60 referencias. Por ejemplo, las refs 694, 752 y 1397 no tienen URL y la ref 1423 no tiene revista.</w:t>
      </w:r>
    </w:p>
    <w:p>
      <w:pPr>
        <w:pStyle w:val="ListBullet2"/>
      </w:pPr>
      <w:r>
        <w:rPr>
          <w:b/>
        </w:rPr>
        <w:t>Accesos web caducados:</w:t>
      </w:r>
      <w:r>
        <w:t xml:space="preserve"> refs 831 (oct 2022) y 1161 (oct 2021).</w:t>
      </w:r>
    </w:p>
    <w:p>
      <w:pPr>
        <w:pStyle w:val="ListBullet"/>
      </w:pPr>
      <w:r>
        <w:rPr>
          <w:b/>
        </w:rPr>
        <w:t>Evidencia/justificación:</w:t>
      </w:r>
      <w:r>
        <w:t xml:space="preserve"> Cruce mediante script de los 1754 números citados con los 1756 de la lista. Normas ICMJE: las comunicaciones personales y los manuscritos no aceptados no deben ir en la lista de referencias.</w:t>
      </w:r>
    </w:p>
    <w:p>
      <w:pPr>
        <w:pStyle w:val="ListBullet"/>
      </w:pPr>
      <w:r>
        <w:rPr>
          <w:b/>
        </w:rPr>
        <w:t>Recomendación:</w:t>
      </w:r>
      <w:r>
        <w:t xml:space="preserve"> Eliminar las refs 1269-1270 o citarlas, sacar las refs 295 y 1393 de la lista (o esperar a su publicación), completar los metadatos y actualizar los accesos.</w:t>
      </w:r>
    </w:p>
    <w:p>
      <w:pPr>
        <w:pStyle w:val="ListBullet"/>
      </w:pPr>
      <w:r>
        <w:rPr>
          <w:b/>
        </w:rPr>
        <w:t>Confianza:</w:t>
      </w:r>
      <w:r>
        <w:t xml:space="preserve"> 5</w:t>
      </w:r>
    </w:p>
    <w:p>
      <w:pPr>
        <w:pStyle w:val="Heading4"/>
      </w:pPr>
      <w:r>
        <w:t>EPI-19 · DALY: mezcla de rondas del GBD, tiempo verbal y orden regional incoherentes</w:t>
      </w:r>
    </w:p>
    <w:p>
      <w:r>
        <w:rPr>
          <w:i/>
        </w:rPr>
        <w:t xml:space="preserve">Severidad final: </w:t>
      </w:r>
      <w:r>
        <w:rPr>
          <w:i/>
          <w:color w:val="A6A6A6"/>
        </w:rPr>
        <w:t>⚪</w:t>
      </w:r>
      <w:r>
        <w:rPr>
          <w:i/>
        </w:rPr>
        <w:t xml:space="preserve"> BAJA · Tema T24: Cifras epidemiológicas y datos mal transcritos</w:t>
      </w:r>
    </w:p>
    <w:p>
      <w:pPr>
        <w:pStyle w:val="ListBullet"/>
      </w:pPr>
      <w:r>
        <w:rPr>
          <w:b/>
        </w:rPr>
        <w:t>Tipo:</w:t>
      </w:r>
      <w:r>
        <w:t xml:space="preserve"> Evidencia mal representada / Editorial</w:t>
      </w:r>
    </w:p>
    <w:p>
      <w:pPr>
        <w:pStyle w:val="ListBullet"/>
      </w:pPr>
      <w:r>
        <w:rPr>
          <w:b/>
        </w:rPr>
        <w:t>Severidad:</w:t>
      </w:r>
      <w:r>
        <w:t xml:space="preserve"> BAJA</w:t>
      </w:r>
    </w:p>
    <w:p>
      <w:pPr>
        <w:pStyle w:val="ListBullet"/>
      </w:pPr>
      <w:r>
        <w:rPr>
          <w:b/>
        </w:rPr>
        <w:t>Ubicación:</w:t>
      </w:r>
      <w:r>
        <w:t xml:space="preserve"> PDF 22 / impr. 11 — Social burden</w:t>
      </w:r>
    </w:p>
    <w:p>
      <w:pPr>
        <w:pStyle w:val="ListBullet"/>
      </w:pPr>
      <w:r>
        <w:rPr>
          <w:b/>
        </w:rPr>
        <w:t>Cita:</w:t>
      </w:r>
      <w:r>
        <w:t xml:space="preserve"> «The GBD 2019 estimated a COPD DALY rate of 926.1 per 100,000, and GBD 2021 estimated it to be 940.7 per 100,000.»; «Predictions indicated that in 2022, COPD DALYs will rank sixth…»</w:t>
      </w:r>
    </w:p>
    <w:p>
      <w:pPr>
        <w:pStyle w:val="ListBullet"/>
      </w:pPr>
      <w:r>
        <w:rPr>
          <w:b/>
        </w:rPr>
        <w:t>Problema:</w:t>
      </w:r>
    </w:p>
    <w:p>
      <w:pPr>
        <w:pStyle w:val="ListBullet2"/>
      </w:pPr>
      <w:r>
        <w:rPr>
          <w:b/>
        </w:rPr>
        <w:t>Comparar tasas de rondas distintas del GBD sugiere un aumento</w:t>
      </w:r>
      <w:r>
        <w:t>, mientras que dentro del GBD 2021 la tasa estandarizada cayó un 36,98% desde 1990. Cada ronda reestima toda la serie, así que las rondas no son comparables entre sí.</w:t>
      </w:r>
    </w:p>
    <w:p>
      <w:pPr>
        <w:pStyle w:val="ListBullet2"/>
      </w:pPr>
      <w:r>
        <w:rPr>
          <w:b/>
        </w:rPr>
        <w:t>Tiempo verbal futuro para un año ya pasado</w:t>
      </w:r>
      <w:r>
        <w:t xml:space="preserve"> («in 2022… will rank»).</w:t>
      </w:r>
    </w:p>
    <w:p>
      <w:pPr>
        <w:pStyle w:val="ListBullet2"/>
      </w:pPr>
      <w:r>
        <w:rPr>
          <w:b/>
        </w:rPr>
        <w:t>El orden «East Asia, South Asia» no coincide con las cifras</w:t>
      </w:r>
      <w:r>
        <w:t xml:space="preserve"> (South Asia 28,01 M &gt; East Asia 24,39 M).</w:t>
      </w:r>
    </w:p>
    <w:p>
      <w:pPr>
        <w:pStyle w:val="ListBullet"/>
      </w:pPr>
      <w:r>
        <w:rPr>
          <w:b/>
        </w:rPr>
        <w:t>Evidencia/justificación:</w:t>
      </w:r>
      <w:r>
        <w:t xml:space="preserve"> Wang 2025 (DALY estandarizados 940,7/100.000; −36,98%); Safiri 2022 (GBD 2019).</w:t>
      </w:r>
    </w:p>
    <w:p>
      <w:pPr>
        <w:pStyle w:val="ListBullet"/>
      </w:pPr>
      <w:r>
        <w:rPr>
          <w:b/>
        </w:rPr>
        <w:t>Recomendación:</w:t>
      </w:r>
      <w:r>
        <w:t xml:space="preserve"> Usar solo series de una misma ronda del GBD, corregir el tiempo verbal y ordenar las regiones por magnitud.</w:t>
      </w:r>
    </w:p>
    <w:p>
      <w:pPr>
        <w:pStyle w:val="ListBullet"/>
      </w:pPr>
      <w:r>
        <w:rPr>
          <w:b/>
        </w:rPr>
        <w:t>Confianza:</w:t>
      </w:r>
      <w:r>
        <w:t xml:space="preserve"> 4/5</w:t>
      </w:r>
    </w:p>
    <w:p>
      <w:pPr>
        <w:pStyle w:val="Heading4"/>
      </w:pPr>
      <w:r>
        <w:t>EQ-24 · Error factual: la materia particulada y los óxidos de nitrógeno y azufre se clasifican como "otros gases de efecto invernadero"</w:t>
      </w:r>
    </w:p>
    <w:p>
      <w:r>
        <w:rPr>
          <w:i/>
        </w:rPr>
        <w:t xml:space="preserve">Severidad final: </w:t>
      </w:r>
      <w:r>
        <w:rPr>
          <w:i/>
          <w:color w:val="A6A6A6"/>
        </w:rPr>
        <w:t>⚪</w:t>
      </w:r>
      <w:r>
        <w:rPr>
          <w:i/>
        </w:rPr>
        <w:t xml:space="preserve"> BAJA · Tema T24: Cifras epidemiológicas y datos mal transcritos</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17 / impr. 6 — "Air pollution".</w:t>
      </w:r>
    </w:p>
    <w:p>
      <w:pPr>
        <w:pStyle w:val="ListBullet"/>
      </w:pPr>
      <w:r>
        <w:rPr>
          <w:b/>
        </w:rPr>
        <w:t>Cita:</w:t>
      </w:r>
      <w:r>
        <w:t xml:space="preserve"> "Air pollution typically consists of particulate matter, ozone, oxides of nitrogen or sulfur, heavy metals, and other greenhouse gases"</w:t>
      </w:r>
    </w:p>
    <w:p>
      <w:pPr>
        <w:pStyle w:val="ListBullet"/>
      </w:pPr>
      <w:r>
        <w:rPr>
          <w:b/>
        </w:rPr>
        <w:t>Problema:</w:t>
      </w:r>
    </w:p>
    <w:p>
      <w:pPr>
        <w:pStyle w:val="ListBullet2"/>
      </w:pPr>
      <w:r>
        <w:t>La materia particulada, los metales pesados, el NOx y el SO2 no son gases de efecto invernadero. Algunos aerosoles incluso enfrían, y el ozono troposférico sí es un GEI.</w:t>
      </w:r>
    </w:p>
    <w:p>
      <w:pPr>
        <w:pStyle w:val="ListBullet2"/>
      </w:pPr>
      <w:r>
        <w:t>La frase confunde contaminación atmosférica con gases de efecto invernadero, lo que resta credibilidad a la sección de clima.</w:t>
      </w:r>
    </w:p>
    <w:p>
      <w:pPr>
        <w:pStyle w:val="ListBullet"/>
      </w:pPr>
      <w:r>
        <w:rPr>
          <w:b/>
        </w:rPr>
        <w:t>Evidencia/justificación:</w:t>
      </w:r>
      <w:r>
        <w:t xml:space="preserve"> Definiciones del IPCC de gases de efecto invernadero (CO2, CH4, N2O, O3, gases fluorados, vapor de agua).</w:t>
      </w:r>
    </w:p>
    <w:p>
      <w:pPr>
        <w:pStyle w:val="ListBullet"/>
      </w:pPr>
      <w:r>
        <w:rPr>
          <w:b/>
        </w:rPr>
        <w:t>Recomendación:</w:t>
      </w:r>
      <w:r>
        <w:t xml:space="preserve"> Reescribir: "Air pollution typically consists of particulate matter (PM2.5, PM10), ozone, nitrogen and sulfur oxides, and heavy metals."</w:t>
      </w:r>
    </w:p>
    <w:p>
      <w:pPr>
        <w:pStyle w:val="ListBullet"/>
      </w:pPr>
      <w:r>
        <w:rPr>
          <w:b/>
        </w:rPr>
        <w:t>Confianza:</w:t>
      </w:r>
      <w:r>
        <w:t xml:space="preserve"> 5/5</w:t>
      </w:r>
    </w:p>
    <w:p>
      <w:pPr>
        <w:pStyle w:val="Heading4"/>
      </w:pPr>
      <w:r>
        <w:t>COH-19 · La lista de abreviaturas (Apéndice 1) tiene expansiones erróneas, omisiones y sobrantes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terminología</w:t>
      </w:r>
    </w:p>
    <w:p>
      <w:pPr>
        <w:pStyle w:val="ListBullet"/>
      </w:pPr>
      <w:r>
        <w:rPr>
          <w:b/>
        </w:rPr>
        <w:t>Severidad:</w:t>
      </w:r>
      <w:r>
        <w:t xml:space="preserve"> BAJA</w:t>
      </w:r>
    </w:p>
    <w:p>
      <w:pPr>
        <w:pStyle w:val="ListBullet"/>
      </w:pPr>
      <w:r>
        <w:rPr>
          <w:b/>
        </w:rPr>
        <w:t>Ubicación:</w:t>
      </w:r>
      <w:r>
        <w:t xml:space="preserve"> PDF 149-150 / impr. 138-139; usos en PDF 21, 50, 61, 70 y 135</w:t>
      </w:r>
    </w:p>
    <w:p>
      <w:pPr>
        <w:pStyle w:val="ListBullet"/>
      </w:pPr>
      <w:r>
        <w:rPr>
          <w:b/>
        </w:rPr>
        <w:t>Cita:</w:t>
      </w:r>
      <w:r>
        <w:t xml:space="preserve"> "LAS, lung allocation severity"; "USPSTF, United States Preventative Service Task Force".</w:t>
      </w:r>
    </w:p>
    <w:p>
      <w:pPr>
        <w:pStyle w:val="ListBullet"/>
      </w:pPr>
      <w:r>
        <w:rPr>
          <w:b/>
        </w:rPr>
        <w:t>Problema:</w:t>
      </w:r>
    </w:p>
    <w:p>
      <w:pPr>
        <w:pStyle w:val="ListBullet2"/>
      </w:pPr>
      <w:r>
        <w:rPr>
          <w:b/>
        </w:rPr>
        <w:t>Expansiones erróneas:</w:t>
      </w:r>
      <w:r>
        <w:t xml:space="preserve"> LAS es </w:t>
      </w:r>
      <w:r>
        <w:rPr>
          <w:i/>
        </w:rPr>
        <w:t>score</w:t>
      </w:r>
      <w:r>
        <w:t xml:space="preserve">; USPSTF es </w:t>
      </w:r>
      <w:r>
        <w:rPr>
          <w:i/>
        </w:rPr>
        <w:t>Preventive Services</w:t>
      </w:r>
      <w:r>
        <w:t>.</w:t>
      </w:r>
    </w:p>
    <w:p>
      <w:pPr>
        <w:pStyle w:val="ListBullet2"/>
      </w:pPr>
      <w:r>
        <w:rPr>
          <w:b/>
        </w:rPr>
        <w:t>NAFLD contradictoria:</w:t>
      </w:r>
      <w:r>
        <w:t xml:space="preserve"> se define como "non-alcoholic fatty liver disease", pero PDF 135 dice que NAFLD es "also known as metabolic dysfunction-associated steatotic liver disease", que es MASLD.</w:t>
      </w:r>
    </w:p>
    <w:p>
      <w:pPr>
        <w:pStyle w:val="ListBullet2"/>
      </w:pPr>
      <w:r>
        <w:rPr>
          <w:b/>
        </w:rPr>
        <w:t>Expansión inusual:</w:t>
      </w:r>
      <w:r>
        <w:t xml:space="preserve"> "HMICs, high- and middle-income countries", con un solo uso.</w:t>
      </w:r>
    </w:p>
    <w:p>
      <w:pPr>
        <w:pStyle w:val="ListBullet2"/>
      </w:pPr>
      <w:r>
        <w:rPr>
          <w:b/>
        </w:rPr>
        <w:t>Usadas pero no definidas:</w:t>
      </w:r>
      <w:r>
        <w:t xml:space="preserve"> SpO2, HFrEF, Tdap, PCV13/15/20/21, PPSV23, COVID, NO2.</w:t>
      </w:r>
    </w:p>
    <w:p>
      <w:pPr>
        <w:pStyle w:val="ListBullet2"/>
      </w:pPr>
      <w:r>
        <w:rPr>
          <w:b/>
        </w:rPr>
        <w:t>Definidas pero sin uso en el cuerpo:</w:t>
      </w:r>
      <w:r>
        <w:t xml:space="preserve"> BAI, BD, COPD-PS, Ig, LFQ, NS, PUMA, SABD, SE.</w:t>
      </w:r>
    </w:p>
    <w:p>
      <w:pPr>
        <w:pStyle w:val="ListBullet2"/>
      </w:pPr>
      <w:r>
        <w:rPr>
          <w:b/>
        </w:rPr>
        <w:t>Variantes de nombre:</w:t>
      </w:r>
      <w:r>
        <w:t xml:space="preserve"> CAT™ y CAAT™ coexisten ("CAAT™*/CAT™†" en PDF 50), y NIV (40 usos) y NPPV (7) se emplean indistintamente.</w:t>
      </w:r>
    </w:p>
    <w:p>
      <w:pPr>
        <w:pStyle w:val="ListBullet2"/>
      </w:pPr>
      <w:r>
        <w:rPr>
          <w:b/>
        </w:rPr>
        <w:t>Vacunas:</w:t>
      </w:r>
      <w:r>
        <w:t xml:space="preserve"> "dTaP/dTPa" equipara la formulación pediátrica con la Tdap del adulto, y aparece la errata "diptheria" (PDF 61).</w:t>
      </w:r>
    </w:p>
    <w:p>
      <w:pPr>
        <w:pStyle w:val="ListBullet"/>
      </w:pPr>
      <w:r>
        <w:rPr>
          <w:b/>
        </w:rPr>
        <w:t>Evidencia/justificación:</w:t>
      </w:r>
      <w:r>
        <w:t xml:space="preserve"> script de cotejo entre la lista y el uso en el texto.</w:t>
      </w:r>
    </w:p>
    <w:p>
      <w:pPr>
        <w:pStyle w:val="ListBullet"/>
      </w:pPr>
      <w:r>
        <w:rPr>
          <w:b/>
        </w:rPr>
        <w:t>Recomendación:</w:t>
      </w:r>
      <w:r>
        <w:t xml:space="preserve"> corregir las expansiones, completar las faltantes, retirar las no usadas y fijar CAAT™ y NIV como términos únicos.</w:t>
      </w:r>
    </w:p>
    <w:p>
      <w:pPr>
        <w:pStyle w:val="ListBullet"/>
      </w:pPr>
      <w:r>
        <w:rPr>
          <w:b/>
        </w:rPr>
        <w:t>Confianza:</w:t>
      </w:r>
      <w:r>
        <w:t xml:space="preserve"> 5</w:t>
      </w:r>
    </w:p>
    <w:p>
      <w:pPr>
        <w:pStyle w:val="Heading4"/>
      </w:pPr>
      <w:r>
        <w:t>COH-20 · Índice, Highlights y numeración: estructura correcta pero incompleta</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navegación</w:t>
      </w:r>
    </w:p>
    <w:p>
      <w:pPr>
        <w:pStyle w:val="ListBullet"/>
      </w:pPr>
      <w:r>
        <w:rPr>
          <w:b/>
        </w:rPr>
        <w:t>Severidad:</w:t>
      </w:r>
      <w:r>
        <w:t xml:space="preserve"> BAJA</w:t>
      </w:r>
    </w:p>
    <w:p>
      <w:pPr>
        <w:pStyle w:val="ListBullet"/>
      </w:pPr>
      <w:r>
        <w:rPr>
          <w:b/>
        </w:rPr>
        <w:t>Ubicación:</w:t>
      </w:r>
      <w:r>
        <w:t xml:space="preserve"> índice en PDF 7-11; Highlights en PDF 5; encabezado del cap. 6 en PDF 142 / impr. 131</w:t>
      </w:r>
    </w:p>
    <w:p>
      <w:pPr>
        <w:pStyle w:val="ListBullet"/>
      </w:pPr>
      <w:r>
        <w:rPr>
          <w:b/>
        </w:rPr>
        <w:t>Cita:</w:t>
      </w:r>
      <w:r>
        <w:t xml:space="preserve"> índice: "ARTIFICAL INTELLIGENCE IN COPD"; Highlights x: "A new Chapter 6 – Artificial Intelligence &amp; Emerging Technologies in COPD".</w:t>
      </w:r>
    </w:p>
    <w:p>
      <w:pPr>
        <w:pStyle w:val="ListBullet"/>
      </w:pPr>
      <w:r>
        <w:rPr>
          <w:b/>
        </w:rPr>
        <w:t>Problema:</w:t>
      </w:r>
    </w:p>
    <w:p>
      <w:pPr>
        <w:pStyle w:val="ListBullet2"/>
      </w:pPr>
      <w:r>
        <w:t>La paginación del índice es exacta (impr. = PDF − 11).</w:t>
      </w:r>
    </w:p>
    <w:p>
      <w:pPr>
        <w:pStyle w:val="ListBullet2"/>
      </w:pPr>
      <w:r>
        <w:t>El título del cap. 6 no coincide entre el índice/encabezado y Highlights, y contiene la errata "ARTIFICAL".</w:t>
      </w:r>
    </w:p>
    <w:p>
      <w:pPr>
        <w:pStyle w:val="ListBullet2"/>
      </w:pPr>
      <w:r>
        <w:t>No hay lista de figuras pese a tener unas 75.</w:t>
      </w:r>
    </w:p>
    <w:p>
      <w:pPr>
        <w:pStyle w:val="ListBullet2"/>
      </w:pPr>
      <w:r>
        <w:t>Solo "Table A" usa la etiqueta de tabla; el resto son "Figure", incluidas tablas puras.</w:t>
      </w:r>
    </w:p>
    <w:p>
      <w:pPr>
        <w:pStyle w:val="ListBullet2"/>
      </w:pPr>
      <w:r>
        <w:t>El epígrafe "DISEASES WITH MULTIPLE ORGANS LOSS OF TISSUE" (índice, impr. 125) es agramatical.</w:t>
      </w:r>
    </w:p>
    <w:p>
      <w:pPr>
        <w:pStyle w:val="ListBullet"/>
      </w:pPr>
      <w:r>
        <w:rPr>
          <w:b/>
        </w:rPr>
        <w:t>Evidencia/justificación:</w:t>
      </w:r>
      <w:r>
        <w:t xml:space="preserve"> script que cruza el índice con los encabezados de página.</w:t>
      </w:r>
    </w:p>
    <w:p>
      <w:pPr>
        <w:pStyle w:val="ListBullet"/>
      </w:pPr>
      <w:r>
        <w:rPr>
          <w:b/>
        </w:rPr>
        <w:t>Recomendación:</w:t>
      </w:r>
      <w:r>
        <w:t xml:space="preserve"> unificar el título del cap. 6, añadir una lista de figuras y tablas y renombrar las tablas como "Table".</w:t>
      </w:r>
    </w:p>
    <w:p>
      <w:pPr>
        <w:pStyle w:val="ListBullet"/>
      </w:pPr>
      <w:r>
        <w:rPr>
          <w:b/>
        </w:rPr>
        <w:t>Confianza:</w:t>
      </w:r>
      <w:r>
        <w:t xml:space="preserve"> 4</w:t>
      </w:r>
    </w:p>
    <w:p>
      <w:pPr>
        <w:pStyle w:val="Heading4"/>
      </w:pPr>
      <w:r>
        <w:t>COH-21 · Erratas, codificación y unidades (clúster editorial)</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varias (se indican abajo)</w:t>
      </w:r>
    </w:p>
    <w:p>
      <w:pPr>
        <w:pStyle w:val="ListBullet"/>
      </w:pPr>
      <w:r>
        <w:rPr>
          <w:b/>
        </w:rPr>
        <w:t>Cita:</w:t>
      </w:r>
      <w:r>
        <w:t xml:space="preserve"> "self-management invention group" (PDF 169 / impr. 158).</w:t>
      </w:r>
    </w:p>
    <w:p>
      <w:pPr>
        <w:pStyle w:val="ListBullet"/>
      </w:pPr>
      <w:r>
        <w:rPr>
          <w:b/>
        </w:rPr>
        <w:t>Problema:</w:t>
      </w:r>
    </w:p>
    <w:p>
      <w:pPr>
        <w:pStyle w:val="ListBullet2"/>
      </w:pPr>
      <w:r>
        <w:rPr>
          <w:b/>
        </w:rPr>
        <w:t>Erratas:</w:t>
      </w:r>
    </w:p>
    <w:p>
      <w:pPr>
        <w:pStyle w:val="ListBullet2"/>
      </w:pPr>
      <w:r>
        <w:t>"ARTIFICAL" (PDF 10 y 142);</w:t>
      </w:r>
    </w:p>
    <w:p>
      <w:pPr>
        <w:pStyle w:val="ListBullet2"/>
      </w:pPr>
      <w:r>
        <w:t>"Ed Portilllo" frente a "Ed Portillo" (PDF 3-4), y "Mazur Witold" con el orden invertido (PDF 4);</w:t>
      </w:r>
    </w:p>
    <w:p>
      <w:pPr>
        <w:pStyle w:val="ListBullet2"/>
      </w:pPr>
      <w:r>
        <w:t>"covenient" (Fig 3.8, PDF 73);</w:t>
      </w:r>
    </w:p>
    <w:p>
      <w:pPr>
        <w:pStyle w:val="ListBullet2"/>
      </w:pPr>
      <w:r>
        <w:t>"reroduced" (Fig 3.10, PDF 78);</w:t>
      </w:r>
    </w:p>
    <w:p>
      <w:pPr>
        <w:pStyle w:val="ListBullet2"/>
      </w:pPr>
      <w:r>
        <w:t>"arrythmia" (PDF 53);</w:t>
      </w:r>
    </w:p>
    <w:p>
      <w:pPr>
        <w:pStyle w:val="ListBullet2"/>
      </w:pPr>
      <w:r>
        <w:t>"diptheria" (PDF 61);</w:t>
      </w:r>
    </w:p>
    <w:p>
      <w:pPr>
        <w:pStyle w:val="ListBullet2"/>
      </w:pPr>
      <w:r>
        <w:t>"cardon dioxide" (PDF 117);</w:t>
      </w:r>
    </w:p>
    <w:p>
      <w:pPr>
        <w:pStyle w:val="ListBullet2"/>
      </w:pPr>
      <w:r>
        <w:t>"Contraintidaction" (Fig 4.7, PDF 117);</w:t>
      </w:r>
    </w:p>
    <w:p>
      <w:pPr>
        <w:pStyle w:val="ListBullet2"/>
      </w:pPr>
      <w:r>
        <w:t>"suggesta" (Fig A3.3);</w:t>
      </w:r>
    </w:p>
    <w:p>
      <w:pPr>
        <w:pStyle w:val="ListBullet2"/>
      </w:pPr>
      <w:r>
        <w:t>"invention" por "intervention" (PDF 169).</w:t>
      </w:r>
    </w:p>
    <w:p>
      <w:pPr>
        <w:pStyle w:val="ListBullet2"/>
      </w:pPr>
      <w:r>
        <w:rPr>
          <w:b/>
        </w:rPr>
        <w:t>Codificación:</w:t>
      </w:r>
    </w:p>
    <w:p>
      <w:pPr>
        <w:pStyle w:val="ListBullet2"/>
      </w:pPr>
      <w:r>
        <w:t>el signo micro "µ" (18 usos) se mezcla con la mu griega "μ" (PDF 76 y 163);</w:t>
      </w:r>
    </w:p>
    <w:p>
      <w:pPr>
        <w:pStyle w:val="ListBullet2"/>
      </w:pPr>
      <w:r>
        <w:t>aparecen viñetas de uso privado (U+F075) en PDF 62-63 y 105;</w:t>
      </w:r>
    </w:p>
    <w:p>
      <w:pPr>
        <w:pStyle w:val="ListBullet2"/>
      </w:pPr>
      <w:r>
        <w:t>no se detectaron caracteres "�" en el texto extraído.</w:t>
      </w:r>
    </w:p>
    <w:p>
      <w:pPr>
        <w:pStyle w:val="ListBullet2"/>
      </w:pPr>
      <w:r>
        <w:rPr>
          <w:b/>
        </w:rPr>
        <w:t>Otros:</w:t>
      </w:r>
    </w:p>
    <w:p>
      <w:pPr>
        <w:pStyle w:val="ListBullet2"/>
      </w:pPr>
      <w:r>
        <w:t>la Fig 5.6 define SARC-F, que no aparece en la figura;</w:t>
      </w:r>
    </w:p>
    <w:p>
      <w:pPr>
        <w:pStyle w:val="ListBullet2"/>
      </w:pPr>
      <w:r>
        <w:t>"Two of three RCTs(763,767-770)" cita cinco referencias (PDF 89);</w:t>
      </w:r>
    </w:p>
    <w:p>
      <w:pPr>
        <w:pStyle w:val="ListBullet2"/>
      </w:pPr>
      <w:r>
        <w:t>la Fig 4.5 conserva la terminología antigua "Severe but not Life-threatening", incoherente con Roma.</w:t>
      </w:r>
    </w:p>
    <w:p>
      <w:pPr>
        <w:pStyle w:val="ListBullet"/>
      </w:pPr>
      <w:r>
        <w:rPr>
          <w:b/>
        </w:rPr>
        <w:t>Evidencia/justificación:</w:t>
      </w:r>
      <w:r>
        <w:t xml:space="preserve"> barrido con regex y diccionario; escaneo de caracteres no ASCII.</w:t>
      </w:r>
    </w:p>
    <w:p>
      <w:pPr>
        <w:pStyle w:val="ListBullet"/>
      </w:pPr>
      <w:r>
        <w:rPr>
          <w:b/>
        </w:rPr>
        <w:t>Recomendación:</w:t>
      </w:r>
      <w:r>
        <w:t xml:space="preserve"> pasar una corrección de estilo profesional y normalizar los caracteres (U+00B5) y las viñetas.</w:t>
      </w:r>
    </w:p>
    <w:p>
      <w:pPr>
        <w:pStyle w:val="ListBullet"/>
      </w:pPr>
      <w:r>
        <w:rPr>
          <w:b/>
        </w:rPr>
        <w:t>Confianza:</w:t>
      </w:r>
      <w:r>
        <w:t xml:space="preserve"> 5</w:t>
      </w:r>
    </w:p>
    <w:p>
      <w:pPr>
        <w:pStyle w:val="Heading4"/>
      </w:pPr>
      <w:r>
        <w:t>COH-22 · Párrafos duplicados o casi duplicados entre capítulos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redundancia</w:t>
      </w:r>
    </w:p>
    <w:p>
      <w:pPr>
        <w:pStyle w:val="ListBullet"/>
      </w:pPr>
      <w:r>
        <w:rPr>
          <w:b/>
        </w:rPr>
        <w:t>Severidad:</w:t>
      </w:r>
      <w:r>
        <w:t xml:space="preserve"> BAJA</w:t>
      </w:r>
    </w:p>
    <w:p>
      <w:pPr>
        <w:pStyle w:val="ListBullet"/>
      </w:pPr>
      <w:r>
        <w:rPr>
          <w:b/>
        </w:rPr>
        <w:t>Ubicación:</w:t>
      </w:r>
      <w:r>
        <w:t xml:space="preserve"> pares de páginas detectados (se indican abajo)</w:t>
      </w:r>
    </w:p>
    <w:p>
      <w:pPr>
        <w:pStyle w:val="ListBullet"/>
      </w:pPr>
      <w:r>
        <w:rPr>
          <w:b/>
        </w:rPr>
        <w:t>Cita:</w:t>
      </w:r>
      <w:r>
        <w:t xml:space="preserve"> "There is insufficient evidence to recommend that blood eosinophils should be used to predict future exacerbation risk…" (idéntico en PDF 51 y 111).</w:t>
      </w:r>
    </w:p>
    <w:p>
      <w:pPr>
        <w:pStyle w:val="ListBullet"/>
      </w:pPr>
      <w:r>
        <w:rPr>
          <w:b/>
        </w:rPr>
        <w:t>Problema:</w:t>
      </w:r>
      <w:r>
        <w:t xml:space="preserve"> el script de similitud de </w:t>
      </w:r>
      <w:r>
        <w:rPr>
          <w:i/>
        </w:rPr>
        <w:t>shingles</w:t>
      </w:r>
      <w:r>
        <w:t xml:space="preserve"> detectó repeticiones casi literales, contrarias al objetivo declarado en Highlights xi ("reduce repetition"):</w:t>
      </w:r>
    </w:p>
    <w:p>
      <w:pPr>
        <w:pStyle w:val="ListBullet2"/>
      </w:pPr>
      <w:r>
        <w:t>PDF 51 ↔ 111: eosinófilos (Jaccard = 1,0);</w:t>
      </w:r>
    </w:p>
    <w:p>
      <w:pPr>
        <w:pStyle w:val="ListBullet2"/>
      </w:pPr>
      <w:r>
        <w:t>PDF 71 ↔ 170: atención integrada (0,75);</w:t>
      </w:r>
    </w:p>
    <w:p>
      <w:pPr>
        <w:pStyle w:val="ListBullet2"/>
      </w:pPr>
      <w:r>
        <w:t>PDF 15 ↔ 18: key points copiados en el texto (0,76);</w:t>
      </w:r>
    </w:p>
    <w:p>
      <w:pPr>
        <w:pStyle w:val="ListBullet2"/>
      </w:pPr>
      <w:r>
        <w:t>PDF 51 ↔ 161: eosinófilos y ICS (0,51);</w:t>
      </w:r>
    </w:p>
    <w:p>
      <w:pPr>
        <w:pStyle w:val="ListBullet2"/>
      </w:pPr>
      <w:r>
        <w:t>PDF 68 ↔ 81: huella de carbono (0,49);</w:t>
      </w:r>
    </w:p>
    <w:p>
      <w:pPr>
        <w:pStyle w:val="ListBullet2"/>
      </w:pPr>
      <w:r>
        <w:t>PDF 101 ↔ 168: intervenciones sobre el moco;</w:t>
      </w:r>
    </w:p>
    <w:p>
      <w:pPr>
        <w:pStyle w:val="ListBullet2"/>
      </w:pPr>
      <w:r>
        <w:t>PDF 70 ↔ 110: VRS 8,7 %;</w:t>
      </w:r>
    </w:p>
    <w:p>
      <w:pPr>
        <w:pStyle w:val="ListBullet2"/>
      </w:pPr>
      <w:r>
        <w:t>PDF 91 ↔ 172: "190,000" frente a "more than 190,000";</w:t>
      </w:r>
    </w:p>
    <w:p>
      <w:pPr>
        <w:pStyle w:val="ListBullet2"/>
      </w:pPr>
      <w:r>
        <w:t>PDF 92 ↔ 94: definición de cuidados paliativos;</w:t>
      </w:r>
    </w:p>
    <w:p>
      <w:pPr>
        <w:pStyle w:val="ListBullet2"/>
      </w:pPr>
      <w:r>
        <w:t>PDF 89: dos frases consecutivas casi idénticas sobre CPAP en EPOC+AOS.</w:t>
      </w:r>
    </w:p>
    <w:p>
      <w:pPr>
        <w:pStyle w:val="ListBullet"/>
      </w:pPr>
      <w:r>
        <w:rPr>
          <w:b/>
        </w:rPr>
        <w:t>Evidencia/justificación:</w:t>
      </w:r>
      <w:r>
        <w:t xml:space="preserve"> salida del script (umbral Jaccard ≥0,3, revisión manual).</w:t>
      </w:r>
    </w:p>
    <w:p>
      <w:pPr>
        <w:pStyle w:val="ListBullet"/>
      </w:pPr>
      <w:r>
        <w:rPr>
          <w:b/>
        </w:rPr>
        <w:t>Recomendación:</w:t>
      </w:r>
      <w:r>
        <w:t xml:space="preserve"> mantener una sola versión de cada bloque y sustituir las demás por remisiones.</w:t>
      </w:r>
    </w:p>
    <w:p>
      <w:pPr>
        <w:pStyle w:val="ListBullet"/>
      </w:pPr>
      <w:r>
        <w:rPr>
          <w:b/>
        </w:rPr>
        <w:t>Confianza:</w:t>
      </w:r>
      <w:r>
        <w:t xml:space="preserve"> 5</w:t>
      </w:r>
    </w:p>
    <w:p>
      <w:pPr>
        <w:pStyle w:val="Heading4"/>
      </w:pPr>
      <w:r>
        <w:t>EPI-20 · Highlights: referencias cruzadas imprecisas y promesas no plenamente cumplidas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Incongruencia interna / Editorial</w:t>
      </w:r>
    </w:p>
    <w:p>
      <w:pPr>
        <w:pStyle w:val="ListBullet"/>
      </w:pPr>
      <w:r>
        <w:rPr>
          <w:b/>
        </w:rPr>
        <w:t>Severidad:</w:t>
      </w:r>
      <w:r>
        <w:t xml:space="preserve"> BAJA</w:t>
      </w:r>
    </w:p>
    <w:p>
      <w:pPr>
        <w:pStyle w:val="ListBullet"/>
      </w:pPr>
      <w:r>
        <w:rPr>
          <w:b/>
        </w:rPr>
        <w:t>Ubicación:</w:t>
      </w:r>
      <w:r>
        <w:t xml:space="preserve"> PDF 5 / impr. iv — Highlights i, iv y xiii</w:t>
      </w:r>
    </w:p>
    <w:p>
      <w:pPr>
        <w:pStyle w:val="ListBullet"/>
      </w:pPr>
      <w:r>
        <w:rPr>
          <w:b/>
        </w:rPr>
        <w:t>Cita:</w:t>
      </w:r>
      <w:r>
        <w:t xml:space="preserve"> Highlight iv: «The criteria defining GOLD A, B and E categories have been adjusted… (Figure 3.7, 3.8 and 3.9).»</w:t>
      </w:r>
    </w:p>
    <w:p>
      <w:pPr>
        <w:pStyle w:val="ListBullet"/>
      </w:pPr>
      <w:r>
        <w:rPr>
          <w:b/>
        </w:rPr>
        <w:t>Problema:</w:t>
      </w:r>
    </w:p>
    <w:p>
      <w:pPr>
        <w:pStyle w:val="ListBullet2"/>
      </w:pPr>
      <w:r>
        <w:rPr>
          <w:b/>
        </w:rPr>
        <w:t>Highlight iv:</w:t>
      </w:r>
      <w:r>
        <w:t xml:space="preserve"> los criterios ABE se definen en la </w:t>
      </w:r>
      <w:r>
        <w:rPr>
          <w:b/>
        </w:rPr>
        <w:t>Figure 2.13</w:t>
      </w:r>
      <w:r>
        <w:t xml:space="preserve"> (PDF 54 / impr. 43), que no se cita. Las Figures 3.7-3.9 son el ciclo de manejo y los algoritmos terapéuticos. Además, el cambio se basa en evidencia observacional y no se acompaña de nivel de evidencia (ver EPI-05).</w:t>
      </w:r>
    </w:p>
    <w:p>
      <w:pPr>
        <w:pStyle w:val="ListBullet2"/>
      </w:pPr>
      <w:r>
        <w:rPr>
          <w:b/>
        </w:rPr>
        <w:t>Highlights i y xiii:</w:t>
      </w:r>
      <w:r>
        <w:t xml:space="preserve"> prometen estadísticas actualizadas y referencias verificadas, lo que no se cumple plenamente (EPI-01, EPI-12).</w:t>
      </w:r>
    </w:p>
    <w:p>
      <w:pPr>
        <w:pStyle w:val="ListBullet2"/>
      </w:pPr>
      <w:r>
        <w:rPr>
          <w:b/>
        </w:rPr>
        <w:t>El resto de highlights sí se reflejan en el cuerpo:</w:t>
      </w:r>
      <w:r>
        <w:t xml:space="preserve"> Figures 2.8 y 2.9, sección «Disease activity» (PDF 62), Figure 3.11 sobre biológicos, cap. 6, apéndices y abreviaturas.</w:t>
      </w:r>
    </w:p>
    <w:p>
      <w:pPr>
        <w:pStyle w:val="ListBullet"/>
      </w:pPr>
      <w:r>
        <w:rPr>
          <w:b/>
        </w:rPr>
        <w:t>Evidencia/justificación:</w:t>
      </w:r>
      <w:r>
        <w:t xml:space="preserve"> Comprobación con grep en </w:t>
      </w:r>
      <w:r>
        <w:rPr>
          <w:rFonts w:ascii="Consolas" w:hAnsi="Consolas"/>
        </w:rPr>
        <w:t>gold_full.txt</w:t>
      </w:r>
      <w:r>
        <w:t xml:space="preserve"> y en las PNG.</w:t>
      </w:r>
    </w:p>
    <w:p>
      <w:pPr>
        <w:pStyle w:val="ListBullet"/>
      </w:pPr>
      <w:r>
        <w:rPr>
          <w:b/>
        </w:rPr>
        <w:t>Recomendación:</w:t>
      </w:r>
      <w:r>
        <w:t xml:space="preserve"> En el Highlight iv, citar «Figure 2.13 (evaluación ABE) y Figures 3.8-3.9 (tratamiento)». Matizar los Highlights i y xiii.</w:t>
      </w:r>
    </w:p>
    <w:p>
      <w:pPr>
        <w:pStyle w:val="ListBullet"/>
      </w:pPr>
      <w:r>
        <w:rPr>
          <w:b/>
        </w:rPr>
        <w:t>Confianza:</w:t>
      </w:r>
      <w:r>
        <w:t xml:space="preserve"> 4/5</w:t>
      </w:r>
    </w:p>
    <w:p>
      <w:pPr>
        <w:pStyle w:val="Heading4"/>
      </w:pPr>
      <w:r>
        <w:t>EPI-22 · Erratas, terminología y claridad conceptual</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Ambigüedad</w:t>
      </w:r>
    </w:p>
    <w:p>
      <w:pPr>
        <w:pStyle w:val="ListBullet"/>
      </w:pPr>
      <w:r>
        <w:rPr>
          <w:b/>
        </w:rPr>
        <w:t>Severidad:</w:t>
      </w:r>
      <w:r>
        <w:t xml:space="preserve"> BAJA</w:t>
      </w:r>
    </w:p>
    <w:p>
      <w:pPr>
        <w:pStyle w:val="ListBullet"/>
      </w:pPr>
      <w:r>
        <w:rPr>
          <w:b/>
        </w:rPr>
        <w:t>Ubicación:</w:t>
      </w:r>
      <w:r>
        <w:t xml:space="preserve"> PDF 15, 19, 21, 23, 30 / impr. 4, 8, 10, 12, 19; abreviaturas PDF 149</w:t>
      </w:r>
    </w:p>
    <w:p>
      <w:pPr>
        <w:pStyle w:val="ListBullet"/>
      </w:pPr>
      <w:r>
        <w:rPr>
          <w:b/>
        </w:rPr>
        <w:t>Cita:</w:t>
      </w:r>
      <w:r>
        <w:t xml:space="preserve"> «it is of the outmost importance» (PDF 30); «HMICs showing the largest decreases.(73)» (PDF 21)</w:t>
      </w:r>
    </w:p>
    <w:p>
      <w:pPr>
        <w:pStyle w:val="ListBullet"/>
      </w:pPr>
      <w:r>
        <w:rPr>
          <w:b/>
        </w:rPr>
        <w:t>Problema:</w:t>
      </w:r>
    </w:p>
    <w:p>
      <w:pPr>
        <w:pStyle w:val="ListBullet2"/>
      </w:pPr>
      <w:r>
        <w:rPr>
          <w:b/>
        </w:rPr>
        <w:t>«outmost»</w:t>
      </w:r>
      <w:r>
        <w:t xml:space="preserve"> debe ser «utmost».</w:t>
      </w:r>
    </w:p>
    <w:p>
      <w:pPr>
        <w:pStyle w:val="ListBullet2"/>
      </w:pPr>
      <w:r>
        <w:rPr>
          <w:b/>
        </w:rPr>
        <w:t>«HMICs»</w:t>
      </w:r>
      <w:r>
        <w:t xml:space="preserve"> se define en el Apéndice 1 como «high- and middle-income countries», categoría inexistente en el Banco Mundial. Probablemente alude al quintil SDI «high-middle» del GBD.</w:t>
      </w:r>
    </w:p>
    <w:p>
      <w:pPr>
        <w:pStyle w:val="ListBullet2"/>
      </w:pPr>
      <w:r>
        <w:rPr>
          <w:b/>
        </w:rPr>
        <w:t>«World Bank/WHO GBD Study» (PDF 19):</w:t>
      </w:r>
      <w:r>
        <w:t xml:space="preserve"> el GBD lo coordina el IHME.</w:t>
      </w:r>
    </w:p>
    <w:p>
      <w:pPr>
        <w:pStyle w:val="ListBullet2"/>
      </w:pPr>
      <w:r>
        <w:rPr>
          <w:b/>
        </w:rPr>
        <w:t>En la definición de EPOC (PDF 15), «exacerbations» figura entre los «chronic respiratory symptoms»</w:t>
      </w:r>
      <w:r>
        <w:t>, aunque es un evento agudo.</w:t>
      </w:r>
    </w:p>
    <w:p>
      <w:pPr>
        <w:pStyle w:val="ListBullet2"/>
      </w:pPr>
      <w:r>
        <w:rPr>
          <w:b/>
        </w:rPr>
        <w:t>La Figure 1.2 (PDF 23)</w:t>
      </w:r>
      <w:r>
        <w:t xml:space="preserve"> usa etiquetas de trayectoria, como «pseudonormal» o recuperación (catch-up), que el texto no explica.</w:t>
      </w:r>
    </w:p>
    <w:p>
      <w:pPr>
        <w:pStyle w:val="ListBullet"/>
      </w:pPr>
      <w:r>
        <w:rPr>
          <w:b/>
        </w:rPr>
        <w:t>Evidencia/justificación:</w:t>
      </w:r>
      <w:r>
        <w:t xml:space="preserve"> Lectura directa del texto y de las PNG p020 y p023; clasificación de ingresos del Banco Mundial.</w:t>
      </w:r>
    </w:p>
    <w:p>
      <w:pPr>
        <w:pStyle w:val="ListBullet"/>
      </w:pPr>
      <w:r>
        <w:rPr>
          <w:b/>
        </w:rPr>
        <w:t>Recomendación:</w:t>
      </w:r>
    </w:p>
    <w:p>
      <w:pPr>
        <w:pStyle w:val="ListBullet2"/>
      </w:pPr>
      <w:r>
        <w:t>Corregir las erratas.</w:t>
      </w:r>
    </w:p>
    <w:p>
      <w:pPr>
        <w:pStyle w:val="ListBullet2"/>
      </w:pPr>
      <w:r>
        <w:t>Sustituir «HMICs» por la categoría correcta (p. ej., «high-middle SDI»).</w:t>
      </w:r>
    </w:p>
    <w:p>
      <w:pPr>
        <w:pStyle w:val="ListBullet2"/>
      </w:pPr>
      <w:r>
        <w:t>Redactar la definición como «síntomas respiratorios crónicos (disnea, tos, expectoración) y/o exacerbaciones».</w:t>
      </w:r>
    </w:p>
    <w:p>
      <w:pPr>
        <w:pStyle w:val="ListBullet2"/>
      </w:pPr>
      <w:r>
        <w:t>Añadir a la Figure 1.2 una leyenda breve de cada trayectoria.</w:t>
      </w:r>
    </w:p>
    <w:p>
      <w:pPr>
        <w:pStyle w:val="ListBullet"/>
      </w:pPr>
      <w:r>
        <w:rPr>
          <w:b/>
        </w:rPr>
        <w:t>Confianza:</w:t>
      </w:r>
      <w:r>
        <w:t xml:space="preserve"> 5/5</w:t>
      </w:r>
    </w:p>
    <w:p>
      <w:pPr>
        <w:pStyle w:val="Heading4"/>
      </w:pPr>
      <w:r>
        <w:t>EQ-25 · Erratas y atribuciones imprecisas con repercusión en la equidad</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19 / impr. 8; PDF 27 / impr. 16; PDF 42 / impr. 31.</w:t>
      </w:r>
    </w:p>
    <w:p>
      <w:pPr>
        <w:pStyle w:val="ListBullet"/>
      </w:pPr>
      <w:r>
        <w:rPr>
          <w:b/>
        </w:rPr>
        <w:t>Cita:</w:t>
      </w:r>
      <w:r>
        <w:t xml:space="preserve"> "a prevalence of 2.7% (2.5 age-standardized prevalence per 100,000)" (PDF 19); "An ATS workshop report(229) has recommended replacing race- and ethnicity-specific equations…" (PDF 27)</w:t>
      </w:r>
    </w:p>
    <w:p>
      <w:pPr>
        <w:pStyle w:val="ListBullet"/>
      </w:pPr>
      <w:r>
        <w:rPr>
          <w:b/>
        </w:rPr>
        <w:t>Problema:</w:t>
      </w:r>
    </w:p>
    <w:p>
      <w:pPr>
        <w:pStyle w:val="ListNumber"/>
        <w:numPr>
          <w:ilvl w:val="0"/>
          <w:numId w:val="44"/>
        </w:numPr>
      </w:pPr>
      <w:r>
        <w:t>Las unidades son incoherentes: 2,5 por 100.000 debería ser aproximadamente 2,5 %, o unos 2.500 por 100.000. Ese mismo párrafo menciona después prevalencias de más de 3.000 por 100.000.</w:t>
      </w:r>
    </w:p>
    <w:p>
      <w:pPr>
        <w:pStyle w:val="ListNumber"/>
        <w:numPr>
          <w:ilvl w:val="0"/>
          <w:numId w:val="44"/>
        </w:numPr>
      </w:pPr>
      <w:r>
        <w:t>La ref. 229 (Bhakta NR et al., 2023) es una declaración oficial de la ATS ("Official ATS Statement"), no un "workshop report". En PDF 42 se usa como prueba del aval "ATS and ERS", aunque la ref. 229 es solo de la ATS. El aval de la ERS a GLI-Global existe, pero requiere su propia fuente.</w:t>
      </w:r>
    </w:p>
    <w:p>
      <w:pPr>
        <w:pStyle w:val="ListBullet"/>
      </w:pPr>
      <w:r>
        <w:rPr>
          <w:b/>
        </w:rPr>
        <w:t>Evidencia/justificación:</w:t>
      </w:r>
      <w:r>
        <w:t xml:space="preserve"> Revisión de la fuente GBD 2021 (ref. 70) y del título de la ref. 229.</w:t>
      </w:r>
    </w:p>
    <w:p>
      <w:pPr>
        <w:pStyle w:val="ListBullet"/>
      </w:pPr>
      <w:r>
        <w:rPr>
          <w:b/>
        </w:rPr>
        <w:t>Recomendación:</w:t>
      </w:r>
      <w:r>
        <w:t xml:space="preserve"> Corregir las unidades. Denominar la ref. 229 como "Official ATS Statement" y añadir la fuente del aval de la ERS.</w:t>
      </w:r>
    </w:p>
    <w:p>
      <w:pPr>
        <w:pStyle w:val="ListBullet"/>
      </w:pPr>
      <w:r>
        <w:rPr>
          <w:b/>
        </w:rPr>
        <w:t>Confianza:</w:t>
      </w:r>
      <w:r>
        <w:t xml:space="preserve"> 4/5</w:t>
      </w:r>
    </w:p>
    <w:p>
      <w:pPr>
        <w:pStyle w:val="Heading4"/>
      </w:pPr>
      <w:r>
        <w:t>EXA-25 · Erratas y terminología</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117 (Fig. 4.7), PDF 115-117 y PDF 103/111.</w:t>
      </w:r>
    </w:p>
    <w:p>
      <w:pPr>
        <w:pStyle w:val="ListBullet"/>
      </w:pPr>
      <w:r>
        <w:rPr>
          <w:b/>
        </w:rPr>
        <w:t>Cita:</w:t>
      </w:r>
      <w:r>
        <w:t xml:space="preserve"> "Contraintidaction for NIV"; "cardon dioxide"; "Have these at least two of these symptoms".</w:t>
      </w:r>
    </w:p>
    <w:p>
      <w:pPr>
        <w:pStyle w:val="ListBullet"/>
      </w:pPr>
      <w:r>
        <w:rPr>
          <w:b/>
        </w:rPr>
        <w:t>Problema:</w:t>
      </w:r>
    </w:p>
    <w:p>
      <w:pPr>
        <w:pStyle w:val="ListBullet2"/>
      </w:pPr>
      <w:r>
        <w:t>Erratas en una figura y en el texto.</w:t>
      </w:r>
    </w:p>
    <w:p>
      <w:pPr>
        <w:pStyle w:val="ListBullet2"/>
      </w:pPr>
      <w:r>
        <w:t>Recuperación "up to 4-6 weeks" en los puntos clave frente a "At 8 weeks up to 20% of patients will not have recovered" (PDF 111, ref. 979).</w:t>
      </w:r>
    </w:p>
    <w:p>
      <w:pPr>
        <w:pStyle w:val="ListBullet2"/>
      </w:pPr>
      <w:r>
        <w:t>Uso sistemático de "SaO2" para la saturación medida por pulsioximetría (SpO2), lo que confunde con la saturación arterial por gasometría.</w:t>
      </w:r>
    </w:p>
    <w:p>
      <w:pPr>
        <w:pStyle w:val="ListBullet"/>
      </w:pPr>
      <w:r>
        <w:rPr>
          <w:b/>
        </w:rPr>
        <w:t>Evidencia/justificación:</w:t>
      </w:r>
      <w:r>
        <w:t xml:space="preserve"> Lectura directa.</w:t>
      </w:r>
    </w:p>
    <w:p>
      <w:pPr>
        <w:pStyle w:val="ListBullet"/>
      </w:pPr>
      <w:r>
        <w:rPr>
          <w:b/>
        </w:rPr>
        <w:t>Recomendación:</w:t>
      </w:r>
    </w:p>
    <w:p>
      <w:pPr>
        <w:pStyle w:val="ListBullet2"/>
      </w:pPr>
      <w:r>
        <w:t>Corregir las erratas.</w:t>
      </w:r>
    </w:p>
    <w:p>
      <w:pPr>
        <w:pStyle w:val="ListBullet2"/>
      </w:pPr>
      <w:r>
        <w:t>Armonizar la duración de la recuperación ("hasta 8 semanas o más en ~20 %").</w:t>
      </w:r>
    </w:p>
    <w:p>
      <w:pPr>
        <w:pStyle w:val="ListBullet2"/>
      </w:pPr>
      <w:r>
        <w:t>Usar SpO2 cuando se refiera a la pulsioximetría.</w:t>
      </w:r>
    </w:p>
    <w:p>
      <w:pPr>
        <w:pStyle w:val="ListBullet"/>
      </w:pPr>
      <w:r>
        <w:rPr>
          <w:b/>
        </w:rPr>
        <w:t>Confianza:</w:t>
      </w:r>
      <w:r>
        <w:t xml:space="preserve"> 5/5</w:t>
      </w:r>
    </w:p>
    <w:p>
      <w:pPr>
        <w:pStyle w:val="Heading4"/>
      </w:pPr>
      <w:r>
        <w:t>FARM-24 · Erratas y referencias duplicadas en el ámbito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61 / impr. 50; PDF 70 / impr. 59; PDF 80 / impr. 69; PDF 82 / impr. 71</w:t>
      </w:r>
    </w:p>
    <w:p>
      <w:pPr>
        <w:pStyle w:val="ListBullet"/>
      </w:pPr>
      <w:r>
        <w:rPr>
          <w:b/>
        </w:rPr>
        <w:t>Cita:</w:t>
      </w:r>
    </w:p>
    <w:p>
      <w:pPr>
        <w:pStyle w:val="ListBullet2"/>
      </w:pPr>
      <w:r>
        <w:t>"diptheria" (PDF 61).</w:t>
      </w:r>
    </w:p>
    <w:p>
      <w:pPr>
        <w:pStyle w:val="ListBullet2"/>
      </w:pPr>
      <w:r>
        <w:t>"universally recommended for if" (PDF 70).</w:t>
      </w:r>
    </w:p>
    <w:p>
      <w:pPr>
        <w:pStyle w:val="ListBullet2"/>
      </w:pPr>
      <w:r>
        <w:t>"mainly due to cofounders such as cognitive impairment" (PDF 82).</w:t>
      </w:r>
    </w:p>
    <w:p>
      <w:pPr>
        <w:pStyle w:val="ListBullet2"/>
      </w:pPr>
      <w:r>
        <w:t>"(467,694)" (PDF 80).</w:t>
      </w:r>
    </w:p>
    <w:p>
      <w:pPr>
        <w:pStyle w:val="ListBullet"/>
      </w:pPr>
      <w:r>
        <w:rPr>
          <w:b/>
        </w:rPr>
        <w:t>Problema:</w:t>
      </w:r>
    </w:p>
    <w:p>
      <w:pPr>
        <w:pStyle w:val="ListBullet2"/>
      </w:pPr>
      <w:r>
        <w:t>"diptheria" debe ser "diphtheria".</w:t>
      </w:r>
    </w:p>
    <w:p>
      <w:pPr>
        <w:pStyle w:val="ListBullet2"/>
      </w:pPr>
      <w:r>
        <w:t>"for if" es una errata.</w:t>
      </w:r>
    </w:p>
    <w:p>
      <w:pPr>
        <w:pStyle w:val="ListBullet2"/>
      </w:pPr>
      <w:r>
        <w:t>"cofounders" debe ser "confounders".</w:t>
      </w:r>
    </w:p>
    <w:p>
      <w:pPr>
        <w:pStyle w:val="ListBullet2"/>
      </w:pPr>
      <w:r>
        <w:t>La ref 694 duplica la ref 492 (ETHOS, Rabe NEJM 2020;383:35-48).</w:t>
      </w:r>
    </w:p>
    <w:p>
      <w:pPr>
        <w:pStyle w:val="ListBullet"/>
      </w:pPr>
      <w:r>
        <w:rPr>
          <w:b/>
        </w:rPr>
        <w:t>Evidencia/justificación:</w:t>
      </w:r>
      <w:r>
        <w:t xml:space="preserve"> lista de referencias (entradas 492 y 694 idénticas).</w:t>
      </w:r>
    </w:p>
    <w:p>
      <w:pPr>
        <w:pStyle w:val="ListBullet"/>
      </w:pPr>
      <w:r>
        <w:rPr>
          <w:b/>
        </w:rPr>
        <w:t>Recomendación:</w:t>
      </w:r>
      <w:r>
        <w:t xml:space="preserve"> corregir las erratas y fusionar las referencias duplicadas.</w:t>
      </w:r>
    </w:p>
    <w:p>
      <w:pPr>
        <w:pStyle w:val="ListBullet"/>
      </w:pPr>
      <w:r>
        <w:rPr>
          <w:b/>
        </w:rPr>
        <w:t>Confianza:</w:t>
      </w:r>
      <w:r>
        <w:t xml:space="preserve"> 5/5</w:t>
      </w:r>
    </w:p>
    <w:p>
      <w:pPr>
        <w:pStyle w:val="Heading4"/>
      </w:pPr>
      <w:r>
        <w:t>IA-25 · Erratas y problemas editoriales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142 / impr. 131 (encabezado); PDF 145 / impr. 134; PDF 146 / impr. 135; Apéndices 1-2 (PDF 149-152)</w:t>
      </w:r>
    </w:p>
    <w:p>
      <w:pPr>
        <w:pStyle w:val="ListBullet"/>
      </w:pPr>
      <w:r>
        <w:rPr>
          <w:b/>
        </w:rPr>
        <w:t>Cita:</w:t>
      </w:r>
      <w:r>
        <w:t xml:space="preserve"> "ARTIFICAL INTELLIGENCE IN COPD"; "This is an herculean process"; "such as Merlin extends"</w:t>
      </w:r>
    </w:p>
    <w:p>
      <w:pPr>
        <w:pStyle w:val="ListBullet"/>
      </w:pPr>
      <w:r>
        <w:rPr>
          <w:b/>
        </w:rPr>
        <w:t>Problema:</w:t>
      </w:r>
    </w:p>
    <w:p>
      <w:pPr>
        <w:pStyle w:val="ListBullet2"/>
      </w:pPr>
      <w:r>
        <w:t>Errata en el encabezado: "ARTIFICAL" en lugar de "ARTIFICIAL".</w:t>
      </w:r>
    </w:p>
    <w:p>
      <w:pPr>
        <w:pStyle w:val="ListBullet2"/>
      </w:pPr>
      <w:r>
        <w:t>"An herculean" en lugar de "a Herculean".</w:t>
      </w:r>
    </w:p>
    <w:p>
      <w:pPr>
        <w:pStyle w:val="ListBullet2"/>
      </w:pPr>
      <w:r>
        <w:t>Concordancia: "such as Merlin extends".</w:t>
      </w:r>
    </w:p>
    <w:p>
      <w:pPr>
        <w:pStyle w:val="ListBullet2"/>
      </w:pPr>
      <w:r>
        <w:t>Las abreviaturas FOT, IOS y AOS no se definen en el texto ni en el Apéndice 1.</w:t>
      </w:r>
    </w:p>
    <w:p>
      <w:pPr>
        <w:pStyle w:val="ListBullet2"/>
      </w:pPr>
      <w:r>
        <w:t>La remisión al Apéndice 2 (PDF 146) promete información sobre cómo preparar la visita remota, pero esa información está en el propio Cap. 6 (PDF 147). El Apéndice 2 solo contiene la lista de verificación.</w:t>
      </w:r>
    </w:p>
    <w:p>
      <w:pPr>
        <w:pStyle w:val="ListBullet2"/>
      </w:pPr>
      <w:r>
        <w:t>La lista de verificación del Apéndice 2 conserva ítems de la época COVID ("AIRBORNE VIRUS") sin actualizar.</w:t>
      </w:r>
    </w:p>
    <w:p>
      <w:pPr>
        <w:pStyle w:val="ListBullet"/>
      </w:pPr>
      <w:r>
        <w:rPr>
          <w:b/>
        </w:rPr>
        <w:t>Evidencia/justificación:</w:t>
      </w:r>
      <w:r>
        <w:t xml:space="preserve"> Lectura directa.</w:t>
      </w:r>
    </w:p>
    <w:p>
      <w:pPr>
        <w:pStyle w:val="ListBullet"/>
      </w:pPr>
      <w:r>
        <w:rPr>
          <w:b/>
        </w:rPr>
        <w:t>Recomendación:</w:t>
      </w:r>
      <w:r>
        <w:t xml:space="preserve"> Corregir las erratas, definir las abreviaturas, ajustar la remisión y actualizar la lista de verificación.</w:t>
      </w:r>
    </w:p>
    <w:p>
      <w:pPr>
        <w:pStyle w:val="ListBullet"/>
      </w:pPr>
      <w:r>
        <w:rPr>
          <w:b/>
        </w:rPr>
        <w:t>Confianza:</w:t>
      </w:r>
      <w:r>
        <w:t xml:space="preserve"> 5/5</w:t>
      </w:r>
    </w:p>
    <w:p>
      <w:pPr>
        <w:pStyle w:val="Heading4"/>
      </w:pPr>
      <w:r>
        <w:t>INT-24 · Erratas y problemas editoriales en el ámbito revisado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90, 91, 96, 97, 98, 100, 101 / impr. 79, 80, 85, 86, 87, 89, 90</w:t>
      </w:r>
    </w:p>
    <w:p>
      <w:pPr>
        <w:pStyle w:val="ListBullet"/>
      </w:pPr>
      <w:r>
        <w:rPr>
          <w:b/>
        </w:rPr>
        <w:t>Cita:</w:t>
      </w:r>
      <w:r>
        <w:t xml:space="preserve"> "exacerbations, , and those with lower FEV1"</w:t>
      </w:r>
    </w:p>
    <w:p>
      <w:pPr>
        <w:pStyle w:val="ListBullet"/>
      </w:pPr>
      <w:r>
        <w:rPr>
          <w:b/>
        </w:rPr>
        <w:t>Problema:</w:t>
      </w:r>
    </w:p>
    <w:p>
      <w:pPr>
        <w:pStyle w:val="ListBullet2"/>
      </w:pPr>
      <w:r>
        <w:rPr>
          <w:b/>
        </w:rPr>
        <w:t>PDF 90:</w:t>
      </w:r>
      <w:r>
        <w:t xml:space="preserve"> doble coma, que sugiere texto eliminado.</w:t>
      </w:r>
    </w:p>
    <w:p>
      <w:pPr>
        <w:pStyle w:val="ListBullet2"/>
      </w:pPr>
      <w:r>
        <w:rPr>
          <w:b/>
        </w:rPr>
        <w:t>Fig. 3.19, PDF 91:</w:t>
      </w:r>
      <w:r>
        <w:t xml:space="preserve"> «Kohlein» en lugar de Köhnlein. La HR del tabaquismo está orientada al revés que el resto de filas (control frente a intervención, 1,18).</w:t>
      </w:r>
    </w:p>
    <w:p>
      <w:pPr>
        <w:pStyle w:val="ListBullet2"/>
      </w:pPr>
      <w:r>
        <w:rPr>
          <w:b/>
        </w:rPr>
        <w:t>Fig. 3.21, PDF 96:</w:t>
      </w:r>
      <w:r>
        <w:t xml:space="preserve"> «Tracheobronchomalcia».</w:t>
      </w:r>
    </w:p>
    <w:p>
      <w:pPr>
        <w:pStyle w:val="ListBullet2"/>
      </w:pPr>
      <w:r>
        <w:rPr>
          <w:b/>
        </w:rPr>
        <w:t>Fig. 3.22, PDF 97:</w:t>
      </w:r>
      <w:r>
        <w:t xml:space="preserve"> «upper-lobe and low…», falta «emphysema».</w:t>
      </w:r>
    </w:p>
    <w:p>
      <w:pPr>
        <w:pStyle w:val="ListBullet2"/>
      </w:pPr>
      <w:r>
        <w:rPr>
          <w:b/>
        </w:rPr>
        <w:t>PDF 98:</w:t>
      </w:r>
      <w:r>
        <w:t xml:space="preserve"> el recuadro titulado «Lung volume reduction surgery» incluye también bullectomía y trasplante.</w:t>
      </w:r>
    </w:p>
    <w:p>
      <w:pPr>
        <w:pStyle w:val="ListBullet2"/>
      </w:pPr>
      <w:r>
        <w:rPr>
          <w:b/>
        </w:rPr>
        <w:t>PDF 100:</w:t>
      </w:r>
      <w:r>
        <w:t xml:space="preserve"> «medial therapy».</w:t>
      </w:r>
    </w:p>
    <w:p>
      <w:pPr>
        <w:pStyle w:val="ListBullet2"/>
      </w:pPr>
      <w:r>
        <w:rPr>
          <w:b/>
        </w:rPr>
        <w:t>PDF 101:</w:t>
      </w:r>
      <w:r>
        <w:t xml:space="preserve"> «Commons symptoms».</w:t>
      </w:r>
    </w:p>
    <w:p>
      <w:pPr>
        <w:pStyle w:val="ListBullet"/>
      </w:pPr>
      <w:r>
        <w:rPr>
          <w:b/>
        </w:rPr>
        <w:t>Evidencia/justificación:</w:t>
      </w:r>
      <w:r>
        <w:t xml:space="preserve"> Lectura directa del texto y de las PNG.</w:t>
      </w:r>
    </w:p>
    <w:p>
      <w:pPr>
        <w:pStyle w:val="ListBullet"/>
      </w:pPr>
      <w:r>
        <w:rPr>
          <w:b/>
        </w:rPr>
        <w:t>Recomendación:</w:t>
      </w:r>
      <w:r>
        <w:t xml:space="preserve"> Corrección editorial. Retitular el recuadro de la PDF 98 como «Interventional and surgical therapy – key points» e invertir la HR del tabaquismo (intervención frente a control ≈ 0,85) para que sea coherente con el resto de la tabla.</w:t>
      </w:r>
    </w:p>
    <w:p>
      <w:pPr>
        <w:pStyle w:val="ListBullet"/>
      </w:pPr>
      <w:r>
        <w:rPr>
          <w:b/>
        </w:rPr>
        <w:t>Confianza:</w:t>
      </w:r>
      <w:r>
        <w:t xml:space="preserve"> 5/5</w:t>
      </w:r>
    </w:p>
    <w:p>
      <w:pPr>
        <w:pStyle w:val="Heading4"/>
      </w:pPr>
      <w:r>
        <w:t>REH-24 · Erratas y duplicaciones en el ámbito revisado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86, 89, 90, 91, 117, 169, 171 y 174.</w:t>
      </w:r>
    </w:p>
    <w:p>
      <w:pPr>
        <w:pStyle w:val="ListBullet"/>
      </w:pPr>
      <w:r>
        <w:rPr>
          <w:b/>
        </w:rPr>
        <w:t>Cita:</w:t>
      </w:r>
      <w:r>
        <w:t xml:space="preserve"> «complimented» (PDF 86, por «complemented»); «exacerbations, , and» (PDF 90); «self-management invention group» (PDF 169, por «intervention»); «this not consistently translate» (PDF 171); «ventilator inefficiency» (PDF 174, por «ventilatory»); «cardon dioxide» (PDF 117); párrafo de CPAP duplicado (PDF 89); «Kohlein» (Figura 3.19, PDF 91).</w:t>
      </w:r>
    </w:p>
    <w:p>
      <w:pPr>
        <w:pStyle w:val="ListBullet"/>
      </w:pPr>
      <w:r>
        <w:rPr>
          <w:b/>
        </w:rPr>
        <w:t>Problema:</w:t>
      </w:r>
      <w:r>
        <w:t xml:space="preserve"> Errores de edición que restan credibilidad. El de «invention» cambia el sentido de la frase.</w:t>
      </w:r>
    </w:p>
    <w:p>
      <w:pPr>
        <w:pStyle w:val="ListBullet"/>
      </w:pPr>
      <w:r>
        <w:rPr>
          <w:b/>
        </w:rPr>
        <w:t>Evidencia/justificación:</w:t>
      </w:r>
      <w:r>
        <w:t xml:space="preserve"> Lectura directa del texto.</w:t>
      </w:r>
    </w:p>
    <w:p>
      <w:pPr>
        <w:pStyle w:val="ListBullet"/>
      </w:pPr>
      <w:r>
        <w:rPr>
          <w:b/>
        </w:rPr>
        <w:t>Recomendación:</w:t>
      </w:r>
      <w:r>
        <w:t xml:space="preserve"> Corrección editorial en la próxima versión.</w:t>
      </w:r>
    </w:p>
    <w:p>
      <w:pPr>
        <w:pStyle w:val="ListBullet"/>
      </w:pPr>
      <w:r>
        <w:rPr>
          <w:b/>
        </w:rPr>
        <w:t>Confianza:</w:t>
      </w:r>
      <w:r>
        <w:t xml:space="preserve"> 5/5</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