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AII501NAA Activity 2</w:t>
      </w:r>
    </w:p>
    <w:p>
      <w:pPr>
        <w:jc w:val="center"/>
      </w:pPr>
      <w:r>
        <w:rPr>
          <w:i/>
        </w:rPr>
        <w:t>Monte Carlo Tree Search and Propositional Logic</w:t>
      </w:r>
    </w:p>
    <w:p>
      <w:pPr>
        <w:pStyle w:val="Heading1"/>
      </w:pPr>
      <w:r>
        <w:t>Overview</w:t>
      </w:r>
    </w:p>
    <w:p>
      <w:r>
        <w:t>This report documents a basic Connect Four move generator using Monte Carlo Tree Search (MCTS), the experiments performed with the implementation, and the required propositional-logic analyses. The Connect Four board uses six rows and seven columns. The implementation represents empty cells with 0 and the two players with 1 and 2.</w:t>
      </w:r>
    </w:p>
    <w:p>
      <w:pPr>
        <w:pStyle w:val="Heading1"/>
      </w:pPr>
      <w:r>
        <w:t>Connect Four Monte Carlo Tree Search</w:t>
      </w:r>
    </w:p>
    <w:p>
      <w:pPr>
        <w:pStyle w:val="Heading2"/>
      </w:pPr>
      <w:r>
        <w:t>Board and move generation</w:t>
      </w:r>
    </w:p>
    <w:p>
      <w:r>
        <w:t>The Board class stores a two-dimensional 6-by-7 grid and the player whose turn it is. legal_moves checks the top cell of each column, because a column is available whenever its top cell is empty. play creates a copied grid, places the current player's piece in the lowest available position, and returns a new board for the other player.</w:t>
      </w:r>
    </w:p>
    <w:p>
      <w:pPr>
        <w:pStyle w:val="Heading2"/>
      </w:pPr>
      <w:r>
        <w:t>Search process</w:t>
      </w:r>
    </w:p>
    <w:p>
      <w:r>
        <w:t>Each search node stores a board, its parent, the move that created it, its child nodes, its visit count, and its accumulated value. The search repeatedly selects a node using the UCT score, expands an untried legal move, performs a random rollout until the game ends, and backpropagates the result through the node's ancestors. The final move is the root child with the greatest visit count.</w:t>
      </w:r>
    </w:p>
    <w:p>
      <w:pPr>
        <w:pStyle w:val="Heading2"/>
      </w:pPr>
      <w:r>
        <w:t>Win and terminal-state detection</w:t>
      </w:r>
    </w:p>
    <w:p>
      <w:r>
        <w:t>The winner method checks horizontal, vertical, down-right diagonal, and down-left diagonal groups of four. The terminal method reports that the game has ended when a player has won or when no legal columns remain.</w:t>
      </w:r>
    </w:p>
    <w:p>
      <w:pPr>
        <w:pStyle w:val="Heading1"/>
      </w:pPr>
      <w:r>
        <w:t>Experiment</w:t>
      </w:r>
    </w:p>
    <w:p>
      <w:pPr>
        <w:pStyle w:val="Heading2"/>
      </w:pPr>
      <w:r>
        <w:t>Variables</w:t>
      </w:r>
    </w:p>
    <w:p>
      <w:r>
        <w:t>The experiment varied simulation count and random seed.</w:t>
      </w:r>
    </w:p>
    <w:tbl>
      <w:tblPr>
        <w:tblStyle w:val="TableGrid"/>
        <w:tblW w:type="auto" w:w="0"/>
        <w:tblLook w:firstColumn="1" w:firstRow="1" w:lastColumn="0" w:lastRow="0" w:noHBand="0" w:noVBand="1" w:val="04A0"/>
      </w:tblPr>
      <w:tblGrid>
        <w:gridCol w:w="4896"/>
        <w:gridCol w:w="4896"/>
      </w:tblGrid>
      <w:tr>
        <w:tc>
          <w:tcPr>
            <w:tcW w:type="dxa" w:w="4896"/>
          </w:tcPr>
          <w:p>
            <w:r>
              <w:t>Variable</w:t>
            </w:r>
          </w:p>
        </w:tc>
        <w:tc>
          <w:tcPr>
            <w:tcW w:type="dxa" w:w="4896"/>
          </w:tcPr>
          <w:p>
            <w:r>
              <w:t>Values</w:t>
            </w:r>
          </w:p>
        </w:tc>
      </w:tr>
      <w:tr>
        <w:tc>
          <w:tcPr>
            <w:tcW w:type="dxa" w:w="4896"/>
          </w:tcPr>
          <w:p>
            <w:r>
              <w:t>Simulation count</w:t>
            </w:r>
          </w:p>
        </w:tc>
        <w:tc>
          <w:tcPr>
            <w:tcW w:type="dxa" w:w="4896"/>
          </w:tcPr>
          <w:p>
            <w:r>
              <w:t>10, 50, 100, 500</w:t>
            </w:r>
          </w:p>
        </w:tc>
      </w:tr>
      <w:tr>
        <w:tc>
          <w:tcPr>
            <w:tcW w:type="dxa" w:w="4896"/>
          </w:tcPr>
          <w:p>
            <w:r>
              <w:t>Random seed</w:t>
            </w:r>
          </w:p>
        </w:tc>
        <w:tc>
          <w:tcPr>
            <w:tcW w:type="dxa" w:w="4896"/>
          </w:tcPr>
          <w:p>
            <w:r>
              <w:t>1, 2, 3, 4, 5</w:t>
            </w:r>
          </w:p>
        </w:tc>
      </w:tr>
    </w:tbl>
    <w:p>
      <w:r>
        <w:t>The complete results are stored in data/mcts_results.csv.</w:t>
      </w:r>
    </w:p>
    <w:p>
      <w:pPr>
        <w:pStyle w:val="Heading2"/>
      </w:pPr>
      <w:r>
        <w:t>Results and analysis</w:t>
      </w:r>
    </w:p>
    <w:p>
      <w:r>
        <w:t>The simulator did not always select the same move. Different random seeds produced different moves, particularly when the simulation count was low. With more simulations, some moves appeared more consistently, but the selected move could still change because the rollout policy is random.</w:t>
      </w:r>
    </w:p>
    <w:p>
      <w:r>
        <w:t>The differences are caused by random move selection during simulation. Increasing the number of simulations gives the search more information and can make the results more stable, but it does not completely remove randomness. This experiment varied simulation count and random seed; utility-function alternatives, expansion-node limits, and tree-height limits were not independently configured in the basic implementation.</w:t>
      </w:r>
    </w:p>
    <w:p>
      <w:pPr>
        <w:pStyle w:val="Heading1"/>
      </w:pPr>
      <w:r>
        <w:t>Propositional Logic</w:t>
      </w:r>
    </w:p>
    <w:p>
      <w:pPr>
        <w:pStyle w:val="Heading2"/>
      </w:pPr>
      <w:r>
        <w:t>Validity and satisfiability</w:t>
      </w:r>
    </w:p>
    <w:p>
      <w:r>
        <w:t>Smoke implies Fire is neither valid nor unsatisfiable. It is false when Smoke is true and Fire is false, but true in the other three assignments.</w:t>
      </w:r>
    </w:p>
    <w:p>
      <w:r>
        <w:t>The sentence ((Smoke and Heat) implies Fire) if and only if ((Smoke implies Fire) or (Heat implies Fire)) is valid. Both sides are false only when Smoke and Heat are true and Fire is false; otherwise both sides are true.</w:t>
      </w:r>
    </w:p>
    <w:p>
      <w:pPr>
        <w:pStyle w:val="Heading2"/>
      </w:pPr>
      <w:r>
        <w:t>Models</w:t>
      </w:r>
    </w:p>
    <w:p>
      <w:r>
        <w:t>For B or C over A, B, C, and D, there are 16 total assignments. Four assignments have B and C both false, so the sentence has 12 models.</w:t>
      </w:r>
    </w:p>
    <w:p>
      <w:r>
        <w:t>The sentence (A implies B) and A and not B and C and D has 0 models. A being true and B being false makes A implies B false, producing a contradiction.</w:t>
      </w:r>
    </w:p>
    <w:p>
      <w:pPr>
        <w:pStyle w:val="Heading1"/>
      </w:pPr>
      <w:r>
        <w:t>Resolution</w:t>
      </w:r>
    </w:p>
    <w:p>
      <w:r>
        <w:t>Let F mean Food, D mean Drinks, and P mean Party. The original sentence is [(F implies P) or (D implies P)] implies [(F and D) implies P].</w:t>
      </w:r>
    </w:p>
    <w:p>
      <w:pPr>
        <w:pStyle w:val="Heading2"/>
      </w:pPr>
      <w:r>
        <w:t>Enumeration and CNF</w:t>
      </w:r>
    </w:p>
    <w:p>
      <w:r>
        <w:t>The left side becomes (not F or P) or (not D or P), which simplifies to not F or not D or P. The right side becomes not(F and D) or P, which also simplifies to not F or not D or P. Therefore, the complete sentence has the form X implies X and is valid for every assignment.</w:t>
      </w:r>
    </w:p>
    <w:p>
      <w:pPr>
        <w:pStyle w:val="Heading2"/>
      </w:pPr>
      <w:r>
        <w:t>Resolution proof</w:t>
      </w:r>
    </w:p>
    <w:p>
      <w:r>
        <w:t>Let X be (not F or not D or P). Negating X implies X gives X and not X. The clauses are {not F, not D, P}, {F}, {D}, and {not P}. Resolving the first clause with {F} gives {not D, P}; resolving with {D} gives {P}; resolving with {not P} gives the empty clause. The contradiction proves that the negation is unsatisfiable, so the original sentence is valid.</w:t>
      </w:r>
    </w:p>
    <w:p>
      <w:pPr>
        <w:pStyle w:val="Heading1"/>
      </w:pPr>
      <w:r>
        <w:t>Assumptions and limitations</w:t>
      </w:r>
    </w:p>
    <w:p>
      <w:r>
        <w:t>The implementation uses random playouts, a basic UCT exploration term, and a configurable simulation count. The current experiment does not independently vary utility-function definitions, expansion-node counts, or tree height. These are limitations of the basic implementation and should be addressed if the assignment requires separate measurements for each parameter.</w:t>
      </w:r>
    </w:p>
    <w:p>
      <w:pPr>
        <w:pStyle w:val="Heading1"/>
      </w:pPr>
      <w:r>
        <w:t>Conclusion</w:t>
      </w:r>
    </w:p>
    <w:p>
      <w:r>
        <w:t>The implementation successfully generates legal Connect Four moves and detects wins in all four directions. The experiments show that random rollouts can produce different moves across runs, while additional simulations can improve consistency. The logic analysis classifies the required sentences and supports the resolution result with CNF conversion and contradiction by resolution.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