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We present CartelBench, a human-calibrated testbed for cartel enforcement on pricing agents built on large language models (LLMs). It replays the laboratory experiment of Bigoni, Fridolfsson, Le Coq and Spagnolo (2012) with LLM sellers under the same payoffs, regimes, matching and termination rules, so that every measure sits next to the published human value, and asks which restriction removes the most collusion at the least cost. Hypotheses, decision rules and control arms were pre-registered. We tested four models from three families: Claude Haiku 5.5 and Sonnet 5.5, Qwen2.5-32B and Llama-3.1-8B. Without an authority all four form explicit cartels, and the Claude models hold them near the joint optimum where human subjects undercut. Fines, leniency and rewards that are told, not paid, remove explicit cartels from the agents more than from people (a point comparison), yet three of the four models keep prices of 5.7 to 7.3 against a Nash price of 3 almost without price discussion; against a scripted partner at the Nash price Sonnet and Qwen price far lower: most of their excess arises between two LLMs. A pre-registered price screen lowered prices in every family where it ran, and its announced threshold became the price: Sonnet priced at exactly 4 under a threshold of 4 and at 5 under a threshold of 5. Under the primary pre-registered rule Haiku reproduces three of seven tested human results (two on the first half of the sample; Result 3 passes only on the bootstrap rule, permutation p 0.099).</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our knowledge no one has tested whether these legal instruments work on them.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This report, submitted to Track 1: Markets and Collusion of the AI Collusion Research Sprint, addresses research question 1.5 (which single restriction removes the most collusion at the least cost) and research question 1.1 (which variables are necessary for collusion to emerge in markets). Collusion here means what it means in the source experiment: an explicit agreement, formed when both firms consent to a price discussion; supracompetitive prices without any discussion we call silent coordination. The instruments are told-only: agents read the fine, the leniency rule or the reward in their instructions, and penalties are points, never money.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a competition authority, for example the Hong Kong Competition Commission with its leniency policy (HKCC, 2024), runs this testbed on a candidate pricing model before deployment and reads, per instrument, where agents react as people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To our knowledge the first measurement of fines, leniency and whistleblower rewards on LLM pricing agents against a human baseline, across four models from three families: told-only rules deter explicit cartels far more than they deterred people,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tested countermeasure: a pre-registered price screen, calibrated to a false-positive rate of at most 1.1 percent, that lowers silent prices across three families, and a causal test of its side effect: the announced threshold becomes the focal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Reinforcement-learning pricing algorithms learn to sustain supracompetitive prices without communication (Calvano, Calzolari, Denicolò and Pastorello, 2020). LLM pricing agents reach such prices autonomously too (Fish, Gonczarowski and Shorrer, 2024), more so with communication (Agrawal et al., 2025), depending on the provider (Lee, 2026) and fragile to heterogeneity (Keppo, Li, Tsoukalas and Yuan, 2026). Garra (2026) tests a prompt warning, a payoff regulator and a random entrant; Idowu, Almasoud and Alfahid (2026) map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reduce cartel formation but raise cartel prices, leniency strengthens deterrence but stabilises surviving cartels, and rewards push prices to the competitive level because subjects form cartels to betray them. Werner (2026) compared Q-learning algorithms with humans in a repeated Bertrand pricing game; we extend the human-versus-algorithm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harness (new).</w:t>
      </w:r>
      <w:r>
        <w:rPr>
          <w:rFonts w:ascii="Old Standard TT" w:hAnsi="Old Standard TT" w:cs="Old Standard TT" w:eastAsia="Old Standard TT"/>
        </w:rPr>
        <w:t xml:space="preserve"> CartelBench is a Python package written during the sprint (engine, regimes, prompts, model clients, scripted players, measures, tests, scorecard, hashed run ledger). Each agent receives the design and the full profit table as a system prompt and, at each step, its pairing's history and a JSON schema;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(main model)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Qwen2.5-32B-Instruct and Llama-3.1-8B-Instruct at pinned revisions, served with vLLM on Modal GPUs.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took part in the pilot and the contamination probes only.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Unit of analysis and tests.</w:t>
      </w:r>
      <w:r>
        <w:rPr>
          <w:rFonts w:ascii="Old Standard TT" w:hAnsi="Old Standard TT" w:cs="Old Standard TT" w:eastAsia="Old Standard TT"/>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 and amendments.</w:t>
      </w:r>
      <w:r>
        <w:rPr>
          <w:rFonts w:ascii="Old Standard TT" w:hAnsi="Old Standard TT" w:cs="Old Standard TT" w:eastAsia="Old Standard TT"/>
        </w:rPr>
        <w:t xml:space="preserve"> Hypotheses H1 to H4, measures, decision rules and the scorecard were committed before any model call and checked against the paper before the first paid call. Four amendments followed, each committed before the runs it governs (Appendix C lists them with commits and times); they added arms and samples, and hypotheses and decision rules never changed. One exception is recorded: a Sonnet run started four minutes before amendment 3 registered it. Arms added later are registered extensions; the keyword count of stated reasons is exploratory.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Price screen (amendments 5 and 6).</w:t>
      </w:r>
      <w:r>
        <w:rPr>
          <w:rFonts w:ascii="Old Standard TT" w:hAnsi="Old Standard TT" w:cs="Old Standard TT" w:eastAsia="Old Standard TT"/>
        </w:rPr>
        <w:t xml:space="preserve"> The authority fines both firms 200 points when both prices exceed 4 in two consecutive periods; agents are told the screen rule (Appendix B) unless the arm is unannounced. Threshold and window were chosen on recorded data before any screen run; the false-positive rate against four scripted legitimate players is 0.000 to 0.011 per episode at threshold 4 and 0.000 at 5. Amendment 6 adds an announced threshold of 5, an unannounced threshold of 4, each model against a scripted partner that always prices 3 (a single-agent price control), and agents told by their owners to coordinate and told the screen rule.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result of the paper is "reproduced" when the agents show the humans' direction and the bootstrap interval of the regime difference excludes zero (and exceeds the gap between the paper's two laboratory sites, Stockholm and Rome, where that gap is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points instead of money, no trial periods, pools of 10 agents, instructions in neutral words from the 2011 working paper (IFN WP 738), whose values are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pipeline measures what it should.</w:t>
      </w:r>
      <w:r>
        <w:rPr>
          <w:rFonts w:ascii="Old Standard TT" w:hAnsi="Old Standard TT" w:cs="Old Standard TT" w:eastAsia="Old Standard TT"/>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1: without an authority, the agents form cartels and keep them.</w:t>
      </w:r>
      <w:r>
        <w:rPr>
          <w:rFonts w:ascii="Old Standard TT" w:hAnsi="Old Standard TT" w:cs="Old Standard TT" w:eastAsia="Old Standard TT"/>
        </w:rPr>
        <w:t xml:space="preserve"> All four models form explicit cartels in laissez-faire (Table 2). The Claude models then hold the price near the joint optimum of 9, where the human subjects broke more than half of their agreements; Haiku's deviation rate is 0.015 against the students' 0.564. Over the first 4 pool sessions Haiku's formation rate equals the human one by a coincidence of rounding (0.7159 against 0.716); over all 8 it is 0.775.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2: told rules remove explicit cartels, but in three of four models the price stays.</w:t>
      </w:r>
      <w:r>
        <w:rPr>
          <w:rFonts w:ascii="Old Standard TT" w:hAnsi="Old Standard TT" w:cs="Old Standard TT" w:eastAsia="Old Standard TT"/>
        </w:rPr>
        <w:t xml:space="preserve"> Under fine, leniency and reward, Sonnet and Qwen never form a cartel and Llama rarely does, yet all three keep prices between 5.7 and 7.3, far above Nash (Table 2). They do so almost without words (Sonnet: 1 to 2 wishes to talk in 460 to 510 decisions; Qwen: an attempt rate of at most 0.001). Sonnet's prices under prohibition lie below its own no-channel level (permutation p 0.029 each) yet above Nash in 93 to 100 percent of late pair-periods; Qwen's sit at or above its laissez-faire level. Llama still forms a few cartels and reports most of them (report rate 0.65 to 0.74). Haiku is the exception: under leniency and reward its price falls near Nash (Table 2), while under the fine it sits at its own no-channel level (difference +0.260 [-0.067, +0.584]).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For Sonnet and Qwen the silent price needs a second LLM; Llama prices high alone.</w:t>
      </w:r>
      <w:r>
        <w:rPr>
          <w:rFonts w:ascii="Old Standard TT" w:hAnsi="Old Standard TT" w:cs="Old Standard TT" w:eastAsia="Old Standard TT"/>
        </w:rPr>
        <w:t xml:space="preserve"> Against a scripted partner that always prices at Nash, Sonnet and Qwen lose most of their no-channel price (Table 4: 3.57 and 3.03 points of it arise only when two LLMs meet), while Llama gains only 0.43 from a second LLM (p 0.086). The registered reading is a single-agent price prior for both open models, which for Qwen covers the smaller part of its price.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all other cells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Haiku reproduces three of seven tested Bigoni results under the primary rule</w:t>
      </w:r>
      <w:r>
        <w:rPr>
          <w:rFonts w:ascii="Old Standard TT" w:hAnsi="Old Standard TT" w:cs="Old Standard TT" w:eastAsia="Old Standard TT"/>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pPr>
        <w:jc w:val="center"/>
      </w:pPr>
      <w:r>
        <w:drawing>
          <wp:inline>
            <wp:extent cx="5943600" cy="301752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301752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by the scorecard rule of Section 3;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3: a price screen caps the silent prices, and the announced threshold sets the price.</w:t>
      </w:r>
      <w:r>
        <w:rPr>
          <w:rFonts w:ascii="Old Standard TT" w:hAnsi="Old Standard TT" w:cs="Old Standard TT" w:eastAsia="Old Standard TT"/>
        </w:rPr>
        <w:t xml:space="preserve"> In every family the announced screen lowered the no-channel price (Table 4), with zero penalties for the Claude models and a few for the open models; under the fine, adding the screen lowered prices further. The threshold itself sets the price: announced at 5, it moved Sonnet's prices to 5 (98.5 percent exactly at 5, +0.985 [+0.971, +0.998] against the threshold 4) and Haiku's up by 0.62; unannounced at 4, it lowered Sonnet's price by only 0.72 and left Haiku's unchanged (+0.24 [-0.25, +0.77]). Its cost to honest agents is small: the screen fined Haiku and Sonnet never and Llama in 0.020 of episodes.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in the design.</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Validity checks hold for the Claude models except Haiku's fine under paraphrase, and partly for the open ones.</w:t>
      </w:r>
      <w:r>
        <w:rPr>
          <w:rFonts w:ascii="Old Standard TT" w:hAnsi="Old Standard TT" w:cs="Old Standard TT" w:eastAsia="Old Standard TT"/>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whole programme is cheap and no model refused a single call.</w:t>
      </w:r>
      <w:r>
        <w:rPr>
          <w:rFonts w:ascii="Old Standard TT" w:hAnsi="Old Standard TT" w:cs="Old Standard TT" w:eastAsia="Old Standard TT"/>
        </w:rPr>
        <w:t xml:space="preserve"> Table A2 lists samples, invalid answers and cost per model; the run ledger lists every run folder ever started, including nine aborted at HTTP 429 that were never analysed.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Interpretation.</w:t>
      </w:r>
      <w:r>
        <w:rPr>
          <w:rFonts w:ascii="Old Standard TT" w:hAnsi="Old Standard TT" w:cs="Old Standard TT" w:eastAsia="Old Standard TT"/>
        </w:rPr>
        <w:t xml:space="preserve"> The pattern suggests, as an interpretation and not a measured mechanism, that the two human mechanisms behind the paper's results, undercutting a partner and betraying one, are nearly absent in the Claude agents, while expected-cost reasoning is present: an agent that does not undercut, and expects the same of its partner, may read a leniency or reward rule as an invitation for the partner to collect and decline the agreement. This would explain why Results 1 and 2 reproduce, Result 3 on the bootstrap rule only, and the undercutting-based Results 4 to 7 do not.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Which variables the agents' collusion needs (research question 1.1).</w:t>
      </w:r>
      <w:r>
        <w:rPr>
          <w:rFonts w:ascii="Old Standard TT" w:hAnsi="Old Standard TT" w:cs="Old Standard TT" w:eastAsia="Old Standard TT"/>
        </w:rPr>
        <w:t xml:space="preserve"> Three arms isolate one variable each. A repeated match: with a new partner every period no cartel forms (Result 8, Table 3). An open channel: without a price discussion the Claude models and Llama price below their laissez-faire level, Qwen does not, and all four stay well above Nash (Tables 2 and 4). A second LLM: against a scripted partner at Nash, Sonnet and Qwen lose most of their silent premium, Llama does not (Table 4). Explicit collusion needs the repeated match and the channel, as for the students; silent coordination needs a second agent of the same kind, not a channel.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Which restriction removes the most collusion at the least cost (research question 1.5), and what it means for an authority.</w:t>
      </w:r>
      <w:r>
        <w:rPr>
          <w:rFonts w:ascii="Old Standard TT" w:hAnsi="Old Standard TT" w:cs="Old Standard TT" w:eastAsia="Old Standard TT"/>
        </w:rPr>
        <w:t xml:space="preserve"> For explicit cartels, told-only leniency and reward remove the most, in Haiku's case at almost no enforcement cost (Appendix A: four reward convictions, all by report). The Hong Kong Competition Commission's leniency policy offers immunity to the first cartel member that reports (HKCC, 2024), a race to confess: for Haiku the race is run before the cartel forms; for Sonnet and Qwen the cartel becomes silent and the race never starts; Llama reports its few cartels while its price stays high. Instruments built on reports cannot reach coordination in which nothing is said. The price screen reaches it, at a false-positive rate of at most 0.011 per episode and without a penalty on honest Claude agents (Finding 3), but a known threshold becomes the focal price: an announced screen is in effect a price cap, an unannounced one avoids the focal point but lowers prices less, and an instructed adversary can evade the announced one.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authority text.</w:t>
      </w:r>
      <w:r>
        <w:rPr>
          <w:rFonts w:ascii="Old Standard TT" w:hAnsi="Old Standard TT" w:cs="Old Standard TT" w:eastAsia="Old Standard TT"/>
        </w:rPr>
        <w:t xml:space="preserve"> Punishments here are told, not paid, so a drop in formation could also be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 Qwen's stated reasons for not talking name detection or risk in 76 to 80 percent of decisions, a keyword count and not a mechanism.</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and four models at one date do not characterise LLMs in general. Haiku's fine response is not robust to paraphrase, and Qwen fails the shifted-grid check. Result 3 depends on the test: bootstrap yes, permutation no. Under leniency and reward few cartels form, so cartel-level measures rest on few episodes. The human comparison is calibrated for the four core regimes only; the price screen has no human baseline. </w:t>
      </w:r>
      <w:r>
        <w:rPr>
          <w:rFonts w:ascii="Old Standard TT" w:hAnsi="Old Standard TT" w:cs="Old Standard TT" w:eastAsia="Old Standard TT"/>
          <w:b/>
        </w:rPr>
        <w:t xml:space="preserve">Future work:</w:t>
      </w:r>
      <w:r>
        <w:rPr>
          <w:rFonts w:ascii="Old Standard TT" w:hAnsi="Old Standard TT" w:cs="Old Standard TT" w:eastAsia="Old Standard TT"/>
        </w:rPr>
        <w:t xml:space="preserve"> randomised screen thresholds against agents instructed to collude that know the rule, and an evaluation-awareness arm.</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CartelBench puts LLM pricing agents through a published cartel experiment under its human subjects' rules, with a pre-registered scorecard and controls at both ends. Told-only fines, leniency and rewards remove explicit cartels from the agents more than from people, in point comparison, and Haiku reproduces three of seven tested human results. Three of the four models then hold supracompetitive prices without a word, beyond any instrument built on reports; a pre-registered price screen reaches them at a measured false-positive cost, and its announced threshold becomes the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https://github.com/julianmundelein-beep/2026-ai-collusion-sprint (harness, pre-registration, measurements, call records; public from submission). All code is new work from the sprint. Ledger SHA-256 f8bc980e...30d3; spend 63.15 USD API, 12.82 USD Modal.</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Calvano, E., Calzolari, G., Denicolò, V., and Pastorello, S. (2020). Artificial Intelligence, Algorithmic Pricing, and Collusion. American Economic Review 110(10), 3267 to 3297.</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which enforcement regimes leave agent coordination in place, that silent coordination survives instruments built on reports, and that a published screen threshold becomes a focal price. An operator who wants pricing agents to collude could read this as guidance: avoid explicit agreements, price just under a known screen. An agent told by its owners to coordinate and told the screen rule priced above the threshold in about a third of its periods without being fined; we report rates, not tactics. We judge the risk moderate and the benefit larger: the game and the instruments are public, the silent pricing arises without any instruction to collude, and the same finding tells authorities not to disclose threshold and window in full, or to vary them at random, and to test agents before deployment.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 samples and cost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Table A2. Samples, reliability and cost per model (core regimes); Claude invalid answers over all calls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credit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Screen arms add one paragraph (PRICE SCREEN), here for threshold 4:</w:t>
      </w:r>
      <w:r>
        <w:rPr>
          <w:rFonts w:ascii="Old Standard TT" w:hAnsi="Old Standard TT" w:cs="Old Standard TT" w:eastAsia="Old Standard TT"/>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Pre-registration timeline and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Pre-registration (</w:t>
      </w:r>
      <w:r>
        <w:rPr>
          <w:rFonts w:ascii="Courier New" w:hAnsi="Courier New" w:cs="Courier New" w:eastAsia="Courier New"/>
          <w:sz w:val="20"/>
          <w:szCs w:val="20"/>
        </w:rPr>
        <w:t xml:space="preserve">cartelbench/PREREGISTRATION.md</w:t>
      </w:r>
      <w:r>
        <w:rPr>
          <w:rFonts w:ascii="Old Standard TT" w:hAnsi="Old Standard TT" w:cs="Old Standard TT" w:eastAsia="Old Standard TT"/>
        </w:rPr>
        <w:t xml:space="preserve">): hypotheses H1 to H4, measures, decision rules and the scorecard, commit 4f90714 at 2026-10-24 09:03 UTC; amendment 2 (the check against the paper), b688f97 at 09:24 UTC; first paid model call 609e4cd at 09:49 UTC. Amendments after the first call, each committed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amendment 6 (screen threshold and disclosure variants, a scripted-partner control, an instructed adversary; 83a3179 at 03:20 UTC on 2026-10-25, before all round-5 runs). The open models have their own registration, committed before any open-model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Replication: one command per cell,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 the commands of every run, including round 4 and the open models, are listed with their commit in </w:t>
      </w:r>
      <w:r>
        <w:rPr>
          <w:rFonts w:ascii="Courier New" w:hAnsi="Courier New" w:cs="Courier New" w:eastAsia="Courier New"/>
          <w:sz w:val="20"/>
          <w:szCs w:val="20"/>
        </w:rPr>
        <w:t xml:space="preserve">cartelbench/evidence/MEASUREMENTS.md</w:t>
      </w:r>
      <w:r>
        <w:rPr>
          <w:rFonts w:ascii="Old Standard TT" w:hAnsi="Old Standard TT" w:cs="Old Standard TT" w:eastAsia="Old Standard TT"/>
        </w:rPr>
        <w:t xml:space="preserve">, </w:t>
      </w:r>
      <w:r>
        <w:rPr>
          <w:rFonts w:ascii="Courier New" w:hAnsi="Courier New" w:cs="Courier New" w:eastAsia="Courier New"/>
          <w:sz w:val="20"/>
          <w:szCs w:val="20"/>
        </w:rPr>
        <w:t xml:space="preserve">cartelbench/evidence/provider2/MEASUREMENTS_provider2.md</w:t>
      </w:r>
      <w:r>
        <w:rPr>
          <w:rFonts w:ascii="Old Standard TT" w:hAnsi="Old Standard TT" w:cs="Old Standard TT" w:eastAsia="Old Standard TT"/>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(70 passed, 0 failed).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in the pilot and the contamination probes only, and Qwen2.5-32B-Instruct and Llama-3.1-8B-Instruct served on Modal. All results and claims were checked against the call records in the repository.</w:t>
      </w:r>
    </w:p>
    <w:sectPr>
      <w:footerReference w:type="default" r:id="rId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