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(RAND Journal of Economics, 2012) with LLM sellers under the same payoff table, regimes, matching and termination rules, so that every measure sits next to the published human value. Hypotheses and decision rules were pre-registered, and control arms validate the pipeline. We tested four models from three families: Claude Haiku 5.5, Claude Sonnet 5.5, Qwen2.5-32B and Llama-3.1-8B. Without an authority all four form explicit cartels, and the Claude models hold them near the joint optimum where human subjects undercut. Told-only fines, leniency and rewards remove explicit cartels from the agents more than from people, in point comparison, yet three of the four models keep prices well above the competitive level with almost no price discussion (5.7 to 7.3 against a Nash price of 3); against a scripted partner that prices at Nash, Sonnet and Qwen price far lower, so most of their excess arises between two LLMs. A pre-registered price screen lowered prices in every family where it ran, and the announced threshold became the price: Sonnet priced at exactly 4 under a threshold of 4 and at 5 under a threshold of 5. Under the primary pre-registered rule with 8 pool sessions, Haiku reproduces three of seven tested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 This report, submitted to Track 1: Markets and Collusion of the AI Collusion Research Sprint, addresses research question 1.5 (which single restriction removes the most collusion at the least cost) and research question 1.1 (whether the variables that drive collusion act differently on LLMs than on humans). Collusion here means what it means in the source experiment: an explicit agreement, formed when both firms consent to a price discussion; supracompetitive prices without any discussion we call silent coordination.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testbed on a candidate pricing model before such agents reach a market and read, per instrument, whether the agents react as human subjects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across three families, and a causal test of its side effect: the announced threshold becomes the focal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compared Q-learning algorithms with humans in the same duopoly; we extend this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for the Anthropic API and any OpenAI-compatible endpoint, scripted players, measures, bootstrap, permutation test, scorecard and a hashed run ledger. Each agent receives the design as a system prompt with the full profit table and, at each step, the history of its current pairing and a JSON schema for the answer;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took part in the pilot and the contamination probes only. Every model passed the pre-registered pilot filter in laissez-faire before its main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amendment 2 (the check against the paper) before the first paid call (commit 4f90714 at 2026-10-24 09:03 UTC, b688f97 at 09:24 UTC, first paid call 609e4cd at 09:49 UTC). Four amendments followed after the first call, each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and amendment 6 (screen threshold and disclosure variants, a scripted-partner control, an instructed adversary; 83a3179 at 03:20 UTC on 2026-10-25, before all round-5 runs); the open models have their own registration, committed before any open-model call. Hypotheses and decision rules never changed. One exception is recorded: a Sonnet run started four minutes before amendment 3 registered it. Arms not in the first registration (placebo, no-channel comparisons, prompt paraphrase, screen, open models)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(amendments 5 and 6).</w:t>
      </w:r>
      <w:r>
        <w:rPr>
          <w:rFonts w:ascii="Old Standard TT" w:hAnsi="Old Standard TT" w:cs="Old Standard TT" w:eastAsia="Old Standard TT"/>
        </w:rPr>
        <w:t xml:space="preserve"> The authority fines both firms 200 points when both prices exceed 4 in two consecutive periods; agents are told the screen rule (Appendix B) unless the arm is unannounced. Threshold and window were chosen on recorded data before any screen run; the false-positive rate against four scripted legitimate players is 0.000 to 0.011 per episode at threshold 4 and 0.000 at 5. Amendment 6 adds an announced threshold of 5, an unannounced threshold of 4, each model against a scripted partner that always prices 3 (a single-agent price control), and agents told by their owners to coordinate and told the screen rule.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Stockholm-versus-Rome span,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points instead of money; no trial periods; pools of 10 agents instead of sessions of 14 to 32; instructions rendered in neutral words from the 2011 working paper (IFN WP 738), whose transcribed values serve as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Over the first 4 pool sessions Haiku's formation rate equals the human one by a coincidence of rounding (0.7159 against 0.716); over all 8 it is 0.775.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expressed a wish to talk in 1 to 2 of 460 to 510 decisions, Qwen at an attempt rate of at most 0.001. For two of them the silent price is joint (Table 4): against a scripted partner that always prices at Nash, Sonnet prices 3.80 and Qwen 4.70, so 3.57 and 3.03 points of their no-channel prices arise only when two LLMs meet; Llama prices 6.50 alone and gains only 0.43 (p 0.086) from a second LLM. The registered reading is a single-agent price prior for both open models, which for Qwen covers the smaller part of its price. Sonnet's prices under prohibition lie 1.1 to 1.6 points below its own level without a channel (permutation p 0.029 each) but stay above Nash in 93 to 100 percent of late pair-periods; Qwen under prohibition prices at its laissez-faire level or above. Llama still forms a few cartels and reports most of them (report rate 0.65 to 0.74). Haiku is the exception: under leniency and reward its price falls near Nash (Table 2), while under the fine it sits at its own no-channel level (difference +0.260 [-0.067, +0.584]). In its stated reasons for not talking, Qwen names detection, a fine or risk in 76 to 80 percent of decisions and an implicit understanding in 35 to 48 percent; this is a keyword count of stated reasons, not evidence of a mechanism.</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others 4; no channel: price discussion impossible. Human values are point estimates from the paper and are not tested against the agents. Haiku values use 8 pool sessions; the no-channel value uses 4.</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(the agents show the humans' direction and the bootstrap interval of the tested difference excludes zero);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caps the silent prices, and the announced threshold sets the price.</w:t>
      </w:r>
      <w:r>
        <w:rPr>
          <w:rFonts w:ascii="Old Standard TT" w:hAnsi="Old Standard TT" w:cs="Old Standard TT" w:eastAsia="Old Standard TT"/>
        </w:rPr>
        <w:t xml:space="preserve"> In every family the announced screen lowered the no-channel price (Table 4), with zero penalties for the Claude models and a few for the open models; under the fine, adding the screen lowered prices further. The threshold itself is causal: announced at 5, it moved Sonnet's prices to 5 (98.5 percent exactly at 5, +0.985 [+0.971, +0.998] against the threshold 4) and Haiku's up by 0.62; unannounced at 4, it lowered Sonnet's price by only 0.72 and left Haiku's unchanged (+0.24 [-0.25, +0.77]). Read this way, an announced screen works mainly as a price cap. Against honest agents,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run [F31, F47, F53, F57, F58, F61, F63, F69 to F71, F74 to F76].</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except Haiku's fine under paraphrase,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 Among the further Haiku arms, leniency's deterrence grows with the detection probability while reward deters almost completely at any probability, and agents told that the rival is an identical copy never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w:t>
      </w:r>
      <w:r>
        <w:rPr>
          <w:rFonts w:ascii="Old Standard TT" w:hAnsi="Old Standard TT" w:cs="Old Standard TT" w:eastAsia="Old Standard TT"/>
        </w:rPr>
        <w:t xml:space="preserve"> Table 5 lists the samples per model. No model refused a single call; the run ledger lists every run folder ever started, including nine aborted at HTTP 429 that were never analysed.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5. Samples, reliability and cost per model (core regimes). Invalid answers of the Claude models are counted over all their calls up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All runs</w:t>
            </w:r>
          </w:p>
        </w:tc>
        <w:tc>
          <w:tcPr>
            <w:tcW w:type="dxa" w:w="1241"/>
            <w:tcMar>
              <w:top w:w="15" w:type="dxa"/>
              <w:bottom w:w="15" w:type="dxa"/>
              <w:left w:w="50" w:type="dxa"/>
              <w:right w:w="50" w:type="dxa"/>
            </w:tcMar>
          </w:tcPr>
          <w:p>
            <w:pPr>
              <w:spacing w:after="0" w:line="240" w:lineRule="auto"/>
            </w:pPr>
          </w:p>
        </w:tc>
        <w:tc>
          <w:tcPr>
            <w:tcW w:type="dxa" w:w="1528"/>
            <w:tcMar>
              <w:top w:w="15" w:type="dxa"/>
              <w:bottom w:w="15" w:type="dxa"/>
              <w:left w:w="50" w:type="dxa"/>
              <w:right w:w="50" w:type="dxa"/>
            </w:tcMar>
          </w:tcPr>
          <w:p>
            <w:pPr>
              <w:spacing w:after="0" w:line="240" w:lineRule="auto"/>
            </w:pPr>
          </w:p>
        </w:tc>
        <w:tc>
          <w:tcPr>
            <w:tcW w:type="dxa" w:w="955"/>
            <w:tcMar>
              <w:top w:w="15" w:type="dxa"/>
              <w:bottom w:w="15" w:type="dxa"/>
              <w:left w:w="50" w:type="dxa"/>
              <w:right w:w="50" w:type="dxa"/>
            </w:tcMar>
          </w:tcPr>
          <w:p>
            <w:pPr>
              <w:spacing w:after="0" w:line="240" w:lineRule="auto"/>
            </w:pPr>
          </w:p>
        </w:tc>
        <w:tc>
          <w:tcPr>
            <w:tcW w:type="dxa" w:w="1719"/>
            <w:tcMar>
              <w:top w:w="15" w:type="dxa"/>
              <w:bottom w:w="15" w:type="dxa"/>
              <w:left w:w="50" w:type="dxa"/>
              <w:right w:w="50" w:type="dxa"/>
            </w:tcMar>
          </w:tcPr>
          <w:p>
            <w:pPr>
              <w:spacing w:after="0" w:line="240" w:lineRule="auto"/>
            </w:pP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63.15 USD API, 12.82 USD Modal</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 For research question 1.1, the report rule acts in the humans' direction (Result 2: +0.543 against about +0.415 for the students, a point comparison); for research question 1.5, told-only leniency and reward remove the most explicit cartels, but the instruments built on reports cannot reach coordination in which nothing is said and nothing can be reported.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cartel formation could be deterrence or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 For an authority, deterrence of agents may thus rest partly on how a rule is described.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the race is run before the cartel forms; for Sonnet and Qwen the cartel becomes silent and the race never starts, and Llama reports its few cartels while its price stays high. A price screen reaches that silence at a measured false-positive cost, but the threshold experiment shows its limit: a known threshold becomes the focal price, and prices settle exactly at it. A screen that agents can learn is in effect a price cap that agents may target; an unannounced screen avoids the focal point but lowers prices less within these sessions, and an instructed adversary can evade an announced one.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Four models at one date do not characterise LLMs in general; the open models ran on one provider of compute with pinned revisions. Haiku's fine response is not robust to paraphrase, and Qwen fails the shifted-grid check. Result 3 depends on the test: bootstrap yes, permutation no. Under leniency and reward few cartels form, so cartel-level measures rest on few episodes; in Haiku's first leniency run 9 convictions came 3 by detection and 6 by report from 7 reporters. Stated reasons are counted by keyword, not validated.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screen with a randomised or partly disclosed threshold, tested against agents instructed to collude that know its rule, and an evaluation-awareness arm that frames the game as deployment.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with amendments, measurements, all call records; public from submission). Run ledger SHA-256 f8bc980e...30d3 over 61 Claude run folders, open-model runs in their own folder; spend 63.15 USD Anthropic API and 12.82 USD Modal. All code is new work from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or to vary them at random,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Screen arms add one paragraph (PRICE SCREEN), here for threshold 4:</w:t>
      </w:r>
      <w:r>
        <w:rPr>
          <w:rFonts w:ascii="Old Standard TT" w:hAnsi="Old Standard TT" w:cs="Old Standard TT" w:eastAsia="Old Standard TT"/>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(70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in the pilot and the contamination probes only,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