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 shifted-grid contamination test, and a second model whose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 Every call is recorded with run id, seed, model id,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Positive control: a pilot of 3 duopolies per model in laissez-faire passes when more than half of the late pairing episodes price above the Nash price.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pilot (3 duopolies per model in one pool of 6 agents, hence 6 late pairing episodes): 6 of 6 late episodes above the Nash price, 0 refusals in 1,696 calls; Haiku 5.5, the cheapest passing model,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a report rate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(5.03 above 3.55),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20 duopolies per cell):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7 rested on human undercutting and do not. For Sonnet 5.5 the prohibition removes the explicit agreement and leaves the price: coordination without a channel, which detection, leniency and reward cannot touch. For research question 1.5, told-only leniency and reward leave the fewest explicit cartels at the lowest cost, and the reward works almost without detection; for research question 1.1, the report rule acts in the humans' direction with a far larger effect, while silent coordination has no counterpart in the paper.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three tests separate the two. The fine, leniency and reward instructions share every word and differ only in the two sentences on who pays after a report, yet formation falls from 0.156 to 0.020 to 0.008 and the report rate rises from 0.005 to 0.375 to 0.667. The placebo arm keeps the full authority text, prohibition, detection and reports, but sets the penalty to zero: incidence 0.714, between laissez-faire 0.956 and fine 0.439 (placebo minus laissez-faire -0.242 [-0.325, -0.158], placebo minus fine +0.275 [+0.191, +0.356]), and 0.607 of the pairs re-form the cartel right after a costless detection: the word "prohibited" removes about half of the fine's effect, the penalty the other half. A reaction to the words alone exists in 2 of 2,608 decisions: in-protocol declines in the fine run that cite the prohibition.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Haiku 5.5 the race is run before the cartel forms: a described leniency rule deters most agreements, and most of the few that form are reported; for Sonnet 5.5 there is no race, because nothing is said. An authority would see fewer explicit cartels and fewer cases than with human firms, while the cartels it does not deter hold the monopoly price and a second kind of agent coordinates in silence.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results cover two Claude models at one date; the model comparison needs a second provider. Punishments are points for the agents and were money for the students. The models know the paper by name and Opus 5.5 identifies it from its parameters; the shifted grid shows that recall does not drive the numbers. With 4 pool sessions per regime the intervals are wide, and under leniency and reward so few cartels form (10 and 4) that cartel-level measures rest on a handful of episodes. The agents' recorded reasons are not analysed (the motive classification was cut).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 second provider in all regimes; a human-calibrated test of silent coordination, which the Bigoni design cannot score; the clone and placebo arms on the second model. In sum: on the two models tested, told-only instruments deter explicit cartels more than they deterred people, the cartels that survive hold their price, and one model coordinates without any channel; one command per regime and model extends the comparison to any pricing agent.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and measurements with command and result file per number; public from submission). All code was written during the sprint; there is no preexisting code.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