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is that the agents optimise against a published rule rather than being deterred like people: when an authority announces a price screen, its threshold becomes the market price. Sonnet's average price follows the threshold with slope 0.98 and sits exactly on it in every cell, at the Nash price 3 in every single period; Haiku and Qwen follow with slopes 0.70 and 0.68, their most frequent price always the threshold; Llama does not.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the tested remedy, a random undisclosed threshold, dissolves the bunching on the threshold without lowering prices. Under the primary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calibrated to a false-positive rate of at most 1.1 percent, lowers silent prices across three families, but its published threshold becomes the price (a dose-response curve over five thresholds), and a random undisclosed threshold does not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(amendments 5 to 7).</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its false-positive rate against four scripted legitimate players is 0.000 to 0.011 per episode. Later registrations add announced thresholds from 3 to 7 without a channel (the threshold curve), a threshold drawn at random from 3 to 6 each period and never disclosed, each model against a scripted partner that always prices 3, agents told by their owners to coordinate and told the rule, and Haiku arms that frame points as money, losses or bankruptcy.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 Llama prices high alone.</w:t>
      </w:r>
      <w:r>
        <w:rPr>
          <w:rFonts w:ascii="Old Standard TT" w:hAnsi="Old Standard TT" w:cs="Old Standard TT" w:eastAsia="Old Standard TT"/>
          <w:sz w:val="21"/>
          <w:szCs w:val="21"/>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432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7432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caps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against a scripted Nash partner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the agents do not stay below the line by a safety margin; they price on it (Figure 2). We call this pricing on the line, our working term.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and Haiku not at all.</w:t>
      </w:r>
    </w:p>
    <w:p>
      <w:pPr>
        <w:jc w:val="center"/>
      </w:pPr>
      <w:r>
        <w:drawing>
          <wp:inline>
            <wp:extent cx="5943600" cy="24688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no price discussion channel, 20 duopolies in 4 pool sessions per cell, 95 percent cluster-bootstrap intervals; filled markers where the most frequent price equals the threshold. Rule: both prices above the threshold in two consecutive periods cost each firm 200 points. Slopes: Sonnet 5.5 0.98, Haiku 5.5 0.70, Qwen2.5-32B 0.68, Llama-3.1-8B 0.31; Sonnet at threshold 7 was not run (stop rule). Dashed: price equals threshold; dotted: Nash price 3.</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From the logged agent trajectories.</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Across the run the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so the agents land near it. Under the fine, the random threshold matched the fixed one for Haiku and was weaker for Qwen and Llama. For an authority, hiding the threshold removes the focal price but does not by itself lower prices; only a lower expected threshold does.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the Claude models except Haiku's fine under paraphrase, and partly for the open ones.</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0.011 per episode (Finding 3), but a published threshold becomes the price (Finding 4) and a hidden one does not lower prices. An authority should therefore not disclose threshold and window in full and should set the expected threshold, not only its variance, where it wants prices to be.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the points as money paid out, as a loss from own capital or as a risk of bankruptcy lowered Haiku's cartel incidence under the fine (0.093 to 0.164 against 0.401), but within the range a rewording alone produces, with no loss-aversion effect (loss against gain frame, formation +0.009 [-0.001, +0.017]) and with every frame moving further from the students; no agent ever went bankrupt, as for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price screen reaches them, but the agents price on its published line, and hiding the line alone does not lower prices: an authority facing such agents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(nine runs aborted at HTTP 429, never analysed),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No refusals; samples and cost per model in Table A2;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2026-10-25T13:19:12Z</dcterms:modified>
  <dc:creator>Julian Mundelein</dc:creator>
</cp:coreProperties>
</file>