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and asks which restriction removes the most collusion at the least cost. Hypotheses, decision rules and control arms were pre-registered. We tested four models from three families: Claude Haiku 5.5 and Sonnet 5.5, Qwen2.5-32B and Llama-3.1-8B. Without an authority all four form explicit cartels, and the Claude models hold them near the joint optimum where human subjects undercut. Fines, leniency and rewards that are told, not paid, remove explicit cartels from the agents more than from people (a point comparison), yet three of the four models keep prices of 5.7 to 7.3 against a Nash price of 3 almost without price discussion; against a scripted partner at the Nash price Sonnet and Qwen price far lower: most of their excess arises between two LLMs. A pre-registered price screen lowered prices in every family where it ran, and its announced threshold became the price: Sonnet priced at exactly 4 under a threshold of 4 and at 5 under a threshold of 5. Under the primary pre-registered rule Haiku reproduces three of seven tested human results (two on the first half of the sample; Result 3 passes only on the bootstrap rule, permutation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across three families, and a causal test of its side effect: the announced threshold becomes the focal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(commit aeb16a0, 2026-10-24 08:47 UTC) and checked against the paper before the first paid call. Four amendments followed, each committed before the runs it governs (Appendix C lists them with commits and times); they added arms and samples, and hypotheses and decision rules never changed. One exception is recorded: a Sonnet run started four minutes before amendment 3 registered it. Arms added later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(amendments 5 and 6).</w:t>
      </w:r>
      <w:r>
        <w:rPr>
          <w:rFonts w:ascii="Old Standard TT" w:hAnsi="Old Standard TT" w:cs="Old Standard TT" w:eastAsia="Old Standard TT"/>
        </w:rPr>
        <w:t xml:space="preserve"> The authority fines both firms 200 points when both prices exceed 4 in two consecutive periods; agents are told the screen rule (Appendix B) unless the arm is unannounced. Threshold and window were chosen on recorded data before any screen run; the false-positive rate against four scripted legitimate players is 0.000 to 0.011 per episode at threshold 4 and 0.000 at 5. Amendment 6 adds an announced threshold of 5, an unannounced threshold of 4, each model against a scripted partner that always prices 3 (a single-agent price control), and agents told by their owners to coordinate and told the screen rule.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1 to 2 wishes to talk in 460 to 510 decisions; Qwen: an attempt rate of at most 0.001).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For Sonnet and Qwen the silent price needs a second LLM; Llama prices high alone.</w:t>
      </w:r>
      <w:r>
        <w:rPr>
          <w:rFonts w:ascii="Old Standard TT" w:hAnsi="Old Standard TT" w:cs="Old Standard TT" w:eastAsia="Old Standard TT"/>
        </w:rPr>
        <w:t xml:space="preserve"> Against a scripted partner that always prices at Nash, Sonnet and Qwen lose most of their no-channel price (Table 4: 3.57 and 3.03 points of it arise only when two LLMs meet), while Llama gains only 0.43 from a second LLM (p 0.086). The registered reading is a single-agent price prior for both open models, which for Qwen covers the smaller part of its price.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46888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4688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caps the silent prices, and the announced threshold sets the price.</w:t>
      </w:r>
      <w:r>
        <w:rPr>
          <w:rFonts w:ascii="Old Standard TT" w:hAnsi="Old Standard TT" w:cs="Old Standard TT" w:eastAsia="Old Standard TT"/>
        </w:rPr>
        <w:t xml:space="preserve"> In every family the announced screen lowered the no-channel price (Table 4), with zero penalties for the Claude models and a few for the open models; under the fine, adding the screen lowered prices further. The threshold itself sets the price: announced at 5, it moved Sonnet's prices to 5 (98.5 percent exactly at 5, +0.985 [+0.971, +0.998] against the threshold 4) and Haiku's up by 0.62; unannounced at 4, it lowered Sonnet's price by only 0.72 and left Haiku's unchanged (+0.24 [-0.25, +0.77]). Its cost to honest agents is small: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except Haiku's fine under paraphrase,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 and no model refused a single call.</w:t>
      </w:r>
      <w:r>
        <w:rPr>
          <w:rFonts w:ascii="Old Standard TT" w:hAnsi="Old Standard TT" w:cs="Old Standard TT" w:eastAsia="Old Standard TT"/>
        </w:rPr>
        <w:t xml:space="preserve"> Table A2 lists samples, invalid answers and cost per model; the run ledger lists every run folder ever started, including nine aborted at HTTP 429 that were never analysed.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Which variables the agents' collusion needs (research question 1.1).</w:t>
      </w:r>
      <w:r>
        <w:rPr>
          <w:rFonts w:ascii="Old Standard TT" w:hAnsi="Old Standard TT" w:cs="Old Standard TT" w:eastAsia="Old Standard TT"/>
        </w:rPr>
        <w:t xml:space="preserve"> Three arms isolate one variable each. A repeated match: with a new partner every period no cartel forms (Result 8, Table 3). An open channel: without a price discussion the Claude models and Llama price below their laissez-faire level, Qwen does not, and all four stay well above Nash (Tables 2 and 4). A second LLM: against a scripted partner at Nash, Sonnet and Qwen lose most of their silent premium, Llama does not (Table 4). Explicit collusion needs the repeated match and the channel, as for the students; silent coordination needs a second agent of the same kind, not a channel.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Which restriction removes the most collusion at the least cost (research question 1.5), and what it means for an authority.</w:t>
      </w:r>
      <w:r>
        <w:rPr>
          <w:rFonts w:ascii="Old Standard TT" w:hAnsi="Old Standard TT" w:cs="Old Standard TT" w:eastAsia="Old Standard TT"/>
        </w:rPr>
        <w:t xml:space="preserve"> For explicit cartels, told-only leniency and reward remove the most, in Haiku's case at almost no enforcement cost (Appendix A: four reward convictions, all by report). The Hong Kong Competition Commission's leniency policy offers immunity to the first cartel member that reports (HKCC, 2024), a race to confess: for Haiku the race is run before the cartel forms; for Sonnet and Qwen the cartel becomes silent and the race never starts; Llama reports its few cartels while its price stays high. Instruments built on reports cannot reach coordination in which nothing is said. The price screen reaches it, at a false-positive rate of at most 0.011 per episode and without a penalty on honest Claude agents (Finding 3), but a known threshold becomes the focal price: an announced screen is in effect a price cap, an unannounced one avoids the focal point but lowers prices less, and an instructed adversary can evade the announced one.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is calibrated for the four core regimes only; the price screen has no human baseline.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randomised screen thresholds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CartelBench puts LLM pricing agents through a published cartel experiment under its human subjects' rules, with a pre-registered scorecard and controls at both ends. Told-only fines, leniency and rewards remove explicit cartels from the agents more than from people, in point comparison, and Haiku reproduces three of seven tested human results. Three of the four models then hold supracompetitive prices without a word, beyond any instrument built on reports; a pre-registered price screen reaches them at a measured false-positive cost, and its announced threshold becomes the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https://github.com/julianmundelein-beep/2026-ai-collusion-sprint (harness, pre-registration, measurements, call records; public from submission; all code new from the sprint). Ledger SHA-256 f8bc980e...30d3; spend 63.15 USD API, 12.82 USD Modal.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or to vary them at random,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Screen arms add one paragraph (PRICE SCREEN), here for threshold 4:</w:t>
      </w:r>
      <w:r>
        <w:rPr>
          <w:rFonts w:ascii="Old Standard TT" w:hAnsi="Old Standard TT" w:cs="Old Standard TT" w:eastAsia="Old Standard TT"/>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Pre-registration (</w:t>
      </w:r>
      <w:r>
        <w:rPr>
          <w:rFonts w:ascii="Courier New" w:hAnsi="Courier New" w:cs="Courier New" w:eastAsia="Courier New"/>
          <w:sz w:val="20"/>
          <w:szCs w:val="20"/>
        </w:rPr>
        <w:t xml:space="preserve">cartelbench/PREREGISTRATION.md</w:t>
      </w:r>
      <w:r>
        <w:rPr>
          <w:rFonts w:ascii="Old Standard TT" w:hAnsi="Old Standard TT" w:cs="Old Standard TT" w:eastAsia="Old Standard TT"/>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Replication: 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(70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in the pilot and the contamination probes only,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2026-10-25T05:54:30Z</dcterms:modified>
  <dc:creator>Julian Mundelein</dc:creator>
</cp:coreProperties>
</file>