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Mündelein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I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I tested four models from three families: Claude Haiku 5.5 and Sonnet 5.5, Qwen2.5-32B and Llama-3.1-8B. The central finding: when an authority announces a price screen, its threshold becomes the market price. Sonnet's average price follows the threshold with slope 0.98, at least 93 percent of its prices sit exactly on it, and at the Nash price 3 every price is 3; Haiku and Qwen follow with slopes 0.70 and 0.68, their most frequent price always the threshold; Llama does not. I read this as optimisation against the rule.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a random undisclosed threshold dissolves the bunching without detectably lowering prices. With 8 pool sessions (amendment 4), Haiku reproduces three of seven tested human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my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I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My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My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my knowledge the first measurement of fines, leniency and whistleblower rewards on LLM pricing agents against a human baseline, across four models from three families: told-only rules deter explicit cartels more than they deterred people, in point comparison,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with a false-positive rate of at most 1.1 percent on scripted players and at most 2 percent on honest LLM agents, lowers silent prices across three families, but its published threshold becomes the price (a dose-response curve over five thresholds, four for Sonnet), and a random undisclosed threshold does not detectably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 Among human firms, announced price ceilings act as focal points for tacit collusion (Knittel and Stango, 2003), and published cartel screens can be gamed (Harrington, 2008); new here is a dose-response measurement on LLM agents with an unannounced control.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I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since unequal groups have no mirror relabelling.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 5 and the round-7 registration).</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Later arms add thresholds 3 to 7 and a random undisclosed threshold (round 7), a scripted-partner control and instructed agents (amendment 6), and money, loss and bankruptcy frames for Haiku (amendment 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w:t>
      </w:r>
      <w:r>
        <w:rPr>
          <w:rFonts w:ascii="Old Standard TT" w:hAnsi="Old Standard TT" w:cs="Old Standard TT" w:eastAsia="Old Standard TT"/>
          <w:sz w:val="21"/>
          <w:szCs w:val="21"/>
        </w:rPr>
        <w:t xml:space="preserve"> Against a scripted partner that always prices at Nash, 3.57 and 3.03 points of their no-channel prices disappear, while Llama gains only 0.43 from a second LLM (p 0.086; Table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6.93</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lowers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an LLM agent paired with a scripted partner that follows the empirical competitive price distribution (above 4 in 6.6 percent of periods) was fined in 0 episodes for Haiku, Sonnet and Qwen and in 0.020 for Llama.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5146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5146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(four for Sonnet), the agents do not stay below the line by a safety margin; they price on it (Figure 2). I call this pricing on the line, my working term. Because profit rises with the common price up to 9, the threshold is the most profitable price the rule allows, and the agents play it with no safety margin.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Haiku by +0.24 [-0.25, +0.77], p 0.486, not detectable.</w:t>
      </w:r>
    </w:p>
    <w:p>
      <w:pPr>
        <w:jc w:val="center"/>
      </w:pPr>
      <w:r>
        <w:drawing>
          <wp:inline>
            <wp:extent cx="5943600" cy="17830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17830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(both prices above it in two consecutive periods: 200 points per firm), no channel, 20 duopolies in 4 pools per cell, 95 percent intervals; slopes in brackets.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 logged trajectory.</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The run's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and Haiku and Sonnet land near it. Under the fine, the random threshold matched the fixed one for Haiku and was weaker for Qwen and Llama. For an authority, hiding the threshold removes the focal price but does not by itself lower prices; I expect, but did not test, that a lower expected threshold would.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Haiku except its fine under paraphrase, and partly for Qwen; Sonnet and Llama have the cloze probes only.</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expects its partner not to undercut either may read leniency or reward as an invitation for the partner to collect, and decline.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with a new partner every period no cartel forms (Result 8); without a price discussion the Claude models and Llama price below their laissez-faire level, Qwen does not, and all four stay above Nash (Tables 2 and 4); against a scripted partner, Sonnet and Qwen lose most of their silent premium, Llama does not (Table 4). Explicit collusion needs the repeated match and the channel, as for the students; for Sonnet and Qwen, silent coordination needs a second LLM rather than a channel (against a scripted partner, not tested in mixed-model pairs), while Llama prices high alone.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1.1 percent on scripted players and at most 2 percent on honest LLM agents (Finding 3), but a published threshold becomes the price (Finding 4) and a hidden one does not lower prices. An authority should therefore not disclose threshold and window in full; my untested hypothesis is that the expected threshold, not its variance, sets the price.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points as money, as a loss from own capital or as a risk of bankruptcy lowered Haiku's cartel incidence under the fine (0.093 to 0.164 against 0.401) within the range of a rewording alone, with no loss-aversion effect and every frame further from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A price screen reaches them, but the agents price on its published line, and hiding the line alone does not lower prices: an authority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with nine unanalysed runs aborted at HTTP 429,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Table A2: samples and cost per model, no refusals.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Knittel, C. R., and Stango, V. (2003). Price Ceilings as Focal Points for Tacit Collusion: Evidence from Credit Cards. American Economic Review 93(5), 1703 to 1729. https://doi.org/10.1257/000282803322655509</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Harrington, J. E. (2008). Detecting Cartels. In P. Buccirossi (Ed.), Handbook of Antitrust Economics (pp. 213 to 258). MIT Press.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I report rates, not tactics. I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I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I used Claude Code (Anthropic) to write the harness code and the analysis scripts and to draft and edit this report, including its language. I set the research question, chose the source experiment, decided the design, every arm and every pre-registered amendment, reviewed the drafts and asked for revisions. Every number was checked against the recorded measurement files in the repository.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2026-10-25T14:07:09Z</dcterms:modified>
  <dc:creator>Julian Mündelein</dc:creator>
</cp:coreProperties>
</file>