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We present CartelBench, a human-calibrated testbed for cartel enforcement on pricing agents built on large language models (LLMs). It replays the laboratory experiment of Bigoni, Fridolfsson, Le Coq and Spagnolo (RAND Journal of Economics, 2012) with LLM sellers under the same payoff table, regimes, matching and termination rules, so that every measure sits next to the published human value. Hypotheses and decision rules were pre-registered; scripted players, known-effect arms, a placebo arm and a contamination test validate the pipeline. We tested four models from three families: Claude Haiku 5.5, Claude Sonnet 5.5, Qwen2.5-32B and Llama-3.1-8B. Three findings stand out. First, without an authority all four models form explicit cartels, and the Claude models hold them near the joint optimum where human subjects undercut (Haiku average price 8.87 against 4.92). Second, fines, leniency and rewards that are only told remove explicit cartels from the agents far more than from people, yet three of the four models keep prices well above the competitive level with almost no price discussion (5.7 to 7.3 against a Nash price of 3); only Haiku falls near Nash under leniency and reward. Third, a pre-registered price screen with a false-positive rate of at most 1.1 percent lowers these silent prices (Sonnet 7.36 to 4.00) without a single penalty, and Sonnet then prices exactly at the screen's threshold. Under the primary pre-registered rule, Haiku reproduces three of seven tested results of the human experiment.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when they can talk (Fish et al., 2024; Agrawal et al., 2025), and to our knowledge no one has tested whether these legal instruments work on them. This report, submitted to Track 1: Markets and Collusion of the AI Collusion Research Sprint, addresses research question 1.5 (which single restriction removes the most collusion at the least cost) and research question 1.1 (whether the variables that drive collusion act differently on LLMs than on humans). Collusion here means what it means in the source experiment: an explicit agreement, formed when both firms consent to a price discussion; supracompetitive prices without any discussion we call silent coordination.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testbed on a candidate pricing model before such agents reach a market and read, per instrument, whether the agents react as human subjects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tested countermeasure: a pre-registered price screen, calibrated to a false-positive rate of at most 1.1 percent, that lowers silent prices without penalties, together with its side effect, a focal price at the threshold.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compared Q-learning algorithms with humans in the same duopoly; we extend this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harness (new).</w:t>
      </w:r>
      <w:r>
        <w:rPr>
          <w:rFonts w:ascii="Old Standard TT" w:hAnsi="Old Standard TT" w:cs="Old Standard TT" w:eastAsia="Old Standard TT"/>
        </w:rPr>
        <w:t xml:space="preserve"> CartelBench is a Python package written during the sprint: engine, regimes, prompts, model clients for the Anthropic API and any OpenAI-compatible endpoint, scripted players, measures, bootstrap, permutation test, scorecard and a hashed run ledger. Each agent receives the design as a system prompt with the full profit table and, at each step, the history of its current pairing and a JSON schema for the answer;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(main model)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Qwen2.5-32B-Instruct and Llama-3.1-8B-Instruct at pinned revisions, served with vLLM on Modal GPUs. Every model passed the pre-registered pilot filter in laissez-faire before its main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Unit of analysis and tests.</w:t>
      </w:r>
      <w:r>
        <w:rPr>
          <w:rFonts w:ascii="Old Standard TT" w:hAnsi="Old Standard TT" w:cs="Old Standard TT" w:eastAsia="Old Standard TT"/>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 one-sided permutation test over pool sessions.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 and amendments.</w:t>
      </w:r>
      <w:r>
        <w:rPr>
          <w:rFonts w:ascii="Old Standard TT" w:hAnsi="Old Standard TT" w:cs="Old Standard TT" w:eastAsia="Old Standard TT"/>
        </w:rPr>
        <w:t xml:space="preserve"> Hypotheses H1 to H4, measures, decision rules and the scorecard were committed before any model call, and amendment 2 (the check against the paper) before the first paid call (commit 4f90714 at 2026-10-24 09:03 UTC, b688f97 at 09:24 UTC, first paid call 609e4cd at 09:49 UTC). Three amendments followed after the first call, each before the runs it governs: amendment 3 (four pools of 10 as the cell size, validation arms at 20 duopolies, the placebo arm, the second Claude model), amendment 4 (8 pools for Haiku with a permutation test, Sonnet on 4 pools with a no-channel arm, a paraphrased-prompt arm, the run ledger) and amendment 5 (the price screen); the open models have their own registration, committed before any open-model call. Hypotheses and decision rules never changed. One exception is recorded: a Sonnet run started four minutes before amendment 3 registered it. Arms not in the first registration (placebo, no-channel comparisons, prompt paraphrase, screen, open models) are registered extensions; the keyword count of stated reasons is exploratory.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Price screen (amendment 5).</w:t>
      </w:r>
      <w:r>
        <w:rPr>
          <w:rFonts w:ascii="Old Standard TT" w:hAnsi="Old Standard TT" w:cs="Old Standard TT" w:eastAsia="Old Standard TT"/>
        </w:rPr>
        <w:t xml:space="preserve"> The authority fines both firms 200 points when both prices exceed 4 in two consecutive periods. Threshold and window were chosen on recorded data before any screen run; the false-positive rate was then measured through the engine with four scripted legitimate players: 0.000 to 0.011 per episode, costing at most 0.35 points per agent-period.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result of the paper is "reproduced" when the agents show the humans' direction and the bootstrap interval of the regime difference excludes zero (and exceeds the Stockholm-versus-Rome span,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points instead of money; no trial periods; pools of 10 agents instead of sessions of 14 to 32; instructions rendered in neutral words from the 2011 working paper (IFN WP 738), whose transcribed values serve as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pipeline measures what it should.</w:t>
      </w:r>
      <w:r>
        <w:rPr>
          <w:rFonts w:ascii="Old Standard TT" w:hAnsi="Old Standard TT" w:cs="Old Standard TT" w:eastAsia="Old Standard TT"/>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1: without an authority, the agents form cartels and keep them.</w:t>
      </w:r>
      <w:r>
        <w:rPr>
          <w:rFonts w:ascii="Old Standard TT" w:hAnsi="Old Standard TT" w:cs="Old Standard TT" w:eastAsia="Old Standard TT"/>
        </w:rPr>
        <w:t xml:space="preserve"> All four models form explicit cartels in laissez-faire (Table 2). The Claude models then hold the price near the joint optimum of 9, where the human subjects broke more than half of their agreements; Haiku's deviation rate is 0.015 against the students' 0.564, and Haiku's formation rate equals the human one by a coincidence of rounding (0.7159 against 0.716). Qwen and Llama collude at lower prices.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others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3.27</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2: told rules remove explicit cartels, but in three of four models the price stays.</w:t>
      </w:r>
      <w:r>
        <w:rPr>
          <w:rFonts w:ascii="Old Standard TT" w:hAnsi="Old Standard TT" w:cs="Old Standard TT" w:eastAsia="Old Standard TT"/>
        </w:rPr>
        <w:t xml:space="preserve"> Under fine, leniency and reward, Sonnet and Qwen never form a cartel and Llama rarely does, yet all three keep prices between 5.7 and 7.3, far above Nash (Table 2). They do so almost without words: Sonnet expressed a wish to talk in 1 to 2 of 460 to 510 decisions, Qwen at an attempt rate of at most 0.001. Sonnet's prices under prohibition lie 1.1 to 1.6 points below its own level without a channel (permutation p 0.029 each) but stay above Nash in 93 to 100 percent of late pair-periods; Qwen under prohibition prices at its laissez-faire level or above. Llama still forms a few cartels and reports most of them (report rate 0.65 to 0.74). Haiku is the exception: under leniency and reward its price falls near Nash (Table 2), while under the fine it sits at its own no-channel level (difference +0.260 [-0.067, +0.584]). In its stated reasons for not talking, Qwen names detection, a fine or risk in 76 to 80 percent of decisions and an implicit understanding in 35 to 48 percent; this is a keyword count of stated reasons, not evidence of a mechanism.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Haiku reproduces three of seven tested Bigoni results under the primary rule</w:t>
      </w:r>
      <w:r>
        <w:rPr>
          <w:rFonts w:ascii="Old Standard TT" w:hAnsi="Old Standard TT" w:cs="Old Standard TT" w:eastAsia="Old Standard TT"/>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points the other way: the cartel price without the report option is not lower than with it. Result 8 is not testable, since no cartel forms when partners change every period. The other models score 0 of 2 (Sonnet), 1 of 2 (Qwen) and 0 of 6 (Llama) tested results: without cartels most measures are undefined.</w:t>
      </w:r>
    </w:p>
    <w:p>
      <w:pPr>
        <w:jc w:val="center"/>
      </w:pPr>
      <w:r>
        <w:drawing>
          <wp:inline>
            <wp:extent cx="5943600" cy="301752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01752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(the agents show the humans' direction and the bootstrap interval of the tested difference excludes zero);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3: a price screen reaches the silent coordination.</w:t>
      </w:r>
      <w:r>
        <w:rPr>
          <w:rFonts w:ascii="Old Standard TT" w:hAnsi="Old Standard TT" w:cs="Old Standard TT" w:eastAsia="Old Standard TT"/>
        </w:rPr>
        <w:t xml:space="preserve"> The screen lowers the average price in every arm in which it ran, with zero screen penalties (Table 4). Sonnet without a channel moves every single price to exactly 4, the highest price the screen allows; Haiku without a channel moves most prices to 4, and Haiku under the fine plus the screen falls near Nash and nearly stops forming cartels.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Price screen (both prices above 4 in two consecutive periods triggers a fine of 200 per firm), 20 duopolies in 4 pool sessions per arm, screen minus no screen [F51 to F53].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45"/>
        <w:gridCol w:w="1950"/>
        <w:gridCol w:w="1072"/>
        <w:gridCol w:w="1950"/>
        <w:gridCol w:w="682"/>
        <w:gridCol w:w="1560"/>
      </w:tblGrid>
      <w:tr>
        <w:trPr>
          <w:tblHeader/>
        </w:trPr>
        <w:tc>
          <w:tcPr>
            <w:tcW w:type="dxa" w:w="21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without screen</w:t>
            </w:r>
          </w:p>
        </w:tc>
        <w:tc>
          <w:tcPr>
            <w:tcW w:type="dxa" w:w="107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With screen</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Difference [95% CI]</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56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penalties</w:t>
            </w:r>
          </w:p>
        </w:tc>
      </w:tr>
      <w:tr>
        <w:tc>
          <w:tcPr>
            <w:tcW w:type="dxa" w:w="21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07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-3.36 [-3.58, -3.20]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0.029</w:t>
            </w:r>
          </w:p>
        </w:tc>
        <w:tc>
          <w:tcPr>
            <w:tcW w:type="dxa" w:w="156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r>
      <w:tr>
        <w:tc>
          <w:tcPr>
            <w:tcW w:type="dxa" w:w="21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07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95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-1.11 [-1.47, -0.75]</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0.029</w:t>
            </w:r>
          </w:p>
        </w:tc>
        <w:tc>
          <w:tcPr>
            <w:tcW w:type="dxa" w:w="156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r>
      <w:tr>
        <w:tc>
          <w:tcPr>
            <w:tcW w:type="dxa" w:w="21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 fine</w:t>
            </w:r>
          </w:p>
        </w:tc>
        <w:tc>
          <w:tcPr>
            <w:tcW w:type="dxa" w:w="195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5.52</w:t>
            </w:r>
          </w:p>
        </w:tc>
        <w:tc>
          <w:tcPr>
            <w:tcW w:type="dxa" w:w="10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3.23</w:t>
            </w:r>
          </w:p>
        </w:tc>
        <w:tc>
          <w:tcPr>
            <w:tcW w:type="dxa" w:w="195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-2.29 [-2.45, -2.09]</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5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Validity checks hold for the Claude models and partly for the open ones.</w:t>
      </w:r>
      <w:r>
        <w:rPr>
          <w:rFonts w:ascii="Old Standard TT" w:hAnsi="Old Standard TT" w:cs="Old Standard TT" w:eastAsia="Old Standard TT"/>
        </w:rPr>
        <w:t xml:space="preserve"> A placebo with the full authority text but a penalty of zero puts Haiku's cartel incidence at 0.714, between laissez-faire and fine (placebo minus fine +0.275 [+0.191, +0.356]);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 Among the further Haiku arms, leniency's deterrence grows with the detection probability while reward deters almost completely at any probability, and agents told that the rival is an identical copy never report, so leniency loses its lever.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whole programme is cheap and complete.</w:t>
      </w:r>
      <w:r>
        <w:rPr>
          <w:rFonts w:ascii="Old Standard TT" w:hAnsi="Old Standard TT" w:cs="Old Standard TT" w:eastAsia="Old Standard TT"/>
        </w:rPr>
        <w:t xml:space="preserve"> Table 5 lists the samples per model. No model refused a single call; the run ledger lists every run folder ever started, including nine aborted at HTTP 429 that were never analysed.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5. Samples, reliability and cost per model (core regimes). Invalid answers of the Claude models are counted over all their calls up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All runs</w:t>
            </w:r>
          </w:p>
        </w:tc>
        <w:tc>
          <w:tcPr>
            <w:tcW w:type="dxa" w:w="1241"/>
            <w:tcMar>
              <w:top w:w="15" w:type="dxa"/>
              <w:bottom w:w="15" w:type="dxa"/>
              <w:left w:w="50" w:type="dxa"/>
              <w:right w:w="50" w:type="dxa"/>
            </w:tcMar>
          </w:tcPr>
          <w:p>
            <w:pPr>
              <w:spacing w:after="0" w:line="240" w:lineRule="auto"/>
            </w:pPr>
          </w:p>
        </w:tc>
        <w:tc>
          <w:tcPr>
            <w:tcW w:type="dxa" w:w="1528"/>
            <w:tcMar>
              <w:top w:w="15" w:type="dxa"/>
              <w:bottom w:w="15" w:type="dxa"/>
              <w:left w:w="50" w:type="dxa"/>
              <w:right w:w="50" w:type="dxa"/>
            </w:tcMar>
          </w:tcPr>
          <w:p>
            <w:pPr>
              <w:spacing w:after="0" w:line="240" w:lineRule="auto"/>
            </w:pPr>
          </w:p>
        </w:tc>
        <w:tc>
          <w:tcPr>
            <w:tcW w:type="dxa" w:w="955"/>
            <w:tcMar>
              <w:top w:w="15" w:type="dxa"/>
              <w:bottom w:w="15" w:type="dxa"/>
              <w:left w:w="50" w:type="dxa"/>
              <w:right w:w="50" w:type="dxa"/>
            </w:tcMar>
          </w:tcPr>
          <w:p>
            <w:pPr>
              <w:spacing w:after="0" w:line="240" w:lineRule="auto"/>
            </w:pPr>
          </w:p>
        </w:tc>
        <w:tc>
          <w:tcPr>
            <w:tcW w:type="dxa" w:w="1719"/>
            <w:tcMar>
              <w:top w:w="15" w:type="dxa"/>
              <w:bottom w:w="15" w:type="dxa"/>
              <w:left w:w="50" w:type="dxa"/>
              <w:right w:w="50" w:type="dxa"/>
            </w:tcMar>
          </w:tcPr>
          <w:p>
            <w:pPr>
              <w:spacing w:after="0" w:line="240" w:lineRule="auto"/>
            </w:pP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47.18 USD API, 8.98 USD Modal</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Interpretation.</w:t>
      </w:r>
      <w:r>
        <w:rPr>
          <w:rFonts w:ascii="Old Standard TT" w:hAnsi="Old Standard TT" w:cs="Old Standard TT" w:eastAsia="Old Standard TT"/>
        </w:rPr>
        <w:t xml:space="preserve"> The pattern suggests, as an interpretation and not a measured mechanism, that the two human mechanisms behind the paper's results, undercutting a partner and betraying one, are nearly absent in the Claude agents, while expected-cost reasoning is present: an agent that does not undercut, and expects the same of its partner, may read a leniency or reward rule as an invitation for the partner to collect and decline the agreement. This would explain why the incentive-based Results 1 to 3 reproduce and the undercutting-based Results 4 to 7 do not. For research question 1.1, the report rule acts in the humans' direction with a far larger effect; for research question 1.5, told-only leniency and reward remove the most explicit cartels, but the instruments built on reports cannot reach coordination in which nothing is said and nothing can be reported.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authority text.</w:t>
      </w:r>
      <w:r>
        <w:rPr>
          <w:rFonts w:ascii="Old Standard TT" w:hAnsi="Old Standard TT" w:cs="Old Standard TT" w:eastAsia="Old Standard TT"/>
        </w:rPr>
        <w:t xml:space="preserve"> Punishments here are told, not paid, so a drop in cartel formation could be deterrence or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 For an authority, deterrence of agents may thus rest partly on how a rule is described.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a race to confess. For Haiku the race is run before the cartel forms; for Sonnet and Qwen the cartel becomes silent and the race never starts, and Llama reports its few cartels while its price stays high. A price screen reaches that silence at a measured false-positive cost, but Sonnet's response shows its limit: a known threshold becomes a focal point, and prices settle just below it. A screen threshold that agents can learn should therefore be treated like a price floor that colluding agents will target.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Four models at one date do not characterise LLMs in general; the open models ran on one provider of compute with pinned revisions. Haiku's fine response is not robust to paraphrase, and Qwen fails the shifted-grid check. Result 3 depends on the test: bootstrap yes, permutation no. Under leniency and reward few cartels form, so cartel-level measures rest on few episodes; in Haiku's first leniency run 9 convictions came 3 by detection and 6 by report from 7 reporters. Stated reasons are counted by keyword, not validated. </w:t>
      </w:r>
      <w:r>
        <w:rPr>
          <w:rFonts w:ascii="Old Standard TT" w:hAnsi="Old Standard TT" w:cs="Old Standard TT" w:eastAsia="Old Standard TT"/>
          <w:b/>
        </w:rPr>
        <w:t xml:space="preserve">Future work:</w:t>
      </w:r>
      <w:r>
        <w:rPr>
          <w:rFonts w:ascii="Old Standard TT" w:hAnsi="Old Standard TT" w:cs="Old Standard TT" w:eastAsia="Old Standard TT"/>
        </w:rPr>
        <w:t xml:space="preserve"> red-teaming the screen against agents told its rule, and an evaluation-awareness arm that frames the game as deployment.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with amendments, measurements, all call records; public from submission). Run ledger SHA-256 30098db2...e534 over 49 run folders. All code is new work from the sprint;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which enforcement regimes leave agent coordination in place, that silent coordination survives instruments built on reports, and that a published screen threshold becomes a focal price. An operator who wants pricing agents to collude could read this as guidance: avoid explicit agreements, price just under a known screen. We judge the risk moderate and the benefit larger: the game and the instruments are public, the silent pricing arises without any instruction to collude, and the same finding tells authorities to keep screen parameters undisclosed or randomised and to test agents before deployment.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Formation rates are computed over pair-periods without a running cartel (leniency: 0.020, that is 5 of 247 such pair-periods). Leniency and reward both print 3.33 (3.330 and 3.327); 118 of the human reward cartels were reported in their first period, 3 of Haiku's 4.</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cell,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 the commands of every run, including round 4 and the open models, are listed with their commit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t>
      </w:r>
      <w:r>
        <w:rPr>
          <w:rFonts w:ascii="Courier New" w:hAnsi="Courier New" w:cs="Courier New" w:eastAsia="Courier New"/>
          <w:sz w:val="20"/>
          <w:szCs w:val="20"/>
        </w:rPr>
        <w:t xml:space="preserve">cartelbench/evidence/provider2/MEASUREMENTS_provider2.md</w:t>
      </w:r>
      <w:r>
        <w:rPr>
          <w:rFonts w:ascii="Old Standard TT" w:hAnsi="Old Standard TT" w:cs="Old Standard TT" w:eastAsia="Old Standard TT"/>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(60 passed, 0 failed).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through the Anthropic API, and Qwen2.5-32B-Instruct and Llama-3.1-8B-Instruct served on Modal. All results and claims were checked against the call records in the repository.</w:t>
      </w:r>
    </w:p>
    <w:sectPr>
      <w:footerReference w:type="default" r:id="rId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