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and a contamination test validate the pipeline. With Claude Haiku 5.5 as the one model tested so far (20 duopolies per regime as 4 independent pool sessions), the agents form cartels in laissez-faire as often as the students did (formation rate 0.716 against 0.716) but hold the price near the joint optimum (average 8.85 against 4.92), because they rarely undercut an agreement (deviation rate 0.015 against 0.564). A fine that is only told deters them more than it deterred people (formation 0.156 against 0.315); a told leniency or reward rule leaves few cartels (formation 0.020 and 0.008 against 0.178 and 0.220) and brings prices to the competitive level (3.33). Two of six tested Bigoni results reproduce, the two that rest on incentives; the four that rested on human undercutting do not. An authority can run the harness on any model before pricing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discussed next step (Bigoni et al., 2012). Both work through human reactions: a fine hurts, leniency makes each member fear that the other confesses first, a reward tempts betrayal. LLM pricing agents reach supracompetitive prices on their own when they can talk (Fish et al., 2024; Agrawal et al., 2025), and nobody has tested whether the legal instruments in use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laboratory experiment on human cartels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which runs a leniency policy (HKCC, 2024), can run this harness on any pricing model before agents reach a market and read, per instrument, whether the agents react as the human subjects did and where the same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(payoff table checked, 169 of 169 cells), regimes as configuration, scripted players and known-effect arms as controls,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an LLM pricing agent against a human baseline: in laissez-faire, Claude Haiku 5.5 forms cartels as often as the students did but holds prices near the joint optimum because it rarely undercuts; under told-only fine, leniency and reward rules it forms far fewer cartels than the students (formation 0.156, 0.020 and 0.008 against 0.315, 0.178 and 0.220) and its prices fall to the competitive level.</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with a pre-registered threshold across three models (all pass, 0 refusals in 1,696 calls), scripted and known-effect arms, a two-part contamination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and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and that prompt wording moves the outcome. Agrawal et al. (2025) let LLM sellers in a double auction talk: communication raises collusion, and announced oversight or urgency pressure shift behaviour. Lee (2026) finds that collusion depends on the provider; Keppo, Li, Tsoukalas and Yuan (2026) show that it is fragile to heterogeneity between agents. On countermeasures, Garra (2026) tests a prompt warning, an expected-damages payoff regulator and a random entrant, and Idowu, Almasoud and Alfahid (2026) map human anti-collusion mechanisms, including leniency and whistleblowing, to multi-agent AI systems conceptually, without an experiment.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and algorithms in the same game.</w:t>
      </w:r>
      <w:r>
        <w:rPr>
          <w:rFonts w:ascii="Old Standard TT" w:hAnsi="Old Standard TT" w:cs="Old Standard TT" w:eastAsia="Old Standard TT"/>
        </w:rPr>
        <w:t xml:space="preserve"> Werner (2026) compares Q-learning algorithms with human subjects in the same duopoly: algorithms collude more. We follow the same logic with LLM agents and extend it to the enforcement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Earlier leniency experiments (Apesteguia, Dufwenberg and Selten, 2007; Hinloopen and Soetevent, 2008) used one-shot or fixed-partner designs; the Bigoni design has rematching and a published value for every measure we report.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pays 100 each, the joint optimum 9 pays 180, the undercut 7 against 9 pays 296 against 20), transcribed and checked in 169 of 169 cells. Each period (Sections 3.2 to 3.5): both firms decide whether to discuss prices; if both agree, a two-round minimum-price discussion yields a non-binding agreed price; each firm sets its price and may report the agreement secretly; prices are revealed and, if nobody reported secretly, each firm may report publicly; the authority detects an unreported agreement with probability 0.10; points are paid. A discussion forms a cartel that can be fined in every later period of the match until it is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Matching: a pair stays together with probability 0.85 per period, otherwise the pool is rematched and the old agreement can no longer be fined; after period 20 the first rematching ends the session (expected length 25.67 periods). Appendix B has the verbatim instructions.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the one-sentence reason in each answer is recorded, never read by the harness. Firm names are random; sampling is the API default (temperature 1) with low effort. A refusal, invalid answer or transport error is counted, never retried to success, and the default action is played (no discussion, a zero-profit price as in the paper's time-out rule, no report). Every call is recorded with run id, seed, model id as returned by the API, commit, prompt, answer and token usage.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seed 0). Measures follow the paper's Tables 3 to 5 (communication attempts, also in the first period of a pairing as ex-ante deterrence; cartel formation and incidence; reports given a cartel; average, cartel and agreed price; deviations from the agreed price); added are the relapse rate after a conviction, pairings with alternating sole reports (the reward rule's known exploit) and the cost line per regime: fines, rewards, reports as investigation load.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model call (commit 4f90714 at 2026-10-24 09:03:32 UTC; amendment 2 after the check against the paper, b688f97 at 09:24:18 UTC; first paid model call 609e4cd at 09:49:52 UTC). H1: cartel formation follows the human ordering laissez-faire &gt; fine &gt; min(leniency, reward). H2: the average price under reward is the lowest. H3 (told-only punishments): under fine and leniency the LLM formation rate exceeds the human rate and the LLM deviation rate lies below it. H4: under reward at least one pairing alternates sole reports;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10 duopolies in 2 pools each, not run at the time of writing: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probability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Positive control: a pilot of 3 duopolies per model in laissez-faire passes when more than half of the late duopolies (period 11 onwards) price above the Nash price. Contamination: (a) three questions and seven cloze probes on the paper's numbers, each an independent call, every fill marked recall or guess by the model; (b) a shifted price grid, labels 5 to 17 with unchanged payoffs (Nash label 8, joint optimum 14); behaviour counts as unchanged when the bootstrap interval of the difference to the unshifted run lies within plus or minus 0.15 (formation rate) and 1.0 (average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tested" when an arm did not run (Results 7 and 8 need the NoReport and ReMatch arms); denominator "x of k tested". The Stockholm-versus-Rome span is the absolute difference between the two cities' values of a measure; the 2011 paper reports both only for first-period communication attempts under fine and leniency, so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subjects; instructions rendered in neutral words from the 2011 working paper, not the verbatim 2009 subject instructions; one answer per decision instead of time limits, so a defaulted price is a model failure. Human values are transcribed from the 2011 working-paper version (IFN WP 738), revised for the 2012 print; the comparison with the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All three Claude models pass the positive control in the pilot (3 duopolies per model in one pool of 6 agents over 24 periods, so 6 late pairing episodes per model after rematching): 6 of 6 late episodes per model priced above the Nash price, 0 refusals in 1,696 calls, 3.01 USD in total; Haiku 5.5, the cheapest passing model, is the main model. The known-effect arms and the shifted grid had not run at the time of writing (Table 1, "not run").</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Scripted players use no model; LLM cells are Claude Haiku 5.5 unless stated; "not run" marks an arm that had not run at the time of writing.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820"/>
        <w:gridCol w:w="585"/>
        <w:gridCol w:w="1560"/>
        <w:gridCol w:w="1820"/>
        <w:gridCol w:w="1105"/>
        <w:gridCol w:w="910"/>
        <w:gridCol w:w="1560"/>
      </w:tblGrid>
      <w:tr>
        <w:trPr>
          <w:tblHeader/>
        </w:trP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Arm</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Players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Duopolies (pools)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Cartel formation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Average price</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Deviation rate</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b/>
                <w:sz w:val="15"/>
                <w:szCs w:val="15"/>
              </w:rPr>
              <w:t xml:space="preserve">Report rate given cartel</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collude,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9.00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Always deviate and report, leniency</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1.000</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Nash, every regime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scripted</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5 (1)</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3.00</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Instructed cartel (must form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Certain detection (must kill cartels)</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 communication</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10 (2)</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not run</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Laissez-faire core run (positive control)</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Haiku 5.5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20 (4)</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0.956 [0.917, 1.000])</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8.85 [8.73, 8.99]</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0.015</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r>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Humans, laissez-faire</w:t>
            </w:r>
          </w:p>
        </w:tc>
        <w:tc>
          <w:tcPr>
            <w:tcW w:type="dxa" w:w="58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students</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70 subjects (3 sessions)</w:t>
            </w:r>
          </w:p>
        </w:tc>
        <w:tc>
          <w:tcPr>
            <w:tcW w:type="dxa" w:w="182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0.716 (incidence 0.961)</w:t>
            </w:r>
          </w:p>
        </w:tc>
        <w:tc>
          <w:tcPr>
            <w:tcW w:type="dxa" w:w="1105"/>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4.92</w:t>
            </w:r>
          </w:p>
        </w:tc>
        <w:tc>
          <w:tcPr>
            <w:tcW w:type="dxa" w:w="91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0.564</w:t>
            </w:r>
          </w:p>
        </w:tc>
        <w:tc>
          <w:tcPr>
            <w:tcW w:type="dxa" w:w="1560"/>
            <w:tcMar>
              <w:top w:w="30" w:type="dxa"/>
              <w:bottom w:w="30" w:type="dxa"/>
              <w:left w:w="60" w:type="dxa"/>
              <w:right w:w="60" w:type="dxa"/>
            </w:tcMar>
          </w:tcPr>
          <w:p>
            <w:pPr>
              <w:spacing w:after="0" w:line="240" w:lineRule="auto"/>
            </w:pPr>
            <w:r>
              <w:rPr>
                <w:rFonts w:ascii="Old Standard TT" w:hAnsi="Old Standard TT" w:cs="Old Standard TT" w:eastAsia="Old Standard TT"/>
                <w:sz w:val="15"/>
                <w:szCs w:val="15"/>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Humans against agents, 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the paper's Table 4 gives 0.716) but price them near the joint optimum: average price 8.85 against 4.92, because the agents rarely undercut an agreement (deviation 0.015 against 0.564). The students broke the same cartels more than half of the time; the agents mostly keep their word.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communication attempts 0.124 against 0.684. Surviving cartels are kept (deviation 0.013 against 0.424, cartel price 8.59 against 6.14) and rarely reported (0.005 against 0.092); convictions came from detection (16 convictions, 15 by detection, 6,400 points of fines).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first-period attempts 0.013 against 0.437, and the average price falls to the competitive level, 3.33 against 4.85 for the students. The 10 cartels that form (3 of them reported in their first period) are priced at 8.88, not undercut in the run (deviation 0.000 against 0.373) and end through reports: 7 of the 9 convictions are reports, 3 detections, a report rate given a cartel of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first-period attempts 0.005 against 0.481, average price 3.33 against 3.97. All 4 convictions came from reports (report rate 0.667 against 0.937; 800 points of fines, 800 of rewards); no agent undercut an agreement in this run (deviation 0.000 against 0.782). H4, the alternating-report exploit: 0 of 95 pairing episodes alternated reports; 3 of the 4 cartels were reported in their first period, as 118 of 120 human reward cartels were. Leniency and reward both average 3.33 because almost every period is priced without a cartel at the competitive level (3.330 and 3.327 before rounding); the reward intervals collapse because 4 cartels in 475 pair-periods leave the measure nearly constant across the four pools, so resampling pools cannot move it.</w:t>
      </w:r>
    </w:p>
    <w:p>
      <w:pPr>
        <w:jc w:val="center"/>
      </w:pPr>
      <w:r>
        <w:drawing>
          <wp:inline>
            <wp:extent cx="5943600" cy="8778240"/>
            <wp:docPr id="1" name="Picture 1"/>
            <wp:cNvGraphicFramePr>
              <a:graphicFrameLocks noChangeAspect="1"/>
            </wp:cNvGraphicFramePr>
            <a:graphic>
              <a:graphicData uri="http://schemas.openxmlformats.org/drawingml/2006/picture">
                <pic:pic>
                  <pic:nvPicPr>
                    <pic:cNvPr id="0" name="figure1_scorecard.png"/>
                    <pic:cNvPicPr/>
                  </pic:nvPicPr>
                  <pic:blipFill>
                    <a:blip r:embed="rId8"/>
                    <a:stretch>
                      <a:fillRect/>
                    </a:stretch>
                  </pic:blipFill>
                  <pic:spPr>
                    <a:xfrm>
                      <a:off x="0" y="0"/>
                      <a:ext cx="5943600" cy="877824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6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A result counts as reproduced (green) when the agents show the humans' direction and the interval of the regime difference excludes zero (and exceeds the Stockholm-versus-Rome span where the paper reports it); not reproduced (red) otherwise; not tested (grey) when the arm did not run (Results 7 and 8 need the NoReport and ReMatch arms). Reproduced: 1 deterrence, 2 detection through reports. Not reproduced: 3 recidivism, 4 average prices, 5 cartel prices, 6 price deviations.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6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than under fine) is not: the relapse rates 0.154 and 0.000 point the humans' way, but the interval of the difference includes zero, so the pre-registered rule is not met; the failure is one of interval width, not of direction. Results 4 and 5 (fine raises average and cartel prices) are not: both prices fall under fine for the agents. Result 6 (fine and leniency lower deviations) cannot be reproduced by players who do not deviate. H1 holds; H2 holds weakly (reward shares the lowest price with leniency); H3 is refuted in its first half (told-only rules deter this model more, not less, than humans) and confirmed in its second (deviations below the human rate); H4 is refuted (no alternating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it is named; only Opus 5.5 identifies it from the design parameters; the cloze probes hit 0 of 7 for Haiku 5.5 and Sonnet 5.5 and 1 of 7 for Opus 5.5; all 21 fills were marked "guess". Shifted grid, main model: not run at the time of writing.</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A refusal enters every measure as the default action, against cartel formation and for competitive pricing; with 0 refusals and 2 invalid answers in 10,980 calls this moves no number; the four regimes cost 2.93 USD and 72 minutes. For research question 1.5: fine leaves cartels in 44 percent of pair-periods at the price of 16 convictions and 6,400 points of fines; leniency brings the price to the competitive level with 9 convictions and 2,400 points; reward does the same with 4 convictions, 800 points of fines and 800 points paid to reporters.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per regime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30" w:type="dxa"/>
              <w:bottom w:w="30" w:type="dxa"/>
              <w:left w:w="60" w:type="dxa"/>
              <w:right w:w="6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the one model tested, Claude Haiku 5.5: where nothing is prohibited, the agents form cartels as often as the students did, but mostly keep them. Where an authority exists, the agents are deterred far more than the students, the more so the more the rule rewards a report: formation 0.156, 0.020 and 0.008 under fine, leniency and reward against 0.315, 0.178 and 0.220. Our interpretation: the two human mechanisms the paper relies on, undercutting a partner and betraying one, are nearly switched off, while the calculation of expected cost is switched on; an agent that will not undercut, and expects its partner not to either, reads a leniency or reward rule as an invitation for the partner to collect and declines the agreement. Results 1 and 2 reproduce because deterrence rests on incentives; Results 4 to 6 do not because the price effects rested on human undercutting. For research question 1.5, told-only leniency and reward leave the fewest cartels at the lowest cost in convictions and fines (Table 3); for research question 1.1, the report rule acts in the humans' direction with a far larger effect on this model. Whether this is a property of LLM pricing agents or of one checkpoint is open until a second provider runs.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A drop in formation could be strategic deterrence or a reaction to the vocabulary of prohibition. The design separates the two: the fine, leniency and reward instructions share every word, including "prohibited" and "penalty", and differ only in the two sentences on who pays after a report, yet formation falls from 0.156 to 0.020 to 0.008 and the report rate rises from 0.005 to 0.375 to 0.667 across the three. Agents reacting to the words would react to all three alike; these agents react to the payoff of reporting. A placebo arm with the full authority text and a penalty of zero, suggested in an internal review, would close the remaining gap and is planned. The arm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1.0) and the dose arms will extend this test along the expected cost; neither has run. A reaction to the words exists in 2 of 2,608 decisions in the fine run: in-protocol declines to coordinate that cite the prohibition, counted as invalid and defaulted.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and cooperates (HKCC, 2024); its logic is the race to confess. For these agents the race is run before the cartel forms: a described leniency rule deters almost every agreement, and most of the few that form are reported (7 of 9 convictions). An authority facing such agents would see fewer cartels and fewer cases than with human firms, while the cartels it does not deter stay stable at the monopoly price. The testbed gives this number per instrument before deployment, at about 1 USD per regime for a small model.</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thirteen prices, two firms, a known payoff table, a stylised authority. The regime results are one model at one date, Haiku 5.5; the model comparison has not run, and Sonnet 5.5 and Opus 5.5 are known only to form cartels in laissez-faire. Punishments are points for the agents and were money for the students; the human values come from 2007 sessions with 390 subjects, transcribed from the 2011 working paper. The models know the paper by name and Opus 5.5 identifies it from its parameters; the cloze probes recover almost none of its numbers, and the shifted-grid run, not yet made, is the behavioural check. With 4 pool sessions per regime the intervals are wide, and under leniency and reward so few cartels form (10 and 4) that cartel-level measures rest on a handful of episodes; a difference that does not clear the interval counts as not reproduced, not as absent. The agents' reasons are recorded, not analysed.</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Future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Run the remaining arms in the pre-registered cut order: the known-effect arms and the shifted grid, NoReport and ReMatch for Results 7 and 8, the detection-probability dose curve for research question 1.5, a second provider so that the claim is about LLM agents rather than one checkpoint, the placebo arm, and the clone regime (both agents told the rival is an identical copy). In sum: on the one model tested, told-only instruments deter more than they deterred people, the cartels that survive hold their price, and one command per regime and model extends the comparison to any pricing agent an authority wants to test before it reaches a market.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in </w:t>
      </w:r>
      <w:r>
        <w:rPr>
          <w:rFonts w:ascii="Courier New" w:hAnsi="Courier New" w:cs="Courier New" w:eastAsia="Courier New"/>
          <w:sz w:val="20"/>
          <w:szCs w:val="20"/>
        </w:rPr>
        <w:t xml:space="preserve">cartelbench/</w:t>
      </w:r>
      <w:r>
        <w:rPr>
          <w:rFonts w:ascii="Old Standard TT" w:hAnsi="Old Standard TT" w:cs="Old Standard TT" w:eastAsia="Old Standard TT"/>
        </w:rPr>
        <w:t xml:space="preserve">, pre-registration, measurements with command and result file per number). All code was written during the sprint; there is no preexisting code. (public from submission.)</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Data: every model call, period and summary with n-table per run under </w:t>
      </w:r>
      <w:r>
        <w:rPr>
          <w:rFonts w:ascii="Courier New" w:hAnsi="Courier New" w:cs="Courier New" w:eastAsia="Courier New"/>
          <w:sz w:val="20"/>
          <w:szCs w:val="20"/>
        </w:rPr>
        <w:t xml:space="preserve">cartelbench/evidence/</w:t>
      </w:r>
      <w:r>
        <w:rPr>
          <w:rFonts w:ascii="Old Standard TT" w:hAnsi="Old Standard TT" w:cs="Old Standard TT" w:eastAsia="Old Standard TT"/>
        </w:rPr>
        <w:t xml:space="preserve">; payoff table and human values under </w:t>
      </w:r>
      <w:r>
        <w:rPr>
          <w:rFonts w:ascii="Courier New" w:hAnsi="Courier New" w:cs="Courier New" w:eastAsia="Courier New"/>
          <w:sz w:val="20"/>
          <w:szCs w:val="20"/>
        </w:rPr>
        <w:t xml:space="preserve">cartelbench/data/</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model families or later checkpoints until the model comparison runs.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(43 passed, 0 failed at the pre-registration commit).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