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CartelBench: Fines, Leniency and Whistleblower Rewards Tested on LLM Pricing Agents Against the Human Laboratory Baseline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(20 duopolies per regime as 4 independent pool sessions), agents form cartels in laissez-faire as often as the students did (incidence 0.956 against 0.961) but hold the price at the joint optimum (8.85 against 4.92) because they almost never undercut (deviation 0.015 against 0.564). A fine that is only told deters them more than it deterred people (formation 0.156 against 0.315); a told leniency or reward rule almost eliminates their cartels (incidence 0.032 and 0.013 against 0.264 and 0.230) and brings prices to the competitive level (3.33). Two of six tested Bigoni results reproduce, the two that rest on incentives; the four that rested on human undercutting do not. An authority can run the harness on any model before pricing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discussed next step (Bigoni et al., 2012). Both work through human reactions: a fine hurts, leniency makes each member fear that the other confesses first, a reward tempts betrayal. LLM pricing agents now set prices and reach supracompetitive prices on their own when they can talk (Fish et al., 2024; Agrawal et al., 2025), and nobody has tested whether the legal instruments in use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players and known-effect arms as controls, an n-table and a cost line per regime, and a scorecard "x of k tested Bigoni results reproduced"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agents against a human baseline: in laissez-faire, Claude Haiku 5.5 forms cartels as often as humans but holds prices at the joint optimum because it almost never undercuts; under told-only fine, leniency and reward rules it forms far fewer cartels than humans (0.156, 0.020 and 0.008 against 0.315, 0.178 and 0.220), and its prices fall to the competitive level under leniency and reward.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scripted and known-effect arms, and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 Reading guide for the rubric:</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1, Impact Potential &amp; Innovation: Sections 1, 2 and 5.</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2, Execution Quality: Sections 3 and 4, Tables 1 and 3.</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3, Presentation &amp; Clarity: Figure 1, Tables 1 to 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w:t>
      </w:r>
      <w:r>
        <w:rPr>
          <w:rFonts w:ascii="Old Standard TT" w:hAnsi="Old Standard TT" w:cs="Old Standard TT" w:eastAsia="Old Standard TT"/>
        </w:rPr>
        <w:t xml:space="preserve"> Fish, Gonczarowski and Shorrer (2024) showed that LLM pricing agents reach supracompetitive prices autonomously and that prompt wording moves the outcome. Agrawal et al. (2025) let LLM sellers in a double auction talk: communication raises collusion, and announced oversight or urgency pressure shift behaviour. Lee (2026) finds that collusion depends on the provider; Keppo, Li, Tsoukalas and Yuan (2026) show that it is fragile to heterogeneity between agents. None tests the legal instruments an authority uses.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Countermeasures on LLM agents.</w:t>
      </w:r>
      <w:r>
        <w:rPr>
          <w:rFonts w:ascii="Old Standard TT" w:hAnsi="Old Standard TT" w:cs="Old Standard TT" w:eastAsia="Old Standard TT"/>
        </w:rPr>
        <w:t xml:space="preserve"> Garra (2026) tests a prompt warning, an expected-damages payoff regulator and a random entrant. Idowu, Almasoud and Alfahid (2026) map human anti-collusion mechanisms, including leniency and whistleblowing, to multi-agent AI systems conceptually, without an experiment.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and algorithms in the same game.</w:t>
      </w:r>
      <w:r>
        <w:rPr>
          <w:rFonts w:ascii="Old Standard TT" w:hAnsi="Old Standard TT" w:cs="Old Standard TT" w:eastAsia="Old Standard TT"/>
        </w:rPr>
        <w:t xml:space="preserve"> Werner (2026) compares Q-learning algorithms with human subjects in the same duopoly: algorithms collude more, mixed markets lie in between. We follow the same logic with LLM agents and extend it to the enforcement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used one-shot or fixed-partner designs; the Bigoni design has rematching, no end-game effects, and a published value for every measure we report.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pays 100 each, the joint optimum 9 pays 180, the undercut 7 against 9 pays 296 against 20), transcribed and checked in 169 of 169 cells. Each period (Sections 3.2 to 3.5): both firms decide whether to discuss prices; if both agree, a two-round minimum-price discussion yields a non-binding agreed price; each firm sets its price and may report the agreement secretly; prices are revealed and, if nobody reported secretly, each firm may report publicly; the authority detects an unreported agreement with probability 0.10; points are paid. A discussion forms a cartel that can be fined in every later period of the match until it is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Matching: a pair stays together with probability 0.85 per period, otherwise the pool is rematched and the old agreement can no longer be fined; after period 20 the first rematching ends the session (expected length 25.67 periods). Appendix B has the verbatim instructions.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payoff table, regime rules, engine, prompts, model clients, scripted players, measures, cluster bootstrap and scorecard. Each agent receives the design as a system prompt with the full profit table and, at each step, a question with the history of the current pairing and a JSON schema for the answer; the one-sentence reason in each answer is recorded, never read by the harness. Firm names are random; sampling is the API default (temperature 1) with low effort. A refusal, invalid answer or transport error is counted, never retried to success, and the default action is played (no discussion, a zero-profit price as in the paper's time-out rule, no report). Every call is one JSON line with run id, seed, model id as returned by the API,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One regime of 20 duopolies costs 0.80 to 0.92 USD with Haiku 5.5, against about 7.30 USD (Sonnet 5.5) and 11.99 USD (Opus 5.5). Each regime runs 20 duopolies as 4 independent pool sessions of 10 agents (seeds 1 to 4). Pairs within a pool share partners over time, so the pool session is the independent unit; variance is reported as 95 percent percentile intervals from a cluster bootstrap over pool sessions (1,000 resamples, seed 0). Measures follow the paper's Tables 3 to 5 (communication attempts, also in the first period of a pairing as ex-ante deterrence; cartel formation and incidence; reports given a cartel; average, cartel and agreed price; deviations from the agreed price); added are the relapse rate after a conviction, pairings with alternating sole reports (the reward rule's known exploit) and the cost line per regime: fines, rewards, reports as investigation load.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model call (commit [F??]). H1: cartel formation follows the human ordering laissez-faire &gt; fine &gt; min(leniency, reward). H2: the average price under reward is the lowest. H3 (told-only punishments): under fine and leniency the LLM formation rate exceeds the human rate and the LLM deviation rate lies below it. H4: under reward at least one pairing alternates sole reports; no human pair did. Two dated amendments preceded the first call (an internal design review; corrections after checking the harness against the paper); nothing changed after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probability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duopolies (period 11 onwards) price above the Nash price. Contamination: (a) three questions and seven cloze probes on the paper's numbers, each an independent call, every fill marked recall or guess by the model; (b) a shifted price grid, labels 5 to 17 with unchanged payoffs, so the Nash label moves to 8 and the joint optimum to 14; behaviour counts as unchanged when the bootstrap interval of the difference to the unshifted run lies within plus or minus 0.15 (formation rate) and 1.0 (average price), reported either way.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denominator "x of k tested". Results 7 and 8 need the NoReport and ReMatch arms.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(subjects earned 1 EUR per 200 points); pools of 10 agents instead of sessions of 14 to 32 subjects; instructions rendered in neutral words from the 2011 working paper, not the verbatim 2009 subject instructions; one answer per decision instead of time limits, so a defaulted price is a model failure. Human values are transcribed from the 2011 working-paper version (IFN WP 738), revised for the 2012 print; the comparison with the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Scripted colluders, deviate-and-report players and Nash players produce the rates they should at both ends. All three Claude models pass the positive control in the pilot: 6 of 6 late duopolies per model above the Nash price, 0 refusals in 1,696 calls, 3.01 USD in total; Haiku 5.5 is the cheapest passing model and becomes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"[F??]" marks a run not yet entered. Brackets: 95 percent cluster-bootstrap intervals over pool sessions.</w:t>
      </w:r>
    </w:p>
    <w:tbl>
      <w:tblPr>
        <w:tblW w:type="dxa" w:w="9360"/>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Layout w:type="fixed"/>
      </w:tblPr>
      <w:tblGrid>
        <w:gridCol w:w="1627"/>
        <w:gridCol w:w="1453"/>
        <w:gridCol w:w="1395"/>
        <w:gridCol w:w="1627"/>
        <w:gridCol w:w="1046"/>
        <w:gridCol w:w="813"/>
        <w:gridCol w:w="1395"/>
      </w:tblGrid>
      <w:tr>
        <w:trPr>
          <w:tblHeader/>
        </w:trP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Pilot, laissez-faire, 3 duopolies per model</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 Sonnet / Opus 5.5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 (1) each</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incidence 0.903 / 1.000 / 1.000</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8.55 / 8.72 / 9.51</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717074"/>
            <wp:docPr id="1" name="Picture 1"/>
            <wp:cNvGraphicFramePr>
              <a:graphicFrameLocks noChangeAspect="1"/>
            </wp:cNvGraphicFramePr>
            <a:graphic>
              <a:graphicData uri="http://schemas.openxmlformats.org/drawingml/2006/picture">
                <pic:pic>
                  <pic:nvPicPr>
                    <pic:cNvPr id="0" name="figure1_scorecard.png"/>
                    <pic:cNvPicPr/>
                  </pic:nvPicPr>
                  <pic:blipFill>
                    <a:blip r:embed="rId8"/>
                    <a:stretch>
                      <a:fillRect/>
                    </a:stretch>
                  </pic:blipFill>
                  <pic:spPr>
                    <a:xfrm>
                      <a:off x="0" y="0"/>
                      <a:ext cx="5943600" cy="2717074"/>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the agents with 95 percent cluster-bootstrap intervals over 4 pool sessions.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against agents, 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Agents form cartels as often as the students did (incidence 0.956 against 0.961, formation 0.716 against 0.716) but price them at the joint optimum: average price 8.85 against 4.92, because the agents almost never undercut an agreement (deviation 0.015 against 0.564). The students formed the same cartels and then broke them more than half of the time; the agents keep their word.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communication attempts 0.124 against 0.684. Surviving cartels are kept (deviation 0.013 against 0.424, cartel price 8.59 against 6.14) and almost never reported (0.005 against 0.092); convictions came from detection (16 convictions, 15 by detection, 6,400 points of fines). Two answers in 2,608 calls were in-protocol declines to coordinate, citing the prohibition; they were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almost eliminates cartels: incidence 0.032 against 0.264, first-period attempts 0.013 against 0.437, and the average price falls to the competitive level, 3.33 against 4.85 for the students, whose prices barely moved. The 10 cartels that form are priced at 8.88, never undercut (deviation 0.000 against 0.373) and end through reports: 7 of 9 convictions, a report rate given a cartel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incidence 0.013 against 0.230, first-period attempts 0.005 against 0.481, average price 3.33 against 3.97. All 4 convictions came from reports (report rate 0.667 against 0.937; 800 points of fines, 800 of rewards); no agent undercut an agreement (deviation 0.000 against 0.782, the highest human rate). The students formed reward cartels in order to betray them; the agents mostly do not form them at all. The alternating-report exploit of H4: [F??].</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Layout w:type="fixed"/>
      </w:tblPr>
      <w:tblGrid>
        <w:gridCol w:w="1758"/>
        <w:gridCol w:w="816"/>
        <w:gridCol w:w="1256"/>
        <w:gridCol w:w="628"/>
        <w:gridCol w:w="1256"/>
        <w:gridCol w:w="879"/>
        <w:gridCol w:w="1256"/>
        <w:gridCol w:w="753"/>
        <w:gridCol w:w="753"/>
      </w:tblGrid>
      <w:tr>
        <w:trPr>
          <w:tblHeader/>
        </w:trP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relapse rates 0.154 and 0.000 point the humans' way, but the interval of the difference touches zero. Results 4 and 5 (fine raises average and cartel prices) are not: both prices fall under fine for the agents. Result 6 (fine and leniency lower deviations) cannot be reproduced by players who do not deviate. Results 7 and 8 are not tested. H1 holds; H2 holds weakly (reward shares the lowest price with leniency); H3 is refuted in its first half (told-only rules deter agents more, not less, than humans) and confirmed in its second (deviations below the human rate); H4: [F??].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it is named; only Opus 5.5 identifies it from the design parameters; the cloze probes hit 0 of 7 for Haiku 5.5 and Sonnet 5.5 and 1 of 7 for Opus 5.5 (marked as a guess); all 21 fills were marked "guess". Shifted grid, main model: [F??].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A refusal enters every measure as the default action, so it counts against cartel formation and for competitive pricing; with 0 refusals and 2 invalid answers in 10,980 calls this moves no number here; the four regimes cost 2.93 USD and 72 minutes. For research question 1.5: fine leaves cartels in 44 percent of pair-periods at the price of 16 convictions and 6,400 points of fines; leniency brings the price to the competitive level with 9 convictions and 2,400 points; reward does the same with 4 convictions, 800 points of fines and 800 points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Layout w:type="fixed"/>
      </w:tblPr>
      <w:tblGrid>
        <w:gridCol w:w="943"/>
        <w:gridCol w:w="1160"/>
        <w:gridCol w:w="870"/>
        <w:gridCol w:w="362"/>
        <w:gridCol w:w="580"/>
        <w:gridCol w:w="1378"/>
        <w:gridCol w:w="2031"/>
        <w:gridCol w:w="1741"/>
        <w:gridCol w:w="290"/>
      </w:tblGrid>
      <w:tr>
        <w:trPr>
          <w:tblHeader/>
        </w:trPr>
        <w:tc>
          <w:tcPr>
            <w:tcW w:type="dxa" w:w="1040"/>
            <w:tcW w:w="943"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040"/>
            <w:tcW w:w="1160"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1040"/>
            <w:tcW w:w="870"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1040"/>
            <w:tcW w:w="362"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1040"/>
            <w:tcW w:w="580"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040"/>
            <w:tcW w:w="1378"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1040"/>
            <w:tcW w:w="2031"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040"/>
            <w:tcW w:w="1741"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1040"/>
            <w:tcW w:w="290"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1040"/>
            <w:tcW w:w="94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040"/>
            <w:tcW w:w="116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1040"/>
            <w:tcW w:w="87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1040"/>
            <w:tcW w:w="362"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1040"/>
            <w:tcW w:w="58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040"/>
            <w:tcW w:w="137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1040"/>
            <w:tcW w:w="203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040"/>
            <w:tcW w:w="174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040"/>
            <w:tcW w:w="29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1040"/>
            <w:tcW w:w="94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040"/>
            <w:tcW w:w="116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1040"/>
            <w:tcW w:w="87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1040"/>
            <w:tcW w:w="362"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1040"/>
            <w:tcW w:w="58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040"/>
            <w:tcW w:w="137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1040"/>
            <w:tcW w:w="203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040"/>
            <w:tcW w:w="174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1040"/>
            <w:tcW w:w="29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1040"/>
            <w:tcW w:w="94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040"/>
            <w:tcW w:w="116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1040"/>
            <w:tcW w:w="87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1040"/>
            <w:tcW w:w="362"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1040"/>
            <w:tcW w:w="58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040"/>
            <w:tcW w:w="137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1040"/>
            <w:tcW w:w="203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040"/>
            <w:tcW w:w="174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1040"/>
            <w:tcW w:w="29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1040"/>
            <w:tcW w:w="94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040"/>
            <w:tcW w:w="116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1040"/>
            <w:tcW w:w="87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1040"/>
            <w:tcW w:w="362"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1040"/>
            <w:tcW w:w="58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040"/>
            <w:tcW w:w="137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1040"/>
            <w:tcW w:w="203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040"/>
            <w:tcW w:w="174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1040"/>
            <w:tcW w:w="29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Where nothing is prohibited, the agents form cartels exactly as often as the students did, but they keep them. Where an authority exists, the agents are deterred far more than the students were, the more so the more the rule rewards a report: formation 0.156, 0.020 and 0.008 under fine, leniency and reward against 0.315, 0.178 and 0.220.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 standing invitation for the partner to collect, and declines the agreement in the first place. This is why Results 1 and 2 reproduce while 4 to 6 do not: the ordering of deterrence rests on incentives, the price effects rested on human undercutting. For research question 1.5, told-only leniency and reward remove almost all collusion at the lowest cost in convictions and fines (Table 3);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A drop in formation could be strategic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across the three. Agents that reacted to the words would react to all three alike; these agents react to the payoff of reporting.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1.0) and the dose arms (0.05, 0.10, 0.20) extend this test along the expected cost [F??]. A reaction to the words exists in 2 of 2,608 decisions: the in-protocol declines in the fine run cite the prohibition as their reason.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these agents the race is run before the cartel forms: a described leniency rule deters almost every agreement, and the few that form are reported (7 of 9 convictions). An authority facing such agents would see fewer cartels and fewer cases than with human firms, at the price that the cartels it does not deter are stable and priced at the monopoly level. The testbed gives an authority this number per instrument before deployment, at about 1 USD per regime for a small model.</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known payoff table, a stylised authority. The agents are one model family at one date; Sonnet 5.5 and Opus 5.5 also form cartels in laissez-faire, but the regime results are Haiku 5.5 only until the model comparison runs [F??]. Punishments are points for the agents and were money for the students; the human values come from 2007 sessions with 390 subjects, transcribed from the 2011 working paper. The instructions are not the verbatim subject instructions. The models know the paper by name and Opus 5.5 identifies it from its parameters; the cloze probes recover almost none of its numbers, and the shifted-grid run [F??] is the behavioural check. With 4 pool sessions per regime the intervals are wide, and under leniency and reward so few cartels form (10 and 4) that cartel-level measures rest on a handful of episodes; a difference that does not clear the interval is reported as not reproduced, not as absent. The agents' reasons are recorded, not analysed; where we read them (the two declines) we treat them as data, not as faithful accounts.</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NoReport and ReMatch for Results 7 and 8, the detection-probability dose curve for research question 1.5, a second provider so that the claim is about LLM agents rather than one checkpoint, and the clone regime (both agents told the rival is an identical copy). Add consumer surplus as the welfare measure and further published cartel experiments as modules.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We replayed a published cartel experiment with LLM sellers under its own rules and put every number next to the human result. Claude Haiku 5.5 forms cartels in laissez-faire as often as the students did and prices them at the joint optimum because it does not undercut them; a told fine deters it more than it deterred people; a told leniency or reward rule almost eliminates its cartels and brings prices to the competitive level, where the students' prices barely moved. Two of six tested Bigoni results reproduce, the two that rest on incentives; the four that rested on human undercutting do not.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in </w:t>
      </w:r>
      <w:r>
        <w:rPr>
          <w:rFonts w:ascii="Courier New" w:hAnsi="Courier New" w:cs="Courier New" w:eastAsia="Courier New"/>
          <w:sz w:val="20"/>
          <w:szCs w:val="20"/>
        </w:rPr>
        <w:t xml:space="preserve">cartelbench/</w:t>
      </w:r>
      <w:r>
        <w:rPr>
          <w:rFonts w:ascii="Old Standard TT" w:hAnsi="Old Standard TT" w:cs="Old Standard TT" w:eastAsia="Old Standard TT"/>
        </w:rPr>
        <w:t xml:space="preserve">, pre-registration in </w:t>
      </w:r>
      <w:r>
        <w:rPr>
          <w:rFonts w:ascii="Courier New" w:hAnsi="Courier New" w:cs="Courier New" w:eastAsia="Courier New"/>
          <w:sz w:val="20"/>
          <w:szCs w:val="20"/>
        </w:rPr>
        <w:t xml:space="preserve">cartelbench/PREREGISTRATION.md</w:t>
      </w:r>
      <w:r>
        <w:rPr>
          <w:rFonts w:ascii="Old Standard TT" w:hAnsi="Old Standard TT" w:cs="Old Standard TT" w:eastAsia="Old Standard TT"/>
        </w:rPr>
        <w:t xml:space="preserve">, every number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with its command and result file). All code was written during the sprint; there is no preexisting code. [F??]</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model call (</w:t>
      </w:r>
      <w:r>
        <w:rPr>
          <w:rFonts w:ascii="Courier New" w:hAnsi="Courier New" w:cs="Courier New" w:eastAsia="Courier New"/>
          <w:sz w:val="20"/>
          <w:szCs w:val="20"/>
        </w:rPr>
        <w:t xml:space="preserve">calls.jsonl</w:t>
      </w:r>
      <w:r>
        <w:rPr>
          <w:rFonts w:ascii="Old Standard TT" w:hAnsi="Old Standard TT" w:cs="Old Standard TT" w:eastAsia="Old Standard TT"/>
        </w:rPr>
        <w:t xml:space="preserve">), every period (</w:t>
      </w:r>
      <w:r>
        <w:rPr>
          <w:rFonts w:ascii="Courier New" w:hAnsi="Courier New" w:cs="Courier New" w:eastAsia="Courier New"/>
          <w:sz w:val="20"/>
          <w:szCs w:val="20"/>
        </w:rPr>
        <w:t xml:space="preserve">periods.jsonl</w:t>
      </w:r>
      <w:r>
        <w:rPr>
          <w:rFonts w:ascii="Old Standard TT" w:hAnsi="Old Standard TT" w:cs="Old Standard TT" w:eastAsia="Old Standard TT"/>
        </w:rPr>
        <w:t xml:space="preserve">) and every summary with n-table (</w:t>
      </w:r>
      <w:r>
        <w:rPr>
          <w:rFonts w:ascii="Courier New" w:hAnsi="Courier New" w:cs="Courier New" w:eastAsia="Courier New"/>
          <w:sz w:val="20"/>
          <w:szCs w:val="20"/>
        </w:rPr>
        <w:t xml:space="preserve">summary.json</w:t>
      </w:r>
      <w:r>
        <w:rPr>
          <w:rFonts w:ascii="Old Standard TT" w:hAnsi="Old Standard TT" w:cs="Old Standard TT" w:eastAsia="Old Standard TT"/>
        </w:rPr>
        <w:t xml:space="preserv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the transcribed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Source experiment: Bigoni, Fridolfsson, Le Coq and Spagnolo, IFN Working Paper 738 (version of 2 November 2011), https://www.ifn.se/wfiles/wp/wp738.pdf.</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[F??]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