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the same of its partner, reads a leniency or reward rule as an invitation for the partner to collect and declines. Results 1 and 2 rest on incentives and reproduce; 4 to 7 rested on human undercutting and do not. For Sonnet 5.5 the prohibition removes the agreement and leaves the price: coordination without a channel, beyond the reach of these instruments. Told-only leniency and reward answer research question 1.5 with the fewest explicit cartels at the lowest cost;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its logic is the race to confess. For Haiku 5.5 the race is run before the cartel forms; for Sonnet 5.5 there is no race, because nothing is said. An authority would see fewer explicit cartels and fewer cases than with human firms, while surviving cartels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the comparison needs a second provider. The models know the paper by name, but the shifted grid shows that recall does not drive the numbers. With 4 pool sessions per regime the intervals are wide, and under leniency and reward so few cartels form (10 and 4) that cartel-level measures rest on a few episodes;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on the two models tested,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with command and result file per number, every call, period and summary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public from submission). All code was written during the sprint; there is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