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agreement and leaves the price: coordination without a channel, beyond the reach of these instruments. Told-only leniency and reward answer research question 1.5 with the fewest explicit cartels at the lowest cost;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and 0.607 of the pairs re-form the cartel after a costless detection: the word "prohibited" removes about half of the fine's effect, the penalty the other half. A reaction to the words alone shows in 2 of 2,608 decisions, in-protocol declines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its logic is the race to confess. For Haiku 5.5 the race is run before the cartel forms: the described rule deters most agreements, and most of the few that form are reported; for Sonnet 5.5 there is no race, because nothing is said. An authority would see fewer explicit cartels and fewer cases than with human firms, while surviving cartels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the comparison needs a second provider. The models know the paper by name; the shifted grid shows that recall does not drive the numbers. With 4 pool sessions per regime the intervals are wide, and under leniency and reward so few cartels form (10 and 4) that cartel-level measures rest on a few episodes;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and a human-calibrated test of silent coordination. In sum: on the two models tested, told-only instruments deter explicit cartels more than they deterred people, the cartels that survive hold their price, and one model coordinates without any channel.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with command and result file per number, every call, period and summary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public from submission). All code was written during the sprint; there is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