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and control arms validate the pipeline. We tested four models from three families: Claude Haiku 5.5, Claude Sonnet 5.5, Qwen2.5-32B and Llama-3.1-8B. Without an authority all four form explicit cartels, and the Claude models hold them near the joint optimum where human subjects undercut. Told-only fines, leniency and rewards remove explicit cartels from the agents more than from people, in point comparison, yet three of the four models keep prices well above the competitive level with almost no price discussion (5.7 to 7.3 against a Nash price of 3); against a scripted partner that prices at Nash, Sonnet and Qwen price far lower, so most of their excess arises between two LLMs. A pre-registered price screen lowered prices in every family where it ran, and the announced threshold became the price: Sonnet priced at exactly 4 under a threshold of 4 and at 5 under a threshold of 5. Under the primary pre-registered rule with 8 pool sessions, Haiku reproduces three of seven tested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LLM pricing agents reach supracompetitive prices autonomously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clients for the Anthropic API and any OpenAI-compatible endpoint,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Four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and amendment 6 (screen threshold and disclosure variants, a scripted-partner control, an instructed adversary; 83a3179 at 03:20 UTC on 2026-10-25, before all round-5 runs); the open models have their own registration, committed before any open-model call. Hypotheses and decision rules never changed. One exception is recorded: a Sonnet run started four minutes before amendment 3 registered it. Arms not in the first registration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Over the first 4 pool sessions Haiku's formation rate equals the human one by a coincidence of rounding (0.7159 against 0.716); over all 8 it is 0.775.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For two of them the silent price is joint (Table 4): against a scripted partner that always prices at Nash, Sonnet prices 3.80 and Qwen 4.70, so 3.57 and 3.03 points of their no-channel prices arise only when two LLMs meet; Llama prices 6.50 alone and gains only 0.43 (p 0.086) from a second LLM. The registered reading is a single-agent price prior for both open models, which for Qwen covers the smaller part of its price.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Qwen's stated reasons for not talking name detection or risk in 76 to 80 percent of decisions (a keyword count, not a mechanism).</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 Haiku values use 8 pool sessions; the no-channel value uses 4.</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is causal: announced at 5, it moved Sonnet's prices to 5 (98.5 percent exactly at 5, +0.985 [+0.971, +0.998] against the threshold 4) and Haiku's up by 0.62; unannounced at 4, it lowered Sonnet's price by only 0.72 and left Haiku's unchanged (+0.24 [-0.25, +0.77]). Read this way, an announced screen works mainly as a price cap. Against honest agents,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 For research question 1.1, the report rule acts in the humans' direction (Result 2: +0.543 against about +0.415 for the students, a point comparison);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the threshold experiment shows its limit: a known threshold becomes the focal price, and prices settle exactly at it. A screen that agents can learn is in effect a price cap that agents may target; unannounced, it avoids the focal point but lowers prices less, and an instructed adversary can evade the announced one.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randomised screen thresholds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https://github.com/julianmundelein-beep/2026-ai-collusion-sprint (harness, pre-registration, measurements, call records; public from submission). All code is new work from the sprint. Ledger SHA-256 f8bc980e...30d3; spend 63.15 USD API, 12.82 USD Modal.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