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and a shifted-grid contamination test; a second model shows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pre-registered positive control, a pilot of 3 duopolies per model in one pool of 6 agents: 6 of 6 late pairing episodes above the Nash price, 0 refusals in 1,696 calls; Haiku 5.5, the cheapest,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report rate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human mechanisms the paper relies on, undercutting a partner and betraying one, are nearly switched off, while the calculation of expected cost is switched on; an agent that will not undercut, and expects the same of its partner, reads a leniency or reward rule as an invitation for the partner to collect and declines. Results 1 and 2 rest on incentives and reproduce; 4 to 7 rested on human undercutting and do not. For Sonnet 5.5 the prohibition removes the agreement and leaves the price: coordination without a channel, beyond the reach of these instruments.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fine, leniency and reward instructions share every word and differ only in the two sentences on who pays after a report, yet formation falls from 0.156 to 0.020 to 0.008 and the report rate rises from 0.005 to 0.375 to 0.667. The placebo arm keeps the full authority text but sets the penalty to zero: incidence 0.714, between laissez-faire 0.956 and fine 0.439 (placebo minus laissez-faire -0.242 [-0.325, -0.158], placebo minus fine +0.275 [+0.191, +0.356]): the word "prohibited" removes about half of the fine's effect, the penalty the other half.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its logic is the race to confess. For Haiku 5.5 the race is run before the cartel forms; for Sonnet 5.5 there is no race, because nothing is said. An authority would see fewer explicit cartels and fewer cases than with human firms, while surviving cartels hold the monopoly price.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The results cover two Claude models at one date and need a second provider. The models know the paper by name, but the shifted grid shows that recall does not drive the numbers. With 4 pool sessions per regime the intervals are wide, and under leniency and reward cartel-level measures rest on 10 and 4 cartels; the agents' recorded reasons are not analysed.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Future work.</w:t>
      </w:r>
      <w:r>
        <w:rPr>
          <w:rFonts w:ascii="Old Standard TT" w:hAnsi="Old Standard TT" w:cs="Old Standard TT" w:eastAsia="Old Standard TT"/>
        </w:rPr>
        <w:t xml:space="preserve"> A second provider in all regimes and a human-calibrated test of silent coordination. In sum: on the two models tested, told-only instruments deter explicit cartels more than they deterred people, the cartels that survive hold their price, and one model coordinates without any channel.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measurements with command and result file per number, every call, period and summary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public from submission). All code was written during the sprint; there is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