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E2C9B">
      <w:pPr>
        <w:jc w:val="center"/>
      </w:pPr>
      <w:r>
        <w:rPr>
          <w:rFonts w:ascii="黑体" w:hAnsi="黑体" w:eastAsia="黑体"/>
          <w:b/>
          <w:sz w:val="36"/>
        </w:rPr>
        <w:t>医疗体制改革与县域药店进入</w:t>
      </w:r>
    </w:p>
    <w:p w14:paraId="2302626E">
      <w:pPr>
        <w:jc w:val="center"/>
      </w:pPr>
      <w:r>
        <w:rPr>
          <w:rFonts w:ascii="黑体" w:hAnsi="黑体" w:eastAsia="黑体"/>
          <w:sz w:val="28"/>
        </w:rPr>
        <w:t>基于2012—2019年区县面板数据的实证分析</w:t>
      </w:r>
    </w:p>
    <w:p w14:paraId="7CE60528">
      <w:pPr>
        <w:jc w:val="center"/>
      </w:pPr>
      <w:r>
        <w:rPr>
          <w:rFonts w:ascii="宋体" w:hAnsi="宋体" w:eastAsia="宋体"/>
          <w:sz w:val="22"/>
        </w:rPr>
        <w:t>面板数据计量经济学专题课程结课报告</w:t>
      </w:r>
    </w:p>
    <w:p w14:paraId="79440D92">
      <w:pPr>
        <w:pStyle w:val="3"/>
        <w:rPr>
          <w:color w:val="auto"/>
        </w:rPr>
      </w:pPr>
      <w:r>
        <w:rPr>
          <w:rFonts w:ascii="黑体" w:hAnsi="黑体" w:eastAsia="黑体"/>
          <w:b/>
          <w:color w:val="auto"/>
        </w:rPr>
        <w:t>摘要</w:t>
      </w:r>
    </w:p>
    <w:p w14:paraId="7AA9746D">
      <w:pPr>
        <w:rPr>
          <w:rFonts w:ascii="宋体" w:hAnsi="宋体" w:eastAsia="宋体"/>
        </w:rPr>
      </w:pPr>
      <w:r>
        <w:rPr>
          <w:rFonts w:ascii="宋体" w:hAnsi="宋体" w:eastAsia="宋体"/>
        </w:rPr>
        <w:t>本文围绕医疗体制改革对县域药店进入的影响展开实证研究。研究使用2012—2019年中国区县—年份面板数据，将各区县政策年份的下一年定义为改革实际生效年份，并以区县药店数量、药店数量对数以及是否存在药店作为主要被解释变量。识别策略首先采用包含区县固定效应和年份固定效应的交错双重差分模型，并控制人口规模、夜间灯光强度和道路密度；随后使用Callaway和Sant'Anna的CSDID方法、PPML计数模型进行稳健性检验，同时构造以基准公立医院强度为处理强度的连续DID及工具变量估计。基准TWFE结果显示，改革后区县药店数量平均增加3.739家，药店数量对数增加0.031，是否有药店的概率提高4.7个百分点。但CSDID结果显示平均处理效应并不显著，且数量结果存在较强前趋势，说明简单TWFE估计可能混合了不同改革批次的异质趋势。机制分析表明，改革后的增量主要体现为连锁药店数量上升，非连锁药店变化不显著。</w:t>
      </w:r>
    </w:p>
    <w:p w14:paraId="117F60F1">
      <w:r>
        <w:rPr>
          <w:rFonts w:ascii="宋体" w:hAnsi="宋体" w:eastAsia="宋体"/>
          <w:b/>
        </w:rPr>
        <w:t>关键词：医疗体制改革；药店进入；区县面板数据；交错双重差分；CSDID</w:t>
      </w:r>
    </w:p>
    <w:p w14:paraId="70D25ADC">
      <w:pPr>
        <w:pStyle w:val="3"/>
        <w:rPr>
          <w:color w:val="auto"/>
        </w:rPr>
      </w:pPr>
      <w:r>
        <w:rPr>
          <w:rFonts w:ascii="黑体" w:hAnsi="黑体" w:eastAsia="黑体"/>
          <w:b/>
          <w:color w:val="auto"/>
        </w:rPr>
        <w:t>一、引言</w:t>
      </w:r>
    </w:p>
    <w:p w14:paraId="446991D4">
      <w:r>
        <w:rPr>
          <w:rFonts w:ascii="宋体" w:hAnsi="宋体" w:eastAsia="宋体"/>
        </w:rPr>
        <w:t>医疗服务体系改革不仅影响医院内部的服务供给、药品采购和医生行为，也可能改变医院周边乃至县域范围内的药品零售市场结构。在传统医疗体制下，患者购药需求与医院处方、医保支付、药品流通渠道紧密相连。若改革削弱医院对药品销售的依赖，改善处方外流环境，或提高居民在基层医疗体系中的就诊频率，县域药店可能获得更多进入机会。相反，如果改革使医院药事服务更集中、药品配送更规范，零售药店面对的竞争压力也可能上升。因此，医疗体制改革对药店数量的影响并非理论上显然为正或为负，需要借助面板数据和政策时点差异进行实证检验。</w:t>
      </w:r>
    </w:p>
    <w:p w14:paraId="744CBB59">
      <w:r>
        <w:rPr>
          <w:rFonts w:ascii="宋体" w:hAnsi="宋体" w:eastAsia="宋体"/>
        </w:rPr>
        <w:t>从计量经济学角度看，这一问题适合使用面板数据方法。第一，不同区县在改革推进时间上存在差异，形成了交错实施的政策环境；第二，区县药店数量具有明显的地区固定特征，例如人口规模、城市化水平、商业环境和原有医疗资源，这些难以完全观测的因素可以通过区县固定效应吸收；第三，药店市场又受到全国性宏观趋势、监管环境、药品零售连锁化和移动互联网医疗发展的共同影响，这些年份层面的共同冲击可以由年份固定效应控制。</w:t>
      </w:r>
    </w:p>
    <w:p w14:paraId="5A5FDD4E">
      <w:r>
        <w:rPr>
          <w:rFonts w:ascii="宋体" w:hAnsi="宋体" w:eastAsia="宋体"/>
        </w:rPr>
        <w:t>本文的问题是：县域医疗体制改革是否促进了药店进入？如果促进，其影响主要体现在药店数量水平、相对增长还是进入边际？影响是否由连锁药店推动？在交错政策实施背景下，传统TWFE估计是否稳健？围绕这些问题，本文基于已有区县层面结果撰写课程论文，重点展示面板模型的构建、估计和解释。</w:t>
      </w:r>
    </w:p>
    <w:p w14:paraId="659B80A9">
      <w:pPr>
        <w:pStyle w:val="3"/>
        <w:rPr>
          <w:color w:val="auto"/>
        </w:rPr>
      </w:pPr>
      <w:r>
        <w:rPr>
          <w:rFonts w:ascii="黑体" w:hAnsi="黑体" w:eastAsia="黑体"/>
          <w:b/>
          <w:color w:val="auto"/>
        </w:rPr>
        <w:t>二、数据来源与变量构造</w:t>
      </w:r>
    </w:p>
    <w:p w14:paraId="572AF770">
      <w:r>
        <w:rPr>
          <w:rFonts w:ascii="宋体" w:hAnsi="宋体" w:eastAsia="宋体"/>
        </w:rPr>
        <w:t>本文使用的核心数据为区县药店面板数据，并合并区县层面的控制变量数据。药店面板包含2012—2022年区县药店数量及连锁、非连锁药店信息；由于道路密度等主要控制变量在当前清洗结果中主要覆盖至2019年，基准回归样本限定在2012—2019年。合并后的基准样本包含17463个区县—年份观测，标准误按区县聚类。</w:t>
      </w:r>
    </w:p>
    <w:p w14:paraId="5AA3756C">
      <w:r>
        <w:rPr>
          <w:rFonts w:ascii="宋体" w:hAnsi="宋体" w:eastAsia="宋体"/>
        </w:rPr>
        <w:t>被解释变量包括四类。第一，`pharmacy_count` 表示区县当年药店存量数量，是最直接的进入结果。第二，`ln_pharmacy` 为药店数量取自然对数，零药店区县在该指标中缺失，因此样本数下降至15940</w:t>
      </w:r>
      <w:r>
        <w:rPr>
          <w:rFonts w:hint="eastAsia"/>
          <w:lang w:eastAsia="zh-CN"/>
        </w:rPr>
        <w:t>。</w:t>
      </w:r>
      <w:r>
        <w:rPr>
          <w:rFonts w:ascii="宋体" w:hAnsi="宋体" w:eastAsia="宋体"/>
        </w:rPr>
        <w:t>第</w:t>
      </w:r>
      <w:r>
        <w:rPr>
          <w:rFonts w:hint="eastAsia"/>
          <w:lang w:val="en-US" w:eastAsia="zh-CN"/>
        </w:rPr>
        <w:t>三</w:t>
      </w:r>
      <w:r>
        <w:rPr>
          <w:rFonts w:ascii="宋体" w:hAnsi="宋体" w:eastAsia="宋体"/>
        </w:rPr>
        <w:t>，`has_pharmacy` 表示区县是否至少存在一家药店，刻画扩展边际。</w:t>
      </w:r>
    </w:p>
    <w:p w14:paraId="495EE777">
      <w:r>
        <w:rPr>
          <w:rFonts w:ascii="宋体" w:hAnsi="宋体" w:eastAsia="宋体"/>
        </w:rPr>
        <w:t>核心解释变量为 `did`，即区县进入改革后的虚拟变量。已有代码将政策年份的下一年设为实际生效年份，定义为 `effective_policy_year=policy_year+1`，随后令 `did=1{year&gt;=effective_policy_year}`。这一处理考虑到制度改革从政策发布到市场主体反应之间可能存在执行和调整滞后。控制变量包括人口规模、夜间灯光强度和道路密度，用于控制县域需求规模、经济活跃度和交通可达性。</w:t>
      </w:r>
    </w:p>
    <w:p w14:paraId="17FAA750">
      <w:r>
        <w:rPr>
          <w:rFonts w:ascii="宋体" w:hAnsi="宋体" w:eastAsia="宋体"/>
        </w:rPr>
        <w:t>描述统计显示，基准样本中区县平均药店数量为97.12家，标准差为109.80，中位数为64，最大值达到1396，说明药店分布存在明显右偏。约91.3%的区县—年份至少有一家药店。连锁药店平均数量为8.08家，非连锁药店平均数量为89.04家，表明样本期内非连锁药店仍占主体，但连锁药店可能是改革后更敏感的市场进入者。</w:t>
      </w:r>
    </w:p>
    <w:p w14:paraId="2B24A086">
      <w:pPr>
        <w:jc w:val="center"/>
      </w:pPr>
      <w:r>
        <w:rPr>
          <w:rFonts w:ascii="宋体" w:hAnsi="宋体" w:eastAsia="宋体"/>
          <w:b/>
        </w:rPr>
        <w:t>表1 主要变量描述统计</w:t>
      </w:r>
    </w:p>
    <w:tbl>
      <w:tblPr>
        <w:tblStyle w:val="33"/>
        <w:tblW w:w="902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19"/>
        <w:gridCol w:w="1484"/>
        <w:gridCol w:w="1479"/>
        <w:gridCol w:w="1659"/>
        <w:gridCol w:w="1484"/>
      </w:tblGrid>
      <w:tr w14:paraId="26EE79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919"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606005D5">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变量</w:t>
            </w:r>
          </w:p>
        </w:tc>
        <w:tc>
          <w:tcPr>
            <w:tcW w:w="1484"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28F609A7">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样本量</w:t>
            </w:r>
          </w:p>
        </w:tc>
        <w:tc>
          <w:tcPr>
            <w:tcW w:w="1479"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479A7227">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均值</w:t>
            </w:r>
          </w:p>
        </w:tc>
        <w:tc>
          <w:tcPr>
            <w:tcW w:w="1659"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283A5182">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标准差</w:t>
            </w:r>
          </w:p>
        </w:tc>
        <w:tc>
          <w:tcPr>
            <w:tcW w:w="1484"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676D310C">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中位数</w:t>
            </w:r>
          </w:p>
        </w:tc>
      </w:tr>
      <w:tr w14:paraId="499912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19" w:type="dxa"/>
            <w:tcBorders>
              <w:top w:val="single" w:color="auto" w:sz="4" w:space="0"/>
              <w:left w:val="nil"/>
              <w:bottom w:val="nil"/>
              <w:right w:val="nil"/>
            </w:tcBorders>
            <w:noWrap w:val="0"/>
            <w:tcMar>
              <w:top w:w="-1" w:type="dxa"/>
              <w:left w:w="-1" w:type="dxa"/>
              <w:bottom w:w="-1" w:type="dxa"/>
              <w:right w:w="-1" w:type="dxa"/>
            </w:tcMar>
            <w:vAlign w:val="center"/>
          </w:tcPr>
          <w:p w14:paraId="7E52691D">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药店数量</w:t>
            </w:r>
          </w:p>
        </w:tc>
        <w:tc>
          <w:tcPr>
            <w:tcW w:w="1484" w:type="dxa"/>
            <w:tcBorders>
              <w:top w:val="single" w:color="auto" w:sz="4" w:space="0"/>
              <w:left w:val="nil"/>
              <w:bottom w:val="nil"/>
              <w:right w:val="nil"/>
            </w:tcBorders>
            <w:noWrap w:val="0"/>
            <w:tcMar>
              <w:top w:w="-1" w:type="dxa"/>
              <w:left w:w="-1" w:type="dxa"/>
              <w:bottom w:w="-1" w:type="dxa"/>
              <w:right w:w="-1" w:type="dxa"/>
            </w:tcMar>
            <w:vAlign w:val="center"/>
          </w:tcPr>
          <w:p w14:paraId="614A1ADA">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17507</w:t>
            </w:r>
          </w:p>
        </w:tc>
        <w:tc>
          <w:tcPr>
            <w:tcW w:w="1479" w:type="dxa"/>
            <w:tcBorders>
              <w:top w:val="single" w:color="auto" w:sz="4" w:space="0"/>
              <w:left w:val="nil"/>
              <w:bottom w:val="nil"/>
              <w:right w:val="nil"/>
            </w:tcBorders>
            <w:noWrap w:val="0"/>
            <w:tcMar>
              <w:top w:w="-1" w:type="dxa"/>
              <w:left w:w="-1" w:type="dxa"/>
              <w:bottom w:w="-1" w:type="dxa"/>
              <w:right w:w="-1" w:type="dxa"/>
            </w:tcMar>
            <w:vAlign w:val="center"/>
          </w:tcPr>
          <w:p w14:paraId="7BDED30A">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97.122</w:t>
            </w:r>
          </w:p>
        </w:tc>
        <w:tc>
          <w:tcPr>
            <w:tcW w:w="1659" w:type="dxa"/>
            <w:tcBorders>
              <w:top w:val="single" w:color="auto" w:sz="4" w:space="0"/>
              <w:left w:val="nil"/>
              <w:bottom w:val="nil"/>
              <w:right w:val="nil"/>
            </w:tcBorders>
            <w:noWrap w:val="0"/>
            <w:tcMar>
              <w:top w:w="-1" w:type="dxa"/>
              <w:left w:w="-1" w:type="dxa"/>
              <w:bottom w:w="-1" w:type="dxa"/>
              <w:right w:w="-1" w:type="dxa"/>
            </w:tcMar>
            <w:vAlign w:val="center"/>
          </w:tcPr>
          <w:p w14:paraId="64E44184">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109.799</w:t>
            </w:r>
          </w:p>
        </w:tc>
        <w:tc>
          <w:tcPr>
            <w:tcW w:w="1484" w:type="dxa"/>
            <w:tcBorders>
              <w:top w:val="single" w:color="auto" w:sz="4" w:space="0"/>
              <w:left w:val="nil"/>
              <w:bottom w:val="nil"/>
              <w:right w:val="nil"/>
            </w:tcBorders>
            <w:noWrap w:val="0"/>
            <w:tcMar>
              <w:top w:w="-1" w:type="dxa"/>
              <w:left w:w="-1" w:type="dxa"/>
              <w:bottom w:w="-1" w:type="dxa"/>
              <w:right w:w="-1" w:type="dxa"/>
            </w:tcMar>
            <w:vAlign w:val="center"/>
          </w:tcPr>
          <w:p w14:paraId="5AED3279">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64</w:t>
            </w:r>
          </w:p>
        </w:tc>
      </w:tr>
      <w:tr w14:paraId="123613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19" w:type="dxa"/>
            <w:tcBorders>
              <w:top w:val="nil"/>
              <w:left w:val="nil"/>
              <w:bottom w:val="nil"/>
              <w:right w:val="nil"/>
            </w:tcBorders>
            <w:noWrap w:val="0"/>
            <w:tcMar>
              <w:top w:w="-1" w:type="dxa"/>
              <w:left w:w="-1" w:type="dxa"/>
              <w:bottom w:w="-1" w:type="dxa"/>
              <w:right w:w="-1" w:type="dxa"/>
            </w:tcMar>
            <w:vAlign w:val="center"/>
          </w:tcPr>
          <w:p w14:paraId="28BEE714">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ln(药店数量)</w:t>
            </w:r>
          </w:p>
        </w:tc>
        <w:tc>
          <w:tcPr>
            <w:tcW w:w="1484" w:type="dxa"/>
            <w:tcBorders>
              <w:top w:val="nil"/>
              <w:left w:val="nil"/>
              <w:bottom w:val="nil"/>
              <w:right w:val="nil"/>
            </w:tcBorders>
            <w:noWrap w:val="0"/>
            <w:tcMar>
              <w:top w:w="-1" w:type="dxa"/>
              <w:left w:w="-1" w:type="dxa"/>
              <w:bottom w:w="-1" w:type="dxa"/>
              <w:right w:w="-1" w:type="dxa"/>
            </w:tcMar>
            <w:vAlign w:val="center"/>
          </w:tcPr>
          <w:p w14:paraId="3A16D1AB">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15984</w:t>
            </w:r>
          </w:p>
        </w:tc>
        <w:tc>
          <w:tcPr>
            <w:tcW w:w="1479" w:type="dxa"/>
            <w:tcBorders>
              <w:top w:val="nil"/>
              <w:left w:val="nil"/>
              <w:bottom w:val="nil"/>
              <w:right w:val="nil"/>
            </w:tcBorders>
            <w:noWrap w:val="0"/>
            <w:tcMar>
              <w:top w:w="-1" w:type="dxa"/>
              <w:left w:w="-1" w:type="dxa"/>
              <w:bottom w:w="-1" w:type="dxa"/>
              <w:right w:w="-1" w:type="dxa"/>
            </w:tcMar>
            <w:vAlign w:val="center"/>
          </w:tcPr>
          <w:p w14:paraId="64C6B1D9">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4.157</w:t>
            </w:r>
          </w:p>
        </w:tc>
        <w:tc>
          <w:tcPr>
            <w:tcW w:w="1659" w:type="dxa"/>
            <w:tcBorders>
              <w:top w:val="nil"/>
              <w:left w:val="nil"/>
              <w:bottom w:val="nil"/>
              <w:right w:val="nil"/>
            </w:tcBorders>
            <w:noWrap w:val="0"/>
            <w:tcMar>
              <w:top w:w="-1" w:type="dxa"/>
              <w:left w:w="-1" w:type="dxa"/>
              <w:bottom w:w="-1" w:type="dxa"/>
              <w:right w:w="-1" w:type="dxa"/>
            </w:tcMar>
            <w:vAlign w:val="center"/>
          </w:tcPr>
          <w:p w14:paraId="7C6046BF">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1.155</w:t>
            </w:r>
          </w:p>
        </w:tc>
        <w:tc>
          <w:tcPr>
            <w:tcW w:w="1484" w:type="dxa"/>
            <w:tcBorders>
              <w:top w:val="nil"/>
              <w:left w:val="nil"/>
              <w:bottom w:val="nil"/>
              <w:right w:val="nil"/>
            </w:tcBorders>
            <w:noWrap w:val="0"/>
            <w:tcMar>
              <w:top w:w="-1" w:type="dxa"/>
              <w:left w:w="-1" w:type="dxa"/>
              <w:bottom w:w="-1" w:type="dxa"/>
              <w:right w:w="-1" w:type="dxa"/>
            </w:tcMar>
            <w:vAlign w:val="center"/>
          </w:tcPr>
          <w:p w14:paraId="4CB07254">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4.290</w:t>
            </w:r>
          </w:p>
        </w:tc>
      </w:tr>
      <w:tr w14:paraId="5987C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19" w:type="dxa"/>
            <w:tcBorders>
              <w:top w:val="nil"/>
              <w:left w:val="nil"/>
              <w:bottom w:val="nil"/>
              <w:right w:val="nil"/>
            </w:tcBorders>
            <w:noWrap w:val="0"/>
            <w:tcMar>
              <w:top w:w="-1" w:type="dxa"/>
              <w:left w:w="-1" w:type="dxa"/>
              <w:bottom w:w="-1" w:type="dxa"/>
              <w:right w:w="-1" w:type="dxa"/>
            </w:tcMar>
            <w:vAlign w:val="center"/>
          </w:tcPr>
          <w:p w14:paraId="07453E56">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是否有药店</w:t>
            </w:r>
          </w:p>
        </w:tc>
        <w:tc>
          <w:tcPr>
            <w:tcW w:w="1484" w:type="dxa"/>
            <w:tcBorders>
              <w:top w:val="nil"/>
              <w:left w:val="nil"/>
              <w:bottom w:val="nil"/>
              <w:right w:val="nil"/>
            </w:tcBorders>
            <w:noWrap w:val="0"/>
            <w:tcMar>
              <w:top w:w="-1" w:type="dxa"/>
              <w:left w:w="-1" w:type="dxa"/>
              <w:bottom w:w="-1" w:type="dxa"/>
              <w:right w:w="-1" w:type="dxa"/>
            </w:tcMar>
            <w:vAlign w:val="center"/>
          </w:tcPr>
          <w:p w14:paraId="4DB16AD3">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17507</w:t>
            </w:r>
          </w:p>
        </w:tc>
        <w:tc>
          <w:tcPr>
            <w:tcW w:w="1479" w:type="dxa"/>
            <w:tcBorders>
              <w:top w:val="nil"/>
              <w:left w:val="nil"/>
              <w:bottom w:val="nil"/>
              <w:right w:val="nil"/>
            </w:tcBorders>
            <w:noWrap w:val="0"/>
            <w:tcMar>
              <w:top w:w="-1" w:type="dxa"/>
              <w:left w:w="-1" w:type="dxa"/>
              <w:bottom w:w="-1" w:type="dxa"/>
              <w:right w:w="-1" w:type="dxa"/>
            </w:tcMar>
            <w:vAlign w:val="center"/>
          </w:tcPr>
          <w:p w14:paraId="49DEAEF5">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0.913</w:t>
            </w:r>
          </w:p>
        </w:tc>
        <w:tc>
          <w:tcPr>
            <w:tcW w:w="1659" w:type="dxa"/>
            <w:tcBorders>
              <w:top w:val="nil"/>
              <w:left w:val="nil"/>
              <w:bottom w:val="nil"/>
              <w:right w:val="nil"/>
            </w:tcBorders>
            <w:noWrap w:val="0"/>
            <w:tcMar>
              <w:top w:w="-1" w:type="dxa"/>
              <w:left w:w="-1" w:type="dxa"/>
              <w:bottom w:w="-1" w:type="dxa"/>
              <w:right w:w="-1" w:type="dxa"/>
            </w:tcMar>
            <w:vAlign w:val="center"/>
          </w:tcPr>
          <w:p w14:paraId="3BFCABB4">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0.282</w:t>
            </w:r>
          </w:p>
        </w:tc>
        <w:tc>
          <w:tcPr>
            <w:tcW w:w="1484" w:type="dxa"/>
            <w:tcBorders>
              <w:top w:val="nil"/>
              <w:left w:val="nil"/>
              <w:bottom w:val="nil"/>
              <w:right w:val="nil"/>
            </w:tcBorders>
            <w:noWrap w:val="0"/>
            <w:tcMar>
              <w:top w:w="-1" w:type="dxa"/>
              <w:left w:w="-1" w:type="dxa"/>
              <w:bottom w:w="-1" w:type="dxa"/>
              <w:right w:w="-1" w:type="dxa"/>
            </w:tcMar>
            <w:vAlign w:val="center"/>
          </w:tcPr>
          <w:p w14:paraId="4D48982A">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w:t>
            </w:r>
          </w:p>
        </w:tc>
      </w:tr>
      <w:tr w14:paraId="7CE6A5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19" w:type="dxa"/>
            <w:tcBorders>
              <w:top w:val="nil"/>
              <w:left w:val="nil"/>
              <w:bottom w:val="nil"/>
              <w:right w:val="nil"/>
            </w:tcBorders>
            <w:noWrap w:val="0"/>
            <w:tcMar>
              <w:top w:w="-1" w:type="dxa"/>
              <w:left w:w="-1" w:type="dxa"/>
              <w:bottom w:w="-1" w:type="dxa"/>
              <w:right w:w="-1" w:type="dxa"/>
            </w:tcMar>
            <w:vAlign w:val="center"/>
          </w:tcPr>
          <w:p w14:paraId="7EC88C1A">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连锁药店数量</w:t>
            </w:r>
          </w:p>
        </w:tc>
        <w:tc>
          <w:tcPr>
            <w:tcW w:w="1484" w:type="dxa"/>
            <w:tcBorders>
              <w:top w:val="nil"/>
              <w:left w:val="nil"/>
              <w:bottom w:val="nil"/>
              <w:right w:val="nil"/>
            </w:tcBorders>
            <w:noWrap w:val="0"/>
            <w:tcMar>
              <w:top w:w="-1" w:type="dxa"/>
              <w:left w:w="-1" w:type="dxa"/>
              <w:bottom w:w="-1" w:type="dxa"/>
              <w:right w:w="-1" w:type="dxa"/>
            </w:tcMar>
            <w:vAlign w:val="center"/>
          </w:tcPr>
          <w:p w14:paraId="1F2A3C4F">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17507</w:t>
            </w:r>
          </w:p>
        </w:tc>
        <w:tc>
          <w:tcPr>
            <w:tcW w:w="1479" w:type="dxa"/>
            <w:tcBorders>
              <w:top w:val="nil"/>
              <w:left w:val="nil"/>
              <w:bottom w:val="nil"/>
              <w:right w:val="nil"/>
            </w:tcBorders>
            <w:noWrap w:val="0"/>
            <w:tcMar>
              <w:top w:w="-1" w:type="dxa"/>
              <w:left w:w="-1" w:type="dxa"/>
              <w:bottom w:w="-1" w:type="dxa"/>
              <w:right w:w="-1" w:type="dxa"/>
            </w:tcMar>
            <w:vAlign w:val="center"/>
          </w:tcPr>
          <w:p w14:paraId="2257A9D7">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8.085</w:t>
            </w:r>
          </w:p>
        </w:tc>
        <w:tc>
          <w:tcPr>
            <w:tcW w:w="1659" w:type="dxa"/>
            <w:tcBorders>
              <w:top w:val="nil"/>
              <w:left w:val="nil"/>
              <w:bottom w:val="nil"/>
              <w:right w:val="nil"/>
            </w:tcBorders>
            <w:noWrap w:val="0"/>
            <w:tcMar>
              <w:top w:w="-1" w:type="dxa"/>
              <w:left w:w="-1" w:type="dxa"/>
              <w:bottom w:w="-1" w:type="dxa"/>
              <w:right w:w="-1" w:type="dxa"/>
            </w:tcMar>
            <w:vAlign w:val="center"/>
          </w:tcPr>
          <w:p w14:paraId="746DB734">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27.110</w:t>
            </w:r>
          </w:p>
        </w:tc>
        <w:tc>
          <w:tcPr>
            <w:tcW w:w="1484" w:type="dxa"/>
            <w:tcBorders>
              <w:top w:val="nil"/>
              <w:left w:val="nil"/>
              <w:bottom w:val="nil"/>
              <w:right w:val="nil"/>
            </w:tcBorders>
            <w:noWrap w:val="0"/>
            <w:tcMar>
              <w:top w:w="-1" w:type="dxa"/>
              <w:left w:w="-1" w:type="dxa"/>
              <w:bottom w:w="-1" w:type="dxa"/>
              <w:right w:w="-1" w:type="dxa"/>
            </w:tcMar>
            <w:vAlign w:val="center"/>
          </w:tcPr>
          <w:p w14:paraId="125A9B60">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0</w:t>
            </w:r>
          </w:p>
        </w:tc>
      </w:tr>
      <w:tr w14:paraId="3D383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19" w:type="dxa"/>
            <w:tcBorders>
              <w:top w:val="nil"/>
              <w:left w:val="nil"/>
              <w:bottom w:val="single" w:color="auto" w:sz="12" w:space="0"/>
              <w:right w:val="nil"/>
            </w:tcBorders>
            <w:noWrap w:val="0"/>
            <w:tcMar>
              <w:top w:w="-1" w:type="dxa"/>
              <w:left w:w="-1" w:type="dxa"/>
              <w:bottom w:w="-1" w:type="dxa"/>
              <w:right w:w="-1" w:type="dxa"/>
            </w:tcMar>
            <w:vAlign w:val="center"/>
          </w:tcPr>
          <w:p w14:paraId="08F703F7">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非连锁药店数量</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36F7190E">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17507</w:t>
            </w:r>
          </w:p>
        </w:tc>
        <w:tc>
          <w:tcPr>
            <w:tcW w:w="1479" w:type="dxa"/>
            <w:tcBorders>
              <w:top w:val="nil"/>
              <w:left w:val="nil"/>
              <w:bottom w:val="single" w:color="auto" w:sz="12" w:space="0"/>
              <w:right w:val="nil"/>
            </w:tcBorders>
            <w:noWrap w:val="0"/>
            <w:tcMar>
              <w:top w:w="-1" w:type="dxa"/>
              <w:left w:w="-1" w:type="dxa"/>
              <w:bottom w:w="-1" w:type="dxa"/>
              <w:right w:w="-1" w:type="dxa"/>
            </w:tcMar>
            <w:vAlign w:val="center"/>
          </w:tcPr>
          <w:p w14:paraId="14569CEB">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89.037</w:t>
            </w:r>
          </w:p>
        </w:tc>
        <w:tc>
          <w:tcPr>
            <w:tcW w:w="1659" w:type="dxa"/>
            <w:tcBorders>
              <w:top w:val="nil"/>
              <w:left w:val="nil"/>
              <w:bottom w:val="single" w:color="auto" w:sz="12" w:space="0"/>
              <w:right w:val="nil"/>
            </w:tcBorders>
            <w:noWrap w:val="0"/>
            <w:tcMar>
              <w:top w:w="-1" w:type="dxa"/>
              <w:left w:w="-1" w:type="dxa"/>
              <w:bottom w:w="-1" w:type="dxa"/>
              <w:right w:w="-1" w:type="dxa"/>
            </w:tcMar>
            <w:vAlign w:val="center"/>
          </w:tcPr>
          <w:p w14:paraId="41B1ABFD">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97.882</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0129C2CF">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60</w:t>
            </w:r>
          </w:p>
        </w:tc>
      </w:tr>
    </w:tbl>
    <w:p w14:paraId="253A0E5B">
      <w:r>
        <w:rPr>
          <w:rFonts w:ascii="宋体" w:hAnsi="宋体" w:eastAsia="宋体"/>
        </w:rPr>
        <w:t>注：括号内为按区县聚类的稳健标准误。*、**、*** 分别表示在 5%、1%、0.1% 水平显著。</w:t>
      </w:r>
    </w:p>
    <w:p w14:paraId="0E6E9E9A">
      <w:pPr>
        <w:pStyle w:val="3"/>
        <w:rPr>
          <w:color w:val="auto"/>
        </w:rPr>
      </w:pPr>
      <w:r>
        <w:rPr>
          <w:rFonts w:ascii="黑体" w:hAnsi="黑体" w:eastAsia="黑体"/>
          <w:b/>
          <w:color w:val="auto"/>
        </w:rPr>
        <w:t>三、模型设定与识别思路</w:t>
      </w:r>
    </w:p>
    <w:p w14:paraId="61DE00DF">
      <w:r>
        <w:rPr>
          <w:rFonts w:ascii="宋体" w:hAnsi="宋体" w:eastAsia="宋体"/>
        </w:rPr>
        <w:t>基准模型为交错双重差分的双向固定效应模型：</w:t>
      </w:r>
    </w:p>
    <w:p w14:paraId="6177291B">
      <w:r>
        <w:rPr>
          <w:rFonts w:ascii="宋体" w:hAnsi="宋体" w:eastAsia="宋体"/>
        </w:rPr>
        <w:t>Y_ct = beta DID_ct + X_ct'gamma + mu_c + lambda_t + epsilon_ct。</w:t>
      </w:r>
    </w:p>
    <w:p w14:paraId="1761F248">
      <w:r>
        <w:rPr>
          <w:rFonts w:ascii="宋体" w:hAnsi="宋体" w:eastAsia="宋体"/>
        </w:rPr>
        <w:t>其中，Y_ct 为区县 c 在年份 t 的药店结果变量；DID_ct 表示该区县在年份 t 是否已进入改革后；X_ct 包括人口、夜间灯光和道路密度；mu_c 为区县固定效应，lambda_t 为年份固定效应。系数 beta 是本文最关注的参数，可解释为在控制区县不随时间变化特征、年份共同冲击和可观测县域发展条件后，改革后区县药店结果相对于改革前及尚未改革区县的平均变化。</w:t>
      </w:r>
    </w:p>
    <w:p w14:paraId="336B4097">
      <w:r>
        <w:rPr>
          <w:rFonts w:ascii="宋体" w:hAnsi="宋体" w:eastAsia="宋体"/>
        </w:rPr>
        <w:t>这一模型的核心识别假设是，在没有医疗体制改革的情况下，不同改革批次区县的药店进入趋势应当相近。由于政策实施时间交错，传统TWFE在存在异质处理效应时可能把已处理组错误地作为其他处理组的对照，从而导致加权解释复杂。因此，本文将TWFE作为基准结果，同时引入CSDID估计组别—时间平均处理效应，并进行事件研究和前趋势检验。</w:t>
      </w:r>
    </w:p>
    <w:p w14:paraId="5A8329DE">
      <w:r>
        <w:rPr>
          <w:rFonts w:ascii="宋体" w:hAnsi="宋体" w:eastAsia="宋体"/>
        </w:rPr>
        <w:t>此外，药店数量是非负计数变量，且存在零值。为检验线性模型对计数结果的适用性，本文使用PPML模型估计改革对药店数量的比例影响。为探索改革强度差异，本文还使用基准公立医院数量的对数构造连续处理强度，即 `post_policy × ln(public_hospital_base+1)`，并使用1959年流行病防治站存量或1950年代防治站年数与改革后变量交互作为工具变量。这一设计尝试利用历史公共卫生资源分布解释基准公立医院强度。</w:t>
      </w:r>
    </w:p>
    <w:p w14:paraId="2F8DE0DE">
      <w:pPr>
        <w:pStyle w:val="3"/>
        <w:rPr>
          <w:color w:val="auto"/>
        </w:rPr>
      </w:pPr>
      <w:r>
        <w:rPr>
          <w:rFonts w:ascii="黑体" w:hAnsi="黑体" w:eastAsia="黑体"/>
          <w:b/>
          <w:color w:val="auto"/>
        </w:rPr>
        <w:t>四、基准回归结果</w:t>
      </w:r>
    </w:p>
    <w:p w14:paraId="65A926CA">
      <w:r>
        <w:rPr>
          <w:rFonts w:ascii="宋体" w:hAnsi="宋体" w:eastAsia="宋体"/>
        </w:rPr>
        <w:t>表2报告基准TWFE结果。以药店数量为因变量时，未加入控制变量的固定效应模型估计系数为2.143，加入人口、夜间灯光和道路密度后系数上升为3.739，并在5%水平显著。这意味着改革后区县平均药店数量增加约3.7家。相对于样本均值97.1家，这一水平效应并不巨大，但在县域年度变化中具有实际含义。</w:t>
      </w:r>
    </w:p>
    <w:p w14:paraId="0DD01A72">
      <w:r>
        <w:rPr>
          <w:rFonts w:ascii="宋体" w:hAnsi="宋体" w:eastAsia="宋体"/>
        </w:rPr>
        <w:t>在对数规格中，ln(药店数量)的系数为0.031，在5%水平显著，表示药店数量约增加3.1%。是否有药店的线性概率模型系数为0.047，说明改革后区县出现至少一家药店的概率提高约4.7个百分点。这些结果整体支持改革促进药店进入的初步判断。</w:t>
      </w:r>
    </w:p>
    <w:p w14:paraId="358BD00A">
      <w:r>
        <w:rPr>
          <w:rFonts w:ascii="宋体" w:hAnsi="宋体" w:eastAsia="宋体"/>
        </w:rPr>
        <w:t>控制变量的方向也具有经济含义。人口规模在药店数量模型中系数较大且显著，反映需求规模越大的县域药店越多；夜间灯光强度和道路密度在数量模型中也为正，说明经济活跃度和交通可达性有助于零售药店布局。不过，在对数和进入边际模型中部分控制变量方向不同，提示县域规模、药店存量和是否已有药店之间并非简单线性关系。</w:t>
      </w:r>
    </w:p>
    <w:p w14:paraId="53308E08">
      <w:pPr>
        <w:jc w:val="center"/>
      </w:pPr>
      <w:r>
        <w:rPr>
          <w:rFonts w:ascii="宋体" w:hAnsi="宋体" w:eastAsia="宋体"/>
          <w:b/>
        </w:rPr>
        <w:t>表2 基准TWFE估计结果</w:t>
      </w:r>
    </w:p>
    <w:tbl>
      <w:tblPr>
        <w:tblStyle w:val="33"/>
        <w:tblW w:w="902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65"/>
        <w:gridCol w:w="1805"/>
        <w:gridCol w:w="1627"/>
        <w:gridCol w:w="1455"/>
        <w:gridCol w:w="1273"/>
      </w:tblGrid>
      <w:tr w14:paraId="555FD9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65"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634811D0">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因变量</w:t>
            </w:r>
          </w:p>
        </w:tc>
        <w:tc>
          <w:tcPr>
            <w:tcW w:w="1805"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01489AE8">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DID系数</w:t>
            </w:r>
          </w:p>
        </w:tc>
        <w:tc>
          <w:tcPr>
            <w:tcW w:w="1627"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1630A7A8">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标准误</w:t>
            </w:r>
          </w:p>
        </w:tc>
        <w:tc>
          <w:tcPr>
            <w:tcW w:w="1455"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2176A327">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样本量</w:t>
            </w:r>
          </w:p>
        </w:tc>
        <w:tc>
          <w:tcPr>
            <w:tcW w:w="1273"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1ACDDBC1">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R²</w:t>
            </w:r>
          </w:p>
        </w:tc>
      </w:tr>
      <w:tr w14:paraId="1803E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65" w:type="dxa"/>
            <w:tcBorders>
              <w:top w:val="single" w:color="auto" w:sz="4" w:space="0"/>
              <w:left w:val="nil"/>
              <w:bottom w:val="nil"/>
              <w:right w:val="nil"/>
            </w:tcBorders>
            <w:noWrap w:val="0"/>
            <w:tcMar>
              <w:top w:w="-1" w:type="dxa"/>
              <w:left w:w="-1" w:type="dxa"/>
              <w:bottom w:w="-1" w:type="dxa"/>
              <w:right w:w="-1" w:type="dxa"/>
            </w:tcMar>
            <w:vAlign w:val="center"/>
          </w:tcPr>
          <w:p w14:paraId="62244210">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药店数量</w:t>
            </w:r>
          </w:p>
        </w:tc>
        <w:tc>
          <w:tcPr>
            <w:tcW w:w="1805" w:type="dxa"/>
            <w:tcBorders>
              <w:top w:val="single" w:color="auto" w:sz="4" w:space="0"/>
              <w:left w:val="nil"/>
              <w:bottom w:val="nil"/>
              <w:right w:val="nil"/>
            </w:tcBorders>
            <w:noWrap w:val="0"/>
            <w:tcMar>
              <w:top w:w="-1" w:type="dxa"/>
              <w:left w:w="-1" w:type="dxa"/>
              <w:bottom w:w="-1" w:type="dxa"/>
              <w:right w:w="-1" w:type="dxa"/>
            </w:tcMar>
            <w:vAlign w:val="center"/>
          </w:tcPr>
          <w:p w14:paraId="69AD8C98">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3.739*</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3780F728">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(1.565)</w:t>
            </w:r>
          </w:p>
        </w:tc>
        <w:tc>
          <w:tcPr>
            <w:tcW w:w="1455" w:type="dxa"/>
            <w:tcBorders>
              <w:top w:val="single" w:color="auto" w:sz="4" w:space="0"/>
              <w:left w:val="nil"/>
              <w:bottom w:val="nil"/>
              <w:right w:val="nil"/>
            </w:tcBorders>
            <w:noWrap w:val="0"/>
            <w:tcMar>
              <w:top w:w="-1" w:type="dxa"/>
              <w:left w:w="-1" w:type="dxa"/>
              <w:bottom w:w="-1" w:type="dxa"/>
              <w:right w:w="-1" w:type="dxa"/>
            </w:tcMar>
            <w:vAlign w:val="center"/>
          </w:tcPr>
          <w:p w14:paraId="745912D6">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17463</w:t>
            </w:r>
          </w:p>
        </w:tc>
        <w:tc>
          <w:tcPr>
            <w:tcW w:w="1273" w:type="dxa"/>
            <w:tcBorders>
              <w:top w:val="single" w:color="auto" w:sz="4" w:space="0"/>
              <w:left w:val="nil"/>
              <w:bottom w:val="nil"/>
              <w:right w:val="nil"/>
            </w:tcBorders>
            <w:noWrap w:val="0"/>
            <w:tcMar>
              <w:top w:w="-1" w:type="dxa"/>
              <w:left w:w="-1" w:type="dxa"/>
              <w:bottom w:w="-1" w:type="dxa"/>
              <w:right w:w="-1" w:type="dxa"/>
            </w:tcMar>
            <w:vAlign w:val="center"/>
          </w:tcPr>
          <w:p w14:paraId="6E84F1FF">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0.842</w:t>
            </w:r>
          </w:p>
        </w:tc>
      </w:tr>
      <w:tr w14:paraId="5CC311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65" w:type="dxa"/>
            <w:tcBorders>
              <w:top w:val="nil"/>
              <w:left w:val="nil"/>
              <w:bottom w:val="nil"/>
              <w:right w:val="nil"/>
            </w:tcBorders>
            <w:noWrap w:val="0"/>
            <w:tcMar>
              <w:top w:w="-1" w:type="dxa"/>
              <w:left w:w="-1" w:type="dxa"/>
              <w:bottom w:w="-1" w:type="dxa"/>
              <w:right w:w="-1" w:type="dxa"/>
            </w:tcMar>
            <w:vAlign w:val="center"/>
          </w:tcPr>
          <w:p w14:paraId="1F3532EA">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ln(药店数量+1)</w:t>
            </w:r>
          </w:p>
        </w:tc>
        <w:tc>
          <w:tcPr>
            <w:tcW w:w="1805" w:type="dxa"/>
            <w:tcBorders>
              <w:top w:val="nil"/>
              <w:left w:val="nil"/>
              <w:bottom w:val="nil"/>
              <w:right w:val="nil"/>
            </w:tcBorders>
            <w:noWrap w:val="0"/>
            <w:tcMar>
              <w:top w:w="-1" w:type="dxa"/>
              <w:left w:w="-1" w:type="dxa"/>
              <w:bottom w:w="-1" w:type="dxa"/>
              <w:right w:w="-1" w:type="dxa"/>
            </w:tcMar>
            <w:vAlign w:val="center"/>
          </w:tcPr>
          <w:p w14:paraId="7F2928C6">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0.128***</w:t>
            </w:r>
          </w:p>
        </w:tc>
        <w:tc>
          <w:tcPr>
            <w:tcW w:w="1627" w:type="dxa"/>
            <w:tcBorders>
              <w:top w:val="nil"/>
              <w:left w:val="nil"/>
              <w:bottom w:val="nil"/>
              <w:right w:val="nil"/>
            </w:tcBorders>
            <w:noWrap w:val="0"/>
            <w:tcMar>
              <w:top w:w="-1" w:type="dxa"/>
              <w:left w:w="-1" w:type="dxa"/>
              <w:bottom w:w="-1" w:type="dxa"/>
              <w:right w:w="-1" w:type="dxa"/>
            </w:tcMar>
            <w:vAlign w:val="center"/>
          </w:tcPr>
          <w:p w14:paraId="40205283">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(0.020)</w:t>
            </w:r>
          </w:p>
        </w:tc>
        <w:tc>
          <w:tcPr>
            <w:tcW w:w="1455" w:type="dxa"/>
            <w:tcBorders>
              <w:top w:val="nil"/>
              <w:left w:val="nil"/>
              <w:bottom w:val="nil"/>
              <w:right w:val="nil"/>
            </w:tcBorders>
            <w:noWrap w:val="0"/>
            <w:tcMar>
              <w:top w:w="-1" w:type="dxa"/>
              <w:left w:w="-1" w:type="dxa"/>
              <w:bottom w:w="-1" w:type="dxa"/>
              <w:right w:w="-1" w:type="dxa"/>
            </w:tcMar>
            <w:vAlign w:val="center"/>
          </w:tcPr>
          <w:p w14:paraId="0C20CAB1">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17463</w:t>
            </w:r>
          </w:p>
        </w:tc>
        <w:tc>
          <w:tcPr>
            <w:tcW w:w="1273" w:type="dxa"/>
            <w:tcBorders>
              <w:top w:val="nil"/>
              <w:left w:val="nil"/>
              <w:bottom w:val="nil"/>
              <w:right w:val="nil"/>
            </w:tcBorders>
            <w:noWrap w:val="0"/>
            <w:tcMar>
              <w:top w:w="-1" w:type="dxa"/>
              <w:left w:w="-1" w:type="dxa"/>
              <w:bottom w:w="-1" w:type="dxa"/>
              <w:right w:w="-1" w:type="dxa"/>
            </w:tcMar>
            <w:vAlign w:val="center"/>
          </w:tcPr>
          <w:p w14:paraId="72AF19B2">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0.872</w:t>
            </w:r>
          </w:p>
        </w:tc>
      </w:tr>
      <w:tr w14:paraId="5C56F4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65" w:type="dxa"/>
            <w:tcBorders>
              <w:top w:val="nil"/>
              <w:left w:val="nil"/>
              <w:bottom w:val="nil"/>
              <w:right w:val="nil"/>
            </w:tcBorders>
            <w:noWrap w:val="0"/>
            <w:tcMar>
              <w:top w:w="-1" w:type="dxa"/>
              <w:left w:w="-1" w:type="dxa"/>
              <w:bottom w:w="-1" w:type="dxa"/>
              <w:right w:w="-1" w:type="dxa"/>
            </w:tcMar>
            <w:vAlign w:val="center"/>
          </w:tcPr>
          <w:p w14:paraId="3BE8C87F">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ln(药店数量)</w:t>
            </w:r>
          </w:p>
        </w:tc>
        <w:tc>
          <w:tcPr>
            <w:tcW w:w="1805" w:type="dxa"/>
            <w:tcBorders>
              <w:top w:val="nil"/>
              <w:left w:val="nil"/>
              <w:bottom w:val="nil"/>
              <w:right w:val="nil"/>
            </w:tcBorders>
            <w:noWrap w:val="0"/>
            <w:tcMar>
              <w:top w:w="-1" w:type="dxa"/>
              <w:left w:w="-1" w:type="dxa"/>
              <w:bottom w:w="-1" w:type="dxa"/>
              <w:right w:w="-1" w:type="dxa"/>
            </w:tcMar>
            <w:vAlign w:val="center"/>
          </w:tcPr>
          <w:p w14:paraId="4259FEE7">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0.031*</w:t>
            </w:r>
          </w:p>
        </w:tc>
        <w:tc>
          <w:tcPr>
            <w:tcW w:w="1627" w:type="dxa"/>
            <w:tcBorders>
              <w:top w:val="nil"/>
              <w:left w:val="nil"/>
              <w:bottom w:val="nil"/>
              <w:right w:val="nil"/>
            </w:tcBorders>
            <w:noWrap w:val="0"/>
            <w:tcMar>
              <w:top w:w="-1" w:type="dxa"/>
              <w:left w:w="-1" w:type="dxa"/>
              <w:bottom w:w="-1" w:type="dxa"/>
              <w:right w:w="-1" w:type="dxa"/>
            </w:tcMar>
            <w:vAlign w:val="center"/>
          </w:tcPr>
          <w:p w14:paraId="527B0D88">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(0.014)</w:t>
            </w:r>
          </w:p>
        </w:tc>
        <w:tc>
          <w:tcPr>
            <w:tcW w:w="1455" w:type="dxa"/>
            <w:tcBorders>
              <w:top w:val="nil"/>
              <w:left w:val="nil"/>
              <w:bottom w:val="nil"/>
              <w:right w:val="nil"/>
            </w:tcBorders>
            <w:noWrap w:val="0"/>
            <w:tcMar>
              <w:top w:w="-1" w:type="dxa"/>
              <w:left w:w="-1" w:type="dxa"/>
              <w:bottom w:w="-1" w:type="dxa"/>
              <w:right w:w="-1" w:type="dxa"/>
            </w:tcMar>
            <w:vAlign w:val="center"/>
          </w:tcPr>
          <w:p w14:paraId="77F80F22">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15940</w:t>
            </w:r>
          </w:p>
        </w:tc>
        <w:tc>
          <w:tcPr>
            <w:tcW w:w="1273" w:type="dxa"/>
            <w:tcBorders>
              <w:top w:val="nil"/>
              <w:left w:val="nil"/>
              <w:bottom w:val="nil"/>
              <w:right w:val="nil"/>
            </w:tcBorders>
            <w:noWrap w:val="0"/>
            <w:tcMar>
              <w:top w:w="-1" w:type="dxa"/>
              <w:left w:w="-1" w:type="dxa"/>
              <w:bottom w:w="-1" w:type="dxa"/>
              <w:right w:w="-1" w:type="dxa"/>
            </w:tcMar>
            <w:vAlign w:val="center"/>
          </w:tcPr>
          <w:p w14:paraId="44621866">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0.876</w:t>
            </w:r>
          </w:p>
        </w:tc>
      </w:tr>
      <w:tr w14:paraId="449A06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65" w:type="dxa"/>
            <w:tcBorders>
              <w:top w:val="nil"/>
              <w:left w:val="nil"/>
              <w:bottom w:val="single" w:color="auto" w:sz="12" w:space="0"/>
              <w:right w:val="nil"/>
            </w:tcBorders>
            <w:noWrap w:val="0"/>
            <w:tcMar>
              <w:top w:w="-1" w:type="dxa"/>
              <w:left w:w="-1" w:type="dxa"/>
              <w:bottom w:w="-1" w:type="dxa"/>
              <w:right w:w="-1" w:type="dxa"/>
            </w:tcMar>
            <w:vAlign w:val="center"/>
          </w:tcPr>
          <w:p w14:paraId="503DCA62">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是否有药店</w:t>
            </w:r>
          </w:p>
        </w:tc>
        <w:tc>
          <w:tcPr>
            <w:tcW w:w="1805" w:type="dxa"/>
            <w:tcBorders>
              <w:top w:val="nil"/>
              <w:left w:val="nil"/>
              <w:bottom w:val="single" w:color="auto" w:sz="12" w:space="0"/>
              <w:right w:val="nil"/>
            </w:tcBorders>
            <w:noWrap w:val="0"/>
            <w:tcMar>
              <w:top w:w="-1" w:type="dxa"/>
              <w:left w:w="-1" w:type="dxa"/>
              <w:bottom w:w="-1" w:type="dxa"/>
              <w:right w:w="-1" w:type="dxa"/>
            </w:tcMar>
            <w:vAlign w:val="center"/>
          </w:tcPr>
          <w:p w14:paraId="4B37F97A">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0.047***</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14A92D53">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(0.005)</w:t>
            </w:r>
          </w:p>
        </w:tc>
        <w:tc>
          <w:tcPr>
            <w:tcW w:w="1455" w:type="dxa"/>
            <w:tcBorders>
              <w:top w:val="nil"/>
              <w:left w:val="nil"/>
              <w:bottom w:val="single" w:color="auto" w:sz="12" w:space="0"/>
              <w:right w:val="nil"/>
            </w:tcBorders>
            <w:noWrap w:val="0"/>
            <w:tcMar>
              <w:top w:w="-1" w:type="dxa"/>
              <w:left w:w="-1" w:type="dxa"/>
              <w:bottom w:w="-1" w:type="dxa"/>
              <w:right w:w="-1" w:type="dxa"/>
            </w:tcMar>
            <w:vAlign w:val="center"/>
          </w:tcPr>
          <w:p w14:paraId="088A641F">
            <w:pPr>
              <w:snapToGrid w:val="0"/>
              <w:spacing w:line="240" w:lineRule="auto"/>
              <w:ind w:left="0" w:leftChars="0" w:right="0" w:rightChars="0" w:firstLine="0" w:firstLineChars="0"/>
              <w:jc w:val="center"/>
              <w:rPr>
                <w:rFonts w:ascii="宋体" w:eastAsia="宋体"/>
                <w:sz w:val="20"/>
              </w:rPr>
            </w:pPr>
            <w:r>
              <w:rPr>
                <w:rFonts w:ascii="宋体" w:hAnsi="宋体" w:eastAsia="宋体"/>
                <w:b w:val="0"/>
                <w:sz w:val="20"/>
              </w:rPr>
              <w:t>17463</w:t>
            </w:r>
          </w:p>
        </w:tc>
        <w:tc>
          <w:tcPr>
            <w:tcW w:w="1273" w:type="dxa"/>
            <w:tcBorders>
              <w:top w:val="nil"/>
              <w:left w:val="nil"/>
              <w:bottom w:val="single" w:color="auto" w:sz="12" w:space="0"/>
              <w:right w:val="nil"/>
            </w:tcBorders>
            <w:noWrap w:val="0"/>
            <w:tcMar>
              <w:top w:w="-1" w:type="dxa"/>
              <w:left w:w="-1" w:type="dxa"/>
              <w:bottom w:w="-1" w:type="dxa"/>
              <w:right w:w="-1" w:type="dxa"/>
            </w:tcMar>
            <w:vAlign w:val="center"/>
          </w:tcPr>
          <w:p w14:paraId="77D843AB">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0.663</w:t>
            </w:r>
          </w:p>
        </w:tc>
      </w:tr>
    </w:tbl>
    <w:p w14:paraId="3DBDE238">
      <w:r>
        <w:rPr>
          <w:rFonts w:ascii="宋体" w:hAnsi="宋体" w:eastAsia="宋体"/>
        </w:rPr>
        <w:t>注：括号内为按区县聚类的稳健标准误。*、**、*** 分别表示在 5%、1%、0.1% 水平显著。</w:t>
      </w:r>
    </w:p>
    <w:p w14:paraId="75E1DA38">
      <w:pPr>
        <w:pStyle w:val="3"/>
        <w:rPr>
          <w:color w:val="auto"/>
        </w:rPr>
      </w:pPr>
      <w:r>
        <w:rPr>
          <w:rFonts w:ascii="黑体" w:hAnsi="黑体" w:eastAsia="黑体"/>
          <w:b/>
          <w:color w:val="auto"/>
        </w:rPr>
        <w:t>五、稳健性检验与动态效应</w:t>
      </w:r>
    </w:p>
    <w:p w14:paraId="79517EC7">
      <w:r>
        <w:rPr>
          <w:rFonts w:ascii="宋体" w:hAnsi="宋体" w:eastAsia="宋体"/>
        </w:rPr>
        <w:t>首先，PPML计数模型得到的DID系数为0.053，标准误为0.013，且在0.1%水平显著。将其近似换算为比例影响，改革后药店数量约增加5.4%。PPML保留零值并适用于非负计数结果，这一结果说明基准TWFE的正向结论并非完全由线性数量模型驱动。</w:t>
      </w:r>
    </w:p>
    <w:p w14:paraId="0E8211A0">
      <w:pPr>
        <w:rPr>
          <w:rFonts w:ascii="宋体" w:hAnsi="宋体" w:eastAsia="宋体"/>
        </w:rPr>
      </w:pPr>
      <w:r>
        <w:rPr>
          <w:rFonts w:ascii="宋体" w:hAnsi="宋体" w:eastAsia="宋体"/>
        </w:rPr>
        <w:t>CSDID结果对TWFE结论形成重要约束。以药店数量为结果时，CSDID的事后平均效应为4.871，标准误为3.138，p值为0.121，未达到传统显著性水平；以ln(药店数量)为结果时，事后平均效应为-0.0277，标准误为0.0690，亦不显著。</w:t>
      </w:r>
    </w:p>
    <w:p w14:paraId="5A9ADBCC">
      <w:r>
        <w:rPr>
          <w:rFonts w:ascii="宋体" w:hAnsi="宋体" w:eastAsia="宋体"/>
        </w:rPr>
        <w:t>事件研究图和五类估计量比较进一步显示，改革后效应并非在所有估计方法中一致。TWFE给出小幅正向平均结果，而CSDID静态平均效应不显著。在交错DID环境下，这种差异并不罕见，因为TWFE估计量会受到不同处理时点和处理效应异质性的影响。本文因此将TWFE结果解释为相关性较强的基准证据，而不是无需保留的最终因果结论。</w:t>
      </w:r>
    </w:p>
    <w:p w14:paraId="3B88714E">
      <w:pPr>
        <w:jc w:val="center"/>
      </w:pPr>
      <w:r>
        <w:rPr>
          <w:rFonts w:ascii="宋体" w:hAnsi="宋体" w:eastAsia="宋体"/>
          <w:b/>
        </w:rPr>
        <w:t>表3 稳健性与替代估计结果</w:t>
      </w:r>
    </w:p>
    <w:tbl>
      <w:tblPr>
        <w:tblStyle w:val="33"/>
        <w:tblW w:w="902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3"/>
        <w:gridCol w:w="1908"/>
        <w:gridCol w:w="1374"/>
        <w:gridCol w:w="3040"/>
      </w:tblGrid>
      <w:tr w14:paraId="58FA36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704"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2DF7F728">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模型或样本</w:t>
            </w:r>
          </w:p>
        </w:tc>
        <w:tc>
          <w:tcPr>
            <w:tcW w:w="1908"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73E3625D">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药店数量效应</w:t>
            </w:r>
          </w:p>
        </w:tc>
        <w:tc>
          <w:tcPr>
            <w:tcW w:w="1374"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34904033">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对数效应</w:t>
            </w:r>
          </w:p>
        </w:tc>
        <w:tc>
          <w:tcPr>
            <w:tcW w:w="3040" w:type="dxa"/>
            <w:tcBorders>
              <w:top w:val="single" w:color="auto" w:sz="12" w:space="0"/>
              <w:left w:val="nil"/>
              <w:bottom w:val="nil"/>
              <w:right w:val="nil"/>
            </w:tcBorders>
            <w:shd w:val="clear" w:color="auto" w:fill="F2F4F7"/>
            <w:noWrap w:val="0"/>
            <w:tcMar>
              <w:top w:w="-1" w:type="dxa"/>
              <w:left w:w="-1" w:type="dxa"/>
              <w:bottom w:w="-1" w:type="dxa"/>
              <w:right w:w="-1" w:type="dxa"/>
            </w:tcMar>
            <w:vAlign w:val="center"/>
          </w:tcPr>
          <w:p w14:paraId="103CBD57">
            <w:pPr>
              <w:snapToGrid w:val="0"/>
              <w:spacing w:line="240" w:lineRule="auto"/>
              <w:ind w:left="0" w:leftChars="0" w:right="0" w:rightChars="0" w:firstLine="0" w:firstLineChars="0"/>
              <w:jc w:val="center"/>
              <w:rPr>
                <w:rFonts w:ascii="宋体" w:eastAsia="宋体"/>
                <w:b/>
                <w:sz w:val="20"/>
              </w:rPr>
            </w:pPr>
            <w:r>
              <w:rPr>
                <w:rFonts w:ascii="宋体" w:hAnsi="宋体" w:eastAsia="宋体"/>
                <w:b/>
                <w:sz w:val="20"/>
              </w:rPr>
              <w:t>说明</w:t>
            </w:r>
          </w:p>
        </w:tc>
      </w:tr>
      <w:tr w14:paraId="51919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04" w:type="dxa"/>
            <w:tcBorders>
              <w:top w:val="single" w:color="auto" w:sz="4" w:space="0"/>
              <w:left w:val="nil"/>
              <w:bottom w:val="nil"/>
              <w:right w:val="nil"/>
            </w:tcBorders>
            <w:noWrap w:val="0"/>
            <w:tcMar>
              <w:top w:w="-1" w:type="dxa"/>
              <w:left w:w="-1" w:type="dxa"/>
              <w:bottom w:w="-1" w:type="dxa"/>
              <w:right w:w="-1" w:type="dxa"/>
            </w:tcMar>
            <w:vAlign w:val="center"/>
          </w:tcPr>
          <w:p w14:paraId="443CB142">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PPML</w:t>
            </w:r>
          </w:p>
        </w:tc>
        <w:tc>
          <w:tcPr>
            <w:tcW w:w="1908" w:type="dxa"/>
            <w:tcBorders>
              <w:top w:val="single" w:color="auto" w:sz="4" w:space="0"/>
              <w:left w:val="nil"/>
              <w:bottom w:val="nil"/>
              <w:right w:val="nil"/>
            </w:tcBorders>
            <w:noWrap w:val="0"/>
            <w:tcMar>
              <w:top w:w="-1" w:type="dxa"/>
              <w:left w:w="-1" w:type="dxa"/>
              <w:bottom w:w="-1" w:type="dxa"/>
              <w:right w:w="-1" w:type="dxa"/>
            </w:tcMar>
            <w:vAlign w:val="center"/>
          </w:tcPr>
          <w:p w14:paraId="4D2118A0">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0.053***</w:t>
            </w:r>
          </w:p>
        </w:tc>
        <w:tc>
          <w:tcPr>
            <w:tcW w:w="1374" w:type="dxa"/>
            <w:tcBorders>
              <w:top w:val="single" w:color="auto" w:sz="4" w:space="0"/>
              <w:left w:val="nil"/>
              <w:bottom w:val="nil"/>
              <w:right w:val="nil"/>
            </w:tcBorders>
            <w:noWrap w:val="0"/>
            <w:tcMar>
              <w:top w:w="-1" w:type="dxa"/>
              <w:left w:w="-1" w:type="dxa"/>
              <w:bottom w:w="-1" w:type="dxa"/>
              <w:right w:w="-1" w:type="dxa"/>
            </w:tcMar>
            <w:vAlign w:val="center"/>
          </w:tcPr>
          <w:p w14:paraId="0B714E36">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w:t>
            </w:r>
          </w:p>
        </w:tc>
        <w:tc>
          <w:tcPr>
            <w:tcW w:w="3040" w:type="dxa"/>
            <w:tcBorders>
              <w:top w:val="single" w:color="auto" w:sz="4" w:space="0"/>
              <w:left w:val="nil"/>
              <w:bottom w:val="nil"/>
              <w:right w:val="nil"/>
            </w:tcBorders>
            <w:noWrap w:val="0"/>
            <w:tcMar>
              <w:top w:w="-1" w:type="dxa"/>
              <w:left w:w="-1" w:type="dxa"/>
              <w:bottom w:w="-1" w:type="dxa"/>
              <w:right w:w="-1" w:type="dxa"/>
            </w:tcMar>
            <w:vAlign w:val="center"/>
          </w:tcPr>
          <w:p w14:paraId="5635A50D">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约对应5.4%的数量增加</w:t>
            </w:r>
          </w:p>
        </w:tc>
      </w:tr>
      <w:tr w14:paraId="39D52F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04" w:type="dxa"/>
            <w:tcBorders>
              <w:top w:val="nil"/>
              <w:left w:val="nil"/>
              <w:bottom w:val="nil"/>
              <w:right w:val="nil"/>
            </w:tcBorders>
            <w:noWrap w:val="0"/>
            <w:tcMar>
              <w:top w:w="-1" w:type="dxa"/>
              <w:left w:w="-1" w:type="dxa"/>
              <w:bottom w:w="-1" w:type="dxa"/>
              <w:right w:w="-1" w:type="dxa"/>
            </w:tcMar>
            <w:vAlign w:val="center"/>
          </w:tcPr>
          <w:p w14:paraId="4BF34776">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中间改革批次</w:t>
            </w:r>
          </w:p>
        </w:tc>
        <w:tc>
          <w:tcPr>
            <w:tcW w:w="1908" w:type="dxa"/>
            <w:tcBorders>
              <w:top w:val="nil"/>
              <w:left w:val="nil"/>
              <w:bottom w:val="nil"/>
              <w:right w:val="nil"/>
            </w:tcBorders>
            <w:noWrap w:val="0"/>
            <w:tcMar>
              <w:top w:w="-1" w:type="dxa"/>
              <w:left w:w="-1" w:type="dxa"/>
              <w:bottom w:w="-1" w:type="dxa"/>
              <w:right w:w="-1" w:type="dxa"/>
            </w:tcMar>
            <w:vAlign w:val="center"/>
          </w:tcPr>
          <w:p w14:paraId="69F4EFD4">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3.374</w:t>
            </w:r>
          </w:p>
        </w:tc>
        <w:tc>
          <w:tcPr>
            <w:tcW w:w="1374" w:type="dxa"/>
            <w:tcBorders>
              <w:top w:val="nil"/>
              <w:left w:val="nil"/>
              <w:bottom w:val="nil"/>
              <w:right w:val="nil"/>
            </w:tcBorders>
            <w:noWrap w:val="0"/>
            <w:tcMar>
              <w:top w:w="-1" w:type="dxa"/>
              <w:left w:w="-1" w:type="dxa"/>
              <w:bottom w:w="-1" w:type="dxa"/>
              <w:right w:w="-1" w:type="dxa"/>
            </w:tcMar>
            <w:vAlign w:val="center"/>
          </w:tcPr>
          <w:p w14:paraId="10A0052B">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0.177***</w:t>
            </w:r>
          </w:p>
        </w:tc>
        <w:tc>
          <w:tcPr>
            <w:tcW w:w="3040" w:type="dxa"/>
            <w:tcBorders>
              <w:top w:val="nil"/>
              <w:left w:val="nil"/>
              <w:bottom w:val="nil"/>
              <w:right w:val="nil"/>
            </w:tcBorders>
            <w:noWrap w:val="0"/>
            <w:tcMar>
              <w:top w:w="-1" w:type="dxa"/>
              <w:left w:w="-1" w:type="dxa"/>
              <w:bottom w:w="-1" w:type="dxa"/>
              <w:right w:w="-1" w:type="dxa"/>
            </w:tcMar>
            <w:vAlign w:val="center"/>
          </w:tcPr>
          <w:p w14:paraId="16930A7A">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有效政策年2015—2017</w:t>
            </w:r>
          </w:p>
        </w:tc>
      </w:tr>
      <w:tr w14:paraId="2BEC8E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04" w:type="dxa"/>
            <w:tcBorders>
              <w:top w:val="nil"/>
              <w:left w:val="nil"/>
              <w:bottom w:val="nil"/>
              <w:right w:val="nil"/>
            </w:tcBorders>
            <w:noWrap w:val="0"/>
            <w:tcMar>
              <w:top w:w="-1" w:type="dxa"/>
              <w:left w:w="-1" w:type="dxa"/>
              <w:bottom w:w="-1" w:type="dxa"/>
              <w:right w:w="-1" w:type="dxa"/>
            </w:tcMar>
            <w:vAlign w:val="center"/>
          </w:tcPr>
          <w:p w14:paraId="7C22A144">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平衡面板</w:t>
            </w:r>
          </w:p>
        </w:tc>
        <w:tc>
          <w:tcPr>
            <w:tcW w:w="1908" w:type="dxa"/>
            <w:tcBorders>
              <w:top w:val="nil"/>
              <w:left w:val="nil"/>
              <w:bottom w:val="nil"/>
              <w:right w:val="nil"/>
            </w:tcBorders>
            <w:noWrap w:val="0"/>
            <w:tcMar>
              <w:top w:w="-1" w:type="dxa"/>
              <w:left w:w="-1" w:type="dxa"/>
              <w:bottom w:w="-1" w:type="dxa"/>
              <w:right w:w="-1" w:type="dxa"/>
            </w:tcMar>
            <w:vAlign w:val="center"/>
          </w:tcPr>
          <w:p w14:paraId="795590EF">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2.993</w:t>
            </w:r>
          </w:p>
        </w:tc>
        <w:tc>
          <w:tcPr>
            <w:tcW w:w="1374" w:type="dxa"/>
            <w:tcBorders>
              <w:top w:val="nil"/>
              <w:left w:val="nil"/>
              <w:bottom w:val="nil"/>
              <w:right w:val="nil"/>
            </w:tcBorders>
            <w:noWrap w:val="0"/>
            <w:tcMar>
              <w:top w:w="-1" w:type="dxa"/>
              <w:left w:w="-1" w:type="dxa"/>
              <w:bottom w:w="-1" w:type="dxa"/>
              <w:right w:w="-1" w:type="dxa"/>
            </w:tcMar>
            <w:vAlign w:val="center"/>
          </w:tcPr>
          <w:p w14:paraId="2020BE6D">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0.117***</w:t>
            </w:r>
          </w:p>
        </w:tc>
        <w:tc>
          <w:tcPr>
            <w:tcW w:w="3040" w:type="dxa"/>
            <w:tcBorders>
              <w:top w:val="nil"/>
              <w:left w:val="nil"/>
              <w:bottom w:val="nil"/>
              <w:right w:val="nil"/>
            </w:tcBorders>
            <w:noWrap w:val="0"/>
            <w:tcMar>
              <w:top w:w="-1" w:type="dxa"/>
              <w:left w:w="-1" w:type="dxa"/>
              <w:bottom w:w="-1" w:type="dxa"/>
              <w:right w:w="-1" w:type="dxa"/>
            </w:tcMar>
            <w:vAlign w:val="center"/>
          </w:tcPr>
          <w:p w14:paraId="4649CD23">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每县8年均有观测</w:t>
            </w:r>
          </w:p>
        </w:tc>
      </w:tr>
      <w:tr w14:paraId="5AA4E2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04" w:type="dxa"/>
            <w:tcBorders>
              <w:top w:val="nil"/>
              <w:left w:val="nil"/>
              <w:bottom w:val="nil"/>
              <w:right w:val="nil"/>
            </w:tcBorders>
            <w:noWrap w:val="0"/>
            <w:tcMar>
              <w:top w:w="-1" w:type="dxa"/>
              <w:left w:w="-1" w:type="dxa"/>
              <w:bottom w:w="-1" w:type="dxa"/>
              <w:right w:w="-1" w:type="dxa"/>
            </w:tcMar>
            <w:vAlign w:val="center"/>
          </w:tcPr>
          <w:p w14:paraId="241B2AA3">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省份—年份固定效应</w:t>
            </w:r>
          </w:p>
        </w:tc>
        <w:tc>
          <w:tcPr>
            <w:tcW w:w="1908" w:type="dxa"/>
            <w:tcBorders>
              <w:top w:val="nil"/>
              <w:left w:val="nil"/>
              <w:bottom w:val="nil"/>
              <w:right w:val="nil"/>
            </w:tcBorders>
            <w:noWrap w:val="0"/>
            <w:tcMar>
              <w:top w:w="-1" w:type="dxa"/>
              <w:left w:w="-1" w:type="dxa"/>
              <w:bottom w:w="-1" w:type="dxa"/>
              <w:right w:w="-1" w:type="dxa"/>
            </w:tcMar>
            <w:vAlign w:val="center"/>
          </w:tcPr>
          <w:p w14:paraId="4CEA0CD4">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0.916</w:t>
            </w:r>
          </w:p>
        </w:tc>
        <w:tc>
          <w:tcPr>
            <w:tcW w:w="1374" w:type="dxa"/>
            <w:tcBorders>
              <w:top w:val="nil"/>
              <w:left w:val="nil"/>
              <w:bottom w:val="nil"/>
              <w:right w:val="nil"/>
            </w:tcBorders>
            <w:noWrap w:val="0"/>
            <w:tcMar>
              <w:top w:w="-1" w:type="dxa"/>
              <w:left w:w="-1" w:type="dxa"/>
              <w:bottom w:w="-1" w:type="dxa"/>
              <w:right w:w="-1" w:type="dxa"/>
            </w:tcMar>
            <w:vAlign w:val="center"/>
          </w:tcPr>
          <w:p w14:paraId="37CEA044">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0.027</w:t>
            </w:r>
          </w:p>
        </w:tc>
        <w:tc>
          <w:tcPr>
            <w:tcW w:w="3040" w:type="dxa"/>
            <w:tcBorders>
              <w:top w:val="nil"/>
              <w:left w:val="nil"/>
              <w:bottom w:val="nil"/>
              <w:right w:val="nil"/>
            </w:tcBorders>
            <w:noWrap w:val="0"/>
            <w:tcMar>
              <w:top w:w="-1" w:type="dxa"/>
              <w:left w:w="-1" w:type="dxa"/>
              <w:bottom w:w="-1" w:type="dxa"/>
              <w:right w:w="-1" w:type="dxa"/>
            </w:tcMar>
            <w:vAlign w:val="center"/>
          </w:tcPr>
          <w:p w14:paraId="6D3D7307">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吸收省域年度冲击</w:t>
            </w:r>
          </w:p>
        </w:tc>
      </w:tr>
      <w:tr w14:paraId="558191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04" w:type="dxa"/>
            <w:tcBorders>
              <w:top w:val="nil"/>
              <w:left w:val="nil"/>
              <w:bottom w:val="single" w:color="auto" w:sz="12" w:space="0"/>
              <w:right w:val="nil"/>
            </w:tcBorders>
            <w:noWrap w:val="0"/>
            <w:tcMar>
              <w:top w:w="-1" w:type="dxa"/>
              <w:left w:w="-1" w:type="dxa"/>
              <w:bottom w:w="-1" w:type="dxa"/>
              <w:right w:w="-1" w:type="dxa"/>
            </w:tcMar>
            <w:vAlign w:val="center"/>
          </w:tcPr>
          <w:p w14:paraId="048DB4A1">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CSDID</w:t>
            </w:r>
          </w:p>
        </w:tc>
        <w:tc>
          <w:tcPr>
            <w:tcW w:w="1908" w:type="dxa"/>
            <w:tcBorders>
              <w:top w:val="nil"/>
              <w:left w:val="nil"/>
              <w:bottom w:val="single" w:color="auto" w:sz="12" w:space="0"/>
              <w:right w:val="nil"/>
            </w:tcBorders>
            <w:noWrap w:val="0"/>
            <w:tcMar>
              <w:top w:w="-1" w:type="dxa"/>
              <w:left w:w="-1" w:type="dxa"/>
              <w:bottom w:w="-1" w:type="dxa"/>
              <w:right w:w="-1" w:type="dxa"/>
            </w:tcMar>
            <w:vAlign w:val="center"/>
          </w:tcPr>
          <w:p w14:paraId="4884FD53">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4.871</w:t>
            </w:r>
          </w:p>
        </w:tc>
        <w:tc>
          <w:tcPr>
            <w:tcW w:w="1374" w:type="dxa"/>
            <w:tcBorders>
              <w:top w:val="nil"/>
              <w:left w:val="nil"/>
              <w:bottom w:val="single" w:color="auto" w:sz="12" w:space="0"/>
              <w:right w:val="nil"/>
            </w:tcBorders>
            <w:noWrap w:val="0"/>
            <w:tcMar>
              <w:top w:w="-1" w:type="dxa"/>
              <w:left w:w="-1" w:type="dxa"/>
              <w:bottom w:w="-1" w:type="dxa"/>
              <w:right w:w="-1" w:type="dxa"/>
            </w:tcMar>
            <w:vAlign w:val="center"/>
          </w:tcPr>
          <w:p w14:paraId="4E740C5C">
            <w:pPr>
              <w:snapToGrid w:val="0"/>
              <w:spacing w:line="240" w:lineRule="auto"/>
              <w:ind w:left="0" w:leftChars="0" w:right="0" w:rightChars="0" w:firstLine="0" w:firstLineChars="0"/>
              <w:jc w:val="right"/>
              <w:rPr>
                <w:rFonts w:ascii="宋体" w:eastAsia="宋体"/>
                <w:sz w:val="20"/>
              </w:rPr>
            </w:pPr>
            <w:r>
              <w:rPr>
                <w:rFonts w:ascii="宋体" w:hAnsi="宋体" w:eastAsia="宋体"/>
                <w:b w:val="0"/>
                <w:sz w:val="20"/>
              </w:rPr>
              <w:t>-0.028</w:t>
            </w:r>
          </w:p>
        </w:tc>
        <w:tc>
          <w:tcPr>
            <w:tcW w:w="3040" w:type="dxa"/>
            <w:tcBorders>
              <w:top w:val="nil"/>
              <w:left w:val="nil"/>
              <w:bottom w:val="single" w:color="auto" w:sz="12" w:space="0"/>
              <w:right w:val="nil"/>
            </w:tcBorders>
            <w:noWrap w:val="0"/>
            <w:tcMar>
              <w:top w:w="-1" w:type="dxa"/>
              <w:left w:w="-1" w:type="dxa"/>
              <w:bottom w:w="-1" w:type="dxa"/>
              <w:right w:w="-1" w:type="dxa"/>
            </w:tcMar>
            <w:vAlign w:val="center"/>
          </w:tcPr>
          <w:p w14:paraId="110D8E0D">
            <w:pPr>
              <w:snapToGrid w:val="0"/>
              <w:spacing w:line="240" w:lineRule="auto"/>
              <w:ind w:left="0" w:leftChars="0" w:right="0" w:rightChars="0" w:firstLine="0" w:firstLineChars="0"/>
              <w:jc w:val="left"/>
              <w:rPr>
                <w:rFonts w:ascii="宋体" w:eastAsia="宋体"/>
                <w:sz w:val="20"/>
              </w:rPr>
            </w:pPr>
            <w:r>
              <w:rPr>
                <w:rFonts w:ascii="宋体" w:hAnsi="宋体" w:eastAsia="宋体"/>
                <w:b w:val="0"/>
                <w:sz w:val="20"/>
              </w:rPr>
              <w:t>事后平均效应均不显著</w:t>
            </w:r>
          </w:p>
        </w:tc>
      </w:tr>
    </w:tbl>
    <w:p w14:paraId="0749A378">
      <w:r>
        <w:rPr>
          <w:rFonts w:ascii="宋体" w:hAnsi="宋体" w:eastAsia="宋体"/>
        </w:rPr>
        <w:t>注：括号内为按区县聚类的稳健标准误。*、**、*** 分别表示在 5%、1%、0.1% 水平显著。</w:t>
      </w:r>
    </w:p>
    <w:p w14:paraId="5AF8B5E7">
      <w:pPr>
        <w:pStyle w:val="3"/>
        <w:rPr>
          <w:color w:val="auto"/>
        </w:rPr>
      </w:pPr>
      <w:r>
        <w:rPr>
          <w:rFonts w:ascii="黑体" w:hAnsi="黑体" w:eastAsia="黑体"/>
          <w:b/>
          <w:color w:val="auto"/>
        </w:rPr>
        <w:t>六、机制分析：连锁化、空间距离与公立医院强度</w:t>
      </w:r>
    </w:p>
    <w:p w14:paraId="390B0535">
      <w:r>
        <w:rPr>
          <w:rFonts w:ascii="宋体" w:hAnsi="宋体" w:eastAsia="宋体"/>
        </w:rPr>
        <w:t>从药店类型看，改革后的药店数量增加主要来自连锁药店。连锁药店数量的DID系数为4.417，标准误为0.459，显著为正；非连锁药店系数为-0.678且不显著；连锁药店份额系数为0.013，显著为正。这意味着医疗体制改革可能并不是简单增加所有药店，而是更有利于组织化、标准化程度较高的连锁药店进入。一个可能解释是，连锁药店在处方承接、医保合规、供应链管理和规模化采购方面更具优势，因而更能响应改革后出现的市场机会。</w:t>
      </w:r>
    </w:p>
    <w:p w14:paraId="612CA147">
      <w:r>
        <w:rPr>
          <w:rFonts w:ascii="宋体" w:hAnsi="宋体" w:eastAsia="宋体"/>
        </w:rPr>
        <w:t>从空间距离看，将药店按是否位于距离最近医院2公里以内划分后，2公里以内药店数量的改革系数为1.267且不显著，2公里以外药店数量的系数为2.471并在5%水平显著。这一结果提示，县域药店增长不一定只发生在医院周边，也可能表现为更广泛的县域零售网络扩张。若改革提升居民基层就医或院外购药需求，药店进入可能向社区、乡镇和交通节点扩散，而不仅仅围绕医院门口集中。</w:t>
      </w:r>
    </w:p>
    <w:p w14:paraId="59575E05">
      <w:r>
        <w:rPr>
          <w:rFonts w:ascii="宋体" w:hAnsi="宋体" w:eastAsia="宋体"/>
        </w:rPr>
        <w:t>连续DID进一步显示，改革效应与基准公立医院强度有关。以 `post_policy × ln(public_hospital_base+1)` 为核心解释变量时，药店数量系数为20.308，标准误为3.460，显著为正；但ln(药店数量)系数为-0.028且不显著。使用1959年流行病防治站存量作为工具变量后，数量效应扩大为79.687，弱工具检验统计量为100.124，说明一阶段强度较高；但对数效应仍不显著。另一个以1950年代防治站年数为工具的估计也得到显著正向数量效应。这些结果表明，医疗资源基础较强的县域在改革后可能吸引更多药店数量进入，但这种效应更表现为水平数量增加，而不是稳定的比例增长。</w:t>
      </w:r>
    </w:p>
    <w:p w14:paraId="1C6EDDB3">
      <w:r>
        <w:br w:type="page"/>
      </w:r>
    </w:p>
    <w:p w14:paraId="4936EFF7">
      <w:pPr>
        <w:jc w:val="center"/>
      </w:pPr>
      <w:r>
        <w:rPr>
          <w:rFonts w:ascii="宋体" w:hAnsi="宋体" w:eastAsia="宋体"/>
          <w:b/>
        </w:rPr>
        <w:t>表4 机制与异质性结果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5079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F2F4F7"/>
            <w:vAlign w:val="center"/>
          </w:tcPr>
          <w:p w14:paraId="203FE641">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结果变量或模型</w:t>
            </w:r>
          </w:p>
        </w:tc>
        <w:tc>
          <w:tcPr>
            <w:tcW w:w="2256" w:type="dxa"/>
            <w:shd w:val="clear" w:color="auto" w:fill="F2F4F7"/>
            <w:vAlign w:val="center"/>
          </w:tcPr>
          <w:p w14:paraId="456106E2">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核心系数</w:t>
            </w:r>
          </w:p>
        </w:tc>
        <w:tc>
          <w:tcPr>
            <w:tcW w:w="2256" w:type="dxa"/>
            <w:shd w:val="clear" w:color="auto" w:fill="F2F4F7"/>
            <w:vAlign w:val="center"/>
          </w:tcPr>
          <w:p w14:paraId="42C669CD">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标准误</w:t>
            </w:r>
          </w:p>
        </w:tc>
        <w:tc>
          <w:tcPr>
            <w:tcW w:w="2256" w:type="dxa"/>
            <w:shd w:val="clear" w:color="auto" w:fill="F2F4F7"/>
            <w:vAlign w:val="center"/>
          </w:tcPr>
          <w:p w14:paraId="039127B0">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解释</w:t>
            </w:r>
          </w:p>
        </w:tc>
      </w:tr>
      <w:tr w14:paraId="038C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5E012D0E">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连锁药店数量</w:t>
            </w:r>
          </w:p>
        </w:tc>
        <w:tc>
          <w:tcPr>
            <w:tcW w:w="2256" w:type="dxa"/>
            <w:vAlign w:val="center"/>
          </w:tcPr>
          <w:p w14:paraId="4C34BBDF">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4.417***</w:t>
            </w:r>
          </w:p>
        </w:tc>
        <w:tc>
          <w:tcPr>
            <w:tcW w:w="2256" w:type="dxa"/>
            <w:vAlign w:val="center"/>
          </w:tcPr>
          <w:p w14:paraId="4995CD20">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(0.459)</w:t>
            </w:r>
          </w:p>
        </w:tc>
        <w:tc>
          <w:tcPr>
            <w:tcW w:w="2256" w:type="dxa"/>
            <w:vAlign w:val="center"/>
          </w:tcPr>
          <w:p w14:paraId="4C89E042">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改革后连锁药店显著增加</w:t>
            </w:r>
          </w:p>
        </w:tc>
      </w:tr>
      <w:tr w14:paraId="3573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20C08040">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非连锁药店数量</w:t>
            </w:r>
          </w:p>
        </w:tc>
        <w:tc>
          <w:tcPr>
            <w:tcW w:w="2256" w:type="dxa"/>
            <w:vAlign w:val="center"/>
          </w:tcPr>
          <w:p w14:paraId="4BC69674">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-0.678</w:t>
            </w:r>
          </w:p>
        </w:tc>
        <w:tc>
          <w:tcPr>
            <w:tcW w:w="2256" w:type="dxa"/>
            <w:vAlign w:val="center"/>
          </w:tcPr>
          <w:p w14:paraId="22771BD2">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(1.394)</w:t>
            </w:r>
          </w:p>
        </w:tc>
        <w:tc>
          <w:tcPr>
            <w:tcW w:w="2256" w:type="dxa"/>
            <w:vAlign w:val="center"/>
          </w:tcPr>
          <w:p w14:paraId="3F4B018D">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非连锁药店变化不显著</w:t>
            </w:r>
          </w:p>
        </w:tc>
      </w:tr>
      <w:tr w14:paraId="39D4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378422E">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连锁药店份额</w:t>
            </w:r>
          </w:p>
        </w:tc>
        <w:tc>
          <w:tcPr>
            <w:tcW w:w="2256" w:type="dxa"/>
            <w:vAlign w:val="center"/>
          </w:tcPr>
          <w:p w14:paraId="18EEAFDB">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0.013***</w:t>
            </w:r>
          </w:p>
        </w:tc>
        <w:tc>
          <w:tcPr>
            <w:tcW w:w="2256" w:type="dxa"/>
            <w:vAlign w:val="center"/>
          </w:tcPr>
          <w:p w14:paraId="19FDDFB4">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(0.002)</w:t>
            </w:r>
          </w:p>
        </w:tc>
        <w:tc>
          <w:tcPr>
            <w:tcW w:w="2256" w:type="dxa"/>
            <w:vAlign w:val="center"/>
          </w:tcPr>
          <w:p w14:paraId="67DC6B2F">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连锁化程度提高</w:t>
            </w:r>
          </w:p>
        </w:tc>
      </w:tr>
      <w:tr w14:paraId="32A4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3B175495">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2公里以内药店</w:t>
            </w:r>
          </w:p>
        </w:tc>
        <w:tc>
          <w:tcPr>
            <w:tcW w:w="2256" w:type="dxa"/>
            <w:vAlign w:val="center"/>
          </w:tcPr>
          <w:p w14:paraId="4B35A433">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1.267</w:t>
            </w:r>
          </w:p>
        </w:tc>
        <w:tc>
          <w:tcPr>
            <w:tcW w:w="2256" w:type="dxa"/>
            <w:vAlign w:val="center"/>
          </w:tcPr>
          <w:p w14:paraId="751D7C4B">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(0.972)</w:t>
            </w:r>
          </w:p>
        </w:tc>
        <w:tc>
          <w:tcPr>
            <w:tcW w:w="2256" w:type="dxa"/>
            <w:vAlign w:val="center"/>
          </w:tcPr>
          <w:p w14:paraId="3BA077C0">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医院近邻药店增加不显著</w:t>
            </w:r>
          </w:p>
        </w:tc>
      </w:tr>
      <w:tr w14:paraId="4829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3C345EA3">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2公里以外药店</w:t>
            </w:r>
          </w:p>
        </w:tc>
        <w:tc>
          <w:tcPr>
            <w:tcW w:w="2256" w:type="dxa"/>
            <w:vAlign w:val="center"/>
          </w:tcPr>
          <w:p w14:paraId="5C535F02">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2.471*</w:t>
            </w:r>
          </w:p>
        </w:tc>
        <w:tc>
          <w:tcPr>
            <w:tcW w:w="2256" w:type="dxa"/>
            <w:vAlign w:val="center"/>
          </w:tcPr>
          <w:p w14:paraId="40D5697B">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(0.990)</w:t>
            </w:r>
          </w:p>
        </w:tc>
        <w:tc>
          <w:tcPr>
            <w:tcW w:w="2256" w:type="dxa"/>
            <w:vAlign w:val="center"/>
          </w:tcPr>
          <w:p w14:paraId="7034EC58">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更远范围药店显著增加</w:t>
            </w:r>
          </w:p>
        </w:tc>
      </w:tr>
      <w:tr w14:paraId="0879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7E583C42">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连续DID：数量</w:t>
            </w:r>
          </w:p>
        </w:tc>
        <w:tc>
          <w:tcPr>
            <w:tcW w:w="2256" w:type="dxa"/>
            <w:vAlign w:val="center"/>
          </w:tcPr>
          <w:p w14:paraId="5C1D21AE">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20.308***</w:t>
            </w:r>
          </w:p>
        </w:tc>
        <w:tc>
          <w:tcPr>
            <w:tcW w:w="2256" w:type="dxa"/>
            <w:vAlign w:val="center"/>
          </w:tcPr>
          <w:p w14:paraId="05E9C5F8">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(3.460)</w:t>
            </w:r>
          </w:p>
        </w:tc>
        <w:tc>
          <w:tcPr>
            <w:tcW w:w="2256" w:type="dxa"/>
            <w:vAlign w:val="center"/>
          </w:tcPr>
          <w:p w14:paraId="13319E1D">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公立医院基准强度越高，数量效应越大</w:t>
            </w:r>
          </w:p>
        </w:tc>
      </w:tr>
      <w:tr w14:paraId="0BBF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7077759">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IV连续DID：数量</w:t>
            </w:r>
          </w:p>
        </w:tc>
        <w:tc>
          <w:tcPr>
            <w:tcW w:w="2256" w:type="dxa"/>
            <w:vAlign w:val="center"/>
          </w:tcPr>
          <w:p w14:paraId="2C4BFC16">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79.687***</w:t>
            </w:r>
          </w:p>
        </w:tc>
        <w:tc>
          <w:tcPr>
            <w:tcW w:w="2256" w:type="dxa"/>
            <w:vAlign w:val="center"/>
          </w:tcPr>
          <w:p w14:paraId="4C4C3B0C">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(13.734)</w:t>
            </w:r>
          </w:p>
        </w:tc>
        <w:tc>
          <w:tcPr>
            <w:tcW w:w="2256" w:type="dxa"/>
            <w:vAlign w:val="center"/>
          </w:tcPr>
          <w:p w14:paraId="2AF0A1D3">
            <w:pPr>
              <w:snapToGrid w:val="0"/>
              <w:spacing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以1959年防治站存量为工具</w:t>
            </w:r>
          </w:p>
        </w:tc>
      </w:tr>
    </w:tbl>
    <w:p w14:paraId="591C2504">
      <w:r>
        <w:rPr>
          <w:rFonts w:ascii="宋体" w:hAnsi="宋体" w:eastAsia="宋体"/>
        </w:rPr>
        <w:t>注：括号内为按区县聚类的稳健标准误。*、**、*** 分别表示在 5%、1%、0.1% 水平显著。</w:t>
      </w:r>
    </w:p>
    <w:p w14:paraId="77376D73">
      <w:pPr>
        <w:pStyle w:val="3"/>
        <w:rPr>
          <w:color w:val="auto"/>
        </w:rPr>
      </w:pPr>
      <w:r>
        <w:rPr>
          <w:rFonts w:ascii="黑体" w:hAnsi="黑体" w:eastAsia="黑体"/>
          <w:b/>
          <w:color w:val="auto"/>
        </w:rPr>
        <w:t>七、讨论：识别局限与经济解释</w:t>
      </w:r>
    </w:p>
    <w:p w14:paraId="154D22A5">
      <w:r>
        <w:rPr>
          <w:rFonts w:ascii="宋体" w:hAnsi="宋体" w:eastAsia="宋体"/>
        </w:rPr>
        <w:t>本文结果可以从需求、供给和制度环境三个角度理解。需求侧，医疗体制改革可能改变居民就医与购药路径，扩大院外购药需求。供给侧，改革可能降低药店进入县域市场的不确定性，尤其是连锁药店能够通过更规范的供应链和医保对接能力快速扩张。制度侧，改革往往伴随基层医疗服务、药品采购和医保支付方式调整，地方政府在医疗服务体系建设中的行动也可能带来药店市场的同步变化。</w:t>
      </w:r>
    </w:p>
    <w:p w14:paraId="3E1DE1C7">
      <w:r>
        <w:rPr>
          <w:rFonts w:ascii="宋体" w:hAnsi="宋体" w:eastAsia="宋体"/>
        </w:rPr>
        <w:t>然而，本文的识别仍存在局限。首先，CSDID和事件研究显示数量结果存在明显前趋势，这意味着改革前不同批次区县已处于不同药店增长轨道。若较早改革的区县本身就是药店扩张更快或医疗资源增长更快的地区，TWFE估计可能高估改革效应。其次，控制变量虽包括人口、夜间灯光和道路密度，但无法完全吸收医保政策、药品监管、地方财政能力、电商药品销售和连锁企业战略布局等时间变化因素。第三，药店数量是存量指标，新增进入、退出和并购整合无法被完全区分，连锁药店增加也可能包含收购改牌而非净新增门店。</w:t>
      </w:r>
    </w:p>
    <w:p w14:paraId="7EFE90B5">
      <w:r>
        <w:rPr>
          <w:rFonts w:ascii="宋体" w:hAnsi="宋体" w:eastAsia="宋体"/>
        </w:rPr>
        <w:t>因此，本文更稳妥的结论是：在区县层面，医疗体制改革与药店市场扩张存在正向关联，且这种关联主要体现为连锁药店和数量水平的增加；但若要将其解释为严格的平均因果效应，需要更强的平行趋势证据或更精细的识别设计。后续研究可以尝试使用更短的政策窗口、匹配相近改革批次、引入县域线性趋势、使用行政边界附近比较，或构建门店级进入退出数据，以提高识别可信度。</w:t>
      </w:r>
    </w:p>
    <w:p w14:paraId="08AF90B1">
      <w:pPr>
        <w:pStyle w:val="3"/>
        <w:rPr>
          <w:color w:val="auto"/>
        </w:rPr>
      </w:pPr>
      <w:r>
        <w:rPr>
          <w:rFonts w:ascii="黑体" w:hAnsi="黑体" w:eastAsia="黑体"/>
          <w:b/>
          <w:color w:val="auto"/>
        </w:rPr>
        <w:t>八、结论</w:t>
      </w:r>
    </w:p>
    <w:p w14:paraId="7D434CD8">
      <w:r>
        <w:rPr>
          <w:rFonts w:ascii="宋体" w:hAnsi="宋体" w:eastAsia="宋体"/>
        </w:rPr>
        <w:t>本文基于2012—2019年中国区县—年份面板数据，研究医疗体制改革对县域药店进入的影响。基准TWFE结果显示，改革后区县药店数量、对数数量和是否存在药店均出现上升，PPML模型也支持约5.4%的正向比例效应。机制分析表明，增量主要来自连锁药店，且2公里以外药店数量的增加更显著，说明改革可能推动县域药品零售网络扩张，而不仅是医院周边药店集聚。</w:t>
      </w:r>
    </w:p>
    <w:p w14:paraId="38A94FB5">
      <w:r>
        <w:rPr>
          <w:rFonts w:ascii="宋体" w:hAnsi="宋体" w:eastAsia="宋体"/>
        </w:rPr>
        <w:t>同时，本文也发现稳健性结果并不完全支持强因果结论。CSDID估计的事后平均效应不显著，药店数量结果存在明显改革前趋势，加入省份—年份固定效应后基准效应明显减弱。因此，本文最终认为：医疗体制改革与县域药店进入存在较稳定的正相关证据，尤其体现在连锁药店扩张和药店数量水平增加上；但由于交错改革批次的前趋势和地区异质性问题，不能简单将TWFE系数解释为完全可信的平均处理效应。</w:t>
      </w:r>
    </w:p>
    <w:p w14:paraId="6C774808">
      <w:r>
        <w:rPr>
          <w:rFonts w:ascii="宋体" w:hAnsi="宋体" w:eastAsia="宋体"/>
        </w:rPr>
        <w:t>从面板数据计量方法的角度看，本文展示了双向固定效应模型在政策评估中的直观优势，也说明在交错DID背景下必须结合CSDID、事件研究、PPML和异质性分析进行交叉验证。对于医疗改革这类复杂政策，研究结论不应只依赖单一模型的显著性，而应综合考虑识别假设、动态趋势和经济机制。</w:t>
      </w:r>
    </w:p>
    <w:p w14:paraId="7249B7E6">
      <w:pPr>
        <w:pStyle w:val="3"/>
        <w:rPr>
          <w:color w:val="auto"/>
        </w:rPr>
      </w:pPr>
      <w:bookmarkStart w:id="0" w:name="_GoBack"/>
      <w:r>
        <w:rPr>
          <w:rFonts w:ascii="黑体" w:hAnsi="黑体" w:eastAsia="黑体"/>
          <w:b/>
          <w:color w:val="auto"/>
        </w:rPr>
        <w:t>参考文献</w:t>
      </w:r>
    </w:p>
    <w:bookmarkEnd w:id="0"/>
    <w:p w14:paraId="04A077AD">
      <w:r>
        <w:rPr>
          <w:rFonts w:ascii="宋体" w:hAnsi="宋体" w:eastAsia="宋体"/>
        </w:rPr>
        <w:t>Callaway, B., &amp; Sant'Anna, P. H. C. (2021). Difference-in-Differences with multiple time periods. Journal of Econometrics, 225(2), 200-230.</w:t>
      </w:r>
    </w:p>
    <w:p w14:paraId="1F52CE48">
      <w:r>
        <w:rPr>
          <w:rFonts w:ascii="宋体" w:hAnsi="宋体" w:eastAsia="宋体"/>
        </w:rPr>
        <w:t>Sun, L., &amp; Abraham, S. (2021). Estimating dynamic treatment effects in event studies with heterogeneous treatment effects. Journal of Econometrics, 225(2), 175-199.</w:t>
      </w:r>
    </w:p>
    <w:p w14:paraId="2F609387">
      <w:r>
        <w:rPr>
          <w:rFonts w:ascii="宋体" w:hAnsi="宋体" w:eastAsia="宋体"/>
        </w:rPr>
        <w:t>Borusyak, K., Jaravel, X., &amp; Spiess, J. (2021). Revisiting event study designs: Robust and efficient estimation. Working paper.</w:t>
      </w:r>
    </w:p>
    <w:p w14:paraId="1F9FF5D4">
      <w:r>
        <w:rPr>
          <w:rFonts w:ascii="宋体" w:hAnsi="宋体" w:eastAsia="宋体"/>
        </w:rPr>
        <w:t>Cengiz, D., Dube, A., Lindner, A., &amp; Zipperer, B. (2019). The effect of minimum wages on low-wage jobs. Quarterly Journal of Economics, 134(3), 1405-1454.</w:t>
      </w:r>
    </w:p>
    <w:p w14:paraId="5CFC547E">
      <w:r>
        <w:rPr>
          <w:rFonts w:ascii="宋体" w:hAnsi="宋体" w:eastAsia="宋体"/>
        </w:rPr>
        <w:t>Wooldridge, J. M. (2010). Econometric Analysis of Cross Section and Panel Data. MIT Press.</w:t>
      </w:r>
    </w:p>
    <w:p w14:paraId="45B5C79A">
      <w:pPr>
        <w:ind w:left="0" w:leftChars="0" w:firstLine="0" w:firstLineChars="0"/>
      </w:pP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0ACED">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802FF"/>
    <w:rsid w:val="5A6939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420"/>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160" w:after="80" w:line="48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160" w:after="80" w:line="48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48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5545</Words>
  <Characters>7293</Characters>
  <Lines>0</Lines>
  <Paragraphs>0</Paragraphs>
  <TotalTime>8</TotalTime>
  <ScaleCrop>false</ScaleCrop>
  <LinksUpToDate>false</LinksUpToDate>
  <CharactersWithSpaces>7444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WPS_1655426405</cp:lastModifiedBy>
  <dcterms:modified xsi:type="dcterms:W3CDTF">2026-06-27T07:44:22Z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eyJoZGlkIjoiNDRiMjdkMTA1YWEwMGE3YmI5MzlhMzQ3ZWRiYjMzN2EiLCJ1c2VySWQiOiIxMzg2OTQwODU0In0=</vt:lpwstr>
  </property>
  <property fmtid="{D5CDD505-2E9C-101B-9397-08002B2CF9AE}" pid="3" name="KSOProductBuildVer">
    <vt:lpwstr>2052-12.1.0.26895</vt:lpwstr>
  </property>
  <property fmtid="{D5CDD505-2E9C-101B-9397-08002B2CF9AE}" pid="4" name="ICV">
    <vt:lpwstr>1130B998C0014053A99131F329FC0D38_12</vt:lpwstr>
  </property>
</Properties>
</file>