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0" w:type="dxa"/>
        <w:tblLayout w:type="fixed"/>
        <w:tblCellMar>
          <w:top w:w="30" w:type="dxa"/>
          <w:left w:w="30" w:type="dxa"/>
          <w:bottom w:w="30" w:type="dxa"/>
          <w:right w:w="30" w:type="dxa"/>
        </w:tblCellMar>
        <w:tblLook w:firstRow="1" w:noVBand="1" w:lastRow="0" w:firstColumn="1" w:lastColumn="0" w:noHBand="0" w:val="04a0"/>
      </w:tblPr>
      <w:tblGrid>
        <w:gridCol w:w="1702"/>
        <w:gridCol w:w="6801"/>
      </w:tblGrid>
      <w:tr>
        <w:trPr/>
        <w:tc>
          <w:tcPr>
            <w:tcW w:w="8503" w:type="dxa"/>
            <w:gridSpan w:val="2"/>
            <w:tcBorders>
              <w:top w:val="single" w:sz="6" w:space="0" w:color="CCCCCC"/>
              <w:left w:val="single" w:sz="6" w:space="0" w:color="CCCCCC"/>
              <w:bottom w:val="single" w:sz="6" w:space="0" w:color="CCCCCC"/>
              <w:right w:val="single" w:sz="6" w:space="0" w:color="CCCCCC"/>
            </w:tcBorders>
            <w:shd w:color="auto" w:fill="F0F0F0" w:val="clear"/>
          </w:tcPr>
          <w:p>
            <w:pPr>
              <w:pStyle w:val="Heading3"/>
              <w:widowControl w:val="false"/>
              <w:spacing w:before="0" w:after="0"/>
              <w:rPr>
                <w:rFonts w:eastAsia="Times New Roman"/>
              </w:rPr>
            </w:pPr>
            <w:r>
              <w:rPr>
                <w:rFonts w:eastAsia="Times New Roman"/>
              </w:rPr>
              <w:t>[EF-0001] Exercício – Módulo 5</w:t>
            </w:r>
          </w:p>
        </w:tc>
      </w:tr>
      <w:tr>
        <w:trPr/>
        <w:tc>
          <w:tcPr>
            <w:tcW w:w="1702" w:type="dxa"/>
            <w:tcBorders>
              <w:top w:val="single" w:sz="6" w:space="0" w:color="CCCCCC"/>
              <w:left w:val="single" w:sz="6" w:space="0" w:color="CCCCCC"/>
              <w:bottom w:val="single" w:sz="6" w:space="0" w:color="CCCCCC"/>
              <w:right w:val="single" w:sz="6" w:space="0" w:color="CCCCCC"/>
            </w:tcBorders>
            <w:shd w:color="auto" w:fill="FFFFFF" w:val="clear"/>
          </w:tcPr>
          <w:p>
            <w:pPr>
              <w:pStyle w:val="Normal"/>
              <w:widowControl w:val="false"/>
              <w:rPr>
                <w:rFonts w:eastAsia="Times New Roman"/>
              </w:rPr>
            </w:pPr>
            <w:r>
              <w:rPr>
                <w:rFonts w:eastAsia="Times New Roman"/>
                <w:b/>
                <w:bCs/>
              </w:rPr>
              <w:t>Responsável:</w:t>
            </w:r>
          </w:p>
        </w:tc>
        <w:tc>
          <w:tcPr>
            <w:tcW w:w="6801" w:type="dxa"/>
            <w:tcBorders>
              <w:top w:val="single" w:sz="6" w:space="0" w:color="CCCCCC"/>
              <w:left w:val="single" w:sz="6" w:space="0" w:color="CCCCCC"/>
              <w:bottom w:val="single" w:sz="6" w:space="0" w:color="CCCCCC"/>
              <w:right w:val="single" w:sz="6" w:space="0" w:color="CCCCCC"/>
            </w:tcBorders>
            <w:shd w:color="auto" w:fill="FFFFFF" w:val="clear"/>
          </w:tcPr>
          <w:p>
            <w:pPr>
              <w:pStyle w:val="Normal"/>
              <w:widowControl w:val="false"/>
              <w:rPr>
                <w:rFonts w:eastAsia="Times New Roman"/>
              </w:rPr>
            </w:pPr>
            <w:r>
              <w:rPr>
                <w:rFonts w:eastAsia="Times New Roman"/>
              </w:rPr>
              <w:t xml:space="preserve"> </w:t>
            </w:r>
            <w:r>
              <w:rPr>
                <w:rFonts w:eastAsia="Times New Roman"/>
              </w:rPr>
              <w:t>Juliano Quites</w:t>
            </w:r>
          </w:p>
        </w:tc>
      </w:tr>
      <w:tr>
        <w:trPr/>
        <w:tc>
          <w:tcPr>
            <w:tcW w:w="1702" w:type="dxa"/>
            <w:tcBorders>
              <w:top w:val="single" w:sz="6" w:space="0" w:color="CCCCCC"/>
              <w:left w:val="single" w:sz="6" w:space="0" w:color="CCCCCC"/>
              <w:bottom w:val="single" w:sz="6" w:space="0" w:color="CCCCCC"/>
              <w:right w:val="single" w:sz="6" w:space="0" w:color="CCCCCC"/>
            </w:tcBorders>
            <w:shd w:color="auto" w:fill="FFFFFF" w:val="clear"/>
          </w:tcPr>
          <w:p>
            <w:pPr>
              <w:pStyle w:val="Normal"/>
              <w:widowControl w:val="false"/>
              <w:rPr>
                <w:rFonts w:eastAsia="Times New Roman"/>
              </w:rPr>
            </w:pPr>
            <w:r>
              <w:rPr>
                <w:rFonts w:eastAsia="Times New Roman"/>
                <w:b/>
                <w:bCs/>
              </w:rPr>
              <w:t>Projeto:</w:t>
            </w:r>
          </w:p>
        </w:tc>
        <w:tc>
          <w:tcPr>
            <w:tcW w:w="6801" w:type="dxa"/>
            <w:tcBorders>
              <w:top w:val="single" w:sz="6" w:space="0" w:color="CCCCCC"/>
              <w:left w:val="single" w:sz="6" w:space="0" w:color="CCCCCC"/>
              <w:bottom w:val="single" w:sz="6" w:space="0" w:color="CCCCCC"/>
              <w:right w:val="single" w:sz="6" w:space="0" w:color="CCCCCC"/>
            </w:tcBorders>
            <w:shd w:color="auto" w:fill="FFFFFF" w:val="clear"/>
          </w:tcPr>
          <w:p>
            <w:pPr>
              <w:pStyle w:val="Normal"/>
              <w:widowControl w:val="false"/>
              <w:rPr>
                <w:rFonts w:eastAsia="Times New Roman"/>
              </w:rPr>
            </w:pPr>
            <w:r>
              <w:rPr>
                <w:rFonts w:eastAsia="Times New Roman"/>
              </w:rPr>
              <w:t>Novo Sistema de Cadastro EBAC-Shop</w:t>
            </w:r>
          </w:p>
        </w:tc>
      </w:tr>
    </w:tbl>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rFonts w:eastAsia="Times New Roman"/>
        </w:rPr>
      </w:pPr>
      <w:r>
        <w:rPr>
          <w:rFonts w:eastAsia="Times New Roman"/>
        </w:rPr>
      </w:r>
    </w:p>
    <w:tbl>
      <w:tblPr>
        <w:tblW w:w="5000" w:type="pct"/>
        <w:jc w:val="left"/>
        <w:tblInd w:w="0" w:type="dxa"/>
        <w:tblLayout w:type="fixed"/>
        <w:tblCellMar>
          <w:top w:w="30" w:type="dxa"/>
          <w:left w:w="30" w:type="dxa"/>
          <w:bottom w:w="30" w:type="dxa"/>
          <w:right w:w="30" w:type="dxa"/>
        </w:tblCellMar>
        <w:tblLook w:firstRow="1" w:noVBand="1" w:lastRow="0" w:firstColumn="1" w:lastColumn="0" w:noHBand="0" w:val="04a0"/>
      </w:tblPr>
      <w:tblGrid>
        <w:gridCol w:w="1699"/>
        <w:gridCol w:w="6804"/>
      </w:tblGrid>
      <w:tr>
        <w:trPr/>
        <w:tc>
          <w:tcPr>
            <w:tcW w:w="1699" w:type="dxa"/>
            <w:tcBorders>
              <w:top w:val="single" w:sz="6" w:space="0" w:color="CCCCCC"/>
              <w:left w:val="single" w:sz="6" w:space="0" w:color="CCCCCC"/>
              <w:bottom w:val="single" w:sz="6" w:space="0" w:color="CCCCCC"/>
              <w:right w:val="single" w:sz="6" w:space="0" w:color="CCCCCC"/>
            </w:tcBorders>
            <w:shd w:color="auto" w:fill="F0F0F0" w:val="clear"/>
          </w:tcPr>
          <w:p>
            <w:pPr>
              <w:pStyle w:val="Normal"/>
              <w:widowControl w:val="false"/>
              <w:rPr>
                <w:rFonts w:eastAsia="Times New Roman"/>
                <w:b/>
                <w:bCs/>
              </w:rPr>
            </w:pPr>
            <w:r>
              <w:rPr>
                <w:rFonts w:eastAsia="Times New Roman"/>
                <w:b/>
                <w:bCs/>
              </w:rPr>
              <w:t>Caso de uso:</w:t>
            </w:r>
          </w:p>
        </w:tc>
        <w:tc>
          <w:tcPr>
            <w:tcW w:w="6804" w:type="dxa"/>
            <w:tcBorders>
              <w:top w:val="single" w:sz="6" w:space="0" w:color="CCCCCC"/>
              <w:left w:val="single" w:sz="6" w:space="0" w:color="CCCCCC"/>
              <w:bottom w:val="single" w:sz="6" w:space="0" w:color="CCCCCC"/>
              <w:right w:val="single" w:sz="6" w:space="0" w:color="CCCCCC"/>
            </w:tcBorders>
            <w:shd w:color="auto" w:fill="FFFFFF" w:val="clear"/>
          </w:tcPr>
          <w:p>
            <w:pPr>
              <w:pStyle w:val="Normal"/>
              <w:widowControl w:val="false"/>
              <w:rPr>
                <w:rFonts w:eastAsia="Times New Roman"/>
              </w:rPr>
            </w:pPr>
            <w:r>
              <w:rPr>
                <w:rFonts w:eastAsia="Times New Roman"/>
              </w:rPr>
              <w:t>Cadastro de produtos</w:t>
            </w:r>
          </w:p>
        </w:tc>
      </w:tr>
      <w:tr>
        <w:trPr/>
        <w:tc>
          <w:tcPr>
            <w:tcW w:w="1699" w:type="dxa"/>
            <w:tcBorders>
              <w:top w:val="single" w:sz="6" w:space="0" w:color="CCCCCC"/>
              <w:left w:val="single" w:sz="6" w:space="0" w:color="CCCCCC"/>
              <w:bottom w:val="single" w:sz="6" w:space="0" w:color="CCCCCC"/>
              <w:right w:val="single" w:sz="6" w:space="0" w:color="CCCCCC"/>
            </w:tcBorders>
            <w:shd w:color="auto" w:fill="F0F0F0" w:val="clear"/>
          </w:tcPr>
          <w:p>
            <w:pPr>
              <w:pStyle w:val="Normal"/>
              <w:widowControl w:val="false"/>
              <w:rPr>
                <w:rFonts w:eastAsia="Times New Roman"/>
                <w:b/>
                <w:bCs/>
              </w:rPr>
            </w:pPr>
            <w:r>
              <w:rPr>
                <w:rFonts w:eastAsia="Times New Roman"/>
                <w:b/>
                <w:bCs/>
              </w:rPr>
              <w:t>Objetivo:</w:t>
            </w:r>
          </w:p>
        </w:tc>
        <w:tc>
          <w:tcPr>
            <w:tcW w:w="6804" w:type="dxa"/>
            <w:tcBorders>
              <w:top w:val="single" w:sz="6" w:space="0" w:color="CCCCCC"/>
              <w:left w:val="single" w:sz="6" w:space="0" w:color="CCCCCC"/>
              <w:bottom w:val="single" w:sz="6" w:space="0" w:color="CCCCCC"/>
              <w:right w:val="single" w:sz="6" w:space="0" w:color="CCCCCC"/>
            </w:tcBorders>
            <w:shd w:color="auto" w:fill="FFFFFF" w:val="clear"/>
          </w:tcPr>
          <w:p>
            <w:pPr>
              <w:pStyle w:val="Normal"/>
              <w:widowControl w:val="false"/>
              <w:rPr>
                <w:rFonts w:eastAsia="Times New Roman"/>
              </w:rPr>
            </w:pPr>
            <w:r>
              <w:rPr>
                <w:rFonts w:eastAsia="Times New Roman"/>
              </w:rPr>
              <w:t>Troca do sistema de cadastro de produtos na Ebac-Shop.</w:t>
            </w:r>
          </w:p>
        </w:tc>
      </w:tr>
      <w:tr>
        <w:trPr/>
        <w:tc>
          <w:tcPr>
            <w:tcW w:w="1699" w:type="dxa"/>
            <w:tcBorders>
              <w:top w:val="single" w:sz="6" w:space="0" w:color="CCCCCC"/>
              <w:left w:val="single" w:sz="6" w:space="0" w:color="CCCCCC"/>
              <w:bottom w:val="single" w:sz="6" w:space="0" w:color="CCCCCC"/>
              <w:right w:val="single" w:sz="6" w:space="0" w:color="CCCCCC"/>
            </w:tcBorders>
            <w:shd w:color="auto" w:fill="F0F0F0" w:val="clear"/>
          </w:tcPr>
          <w:p>
            <w:pPr>
              <w:pStyle w:val="Normal"/>
              <w:widowControl w:val="false"/>
              <w:rPr>
                <w:rFonts w:eastAsia="Times New Roman"/>
                <w:b/>
                <w:bCs/>
              </w:rPr>
            </w:pPr>
            <w:r>
              <w:rPr>
                <w:rFonts w:eastAsia="Times New Roman"/>
                <w:b/>
                <w:bCs/>
              </w:rPr>
              <w:t>Atores:</w:t>
            </w:r>
          </w:p>
        </w:tc>
        <w:tc>
          <w:tcPr>
            <w:tcW w:w="6804" w:type="dxa"/>
            <w:tcBorders>
              <w:top w:val="single" w:sz="6" w:space="0" w:color="CCCCCC"/>
              <w:left w:val="single" w:sz="6" w:space="0" w:color="CCCCCC"/>
              <w:bottom w:val="single" w:sz="6" w:space="0" w:color="CCCCCC"/>
              <w:right w:val="single" w:sz="6" w:space="0" w:color="CCCCCC"/>
            </w:tcBorders>
            <w:shd w:color="auto" w:fill="FFFFFF" w:val="clear"/>
          </w:tcPr>
          <w:p>
            <w:pPr>
              <w:pStyle w:val="Normal"/>
              <w:widowControl w:val="false"/>
              <w:rPr>
                <w:rFonts w:eastAsia="Times New Roman"/>
              </w:rPr>
            </w:pPr>
            <w:r>
              <w:rPr>
                <w:rFonts w:eastAsia="Times New Roman"/>
              </w:rPr>
              <w:t>Administrador / Sistema</w:t>
            </w:r>
          </w:p>
        </w:tc>
      </w:tr>
    </w:tbl>
    <w:p>
      <w:pPr>
        <w:pStyle w:val="Normal"/>
        <w:rPr>
          <w:rFonts w:eastAsia="Times New Roman"/>
        </w:rPr>
      </w:pPr>
      <w:r>
        <w:rPr>
          <w:rFonts w:eastAsia="Times New Roman"/>
        </w:rPr>
      </w:r>
    </w:p>
    <w:p>
      <w:pPr>
        <w:pStyle w:val="Normal"/>
        <w:rPr>
          <w:rFonts w:eastAsia="Times New Roman"/>
        </w:rPr>
      </w:pPr>
      <w:r>
        <w:rPr>
          <w:rFonts w:eastAsia="Times New Roman"/>
        </w:rPr>
      </w:r>
    </w:p>
    <w:tbl>
      <w:tblPr>
        <w:tblW w:w="5000" w:type="pct"/>
        <w:jc w:val="center"/>
        <w:tblInd w:w="0" w:type="dxa"/>
        <w:tblLayout w:type="fixed"/>
        <w:tblCellMar>
          <w:top w:w="40" w:type="dxa"/>
          <w:left w:w="40" w:type="dxa"/>
          <w:bottom w:w="40" w:type="dxa"/>
          <w:right w:w="40" w:type="dxa"/>
        </w:tblCellMar>
        <w:tblLook w:firstRow="1" w:noVBand="1" w:lastRow="0" w:firstColumn="1" w:lastColumn="0" w:noHBand="0" w:val="04a0"/>
      </w:tblPr>
      <w:tblGrid>
        <w:gridCol w:w="2051"/>
        <w:gridCol w:w="6452"/>
      </w:tblGrid>
      <w:tr>
        <w:trPr/>
        <w:tc>
          <w:tcPr>
            <w:tcW w:w="2051" w:type="dxa"/>
            <w:tcBorders/>
            <w:shd w:color="auto" w:fill="BBBBBB" w:val="clear"/>
            <w:vAlign w:val="center"/>
          </w:tcPr>
          <w:p>
            <w:pPr>
              <w:pStyle w:val="Normal"/>
              <w:widowControl w:val="false"/>
              <w:jc w:val="center"/>
              <w:rPr>
                <w:rFonts w:eastAsia="Times New Roman"/>
              </w:rPr>
            </w:pPr>
            <w:r>
              <w:rPr>
                <w:rFonts w:eastAsia="Times New Roman"/>
              </w:rPr>
              <w:t> </w:t>
            </w:r>
            <w:r>
              <w:rPr>
                <w:rFonts w:eastAsia="Times New Roman"/>
                <w:b/>
                <w:bCs/>
                <w:color w:val="FFFFFF"/>
              </w:rPr>
              <w:t>Regras de negócio</w:t>
            </w:r>
            <w:r>
              <w:rPr>
                <w:rFonts w:eastAsia="Times New Roman"/>
              </w:rPr>
              <w:t xml:space="preserve">  </w:t>
            </w:r>
          </w:p>
        </w:tc>
        <w:tc>
          <w:tcPr>
            <w:tcW w:w="6452" w:type="dxa"/>
            <w:tcBorders/>
            <w:vAlign w:val="center"/>
          </w:tcPr>
          <w:p>
            <w:pPr>
              <w:pStyle w:val="Normal"/>
              <w:widowControl w:val="false"/>
              <w:rPr>
                <w:rFonts w:eastAsia="Times New Roman"/>
              </w:rPr>
            </w:pPr>
            <w:r>
              <w:rPr>
                <w:rFonts w:eastAsia="Times New Roman"/>
              </w:rPr>
              <w:t> </w:t>
            </w:r>
          </w:p>
        </w:tc>
      </w:tr>
    </w:tbl>
    <w:p>
      <w:pPr>
        <w:pStyle w:val="Normal"/>
        <w:rPr>
          <w:rFonts w:eastAsia="Times New Roman"/>
          <w:vanish/>
        </w:rPr>
      </w:pPr>
      <w:r>
        <w:rPr>
          <w:rFonts w:eastAsia="Times New Roman"/>
          <w:vanish/>
        </w:rPr>
      </w:r>
    </w:p>
    <w:tbl>
      <w:tblPr>
        <w:tblW w:w="5000" w:type="pct"/>
        <w:jc w:val="left"/>
        <w:tblInd w:w="0" w:type="dxa"/>
        <w:tblLayout w:type="fixed"/>
        <w:tblCellMar>
          <w:top w:w="30" w:type="dxa"/>
          <w:left w:w="30" w:type="dxa"/>
          <w:bottom w:w="30" w:type="dxa"/>
          <w:right w:w="30" w:type="dxa"/>
        </w:tblCellMar>
        <w:tblLook w:firstRow="1" w:noVBand="1" w:lastRow="0" w:firstColumn="1" w:lastColumn="0" w:noHBand="0" w:val="04a0"/>
      </w:tblPr>
      <w:tblGrid>
        <w:gridCol w:w="8504"/>
      </w:tblGrid>
      <w:tr>
        <w:trPr/>
        <w:tc>
          <w:tcPr>
            <w:tcW w:w="8504" w:type="dxa"/>
            <w:tcBorders>
              <w:top w:val="single" w:sz="6" w:space="0" w:color="CCCCCC"/>
              <w:left w:val="single" w:sz="6" w:space="0" w:color="CCCCCC"/>
              <w:bottom w:val="single" w:sz="6" w:space="0" w:color="CCCCCC"/>
              <w:right w:val="single" w:sz="6" w:space="0" w:color="CCCCCC"/>
            </w:tcBorders>
            <w:vAlign w:val="center"/>
          </w:tcPr>
          <w:p>
            <w:pPr>
              <w:pStyle w:val="Heading3"/>
              <w:widowControl w:val="false"/>
              <w:spacing w:before="0" w:after="280"/>
              <w:rPr>
                <w:b w:val="false"/>
                <w:bCs w:val="false"/>
                <w:sz w:val="24"/>
                <w:szCs w:val="24"/>
              </w:rPr>
            </w:pPr>
            <w:bookmarkStart w:id="0" w:name="Bookmark"/>
            <w:r>
              <w:rPr>
                <w:sz w:val="24"/>
                <w:szCs w:val="24"/>
              </w:rPr>
              <w:t>RN01:</w:t>
            </w:r>
            <w:r>
              <w:rPr>
                <w:b w:val="false"/>
                <w:bCs w:val="false"/>
                <w:sz w:val="24"/>
                <w:szCs w:val="24"/>
              </w:rPr>
              <w:t xml:space="preserve"> Os valores dos produtos devem estar entre R$50,00 e R$150,00;</w:t>
            </w:r>
          </w:p>
          <w:p>
            <w:pPr>
              <w:pStyle w:val="Heading3"/>
              <w:widowControl w:val="false"/>
              <w:spacing w:before="280" w:after="280"/>
              <w:rPr>
                <w:b w:val="false"/>
                <w:bCs w:val="false"/>
                <w:sz w:val="24"/>
                <w:szCs w:val="24"/>
              </w:rPr>
            </w:pPr>
            <w:r>
              <w:rPr>
                <w:sz w:val="24"/>
                <w:szCs w:val="24"/>
              </w:rPr>
              <w:t>RN02:</w:t>
            </w:r>
            <w:r>
              <w:rPr>
                <w:b w:val="false"/>
                <w:bCs w:val="false"/>
                <w:sz w:val="24"/>
                <w:szCs w:val="24"/>
              </w:rPr>
              <w:t xml:space="preserve"> Produtos iguais já cadastrados há mais de 90 dias devem ser renovados;</w:t>
            </w:r>
          </w:p>
          <w:p>
            <w:pPr>
              <w:pStyle w:val="Heading3"/>
              <w:widowControl w:val="false"/>
              <w:spacing w:before="280" w:after="280"/>
              <w:rPr>
                <w:b w:val="false"/>
                <w:bCs w:val="false"/>
                <w:sz w:val="24"/>
                <w:szCs w:val="24"/>
              </w:rPr>
            </w:pPr>
            <w:r>
              <w:rPr>
                <w:sz w:val="24"/>
                <w:szCs w:val="24"/>
              </w:rPr>
              <w:t>RN03:</w:t>
            </w:r>
            <w:r>
              <w:rPr>
                <w:b w:val="false"/>
                <w:bCs w:val="false"/>
                <w:sz w:val="24"/>
                <w:szCs w:val="24"/>
              </w:rPr>
              <w:t xml:space="preserve"> Permitir cadastro máximo de 150 itens por vez;</w:t>
            </w:r>
          </w:p>
          <w:p>
            <w:pPr>
              <w:pStyle w:val="Heading3"/>
              <w:widowControl w:val="false"/>
              <w:spacing w:before="280" w:after="280"/>
              <w:rPr>
                <w:b w:val="false"/>
                <w:bCs w:val="false"/>
                <w:sz w:val="24"/>
                <w:szCs w:val="24"/>
              </w:rPr>
            </w:pPr>
            <w:r>
              <w:rPr>
                <w:sz w:val="24"/>
                <w:szCs w:val="24"/>
              </w:rPr>
              <w:t>RN04:</w:t>
            </w:r>
            <w:r>
              <w:rPr>
                <w:b w:val="false"/>
                <w:bCs w:val="false"/>
                <w:sz w:val="24"/>
                <w:szCs w:val="24"/>
              </w:rPr>
              <w:t xml:space="preserve"> Somente administrador autenticado pode fazer cadastro de produtos;</w:t>
            </w:r>
            <w:bookmarkEnd w:id="0"/>
          </w:p>
          <w:p>
            <w:pPr>
              <w:pStyle w:val="NormalWeb"/>
              <w:widowControl w:val="false"/>
              <w:spacing w:before="280" w:after="0"/>
              <w:rPr/>
            </w:pPr>
            <w:r>
              <w:rPr/>
            </w:r>
          </w:p>
        </w:tc>
      </w:tr>
    </w:tbl>
    <w:p>
      <w:pPr>
        <w:pStyle w:val="Normal"/>
        <w:rPr>
          <w:rFonts w:eastAsia="Times New Roman"/>
        </w:rPr>
      </w:pPr>
      <w:r>
        <w:rPr>
          <w:rFonts w:eastAsia="Times New Roman"/>
        </w:rPr>
      </w:r>
    </w:p>
    <w:p>
      <w:pPr>
        <w:pStyle w:val="Normal"/>
        <w:rPr>
          <w:rFonts w:eastAsia="Times New Roman"/>
        </w:rPr>
      </w:pPr>
      <w:r>
        <w:rPr>
          <w:rFonts w:eastAsia="Times New Roman"/>
        </w:rPr>
      </w:r>
    </w:p>
    <w:tbl>
      <w:tblPr>
        <w:tblW w:w="5000" w:type="pct"/>
        <w:jc w:val="center"/>
        <w:tblInd w:w="0" w:type="dxa"/>
        <w:tblLayout w:type="fixed"/>
        <w:tblCellMar>
          <w:top w:w="40" w:type="dxa"/>
          <w:left w:w="40" w:type="dxa"/>
          <w:bottom w:w="40" w:type="dxa"/>
          <w:right w:w="40" w:type="dxa"/>
        </w:tblCellMar>
        <w:tblLook w:firstRow="1" w:noVBand="1" w:lastRow="0" w:firstColumn="1" w:lastColumn="0" w:noHBand="0" w:val="04a0"/>
      </w:tblPr>
      <w:tblGrid>
        <w:gridCol w:w="1932"/>
        <w:gridCol w:w="6571"/>
      </w:tblGrid>
      <w:tr>
        <w:trPr/>
        <w:tc>
          <w:tcPr>
            <w:tcW w:w="1932" w:type="dxa"/>
            <w:tcBorders/>
            <w:shd w:color="auto" w:fill="BBBBBB" w:val="clear"/>
            <w:vAlign w:val="center"/>
          </w:tcPr>
          <w:p>
            <w:pPr>
              <w:pStyle w:val="Normal"/>
              <w:widowControl w:val="false"/>
              <w:jc w:val="center"/>
              <w:rPr>
                <w:rFonts w:eastAsia="Times New Roman"/>
              </w:rPr>
            </w:pPr>
            <w:r>
              <w:rPr>
                <w:rFonts w:eastAsia="Times New Roman"/>
              </w:rPr>
              <w:t> </w:t>
            </w:r>
            <w:r>
              <w:rPr>
                <w:rFonts w:eastAsia="Times New Roman"/>
              </w:rPr>
              <w:t xml:space="preserve">Cenários de testes  </w:t>
            </w:r>
          </w:p>
        </w:tc>
        <w:tc>
          <w:tcPr>
            <w:tcW w:w="6571" w:type="dxa"/>
            <w:tcBorders/>
            <w:vAlign w:val="center"/>
          </w:tcPr>
          <w:p>
            <w:pPr>
              <w:pStyle w:val="Normal"/>
              <w:widowControl w:val="false"/>
              <w:rPr>
                <w:rFonts w:eastAsia="Times New Roman"/>
              </w:rPr>
            </w:pPr>
            <w:r>
              <w:rPr>
                <w:rFonts w:eastAsia="Times New Roman"/>
              </w:rPr>
              <w:t> </w:t>
            </w:r>
          </w:p>
        </w:tc>
      </w:tr>
    </w:tbl>
    <w:p>
      <w:pPr>
        <w:pStyle w:val="Normal"/>
        <w:rPr>
          <w:rFonts w:eastAsia="Times New Roman"/>
          <w:vanish/>
        </w:rPr>
      </w:pPr>
      <w:r>
        <w:rPr>
          <w:rFonts w:eastAsia="Times New Roman"/>
          <w:vanish/>
        </w:rPr>
      </w:r>
    </w:p>
    <w:tbl>
      <w:tblPr>
        <w:tblStyle w:val="Tabelacomgrade"/>
        <w:tblW w:w="86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9"/>
        <w:gridCol w:w="896"/>
        <w:gridCol w:w="5774"/>
        <w:gridCol w:w="1132"/>
      </w:tblGrid>
      <w:tr>
        <w:trPr/>
        <w:tc>
          <w:tcPr>
            <w:tcW w:w="839" w:type="dxa"/>
            <w:tcBorders/>
            <w:shd w:color="auto" w:fill="BFBFBF" w:themeFill="background1" w:themeFillShade="bf" w:val="clear"/>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ID</w:t>
            </w:r>
          </w:p>
        </w:tc>
        <w:tc>
          <w:tcPr>
            <w:tcW w:w="896" w:type="dxa"/>
            <w:tcBorders/>
            <w:shd w:color="auto" w:fill="BFBFBF" w:themeFill="background1" w:themeFillShade="bf" w:val="clear"/>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RN</w:t>
            </w:r>
          </w:p>
        </w:tc>
        <w:tc>
          <w:tcPr>
            <w:tcW w:w="5774" w:type="dxa"/>
            <w:tcBorders/>
            <w:shd w:color="auto" w:fill="BFBFBF" w:themeFill="background1" w:themeFillShade="bf" w:val="clear"/>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Título</w:t>
            </w:r>
          </w:p>
        </w:tc>
        <w:tc>
          <w:tcPr>
            <w:tcW w:w="1132" w:type="dxa"/>
            <w:tcBorders/>
            <w:shd w:color="auto" w:fill="BFBFBF" w:themeFill="background1" w:themeFillShade="bf" w:val="clear"/>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Saída</w:t>
            </w:r>
          </w:p>
        </w:tc>
      </w:tr>
      <w:tr>
        <w:trPr/>
        <w:tc>
          <w:tcPr>
            <w:tcW w:w="839" w:type="dxa"/>
            <w:tcBorders/>
          </w:tcPr>
          <w:p>
            <w:pPr>
              <w:pStyle w:val="Normal"/>
              <w:widowControl/>
              <w:suppressAutoHyphens w:val="true"/>
              <w:spacing w:before="0" w:after="0"/>
              <w:jc w:val="left"/>
              <w:rPr>
                <w:rFonts w:ascii="Times New Roman" w:hAnsi="Times New Roman" w:eastAsia="" w:cs="Times New Roman" w:eastAsiaTheme="minorEastAsia"/>
                <w:kern w:val="0"/>
                <w:highlight w:val="none"/>
                <w:shd w:fill="auto" w:val="clear"/>
                <w:lang w:val="pt-BR" w:eastAsia="pt-BR" w:bidi="ar-SA"/>
              </w:rPr>
            </w:pPr>
            <w:r>
              <w:rPr>
                <w:rFonts w:eastAsia="Times New Roman" w:cs="Times New Roman"/>
                <w:kern w:val="0"/>
                <w:shd w:fill="auto" w:val="clear"/>
                <w:lang w:val="pt-BR" w:eastAsia="pt-BR" w:bidi="ar-SA"/>
              </w:rPr>
              <w:t>CT01</w:t>
            </w:r>
          </w:p>
        </w:tc>
        <w:tc>
          <w:tcPr>
            <w:tcW w:w="896" w:type="dxa"/>
            <w:tcBorders/>
          </w:tcPr>
          <w:p>
            <w:pPr>
              <w:pStyle w:val="Normal"/>
              <w:widowControl/>
              <w:suppressAutoHyphens w:val="true"/>
              <w:spacing w:before="0" w:after="0"/>
              <w:jc w:val="left"/>
              <w:rPr>
                <w:rFonts w:ascii="Times New Roman" w:hAnsi="Times New Roman" w:eastAsia="" w:cs="Times New Roman" w:eastAsiaTheme="minorEastAsia"/>
                <w:kern w:val="0"/>
                <w:highlight w:val="none"/>
                <w:shd w:fill="auto" w:val="clear"/>
                <w:lang w:val="pt-BR" w:eastAsia="pt-BR" w:bidi="ar-SA"/>
              </w:rPr>
            </w:pPr>
            <w:r>
              <w:rPr>
                <w:rFonts w:eastAsia="Times New Roman" w:cs="Times New Roman"/>
                <w:kern w:val="0"/>
                <w:shd w:fill="auto" w:val="clear"/>
                <w:lang w:val="pt-BR" w:eastAsia="pt-BR" w:bidi="ar-SA"/>
              </w:rPr>
              <w:t>RN01</w:t>
            </w:r>
          </w:p>
        </w:tc>
        <w:tc>
          <w:tcPr>
            <w:tcW w:w="5774" w:type="dxa"/>
            <w:tcBorders/>
          </w:tcPr>
          <w:p>
            <w:pPr>
              <w:pStyle w:val="Normal"/>
              <w:widowControl/>
              <w:suppressAutoHyphens w:val="true"/>
              <w:spacing w:before="0" w:after="0"/>
              <w:jc w:val="left"/>
              <w:rPr>
                <w:rFonts w:ascii="Times New Roman" w:hAnsi="Times New Roman" w:eastAsia="" w:cs="Times New Roman" w:eastAsiaTheme="minorEastAsia"/>
                <w:kern w:val="0"/>
                <w:highlight w:val="none"/>
                <w:shd w:fill="auto" w:val="clear"/>
                <w:lang w:val="pt-BR" w:eastAsia="pt-BR" w:bidi="ar-SA"/>
              </w:rPr>
            </w:pPr>
            <w:r>
              <w:rPr>
                <w:rFonts w:eastAsia="Times New Roman" w:cs="Times New Roman"/>
                <w:kern w:val="0"/>
                <w:shd w:fill="auto" w:val="clear"/>
                <w:lang w:val="pt-BR" w:eastAsia="pt-BR" w:bidi="ar-SA"/>
              </w:rPr>
              <w:t>Cadastro de produtos com valores maiores que R$150,00</w:t>
            </w:r>
          </w:p>
        </w:tc>
        <w:tc>
          <w:tcPr>
            <w:tcW w:w="1132" w:type="dxa"/>
            <w:tcBorders/>
          </w:tcPr>
          <w:p>
            <w:pPr>
              <w:pStyle w:val="Normal"/>
              <w:widowControl/>
              <w:suppressAutoHyphens w:val="true"/>
              <w:spacing w:before="0" w:after="0"/>
              <w:jc w:val="left"/>
              <w:rPr>
                <w:rFonts w:ascii="Times New Roman" w:hAnsi="Times New Roman" w:eastAsia="" w:cs="Times New Roman" w:eastAsiaTheme="minorEastAsia"/>
                <w:kern w:val="0"/>
                <w:highlight w:val="none"/>
                <w:shd w:fill="auto" w:val="clear"/>
                <w:lang w:val="pt-BR" w:eastAsia="pt-BR" w:bidi="ar-SA"/>
              </w:rPr>
            </w:pPr>
            <w:r>
              <w:rPr>
                <w:rFonts w:eastAsia="Times New Roman" w:cs="Times New Roman"/>
                <w:kern w:val="0"/>
                <w:shd w:fill="auto" w:val="clear"/>
                <w:lang w:val="pt-BR" w:eastAsia="pt-BR" w:bidi="ar-SA"/>
              </w:rPr>
              <w:t>inválida</w:t>
            </w:r>
          </w:p>
        </w:tc>
      </w:tr>
      <w:tr>
        <w:trPr/>
        <w:tc>
          <w:tcPr>
            <w:tcW w:w="839"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CT02</w:t>
            </w:r>
          </w:p>
        </w:tc>
        <w:tc>
          <w:tcPr>
            <w:tcW w:w="896"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RN01</w:t>
            </w:r>
          </w:p>
        </w:tc>
        <w:tc>
          <w:tcPr>
            <w:tcW w:w="5774"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Cadastro de produtos com valores menores que R$50,00</w:t>
            </w:r>
          </w:p>
        </w:tc>
        <w:tc>
          <w:tcPr>
            <w:tcW w:w="1132"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inválida</w:t>
            </w:r>
          </w:p>
        </w:tc>
      </w:tr>
      <w:tr>
        <w:trPr/>
        <w:tc>
          <w:tcPr>
            <w:tcW w:w="839"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CT03</w:t>
            </w:r>
          </w:p>
        </w:tc>
        <w:tc>
          <w:tcPr>
            <w:tcW w:w="896"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RN01</w:t>
            </w:r>
          </w:p>
        </w:tc>
        <w:tc>
          <w:tcPr>
            <w:tcW w:w="5774"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Cadastro de produtos com valor maior que R$50 e menor que R$150</w:t>
            </w:r>
          </w:p>
        </w:tc>
        <w:tc>
          <w:tcPr>
            <w:tcW w:w="1132"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válida</w:t>
            </w:r>
          </w:p>
        </w:tc>
      </w:tr>
      <w:tr>
        <w:trPr/>
        <w:tc>
          <w:tcPr>
            <w:tcW w:w="839"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CT04</w:t>
            </w:r>
          </w:p>
        </w:tc>
        <w:tc>
          <w:tcPr>
            <w:tcW w:w="896"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RN02</w:t>
            </w:r>
          </w:p>
        </w:tc>
        <w:tc>
          <w:tcPr>
            <w:tcW w:w="5774"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Produtos iguais cadastrados há menos de 50 dias</w:t>
            </w:r>
          </w:p>
        </w:tc>
        <w:tc>
          <w:tcPr>
            <w:tcW w:w="1132"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inválida</w:t>
            </w:r>
          </w:p>
        </w:tc>
      </w:tr>
      <w:tr>
        <w:trPr/>
        <w:tc>
          <w:tcPr>
            <w:tcW w:w="839"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CT05</w:t>
            </w:r>
          </w:p>
        </w:tc>
        <w:tc>
          <w:tcPr>
            <w:tcW w:w="896"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RN02</w:t>
            </w:r>
          </w:p>
        </w:tc>
        <w:tc>
          <w:tcPr>
            <w:tcW w:w="5774"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Produtos iguais cadastrados há 89 dias</w:t>
            </w:r>
          </w:p>
        </w:tc>
        <w:tc>
          <w:tcPr>
            <w:tcW w:w="1132"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inválida</w:t>
            </w:r>
          </w:p>
        </w:tc>
      </w:tr>
      <w:tr>
        <w:trPr/>
        <w:tc>
          <w:tcPr>
            <w:tcW w:w="839"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CT06</w:t>
            </w:r>
          </w:p>
        </w:tc>
        <w:tc>
          <w:tcPr>
            <w:tcW w:w="896"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RN02</w:t>
            </w:r>
          </w:p>
        </w:tc>
        <w:tc>
          <w:tcPr>
            <w:tcW w:w="5774"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Produtos iguais cadastrados há 91 dias</w:t>
            </w:r>
          </w:p>
        </w:tc>
        <w:tc>
          <w:tcPr>
            <w:tcW w:w="1132"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válida</w:t>
            </w:r>
          </w:p>
        </w:tc>
      </w:tr>
      <w:tr>
        <w:trPr/>
        <w:tc>
          <w:tcPr>
            <w:tcW w:w="839"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CT07</w:t>
            </w:r>
          </w:p>
        </w:tc>
        <w:tc>
          <w:tcPr>
            <w:tcW w:w="896"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RN03</w:t>
            </w:r>
          </w:p>
        </w:tc>
        <w:tc>
          <w:tcPr>
            <w:tcW w:w="5774"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Cadastro de 149 itens por vez</w:t>
            </w:r>
          </w:p>
        </w:tc>
        <w:tc>
          <w:tcPr>
            <w:tcW w:w="1132"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válida</w:t>
            </w:r>
          </w:p>
        </w:tc>
      </w:tr>
      <w:tr>
        <w:trPr/>
        <w:tc>
          <w:tcPr>
            <w:tcW w:w="839"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CT08</w:t>
            </w:r>
          </w:p>
        </w:tc>
        <w:tc>
          <w:tcPr>
            <w:tcW w:w="896"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RN03</w:t>
            </w:r>
          </w:p>
        </w:tc>
        <w:tc>
          <w:tcPr>
            <w:tcW w:w="5774"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Cadastro de 200 itens por vez</w:t>
            </w:r>
          </w:p>
        </w:tc>
        <w:tc>
          <w:tcPr>
            <w:tcW w:w="1132"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inváida</w:t>
            </w:r>
          </w:p>
        </w:tc>
      </w:tr>
      <w:tr>
        <w:trPr/>
        <w:tc>
          <w:tcPr>
            <w:tcW w:w="839"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CT09</w:t>
            </w:r>
          </w:p>
        </w:tc>
        <w:tc>
          <w:tcPr>
            <w:tcW w:w="896"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RN04</w:t>
            </w:r>
          </w:p>
        </w:tc>
        <w:tc>
          <w:tcPr>
            <w:tcW w:w="5774"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Administrador autenticado?</w:t>
            </w:r>
          </w:p>
        </w:tc>
        <w:tc>
          <w:tcPr>
            <w:tcW w:w="1132"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válida</w:t>
            </w:r>
          </w:p>
        </w:tc>
      </w:tr>
      <w:tr>
        <w:trPr/>
        <w:tc>
          <w:tcPr>
            <w:tcW w:w="839"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CT10</w:t>
            </w:r>
          </w:p>
        </w:tc>
        <w:tc>
          <w:tcPr>
            <w:tcW w:w="896"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RN04</w:t>
            </w:r>
          </w:p>
        </w:tc>
        <w:tc>
          <w:tcPr>
            <w:tcW w:w="5774"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Administrador não autenticado?</w:t>
            </w:r>
          </w:p>
        </w:tc>
        <w:tc>
          <w:tcPr>
            <w:tcW w:w="1132"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inválida</w:t>
            </w:r>
          </w:p>
        </w:tc>
      </w:tr>
      <w:tr>
        <w:trPr/>
        <w:tc>
          <w:tcPr>
            <w:tcW w:w="839"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CT11</w:t>
            </w:r>
          </w:p>
        </w:tc>
        <w:tc>
          <w:tcPr>
            <w:tcW w:w="896"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RN01</w:t>
            </w:r>
          </w:p>
        </w:tc>
        <w:tc>
          <w:tcPr>
            <w:tcW w:w="5774"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Cadastro de produto com valor de R$150,01</w:t>
            </w:r>
          </w:p>
        </w:tc>
        <w:tc>
          <w:tcPr>
            <w:tcW w:w="1132" w:type="dxa"/>
            <w:tcBorders/>
          </w:tcPr>
          <w:p>
            <w:pPr>
              <w:pStyle w:val="Normal"/>
              <w:widowControl/>
              <w:suppressAutoHyphens w:val="true"/>
              <w:spacing w:before="0" w:after="0"/>
              <w:jc w:val="left"/>
              <w:rPr>
                <w:rFonts w:eastAsia="Times New Roman"/>
              </w:rPr>
            </w:pPr>
            <w:r>
              <w:rPr>
                <w:rFonts w:eastAsia="Times New Roman" w:cs="Times New Roman"/>
                <w:kern w:val="0"/>
                <w:lang w:val="pt-BR" w:eastAsia="pt-BR" w:bidi="ar-SA"/>
              </w:rPr>
              <w:t>inválida</w:t>
            </w:r>
          </w:p>
        </w:tc>
      </w:tr>
    </w:tbl>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rFonts w:eastAsia="Times New Roman"/>
        </w:rPr>
      </w:pPr>
      <w:r>
        <w:rPr>
          <w:rFonts w:eastAsia="Times New Roman"/>
        </w:rPr>
      </w:r>
    </w:p>
    <w:tbl>
      <w:tblPr>
        <w:tblW w:w="5000" w:type="pct"/>
        <w:jc w:val="center"/>
        <w:tblInd w:w="0" w:type="dxa"/>
        <w:tblLayout w:type="fixed"/>
        <w:tblCellMar>
          <w:top w:w="40" w:type="dxa"/>
          <w:left w:w="40" w:type="dxa"/>
          <w:bottom w:w="40" w:type="dxa"/>
          <w:right w:w="40" w:type="dxa"/>
        </w:tblCellMar>
        <w:tblLook w:firstRow="1" w:noVBand="1" w:lastRow="0" w:firstColumn="1" w:lastColumn="0" w:noHBand="0" w:val="04a0"/>
      </w:tblPr>
      <w:tblGrid>
        <w:gridCol w:w="1438"/>
        <w:gridCol w:w="7065"/>
      </w:tblGrid>
      <w:tr>
        <w:trPr/>
        <w:tc>
          <w:tcPr>
            <w:tcW w:w="1438" w:type="dxa"/>
            <w:tcBorders/>
            <w:shd w:color="auto" w:fill="BBBBBB" w:val="clear"/>
            <w:vAlign w:val="center"/>
          </w:tcPr>
          <w:p>
            <w:pPr>
              <w:pStyle w:val="Normal"/>
              <w:widowControl w:val="false"/>
              <w:jc w:val="center"/>
              <w:rPr>
                <w:rFonts w:eastAsia="Times New Roman"/>
              </w:rPr>
            </w:pPr>
            <w:r>
              <w:rPr>
                <w:rFonts w:eastAsia="Times New Roman"/>
              </w:rPr>
              <w:t>Mapa de risco</w:t>
            </w:r>
          </w:p>
        </w:tc>
        <w:tc>
          <w:tcPr>
            <w:tcW w:w="7065" w:type="dxa"/>
            <w:tcBorders/>
            <w:vAlign w:val="center"/>
          </w:tcPr>
          <w:p>
            <w:pPr>
              <w:pStyle w:val="Normal"/>
              <w:widowControl w:val="false"/>
              <w:rPr>
                <w:rFonts w:eastAsia="Times New Roman"/>
              </w:rPr>
            </w:pPr>
            <w:r>
              <w:rPr>
                <w:rFonts w:eastAsia="Times New Roman"/>
              </w:rPr>
              <w:t> </w:t>
            </w:r>
          </w:p>
        </w:tc>
      </w:tr>
    </w:tbl>
    <w:p>
      <w:pPr>
        <w:pStyle w:val="Normal"/>
        <w:rPr>
          <w:rFonts w:eastAsia="Times New Roman"/>
        </w:rPr>
      </w:pPr>
      <w:r>
        <w:rPr>
          <w:rFonts w:eastAsia="Times New Roman"/>
        </w:rPr>
      </w:r>
    </w:p>
    <w:tbl>
      <w:tblPr>
        <w:tblW w:w="7832" w:type="dxa"/>
        <w:jc w:val="left"/>
        <w:tblInd w:w="528" w:type="dxa"/>
        <w:tblLayout w:type="fixed"/>
        <w:tblCellMar>
          <w:top w:w="0" w:type="dxa"/>
          <w:left w:w="70" w:type="dxa"/>
          <w:bottom w:w="0" w:type="dxa"/>
          <w:right w:w="70" w:type="dxa"/>
        </w:tblCellMar>
        <w:tblLook w:firstRow="0" w:noVBand="0" w:lastRow="0" w:firstColumn="0" w:lastColumn="0" w:noHBand="0" w:val="0000"/>
      </w:tblPr>
      <w:tblGrid>
        <w:gridCol w:w="4003"/>
        <w:gridCol w:w="3828"/>
      </w:tblGrid>
      <w:tr>
        <w:trPr>
          <w:trHeight w:val="353" w:hRule="atLeast"/>
        </w:trPr>
        <w:tc>
          <w:tcPr>
            <w:tcW w:w="4003"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rPr>
            </w:pPr>
            <w:r>
              <w:rPr>
                <w:rFonts w:eastAsia="Times New Roman"/>
              </w:rPr>
              <w:t>2. Alta probabilidade / Baixo impacto</w:t>
            </w:r>
          </w:p>
        </w:tc>
        <w:tc>
          <w:tcPr>
            <w:tcW w:w="38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Times New Roman"/>
              </w:rPr>
            </w:pPr>
            <w:r>
              <w:rPr>
                <w:rFonts w:eastAsia="Times New Roman"/>
              </w:rPr>
              <w:t>4. Alta Probabilidade / Alto impacto</w:t>
            </w:r>
          </w:p>
        </w:tc>
      </w:tr>
      <w:tr>
        <w:trPr>
          <w:trHeight w:val="2763" w:hRule="atLeast"/>
        </w:trPr>
        <w:tc>
          <w:tcPr>
            <w:tcW w:w="400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eastAsia="Times New Roman"/>
              </w:rPr>
            </w:pPr>
            <w:r>
              <w:rPr>
                <w:rFonts w:eastAsia="Times New Roman" w:cs="Times New Roman"/>
                <w:kern w:val="0"/>
                <w:lang w:val="pt-BR" w:eastAsia="pt-BR" w:bidi="ar-SA"/>
              </w:rPr>
              <w:t>CT03 - Cadastro de produtos com valor maior que R$50 e menor que R$150</w:t>
            </w:r>
          </w:p>
          <w:p>
            <w:pPr>
              <w:pStyle w:val="Normal"/>
              <w:widowControl/>
              <w:spacing w:before="0" w:after="0"/>
              <w:jc w:val="left"/>
              <w:rPr>
                <w:rFonts w:eastAsia="Times New Roman"/>
              </w:rPr>
            </w:pPr>
            <w:r>
              <w:rPr>
                <w:rFonts w:eastAsia="Times New Roman"/>
              </w:rPr>
            </w:r>
          </w:p>
          <w:p>
            <w:pPr>
              <w:pStyle w:val="Normal"/>
              <w:widowControl/>
              <w:spacing w:before="0" w:after="0"/>
              <w:jc w:val="left"/>
              <w:rPr>
                <w:rFonts w:eastAsia="Times New Roman"/>
              </w:rPr>
            </w:pPr>
            <w:r>
              <w:rPr>
                <w:rFonts w:eastAsia="Times New Roman"/>
              </w:rPr>
            </w:r>
          </w:p>
        </w:tc>
        <w:tc>
          <w:tcPr>
            <w:tcW w:w="38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before="0" w:after="0"/>
              <w:jc w:val="left"/>
              <w:rPr>
                <w:rFonts w:eastAsia="Times New Roman"/>
              </w:rPr>
            </w:pPr>
            <w:r>
              <w:rPr>
                <w:rFonts w:eastAsia="Times New Roman" w:cs="Times New Roman"/>
                <w:kern w:val="0"/>
                <w:lang w:val="pt-BR" w:eastAsia="pt-BR" w:bidi="ar-SA"/>
              </w:rPr>
              <w:t>CT09 - Administrador autenticado?</w:t>
            </w:r>
          </w:p>
          <w:p>
            <w:pPr>
              <w:pStyle w:val="Normal"/>
              <w:widowControl/>
              <w:spacing w:before="0" w:after="0"/>
              <w:jc w:val="left"/>
              <w:rPr>
                <w:rFonts w:eastAsia="Times New Roman"/>
              </w:rPr>
            </w:pPr>
            <w:r>
              <w:rPr>
                <w:rFonts w:eastAsia="Times New Roman"/>
              </w:rPr>
            </w:r>
          </w:p>
        </w:tc>
      </w:tr>
      <w:tr>
        <w:trPr>
          <w:trHeight w:val="340" w:hRule="atLeast"/>
        </w:trPr>
        <w:tc>
          <w:tcPr>
            <w:tcW w:w="40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Times New Roman"/>
              </w:rPr>
            </w:pPr>
            <w:r>
              <w:rPr>
                <w:rFonts w:eastAsia="Times New Roman"/>
              </w:rPr>
              <w:t>1. Baixa probabilidade / Baixo impacto</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rPr>
            </w:pPr>
            <w:r>
              <w:rPr>
                <w:rFonts w:eastAsia="Times New Roman"/>
              </w:rPr>
              <w:t>3. Baixa probabilidade / Alto impacto</w:t>
            </w:r>
          </w:p>
        </w:tc>
      </w:tr>
      <w:tr>
        <w:trPr>
          <w:trHeight w:val="3109" w:hRule="atLeast"/>
        </w:trPr>
        <w:tc>
          <w:tcPr>
            <w:tcW w:w="40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 w:eastAsiaTheme="minorEastAsia"/>
                <w:highlight w:val="none"/>
                <w:shd w:fill="auto" w:val="clear"/>
              </w:rPr>
            </w:pPr>
            <w:r>
              <w:rPr>
                <w:rFonts w:eastAsia="Times New Roman"/>
                <w:shd w:fill="auto" w:val="clear"/>
              </w:rPr>
              <w:t>CT01 - Cadastro de produtos com valores maiores que 150,00</w:t>
            </w:r>
          </w:p>
          <w:p>
            <w:pPr>
              <w:pStyle w:val="Normal"/>
              <w:widowControl w:val="false"/>
              <w:rPr>
                <w:rFonts w:eastAsia="" w:eastAsiaTheme="minorEastAsia"/>
                <w:highlight w:val="none"/>
                <w:shd w:fill="auto" w:val="clear"/>
              </w:rPr>
            </w:pPr>
            <w:r>
              <w:rPr>
                <w:rFonts w:eastAsia="" w:eastAsiaTheme="minorEastAsia"/>
                <w:shd w:fill="auto" w:val="clear"/>
              </w:rPr>
            </w:r>
          </w:p>
          <w:p>
            <w:pPr>
              <w:pStyle w:val="Normal"/>
              <w:widowControl/>
              <w:spacing w:before="0" w:after="0"/>
              <w:jc w:val="left"/>
              <w:rPr>
                <w:rFonts w:ascii="Times New Roman" w:hAnsi="Times New Roman" w:eastAsia="Times New Roman" w:cs="Times New Roman"/>
                <w:kern w:val="0"/>
                <w:highlight w:val="none"/>
                <w:shd w:fill="auto" w:val="clear"/>
                <w:lang w:val="pt-BR" w:eastAsia="pt-BR" w:bidi="ar-SA"/>
              </w:rPr>
            </w:pPr>
            <w:r>
              <w:rPr>
                <w:rFonts w:eastAsia="Times New Roman" w:cs="Times New Roman"/>
                <w:kern w:val="0"/>
                <w:shd w:fill="auto" w:val="clear"/>
                <w:lang w:val="pt-BR" w:eastAsia="pt-BR" w:bidi="ar-SA"/>
              </w:rPr>
              <w:t>CT02 - Cadastro de produtos com valores menores que R$50,00</w:t>
            </w:r>
          </w:p>
          <w:p>
            <w:pPr>
              <w:pStyle w:val="Normal"/>
              <w:widowControl/>
              <w:spacing w:before="0" w:after="0"/>
              <w:jc w:val="left"/>
              <w:rPr>
                <w:rFonts w:ascii="Times New Roman" w:hAnsi="Times New Roman" w:eastAsia="Times New Roman" w:cs="Times New Roman"/>
                <w:kern w:val="0"/>
                <w:highlight w:val="none"/>
                <w:shd w:fill="auto" w:val="clear"/>
                <w:lang w:val="pt-BR" w:eastAsia="pt-BR" w:bidi="ar-SA"/>
              </w:rPr>
            </w:pPr>
            <w:r>
              <w:rPr>
                <w:rFonts w:eastAsia="Times New Roman" w:cs="Times New Roman"/>
                <w:kern w:val="0"/>
                <w:shd w:fill="auto" w:val="clear"/>
                <w:lang w:val="pt-BR" w:eastAsia="pt-BR" w:bidi="ar-SA"/>
              </w:rPr>
            </w:r>
          </w:p>
          <w:p>
            <w:pPr>
              <w:pStyle w:val="Normal"/>
              <w:widowControl/>
              <w:spacing w:before="0" w:after="0"/>
              <w:jc w:val="left"/>
              <w:rPr>
                <w:rFonts w:ascii="Times New Roman" w:hAnsi="Times New Roman" w:eastAsia="Times New Roman" w:cs="Times New Roman"/>
                <w:kern w:val="0"/>
                <w:highlight w:val="none"/>
                <w:shd w:fill="auto" w:val="clear"/>
                <w:lang w:val="pt-BR" w:eastAsia="pt-BR" w:bidi="ar-SA"/>
              </w:rPr>
            </w:pPr>
            <w:r>
              <w:rPr>
                <w:rFonts w:eastAsia="Times New Roman" w:cs="Times New Roman"/>
                <w:kern w:val="0"/>
                <w:shd w:fill="auto" w:val="clear"/>
                <w:lang w:val="pt-BR" w:eastAsia="pt-BR" w:bidi="ar-SA"/>
              </w:rPr>
              <w:t>CT04 - Produtos iguais cadastrados há menos de 50 dias</w:t>
            </w:r>
          </w:p>
          <w:p>
            <w:pPr>
              <w:pStyle w:val="Normal"/>
              <w:widowControl/>
              <w:spacing w:before="0" w:after="0"/>
              <w:jc w:val="left"/>
              <w:rPr>
                <w:rFonts w:ascii="Times New Roman" w:hAnsi="Times New Roman" w:eastAsia="Times New Roman" w:cs="Times New Roman"/>
                <w:kern w:val="0"/>
                <w:highlight w:val="none"/>
                <w:shd w:fill="auto" w:val="clear"/>
                <w:lang w:val="pt-BR" w:eastAsia="pt-BR" w:bidi="ar-SA"/>
              </w:rPr>
            </w:pPr>
            <w:r>
              <w:rPr>
                <w:rFonts w:eastAsia="Times New Roman" w:cs="Times New Roman"/>
                <w:kern w:val="0"/>
                <w:shd w:fill="auto" w:val="clear"/>
                <w:lang w:val="pt-BR" w:eastAsia="pt-BR" w:bidi="ar-SA"/>
              </w:rPr>
            </w:r>
          </w:p>
          <w:p>
            <w:pPr>
              <w:pStyle w:val="Normal"/>
              <w:widowControl/>
              <w:spacing w:before="0" w:after="0"/>
              <w:jc w:val="left"/>
              <w:rPr>
                <w:rFonts w:ascii="Times New Roman" w:hAnsi="Times New Roman" w:eastAsia="Times New Roman" w:cs="Times New Roman"/>
                <w:kern w:val="0"/>
                <w:highlight w:val="none"/>
                <w:shd w:fill="auto" w:val="clear"/>
                <w:lang w:val="pt-BR" w:eastAsia="pt-BR" w:bidi="ar-SA"/>
              </w:rPr>
            </w:pPr>
            <w:r>
              <w:rPr>
                <w:rFonts w:eastAsia="Times New Roman" w:cs="Times New Roman"/>
                <w:kern w:val="0"/>
                <w:shd w:fill="auto" w:val="clear"/>
                <w:lang w:val="pt-BR" w:eastAsia="pt-BR" w:bidi="ar-SA"/>
              </w:rPr>
              <w:t>CT05 - Produtos iguais cadastrados há 89 dias</w:t>
            </w:r>
          </w:p>
          <w:p>
            <w:pPr>
              <w:pStyle w:val="Normal"/>
              <w:widowControl/>
              <w:spacing w:before="0" w:after="0"/>
              <w:jc w:val="left"/>
              <w:rPr>
                <w:rFonts w:ascii="Times New Roman" w:hAnsi="Times New Roman" w:eastAsia="Times New Roman" w:cs="Times New Roman"/>
                <w:kern w:val="0"/>
                <w:highlight w:val="none"/>
                <w:shd w:fill="auto" w:val="clear"/>
                <w:lang w:val="pt-BR" w:eastAsia="pt-BR" w:bidi="ar-SA"/>
              </w:rPr>
            </w:pPr>
            <w:r>
              <w:rPr>
                <w:rFonts w:eastAsia="Times New Roman" w:cs="Times New Roman"/>
                <w:kern w:val="0"/>
                <w:shd w:fill="auto" w:val="clear"/>
                <w:lang w:val="pt-BR" w:eastAsia="pt-BR" w:bidi="ar-SA"/>
              </w:rPr>
            </w:r>
          </w:p>
          <w:p>
            <w:pPr>
              <w:pStyle w:val="Normal"/>
              <w:widowControl/>
              <w:spacing w:before="0" w:after="0"/>
              <w:jc w:val="left"/>
              <w:rPr>
                <w:rFonts w:ascii="Times New Roman" w:hAnsi="Times New Roman" w:eastAsia="Times New Roman" w:cs="Times New Roman"/>
                <w:kern w:val="0"/>
                <w:highlight w:val="none"/>
                <w:shd w:fill="auto" w:val="clear"/>
                <w:lang w:val="pt-BR" w:eastAsia="pt-BR" w:bidi="ar-SA"/>
              </w:rPr>
            </w:pPr>
            <w:r>
              <w:rPr>
                <w:rFonts w:eastAsia="Times New Roman" w:cs="Times New Roman"/>
                <w:kern w:val="0"/>
                <w:shd w:fill="auto" w:val="clear"/>
                <w:lang w:val="pt-BR" w:eastAsia="pt-BR" w:bidi="ar-SA"/>
              </w:rPr>
              <w:t>CT06 - Produtos iguais cadastrados há 91 dias</w:t>
            </w:r>
          </w:p>
          <w:p>
            <w:pPr>
              <w:pStyle w:val="Normal"/>
              <w:widowControl/>
              <w:spacing w:before="0" w:after="0"/>
              <w:jc w:val="left"/>
              <w:rPr>
                <w:rFonts w:eastAsia="Times New Roman"/>
              </w:rPr>
            </w:pPr>
            <w:r>
              <w:rPr>
                <w:rFonts w:eastAsia="Times New Roman"/>
              </w:rPr>
            </w:r>
          </w:p>
          <w:p>
            <w:pPr>
              <w:pStyle w:val="Normal"/>
              <w:widowControl/>
              <w:spacing w:before="0" w:after="0"/>
              <w:jc w:val="left"/>
              <w:rPr>
                <w:rFonts w:eastAsia="Times New Roman"/>
              </w:rPr>
            </w:pPr>
            <w:r>
              <w:rPr>
                <w:rFonts w:eastAsia="Times New Roman" w:cs="Times New Roman"/>
                <w:kern w:val="0"/>
                <w:lang w:val="pt-BR" w:eastAsia="pt-BR" w:bidi="ar-SA"/>
              </w:rPr>
              <w:t>CT07 - Cadastro de 149 itens por vez</w:t>
            </w:r>
          </w:p>
          <w:p>
            <w:pPr>
              <w:pStyle w:val="Normal"/>
              <w:widowControl/>
              <w:spacing w:before="0" w:after="0"/>
              <w:jc w:val="left"/>
              <w:rPr>
                <w:rFonts w:eastAsia="Times New Roman"/>
              </w:rPr>
            </w:pPr>
            <w:r>
              <w:rPr>
                <w:rFonts w:eastAsia="Times New Roman"/>
              </w:rPr>
            </w:r>
          </w:p>
          <w:p>
            <w:pPr>
              <w:pStyle w:val="Normal"/>
              <w:widowControl/>
              <w:spacing w:before="0" w:after="0"/>
              <w:jc w:val="left"/>
              <w:rPr>
                <w:rFonts w:eastAsia="Times New Roman"/>
              </w:rPr>
            </w:pPr>
            <w:r>
              <w:rPr>
                <w:rFonts w:eastAsia="Times New Roman" w:cs="Times New Roman"/>
                <w:kern w:val="0"/>
                <w:lang w:val="pt-BR" w:eastAsia="pt-BR" w:bidi="ar-SA"/>
              </w:rPr>
              <w:t>CT08 - Cadastro de 200 itens por vez</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rPr>
            </w:pPr>
            <w:r>
              <w:rPr>
                <w:rFonts w:eastAsia="Times New Roman"/>
              </w:rPr>
              <w:t>CT10 – Administrador não autenticado</w:t>
            </w:r>
          </w:p>
          <w:p>
            <w:pPr>
              <w:pStyle w:val="Normal"/>
              <w:widowControl w:val="false"/>
              <w:rPr>
                <w:rFonts w:eastAsia="Times New Roman"/>
              </w:rPr>
            </w:pPr>
            <w:r>
              <w:rPr>
                <w:rFonts w:eastAsia="Times New Roman"/>
              </w:rPr>
              <w:t xml:space="preserve">CT11 - </w:t>
            </w:r>
            <w:r>
              <w:rPr>
                <w:rFonts w:eastAsia="Times New Roman" w:cs="Times New Roman"/>
                <w:kern w:val="0"/>
                <w:lang w:val="pt-BR" w:eastAsia="pt-BR" w:bidi="ar-SA"/>
              </w:rPr>
              <w:t>Cadastro de produto com valor de R$150,01</w:t>
            </w:r>
          </w:p>
        </w:tc>
      </w:tr>
    </w:tbl>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rFonts w:eastAsia="Times New Roman"/>
        </w:rPr>
      </w:pPr>
      <w:r>
        <w:rPr>
          <w:rFonts w:eastAsia="Times New Roman"/>
        </w:rPr>
      </w:r>
    </w:p>
    <w:tbl>
      <w:tblPr>
        <w:tblW w:w="5000" w:type="pct"/>
        <w:jc w:val="center"/>
        <w:tblInd w:w="0" w:type="dxa"/>
        <w:tblLayout w:type="fixed"/>
        <w:tblCellMar>
          <w:top w:w="40" w:type="dxa"/>
          <w:left w:w="40" w:type="dxa"/>
          <w:bottom w:w="40" w:type="dxa"/>
          <w:right w:w="40" w:type="dxa"/>
        </w:tblCellMar>
        <w:tblLook w:firstRow="1" w:noVBand="1" w:lastRow="0" w:firstColumn="1" w:lastColumn="0" w:noHBand="0" w:val="04a0"/>
      </w:tblPr>
      <w:tblGrid>
        <w:gridCol w:w="1454"/>
        <w:gridCol w:w="7049"/>
      </w:tblGrid>
      <w:tr>
        <w:trPr/>
        <w:tc>
          <w:tcPr>
            <w:tcW w:w="1454" w:type="dxa"/>
            <w:tcBorders/>
            <w:shd w:color="auto" w:fill="BBBBBB" w:val="clear"/>
            <w:vAlign w:val="center"/>
          </w:tcPr>
          <w:p>
            <w:pPr>
              <w:pStyle w:val="Normal"/>
              <w:widowControl w:val="false"/>
              <w:jc w:val="center"/>
              <w:rPr>
                <w:rFonts w:eastAsia="Times New Roman"/>
              </w:rPr>
            </w:pPr>
            <w:r>
              <w:rPr>
                <w:rFonts w:eastAsia="Times New Roman"/>
              </w:rPr>
              <w:t> </w:t>
            </w:r>
            <w:r>
              <w:rPr>
                <w:rFonts w:eastAsia="Times New Roman"/>
              </w:rPr>
              <w:t xml:space="preserve">Justificativas  </w:t>
            </w:r>
          </w:p>
        </w:tc>
        <w:tc>
          <w:tcPr>
            <w:tcW w:w="7049" w:type="dxa"/>
            <w:tcBorders/>
            <w:vAlign w:val="center"/>
          </w:tcPr>
          <w:p>
            <w:pPr>
              <w:pStyle w:val="Normal"/>
              <w:widowControl w:val="false"/>
              <w:rPr>
                <w:rFonts w:eastAsia="Times New Roman"/>
              </w:rPr>
            </w:pPr>
            <w:r>
              <w:rPr>
                <w:rFonts w:eastAsia="Times New Roman"/>
              </w:rPr>
              <w:t> </w:t>
            </w:r>
          </w:p>
        </w:tc>
      </w:tr>
    </w:tbl>
    <w:p>
      <w:pPr>
        <w:pStyle w:val="Normal"/>
        <w:rPr>
          <w:rFonts w:eastAsia="Times New Roman"/>
        </w:rPr>
      </w:pPr>
      <w:r>
        <w:rPr>
          <w:rFonts w:eastAsia="Times New Roman"/>
        </w:rPr>
      </w:r>
    </w:p>
    <w:p>
      <w:pPr>
        <w:pStyle w:val="Normal"/>
        <w:rPr>
          <w:rFonts w:eastAsia="" w:eastAsiaTheme="minorEastAsia"/>
          <w:highlight w:val="none"/>
          <w:shd w:fill="auto" w:val="clear"/>
        </w:rPr>
      </w:pPr>
      <w:r>
        <w:rPr>
          <w:rFonts w:eastAsia="Times New Roman"/>
          <w:shd w:fill="auto" w:val="clear"/>
        </w:rPr>
        <w:t>CT09 – Todo administrador autenticado tem que ter acesso.</w:t>
      </w:r>
      <w:r>
        <w:rPr>
          <w:rFonts w:eastAsia="" w:eastAsiaTheme="minorEastAsia"/>
          <w:shd w:fill="auto" w:val="clear"/>
        </w:rPr>
        <w:t xml:space="preserve"> </w:t>
      </w:r>
      <w:r>
        <w:rPr>
          <w:rFonts w:eastAsia="" w:eastAsiaTheme="minorEastAsia"/>
          <w:shd w:fill="auto" w:val="clear"/>
        </w:rPr>
        <w:t>Caso não tenha, isso impossibilita qualquer outro passo no fluxo de eventos possíveis de cadastro, causando uma interrupção total e, consequentemente, um problema não só de demora, mas de oportunidades de venda perdidas.</w:t>
      </w:r>
    </w:p>
    <w:p>
      <w:pPr>
        <w:pStyle w:val="Normal"/>
        <w:rPr>
          <w:rFonts w:eastAsia="" w:eastAsiaTheme="minorEastAsia"/>
          <w:highlight w:val="none"/>
          <w:shd w:fill="auto" w:val="clear"/>
        </w:rPr>
      </w:pPr>
      <w:r>
        <w:rPr>
          <w:rFonts w:eastAsia="Times New Roman"/>
          <w:shd w:fill="auto" w:val="clear"/>
        </w:rPr>
        <w:t xml:space="preserve">CT010 – Mesmo com probabilidade baixa, um usuário/administrador não autenticado </w:t>
      </w:r>
      <w:r>
        <w:rPr>
          <w:rFonts w:eastAsia="Times New Roman"/>
          <w:shd w:fill="auto" w:val="clear"/>
        </w:rPr>
        <w:t>nunca</w:t>
      </w:r>
      <w:r>
        <w:rPr>
          <w:rFonts w:eastAsia="Times New Roman"/>
          <w:shd w:fill="auto" w:val="clear"/>
        </w:rPr>
        <w:t xml:space="preserve"> pode ter acesso. </w:t>
      </w:r>
      <w:r>
        <w:rPr>
          <w:rFonts w:eastAsia="Times New Roman"/>
          <w:shd w:fill="auto" w:val="clear"/>
        </w:rPr>
        <w:t>Caso tenha, ele pode manipular os dados por dentro do sistema, mexendo nas quantidades e nos valores. E se for um concorrente, colocando preços mais altos nos produtos que ele também vende?</w:t>
      </w:r>
    </w:p>
    <w:p>
      <w:pPr>
        <w:pStyle w:val="Normal"/>
        <w:rPr>
          <w:rFonts w:eastAsia="" w:eastAsiaTheme="minorEastAsia"/>
          <w:highlight w:val="none"/>
          <w:shd w:fill="auto" w:val="clear"/>
        </w:rPr>
      </w:pPr>
      <w:r>
        <w:rPr>
          <w:rFonts w:eastAsia="" w:eastAsiaTheme="minorEastAsia"/>
          <w:shd w:fill="auto" w:val="clear"/>
        </w:rPr>
        <w:t xml:space="preserve">CT11 – Se um produto com 1 centavo a mais do limite passar, provavelmente terão muitos outros fora da regra de negócio. </w:t>
      </w:r>
      <w:r>
        <w:rPr>
          <w:rFonts w:eastAsia="" w:eastAsiaTheme="minorEastAsia"/>
          <w:shd w:fill="auto" w:val="clear"/>
        </w:rPr>
        <w:t>Caso isso aconteça, itens podem ser cadastrados com valores muito acima do que realmente são, diminuindo as vendas. Imagine um vendedor concorrente, com o mesmo produto e serviços disponíveis para a compra, mas R$50 mais barato, por um erro na hora do cadastro. Além de diminuir a probabilidade da nossa venda, traz um ar extremamente amador para o sistema.</w:t>
      </w:r>
    </w:p>
    <w:p>
      <w:pPr>
        <w:pStyle w:val="Normal"/>
        <w:rPr>
          <w:rFonts w:eastAsia="Times New Roman"/>
        </w:rPr>
      </w:pPr>
      <w:r>
        <w:rPr>
          <w:rFonts w:eastAsia="Times New Roman"/>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66"/>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 w:cs="Times New Roman" w:eastAsiaTheme="minorEastAsia"/>
      <w:color w:val="auto"/>
      <w:kern w:val="0"/>
      <w:sz w:val="24"/>
      <w:szCs w:val="24"/>
      <w:lang w:val="pt-BR" w:eastAsia="pt-BR" w:bidi="ar-SA"/>
    </w:rPr>
  </w:style>
  <w:style w:type="paragraph" w:styleId="Heading3">
    <w:name w:val="Heading 3"/>
    <w:basedOn w:val="Normal"/>
    <w:link w:val="Ttulo3Char"/>
    <w:uiPriority w:val="9"/>
    <w:qFormat/>
    <w:pPr>
      <w:spacing w:beforeAutospacing="1" w:afterAutospacing="1"/>
      <w:outlineLvl w:val="2"/>
    </w:pPr>
    <w:rPr>
      <w:b/>
      <w:bCs/>
      <w:sz w:val="27"/>
      <w:szCs w:val="27"/>
    </w:rPr>
  </w:style>
  <w:style w:type="character" w:styleId="DefaultParagraphFont" w:default="1">
    <w:name w:val="Default Paragraph Font"/>
    <w:uiPriority w:val="1"/>
    <w:semiHidden/>
    <w:unhideWhenUsed/>
    <w:qFormat/>
    <w:rPr/>
  </w:style>
  <w:style w:type="character" w:styleId="Ttulo3Char" w:customStyle="1">
    <w:name w:val="Título 3 Char"/>
    <w:basedOn w:val="DefaultParagraphFont"/>
    <w:uiPriority w:val="9"/>
    <w:semiHidden/>
    <w:qFormat/>
    <w:rPr>
      <w:rFonts w:ascii="Calibri Light" w:hAnsi="Calibri Light" w:eastAsia="" w:cs="" w:asciiTheme="majorHAnsi" w:cstheme="majorBidi" w:eastAsiaTheme="majorEastAsia" w:hAnsiTheme="majorHAnsi"/>
      <w:color w:themeColor="accent1" w:themeShade="7f" w:val="1F3763"/>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Msonormal" w:customStyle="1">
    <w:name w:val="msonormal"/>
    <w:basedOn w:val="Normal"/>
    <w:qFormat/>
    <w:pPr>
      <w:spacing w:beforeAutospacing="1" w:afterAutospacing="1"/>
    </w:pPr>
    <w:rPr/>
  </w:style>
  <w:style w:type="paragraph" w:styleId="Tableborder" w:customStyle="1">
    <w:name w:val="tableborder"/>
    <w:basedOn w:val="Normal"/>
    <w:qFormat/>
    <w:pPr>
      <w:shd w:val="clear" w:color="auto" w:fill="FFFFFF"/>
      <w:spacing w:beforeAutospacing="1" w:afterAutospacing="1"/>
    </w:pPr>
    <w:rPr/>
  </w:style>
  <w:style w:type="paragraph" w:styleId="Grid" w:customStyle="1">
    <w:name w:val="grid"/>
    <w:basedOn w:val="Normal"/>
    <w:qFormat/>
    <w:pPr>
      <w:shd w:val="clear" w:color="auto" w:fill="FFFFFF"/>
      <w:spacing w:beforeAutospacing="1" w:afterAutospacing="1"/>
    </w:pPr>
    <w:rPr/>
  </w:style>
  <w:style w:type="paragraph" w:styleId="Tablabel" w:customStyle="1">
    <w:name w:val="tablabel"/>
    <w:basedOn w:val="Normal"/>
    <w:qFormat/>
    <w:pPr>
      <w:pBdr>
        <w:top w:val="single" w:sz="6" w:space="2" w:color="CCCCCC"/>
        <w:left w:val="single" w:sz="6" w:space="2" w:color="CCCCCC"/>
        <w:right w:val="single" w:sz="6" w:space="2" w:color="CCCCCC"/>
      </w:pBdr>
      <w:spacing w:beforeAutospacing="1" w:afterAutospacing="1"/>
    </w:pPr>
    <w:rPr>
      <w:b/>
      <w:bCs/>
    </w:rPr>
  </w:style>
  <w:style w:type="paragraph" w:styleId="Subtext" w:customStyle="1">
    <w:name w:val="subtext"/>
    <w:basedOn w:val="Normal"/>
    <w:qFormat/>
    <w:pPr>
      <w:spacing w:beforeAutospacing="1" w:afterAutospacing="1"/>
    </w:pPr>
    <w:rPr/>
  </w:style>
  <w:style w:type="paragraph" w:styleId="Nopadding" w:customStyle="1">
    <w:name w:val="nopadding"/>
    <w:basedOn w:val="Normal"/>
    <w:qFormat/>
    <w:pPr>
      <w:spacing w:beforeAutospacing="1" w:afterAutospacing="1"/>
    </w:pPr>
    <w:rPr/>
  </w:style>
  <w:style w:type="paragraph" w:styleId="Subtext1" w:customStyle="1">
    <w:name w:val="subtext1"/>
    <w:basedOn w:val="Normal"/>
    <w:qFormat/>
    <w:pPr>
      <w:spacing w:beforeAutospacing="1" w:afterAutospacing="1"/>
    </w:pPr>
    <w:rPr>
      <w:sz w:val="14"/>
      <w:szCs w:val="14"/>
    </w:rPr>
  </w:style>
  <w:style w:type="paragraph" w:styleId="NormalWeb">
    <w:name w:val="Normal (Web)"/>
    <w:basedOn w:val="Normal"/>
    <w:uiPriority w:val="99"/>
    <w:unhideWhenUsed/>
    <w:qFormat/>
    <w:pPr>
      <w:spacing w:beforeAutospacing="1" w:afterAutospacing="1"/>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155d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LibreOffice/7.6.7.2$Windows_X86_64 LibreOffice_project/dd47e4b30cb7dab30588d6c79c651f218165e3c5</Application>
  <AppVersion>15.0000</AppVersion>
  <Pages>3</Pages>
  <Words>477</Words>
  <Characters>2498</Characters>
  <CharactersWithSpaces>2909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2021-06-23T05:59:00Z</dcterms:created>
  <dc:creator>Fábio Araújo</dc:creator>
  <dc:description/>
  <dc:language>en-US</dc:language>
  <cp:lastModifiedBy/>
  <dcterms:modified xsi:type="dcterms:W3CDTF">2024-07-10T17:12:34Z</dcterms:modified>
  <cp:revision>11</cp:revision>
  <dc:subject/>
  <dc:title>[#TES-19] [DEMO] Reservar produto no carrinho (Projeto de demonstração do TM4J)</dc:title>
</cp:coreProperties>
</file>

<file path=docProps/custom.xml><?xml version="1.0" encoding="utf-8"?>
<Properties xmlns="http://schemas.openxmlformats.org/officeDocument/2006/custom-properties" xmlns:vt="http://schemas.openxmlformats.org/officeDocument/2006/docPropsVTypes"/>
</file>