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47857"/>
          <w:sz w:val="60"/>
        </w:rPr>
        <w:t>Kepang AI</w:t>
      </w:r>
    </w:p>
    <w:p>
      <w:pPr>
        <w:jc w:val="center"/>
      </w:pPr>
      <w:r>
        <w:rPr>
          <w:rFonts w:ascii="Calibri" w:hAnsi="Calibri"/>
          <w:color w:val="1F2937"/>
          <w:sz w:val="36"/>
        </w:rPr>
        <w:t>Decision Intelligence untuk Resiliensi Ketahanan Pangan Daerah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Combined Submission Attachment - Tahap 2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ECFDF5"/>
          </w:tcPr>
          <w:p>
            <w:r>
              <w:rPr>
                <w:rFonts w:ascii="Calibri" w:hAnsi="Calibri"/>
                <w:b/>
                <w:color w:val="047857"/>
                <w:sz w:val="20"/>
              </w:rPr>
              <w:t>Purpose</w:t>
            </w:r>
            <w:r>
              <w:rPr>
                <w:rFonts w:ascii="Calibri" w:hAnsi="Calibri"/>
              </w:rPr>
              <w:br/>
              <w:t>One PDF package for judges: problem evidence, solution fit, architecture, data policy, impact KPI, business model, MVP readiness, and validation gaps.</w:t>
            </w:r>
          </w:p>
        </w:tc>
      </w:tr>
    </w:tbl>
    <w:p/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056"/>
      </w:tblGrid>
      <w:tr>
        <w:tc>
          <w:tcPr>
            <w:tcW w:type="dxa" w:w="208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Field</w:t>
            </w:r>
          </w:p>
        </w:tc>
        <w:tc>
          <w:tcPr>
            <w:tcW w:type="dxa" w:w="705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Content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Team ID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[ISI ID TIM SESUAI PENDAFTARAN]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Team Name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J4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Proposal Title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Kepang AI: Decision Intelligence untuk Resiliensi Ketahanan Pangan Daerah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Prototype Status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Local web prototype with backend API, Supabase database, source-aware forecasting, logistics recommendation, and Evidence Room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File Naming Rule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Rename final file to: [ID Team] - Kepang AI Decision Intelligence untuk Resiliensi Ketahanan Pangan Daerah.pdf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Evidence Summary</w:t>
      </w:r>
    </w:p>
    <w:p>
      <w:pPr/>
      <w:r>
        <w:t>Kepang AI is a decision intelligence prototype for food resilience. The core problem is policy lag: price, weather, stock, logistics, and macro pressure are often analyzed separately, so intervention can arrive after food prices have already moved.</w:t>
      </w:r>
    </w:p>
    <w:p>
      <w:pPr/>
      <w:r>
        <w:t>The solution connects official data, real-time-capable feeds, model-derived forecasts, and explicit data gaps into one decision cockpit. The app turns signals into Resilience Score, scenario shock, route recommendation, action cards, KPI targets, and data lineage.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3240"/>
        <w:gridCol w:w="3600"/>
      </w:tblGrid>
      <w:tr>
        <w:tc>
          <w:tcPr>
            <w:tcW w:type="dxa" w:w="230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Evidence Signal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Why It Matters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Kepang AI Response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Volatile food 6.24% yoy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Food commodities remain a current inflation pressure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Food Inflation Monitor and commodity risk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USD/IDR Rp17,700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Weaker rupiah raises imported inflation and logistics exposure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Rupiah scenario planning and import exposure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Weather risk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Flood, drought, and climate shocks affect production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BMKG-based Weather Risk Engine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Regional imbalance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Surplus and deficit regions need coordinated distribution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Supply-demand map and route recommendation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Data trust gap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Forecast, seed, and official data must not be mixed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Data lineage labels and expected data fields</w:t>
            </w:r>
          </w:p>
        </w:tc>
      </w:tr>
    </w:tbl>
    <w:p/>
    <w:p>
      <w:pPr>
        <w:pStyle w:val="Heading1"/>
      </w:pPr>
      <w:r>
        <w:t>2. Evidence of Demand</w:t>
      </w:r>
    </w:p>
    <w:p>
      <w:pPr/>
      <w:r>
        <w:t>Demand is demonstrated by public problem evidence and institutional need. Stakeholders do not only need another dashboard; they need a shared decision layer that explains what happened, why it matters, what action should be prioritized, and which data can be trusted.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3528"/>
        <w:gridCol w:w="2088"/>
        <w:gridCol w:w="3528"/>
      </w:tblGrid>
      <w:tr>
        <w:tc>
          <w:tcPr>
            <w:tcW w:type="dxa" w:w="352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Real Problem Evidence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Source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Demand Signal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Inflasi Mei 2026 mencapai 3.08% yoy dan 0.28% mtm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BPS, 2 June 2026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Price stability is an active public issue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Volatile food mencapai 6.24% yoy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Antara citing BPS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Strategic food commodities still drive inflation pressure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Rupiah Rp17,700/USD and BI-Rate 5.25%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Bank Indonesia RDG May 2026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Macro shock requires resilient scenario planning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Imports Jan-Feb 2026 reached US$42.09B, +14.44% yoy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BPS export-import release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Imported inputs, energy, and logistics can become more expensive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Bapanas mission includes reserve, logistics, distribution, stabilization, and vulnerable regions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Bapanas Renstra 2025-2029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The solution aligns with institutional mandate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BMKG provides 3-day village-level weather forecast, updated twice daily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BMKG Open Data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Weather data can feed early warning for food risk</w:t>
            </w:r>
          </w:p>
        </w:tc>
      </w:tr>
    </w:tbl>
    <w:p/>
    <w:p>
      <w:pPr>
        <w:pStyle w:val="Heading1"/>
      </w:pPr>
      <w:r>
        <w:t>3. Problem-Solution Mapping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664"/>
        <w:gridCol w:w="3384"/>
        <w:gridCol w:w="3096"/>
      </w:tblGrid>
      <w:tr>
        <w:tc>
          <w:tcPr>
            <w:tcW w:type="dxa" w:w="266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Problem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Mechanism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Outcome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Fragmented food data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Integrate price, supply-demand, weather, macro, and logistics in one cockpit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Decision makers see root causes, not only price symptoms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Policy lag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Early warning, Resilience Score, action cards, redistribution recommendation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Stock intervention, market operation, and harvest mitigation can start earlier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Weaker rupiah and imported inflation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Currency scenario planning, import exposure, logistics-cost simulation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Food decisions become more resilient against external shocks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Unclear data quality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Data lineage: real-time, official-release, forecast, unavailable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Every recommendation is more auditable and honest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Suboptimal logistics route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ranking, volume estimate, optional Google ETA/distance, expected partner data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Distribution from surplus to deficit regions becomes more targeted</w:t>
            </w:r>
          </w:p>
        </w:tc>
      </w:tr>
    </w:tbl>
    <w:p/>
    <w:p>
      <w:r>
        <w:br w:type="page"/>
      </w:r>
    </w:p>
    <w:p>
      <w:pPr>
        <w:pStyle w:val="Heading1"/>
      </w:pPr>
      <w:r>
        <w:t>4. System Architecture</w:t>
      </w:r>
    </w:p>
    <w:p>
      <w:pPr/>
      <w:r>
        <w:t>The architecture separates user interface, API orchestration, data storage, external data connectors, model outputs, and data lineage. This supports a transparent MVP today and a production path with institutional data partners later.</w:t>
      </w:r>
    </w:p>
    <w:p>
      <w:r>
        <w:drawing>
          <wp:inline xmlns:a="http://schemas.openxmlformats.org/drawingml/2006/main" xmlns:pic="http://schemas.openxmlformats.org/drawingml/2006/picture">
            <wp:extent cx="5806440" cy="3806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Data Source and Feasibility Matrix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2880"/>
        <w:gridCol w:w="2448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Dataset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Current Status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Source / Method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Production Requirement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Inflation and macro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official-release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BPS and BI releases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Periodic official update ingestion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Weather forecast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real-time capable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BMKG Open Data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adm4 mapping for all target regions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Food prices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real-time capable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BI Harga Pangan scraper/API; Bapanas when stable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Stable endpoint access and source logging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Supply-demand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forecast / seed MVP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Prototype seed; expected Bapanas/Bulog/Dinas data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production_ton, stock_ton, demand_ton, warehouse_id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Logistics ETA/distance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real-time capable when key exists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Google Routes API for eligible road routes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Google key and road-routable origin/destination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Logistics cost/capacity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forecast / unavailable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Prototype route table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carrier, capacity_ton, cost_per_ton, lead_time_days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Resilience score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forecast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Kepang AI model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4"/>
              </w:rPr>
              <w:t>Validation against historical interventions</w:t>
            </w:r>
          </w:p>
        </w:tc>
      </w:tr>
    </w:tbl>
    <w:p/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shd w:fill="FFFBEB"/>
          </w:tcPr>
          <w:p>
            <w:r>
              <w:rPr>
                <w:rFonts w:ascii="Calibri" w:hAnsi="Calibri"/>
                <w:b/>
                <w:color w:val="92400E"/>
                <w:sz w:val="20"/>
              </w:rPr>
              <w:t>Data honesty rule</w:t>
            </w:r>
            <w:r>
              <w:rPr>
                <w:rFonts w:ascii="Calibri" w:hAnsi="Calibri"/>
              </w:rPr>
              <w:br/>
              <w:t>Kepang AI must not present seed, proxy, or model output as audited real-time data. Every displayed dataset is labelled as real-time, official-release, forecast, or unavailable.</w:t>
            </w:r>
          </w:p>
        </w:tc>
      </w:tr>
    </w:tbl>
    <w:p/>
    <w:p>
      <w:r>
        <w:br w:type="page"/>
      </w:r>
    </w:p>
    <w:p>
      <w:pPr>
        <w:pStyle w:val="Heading1"/>
      </w:pPr>
      <w:r>
        <w:t>6. Impact Measurement</w:t>
      </w:r>
    </w:p>
    <w:tbl>
      <w:tblPr>
        <w:tblStyle w:val="TableGrid"/>
        <w:tblW w:type="dxa" w:w="9142"/>
        <w:jc w:val="left"/>
        <w:tblLayout w:type="fixed"/>
        <w:tblLook w:firstColumn="1" w:firstRow="1" w:lastColumn="0" w:lastRow="0" w:noHBand="0" w:noVBand="1" w:val="04A0"/>
      </w:tblPr>
      <w:tblGrid>
        <w:gridCol w:w="2951"/>
        <w:gridCol w:w="2160"/>
        <w:gridCol w:w="4031"/>
      </w:tblGrid>
      <w:tr>
        <w:tc>
          <w:tcPr>
            <w:tcW w:type="dxa" w:w="2951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KPI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MVP Target</w:t>
            </w:r>
          </w:p>
        </w:tc>
        <w:tc>
          <w:tcPr>
            <w:tcW w:type="dxa" w:w="4031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Measurement Method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Time to identify priority region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Under 3 minutes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User task test with TPID/dinas pangan persona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Time-to-insight reduction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50% vs manual baseline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Compare dashboard task vs spreadsheet/manual workflow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Simulated supply gap reduction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At least 30%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Before-after redistribution scenario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Logistics cost potential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5-10%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Cost per ton before-after route optimization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Data lineage completeness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100%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Audit UI and API response</w:t>
            </w:r>
          </w:p>
        </w:tc>
      </w:tr>
      <w:tr>
        <w:tc>
          <w:tcPr>
            <w:tcW w:type="dxa" w:w="29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Recommendation validation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5-10 interviews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Structured interview scorecard</w:t>
            </w:r>
          </w:p>
        </w:tc>
      </w:tr>
    </w:tbl>
    <w:p/>
    <w:p>
      <w:pPr>
        <w:pStyle w:val="Heading1"/>
      </w:pPr>
      <w:r>
        <w:t>7. Business Model and Sustainability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3024"/>
        <w:gridCol w:w="3600"/>
      </w:tblGrid>
      <w:tr>
        <w:tc>
          <w:tcPr>
            <w:tcW w:type="dxa" w:w="252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Revenue Stream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Buyer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Value Sold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Annual institutional license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Pemda, TPID, Bapanas, Bulog, BI regional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Dashboard, user seats, modules, regional coverage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Implementation fee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Pilot institution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Setup, data integration, training, custom workflow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Managed analytics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Government or enterprise partner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Monthly risk report and scenario briefing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API subscription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Institutions, logistics, finance, insurance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Risk score, anomaly signal, route intelligence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Logistics add-on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Carrier, warehouse, commodity aggregator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optimization, backhaul, capacity matching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Grant / innovation funding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Public program, CSR, donor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Early pilot, validation, and social impact deployment</w:t>
            </w:r>
          </w:p>
        </w:tc>
      </w:tr>
    </w:tbl>
    <w:p/>
    <w:p>
      <w:pPr/>
      <w:r>
        <w:t>The product monetizes the intelligence layer, not raw public data. Profitability can come from recurring institutional subscriptions, implementation services, managed analytics, and API/logistics add-ons once pilots prove measurable value.</w:t>
      </w:r>
    </w:p>
    <w:p>
      <w:r>
        <w:br w:type="page"/>
      </w:r>
    </w:p>
    <w:p>
      <w:pPr>
        <w:pStyle w:val="Heading1"/>
      </w:pPr>
      <w:r>
        <w:t>8. Guidebook Alignment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5112"/>
        <w:gridCol w:w="1440"/>
      </w:tblGrid>
      <w:tr>
        <w:tc>
          <w:tcPr>
            <w:tcW w:type="dxa" w:w="259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Guidebook Criterion</w:t>
            </w:r>
          </w:p>
        </w:tc>
        <w:tc>
          <w:tcPr>
            <w:tcW w:type="dxa" w:w="511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Evidence in Kepang AI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Alignment with Problem Statement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Digitalisasi Ketahanan Pangan, policy lag, supply-demand, price, weather, logistics, and rupiah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Ready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Effectiveness &amp; Impact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Resilience Score, action cards, KPI targets, supply gap, route efficiency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Ready for MVP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Uniqueness / Creativity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Decision cockpit, rupiah shock scenario, data lineage, source-aware logistics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Ready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Technical Quality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React/Vite, Express, PostgreSQL/Supabase, BI scraper, BMKG service, Google optional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Prototype ready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Business Model Feasibility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B2G SaaS, implementation fee, managed analytics, API subscription, logistics add-on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Ready</w:t>
            </w:r>
          </w:p>
        </w:tc>
      </w:tr>
    </w:tbl>
    <w:p/>
    <w:p>
      <w:pPr>
        <w:pStyle w:val="Heading1"/>
      </w:pPr>
      <w:r>
        <w:t>9. MVP Readiness and Test Evidence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1296"/>
        <w:gridCol w:w="5472"/>
      </w:tblGrid>
      <w:tr>
        <w:tc>
          <w:tcPr>
            <w:tcW w:type="dxa" w:w="237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Check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Result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Observation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Frontend build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Vite production build completed; chunk-size warning non-blocking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Backend syntax checks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forecast route, logistics route, googleRoutesService valid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GET /api/health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status=ok, database=ok, redis=disabled locally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GET /api/forecast/resilience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Macro context, resilience score, data policy, data provenance returned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GET /api/logistics/recommendations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Ranked routes, source policy, expected production data returned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Browser checks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Pass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Evidence Room and Dashboard render with no mojibake</w:t>
            </w:r>
          </w:p>
        </w:tc>
      </w:tr>
    </w:tbl>
    <w:p/>
    <w:p>
      <w:pPr>
        <w:pStyle w:val="Heading1"/>
      </w:pPr>
      <w:r>
        <w:t>10. Open Gaps and Next Validation</w:t>
      </w:r>
    </w:p>
    <w:p>
      <w:pPr>
        <w:pStyle w:val="ListBullet"/>
      </w:pPr>
      <w:r>
        <w:t>Fill final Team ID and confirm official team composition before submission.</w:t>
      </w:r>
    </w:p>
    <w:p>
      <w:pPr>
        <w:pStyle w:val="ListBullet"/>
      </w:pPr>
      <w:r>
        <w:t>Run 5-10 structured interviews with TPID, dinas pangan, Bulog/logistics, BI regional, commodity traders, and warehouse/carrier operators.</w:t>
      </w:r>
    </w:p>
    <w:p>
      <w:pPr>
        <w:pStyle w:val="ListBullet"/>
      </w:pPr>
      <w:r>
        <w:t>Integrate production stock, warehouse, carrier capacity, port congestion, and actual cost-per-ton feeds when partner access is available.</w:t>
      </w:r>
    </w:p>
    <w:p>
      <w:pPr>
        <w:pStyle w:val="ListBullet"/>
      </w:pPr>
      <w:r>
        <w:t>Configure Google Maps keys only for road ETA/distance; do not claim sea/cargo cost or capacity as Google real-time data.</w:t>
      </w:r>
    </w:p>
    <w:p>
      <w:pPr>
        <w:pStyle w:val="ListBullet"/>
      </w:pPr>
      <w:r>
        <w:t>Prepare a 2-3 minute demo video as backup if public hosting is deferred.</w:t>
      </w:r>
    </w:p>
    <w:p>
      <w:pPr>
        <w:pStyle w:val="Heading1"/>
      </w:pPr>
      <w:r>
        <w:t>11. Source Links</w:t>
      </w:r>
    </w:p>
    <w:tbl>
      <w:tblPr>
        <w:tblStyle w:val="TableGrid"/>
        <w:tblW w:type="dxa" w:w="9144"/>
        <w:jc w:val="left"/>
        <w:tblLayout w:type="fixed"/>
        <w:tblLook w:firstColumn="1" w:firstRow="1" w:lastColumn="0" w:lastRow="0" w:noHBand="0" w:noVBand="1" w:val="04A0"/>
      </w:tblPr>
      <w:tblGrid>
        <w:gridCol w:w="2664"/>
        <w:gridCol w:w="6480"/>
      </w:tblGrid>
      <w:tr>
        <w:tc>
          <w:tcPr>
            <w:tcW w:type="dxa" w:w="2664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Source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URL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BPS Inflasi Mei 2026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https://www.bps.go.id/id/pressrelease/2026/06/02/2579/inflasi-year-on-year--y-on-y--pada-mei-2026-sebesar-3-08-persen-.html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Antara/BPS volatile food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https://www.antaranews.com/berita/5590715/bps-kenaikan-bbm-nonsubsidi-dorong-inflasi-transportasi-061-persen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BI RDG Mei 2026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https://www.bi.go.id/id/publikasi/ruang-media/news-release/Pages/sp_2810726.aspx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BPS Ekspor-Impor Februari 2026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https://www.bps.go.id/assets/pressrelease/2026/04/01/2557/ekspor-dan-impor-indonesia-februari-2026-masing-masing-tercatat-usd-22-17-miliar-dan-usd-20-89-miliar-.html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BPS NTP Mei 2026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https://www.bps.go.id/id/pressrelease/2026/06/02/2580/nilai-tukar-petani--ntp--mei-2026-sebesar-127-73-atau-naik-1-99-persen.html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BMKG Open Data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https://data.bmkg.go.id/prakiraan-cuaca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Bapanas Renstra 2025-2029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3"/>
              </w:rPr>
              <w:t>https://peraturan.go.id/filespengundangan/peraturan-bapanas-no-9-tahun-2025.pdf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7"/>
      </w:rPr>
      <w:t>Kepang AI - Submission Attachment - Prepared 4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